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03" w:rsidRDefault="00D57803">
      <w:pPr>
        <w:rPr>
          <w:rFonts w:ascii="Arial" w:hAnsi="Arial" w:cs="Arial"/>
          <w:sz w:val="20"/>
          <w:szCs w:val="20"/>
        </w:rPr>
      </w:pPr>
    </w:p>
    <w:p w:rsidR="00E5384C" w:rsidRDefault="00E5384C">
      <w:pPr>
        <w:rPr>
          <w:rFonts w:ascii="Arial" w:hAnsi="Arial" w:cs="Arial"/>
          <w:sz w:val="20"/>
          <w:szCs w:val="20"/>
        </w:rPr>
      </w:pPr>
    </w:p>
    <w:p w:rsidR="00E5384C" w:rsidRPr="00E5384C" w:rsidRDefault="00E5384C" w:rsidP="00E5384C">
      <w:pPr>
        <w:spacing w:before="330" w:after="285" w:line="585" w:lineRule="atLeast"/>
        <w:outlineLvl w:val="0"/>
        <w:rPr>
          <w:rFonts w:ascii="Arial" w:eastAsia="Times New Roman" w:hAnsi="Arial" w:cs="Arial"/>
          <w:b/>
          <w:bCs/>
          <w:color w:val="5D6172"/>
          <w:kern w:val="36"/>
          <w:sz w:val="45"/>
          <w:szCs w:val="45"/>
          <w:lang w:eastAsia="nl-NL"/>
        </w:rPr>
      </w:pPr>
      <w:r w:rsidRPr="00E5384C">
        <w:rPr>
          <w:rFonts w:ascii="Arial" w:eastAsia="Times New Roman" w:hAnsi="Arial" w:cs="Arial"/>
          <w:b/>
          <w:bCs/>
          <w:color w:val="5D6172"/>
          <w:kern w:val="36"/>
          <w:sz w:val="45"/>
          <w:szCs w:val="45"/>
          <w:lang w:eastAsia="nl-NL"/>
        </w:rPr>
        <w:t xml:space="preserve">Geen PDCA, maar wat dan? </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 xml:space="preserve">In een aantal </w:t>
      </w:r>
      <w:hyperlink r:id="rId6" w:history="1">
        <w:r w:rsidRPr="00E5384C">
          <w:rPr>
            <w:rFonts w:ascii="Arial" w:eastAsia="Times New Roman" w:hAnsi="Arial" w:cs="Arial"/>
            <w:color w:val="5D6172"/>
            <w:sz w:val="21"/>
            <w:szCs w:val="21"/>
            <w:lang w:eastAsia="nl-NL"/>
          </w:rPr>
          <w:t>eerdere blogs</w:t>
        </w:r>
      </w:hyperlink>
      <w:r w:rsidRPr="00E5384C">
        <w:rPr>
          <w:rFonts w:ascii="Arial" w:eastAsia="Times New Roman" w:hAnsi="Arial" w:cs="Arial"/>
          <w:color w:val="5D6172"/>
          <w:sz w:val="21"/>
          <w:szCs w:val="21"/>
          <w:lang w:eastAsia="nl-NL"/>
        </w:rPr>
        <w:t xml:space="preserve"> heb ik aangegeven wat de problemen kunnen zijn met de PDCA-cyclus in snel veranderende omgevingen. Plannen pinnen ons te veel vast, de cyclus is te traag, de waarde van meten wordt overschat en de personele factor (hoe krijgen we medewerkers in beweging voor verbetering?) wordt onderschat. Mooi, maar wat dan wel?</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noProof/>
          <w:color w:val="5D6172"/>
          <w:sz w:val="21"/>
          <w:szCs w:val="21"/>
          <w:lang w:eastAsia="nl-NL"/>
        </w:rPr>
        <w:drawing>
          <wp:inline distT="0" distB="0" distL="0" distR="0" wp14:anchorId="1B092E92" wp14:editId="4A4C6018">
            <wp:extent cx="2438400" cy="1628775"/>
            <wp:effectExtent l="0" t="0" r="0" b="9525"/>
            <wp:docPr id="1" name="Afbeelding 1" descr="http://www.kwinta.be/sites/default/files/styles/medium_rechts/public/artikel/everard-art.jpg?itok=Jziy2K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winta.be/sites/default/files/styles/medium_rechts/public/artikel/everard-art.jpg?itok=Jziy2K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inline>
        </w:drawing>
      </w:r>
      <w:r w:rsidRPr="00E5384C">
        <w:rPr>
          <w:rFonts w:ascii="Arial" w:eastAsia="Times New Roman" w:hAnsi="Arial" w:cs="Arial"/>
          <w:color w:val="5D6172"/>
          <w:sz w:val="21"/>
          <w:szCs w:val="21"/>
          <w:lang w:eastAsia="nl-NL"/>
        </w:rPr>
        <w:t xml:space="preserve">In het artikel </w:t>
      </w:r>
      <w:hyperlink r:id="rId8" w:history="1">
        <w:r w:rsidRPr="00E5384C">
          <w:rPr>
            <w:rFonts w:ascii="Arial" w:eastAsia="Times New Roman" w:hAnsi="Arial" w:cs="Arial"/>
            <w:color w:val="5D6172"/>
            <w:sz w:val="21"/>
            <w:szCs w:val="21"/>
            <w:lang w:eastAsia="nl-NL"/>
          </w:rPr>
          <w:t>De Mythe van de PDCA-cyclus</w:t>
        </w:r>
      </w:hyperlink>
      <w:r w:rsidRPr="00E5384C">
        <w:rPr>
          <w:rFonts w:ascii="Arial" w:eastAsia="Times New Roman" w:hAnsi="Arial" w:cs="Arial"/>
          <w:color w:val="5D6172"/>
          <w:sz w:val="21"/>
          <w:szCs w:val="21"/>
          <w:lang w:eastAsia="nl-NL"/>
        </w:rPr>
        <w:t xml:space="preserve"> heb ik het over vijf principes die </w:t>
      </w:r>
      <w:proofErr w:type="spellStart"/>
      <w:r w:rsidRPr="00E5384C">
        <w:rPr>
          <w:rFonts w:ascii="Arial" w:eastAsia="Times New Roman" w:hAnsi="Arial" w:cs="Arial"/>
          <w:color w:val="5D6172"/>
          <w:sz w:val="21"/>
          <w:szCs w:val="21"/>
          <w:lang w:eastAsia="nl-NL"/>
        </w:rPr>
        <w:t>mijns</w:t>
      </w:r>
      <w:proofErr w:type="spellEnd"/>
      <w:r w:rsidRPr="00E5384C">
        <w:rPr>
          <w:rFonts w:ascii="Arial" w:eastAsia="Times New Roman" w:hAnsi="Arial" w:cs="Arial"/>
          <w:color w:val="5D6172"/>
          <w:sz w:val="21"/>
          <w:szCs w:val="21"/>
          <w:lang w:eastAsia="nl-NL"/>
        </w:rPr>
        <w:t xml:space="preserve"> </w:t>
      </w:r>
      <w:proofErr w:type="spellStart"/>
      <w:r w:rsidRPr="00E5384C">
        <w:rPr>
          <w:rFonts w:ascii="Arial" w:eastAsia="Times New Roman" w:hAnsi="Arial" w:cs="Arial"/>
          <w:color w:val="5D6172"/>
          <w:sz w:val="21"/>
          <w:szCs w:val="21"/>
          <w:lang w:eastAsia="nl-NL"/>
        </w:rPr>
        <w:t>inziens</w:t>
      </w:r>
      <w:proofErr w:type="spellEnd"/>
      <w:r w:rsidRPr="00E5384C">
        <w:rPr>
          <w:rFonts w:ascii="Arial" w:eastAsia="Times New Roman" w:hAnsi="Arial" w:cs="Arial"/>
          <w:color w:val="5D6172"/>
          <w:sz w:val="21"/>
          <w:szCs w:val="21"/>
          <w:lang w:eastAsia="nl-NL"/>
        </w:rPr>
        <w:t xml:space="preserve"> in elke organisatie ter harte zouden moeten worden genomen en tegelijk de nodige flexibiliteit bieden om mee te kunnen veranderen met de flow:</w:t>
      </w:r>
    </w:p>
    <w:p w:rsidR="00E5384C" w:rsidRPr="00E5384C" w:rsidRDefault="00E5384C" w:rsidP="00E5384C">
      <w:pPr>
        <w:numPr>
          <w:ilvl w:val="0"/>
          <w:numId w:val="1"/>
        </w:numPr>
        <w:spacing w:after="0"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Attention,</w:t>
      </w:r>
    </w:p>
    <w:p w:rsidR="00E5384C" w:rsidRPr="00E5384C" w:rsidRDefault="00E5384C" w:rsidP="00E5384C">
      <w:pPr>
        <w:numPr>
          <w:ilvl w:val="0"/>
          <w:numId w:val="1"/>
        </w:numPr>
        <w:spacing w:after="0"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Commitment,</w:t>
      </w:r>
    </w:p>
    <w:p w:rsidR="00E5384C" w:rsidRPr="00E5384C" w:rsidRDefault="00E5384C" w:rsidP="00E5384C">
      <w:pPr>
        <w:numPr>
          <w:ilvl w:val="0"/>
          <w:numId w:val="1"/>
        </w:numPr>
        <w:spacing w:after="0"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Context,</w:t>
      </w:r>
    </w:p>
    <w:p w:rsidR="00E5384C" w:rsidRPr="00E5384C" w:rsidRDefault="00E5384C" w:rsidP="00E5384C">
      <w:pPr>
        <w:numPr>
          <w:ilvl w:val="0"/>
          <w:numId w:val="1"/>
        </w:numPr>
        <w:spacing w:after="0" w:line="345" w:lineRule="atLeast"/>
        <w:rPr>
          <w:rFonts w:ascii="Arial" w:eastAsia="Times New Roman" w:hAnsi="Arial" w:cs="Arial"/>
          <w:color w:val="5D6172"/>
          <w:sz w:val="21"/>
          <w:szCs w:val="21"/>
          <w:lang w:eastAsia="nl-NL"/>
        </w:rPr>
      </w:pPr>
      <w:proofErr w:type="spellStart"/>
      <w:r w:rsidRPr="00E5384C">
        <w:rPr>
          <w:rFonts w:ascii="Arial" w:eastAsia="Times New Roman" w:hAnsi="Arial" w:cs="Arial"/>
          <w:color w:val="5D6172"/>
          <w:sz w:val="21"/>
          <w:szCs w:val="21"/>
          <w:lang w:eastAsia="nl-NL"/>
        </w:rPr>
        <w:t>Reflection</w:t>
      </w:r>
      <w:proofErr w:type="spellEnd"/>
      <w:r w:rsidRPr="00E5384C">
        <w:rPr>
          <w:rFonts w:ascii="Arial" w:eastAsia="Times New Roman" w:hAnsi="Arial" w:cs="Arial"/>
          <w:color w:val="5D6172"/>
          <w:sz w:val="21"/>
          <w:szCs w:val="21"/>
          <w:lang w:eastAsia="nl-NL"/>
        </w:rPr>
        <w:t>,</w:t>
      </w:r>
    </w:p>
    <w:p w:rsidR="00E5384C" w:rsidRPr="00E5384C" w:rsidRDefault="00E5384C" w:rsidP="00E5384C">
      <w:pPr>
        <w:numPr>
          <w:ilvl w:val="0"/>
          <w:numId w:val="1"/>
        </w:numPr>
        <w:spacing w:after="0"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Action (ACCRA ©).</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noProof/>
          <w:color w:val="5D6172"/>
          <w:sz w:val="21"/>
          <w:szCs w:val="21"/>
          <w:lang w:eastAsia="nl-NL"/>
        </w:rPr>
        <w:drawing>
          <wp:inline distT="0" distB="0" distL="0" distR="0" wp14:anchorId="5B746775" wp14:editId="1BB1CA20">
            <wp:extent cx="1428750" cy="962025"/>
            <wp:effectExtent l="0" t="0" r="0" b="9525"/>
            <wp:docPr id="2" name="Afbeelding 2" descr="http://www.kwinta.be/sites/default/files/styles/medium_rechts/public/artikel/Schermafbeelding%202014-05-22%20om%2010.34.00.png?itok=c6fTbu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winta.be/sites/default/files/styles/medium_rechts/public/artikel/Schermafbeelding%202014-05-22%20om%2010.34.00.png?itok=c6fTbur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62025"/>
                    </a:xfrm>
                    <a:prstGeom prst="rect">
                      <a:avLst/>
                    </a:prstGeom>
                    <a:noFill/>
                    <a:ln>
                      <a:noFill/>
                    </a:ln>
                  </pic:spPr>
                </pic:pic>
              </a:graphicData>
            </a:graphic>
          </wp:inline>
        </w:drawing>
      </w:r>
      <w:r w:rsidRPr="00E5384C">
        <w:rPr>
          <w:rFonts w:ascii="Arial" w:eastAsia="Times New Roman" w:hAnsi="Arial" w:cs="Arial"/>
          <w:color w:val="5D6172"/>
          <w:sz w:val="21"/>
          <w:szCs w:val="21"/>
          <w:lang w:eastAsia="nl-NL"/>
        </w:rPr>
        <w:t>Deze blog gaat over Attention. Attention is aandacht voor de klant (de ander), aandacht voor jezelf en aandacht voor de zaak, het proces.</w:t>
      </w:r>
    </w:p>
    <w:p w:rsidR="00E5384C" w:rsidRPr="00E5384C" w:rsidRDefault="00E5384C" w:rsidP="00E5384C">
      <w:pPr>
        <w:spacing w:before="100" w:beforeAutospacing="1" w:after="100" w:afterAutospacing="1" w:line="420" w:lineRule="atLeast"/>
        <w:outlineLvl w:val="1"/>
        <w:rPr>
          <w:rFonts w:ascii="Arial" w:eastAsia="Times New Roman" w:hAnsi="Arial" w:cs="Arial"/>
          <w:b/>
          <w:bCs/>
          <w:color w:val="5D6172"/>
          <w:sz w:val="32"/>
          <w:szCs w:val="32"/>
          <w:lang w:eastAsia="nl-NL"/>
        </w:rPr>
      </w:pPr>
      <w:proofErr w:type="spellStart"/>
      <w:r w:rsidRPr="00E5384C">
        <w:rPr>
          <w:rFonts w:ascii="Arial" w:eastAsia="Times New Roman" w:hAnsi="Arial" w:cs="Arial"/>
          <w:b/>
          <w:bCs/>
          <w:color w:val="5D6172"/>
          <w:sz w:val="32"/>
          <w:szCs w:val="32"/>
          <w:lang w:eastAsia="nl-NL"/>
        </w:rPr>
        <w:t>Mindfulness</w:t>
      </w:r>
      <w:proofErr w:type="spellEnd"/>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 xml:space="preserve">Karl </w:t>
      </w:r>
      <w:proofErr w:type="spellStart"/>
      <w:r w:rsidRPr="00E5384C">
        <w:rPr>
          <w:rFonts w:ascii="Arial" w:eastAsia="Times New Roman" w:hAnsi="Arial" w:cs="Arial"/>
          <w:color w:val="5D6172"/>
          <w:sz w:val="21"/>
          <w:szCs w:val="21"/>
          <w:lang w:eastAsia="nl-NL"/>
        </w:rPr>
        <w:t>Weick</w:t>
      </w:r>
      <w:proofErr w:type="spellEnd"/>
      <w:r w:rsidRPr="00E5384C">
        <w:rPr>
          <w:rFonts w:ascii="Arial" w:eastAsia="Times New Roman" w:hAnsi="Arial" w:cs="Arial"/>
          <w:color w:val="5D6172"/>
          <w:sz w:val="21"/>
          <w:szCs w:val="21"/>
          <w:lang w:eastAsia="nl-NL"/>
        </w:rPr>
        <w:t xml:space="preserve"> noemt het </w:t>
      </w:r>
      <w:proofErr w:type="spellStart"/>
      <w:r w:rsidRPr="00E5384C">
        <w:rPr>
          <w:rFonts w:ascii="Arial" w:eastAsia="Times New Roman" w:hAnsi="Arial" w:cs="Arial"/>
          <w:color w:val="5D6172"/>
          <w:sz w:val="21"/>
          <w:szCs w:val="21"/>
          <w:lang w:eastAsia="nl-NL"/>
        </w:rPr>
        <w:t>mindfulness</w:t>
      </w:r>
      <w:proofErr w:type="spellEnd"/>
      <w:r w:rsidRPr="00E5384C">
        <w:rPr>
          <w:rFonts w:ascii="Arial" w:eastAsia="Times New Roman" w:hAnsi="Arial" w:cs="Arial"/>
          <w:color w:val="5D6172"/>
          <w:sz w:val="21"/>
          <w:szCs w:val="21"/>
          <w:lang w:eastAsia="nl-NL"/>
        </w:rPr>
        <w:t xml:space="preserve">. Mensen met aandacht kunnen effectiever functioneren in complexe taakomgevingen dan anderen (Karl </w:t>
      </w:r>
      <w:proofErr w:type="spellStart"/>
      <w:r w:rsidRPr="00E5384C">
        <w:rPr>
          <w:rFonts w:ascii="Arial" w:eastAsia="Times New Roman" w:hAnsi="Arial" w:cs="Arial"/>
          <w:color w:val="5D6172"/>
          <w:sz w:val="21"/>
          <w:szCs w:val="21"/>
          <w:lang w:eastAsia="nl-NL"/>
        </w:rPr>
        <w:t>Weick</w:t>
      </w:r>
      <w:proofErr w:type="spellEnd"/>
      <w:r w:rsidRPr="00E5384C">
        <w:rPr>
          <w:rFonts w:ascii="Arial" w:eastAsia="Times New Roman" w:hAnsi="Arial" w:cs="Arial"/>
          <w:color w:val="5D6172"/>
          <w:sz w:val="21"/>
          <w:szCs w:val="21"/>
          <w:lang w:eastAsia="nl-NL"/>
        </w:rPr>
        <w:t>, 2008: p.37).</w:t>
      </w:r>
    </w:p>
    <w:p w:rsidR="00E5384C" w:rsidRPr="00E5384C" w:rsidRDefault="00E5384C" w:rsidP="00E5384C">
      <w:pPr>
        <w:spacing w:after="345" w:line="345" w:lineRule="atLeast"/>
        <w:rPr>
          <w:rFonts w:ascii="Arial" w:eastAsia="Times New Roman" w:hAnsi="Arial" w:cs="Arial"/>
          <w:color w:val="5D6172"/>
          <w:sz w:val="21"/>
          <w:szCs w:val="21"/>
          <w:lang w:eastAsia="nl-NL"/>
        </w:rPr>
      </w:pPr>
      <w:hyperlink r:id="rId10" w:tgtFrame="_blank" w:history="1">
        <w:proofErr w:type="spellStart"/>
        <w:r w:rsidRPr="00E5384C">
          <w:rPr>
            <w:rFonts w:ascii="Arial" w:eastAsia="Times New Roman" w:hAnsi="Arial" w:cs="Arial"/>
            <w:color w:val="5D6172"/>
            <w:sz w:val="21"/>
            <w:szCs w:val="21"/>
            <w:lang w:eastAsia="nl-NL"/>
          </w:rPr>
          <w:t>Smartgovblog</w:t>
        </w:r>
        <w:proofErr w:type="spellEnd"/>
      </w:hyperlink>
      <w:r w:rsidRPr="00E5384C">
        <w:rPr>
          <w:rFonts w:ascii="Arial" w:eastAsia="Times New Roman" w:hAnsi="Arial" w:cs="Arial"/>
          <w:color w:val="5D6172"/>
          <w:sz w:val="21"/>
          <w:szCs w:val="21"/>
          <w:lang w:eastAsia="nl-NL"/>
        </w:rPr>
        <w:t xml:space="preserve"> beschrijft als volgt: “Een deel van de verklaring is dat ’</w:t>
      </w:r>
      <w:proofErr w:type="spellStart"/>
      <w:r w:rsidRPr="00E5384C">
        <w:rPr>
          <w:rFonts w:ascii="Arial" w:eastAsia="Times New Roman" w:hAnsi="Arial" w:cs="Arial"/>
          <w:color w:val="5D6172"/>
          <w:sz w:val="21"/>
          <w:szCs w:val="21"/>
          <w:lang w:eastAsia="nl-NL"/>
        </w:rPr>
        <w:t>mindful</w:t>
      </w:r>
      <w:proofErr w:type="spellEnd"/>
      <w:r w:rsidRPr="00E5384C">
        <w:rPr>
          <w:rFonts w:ascii="Arial" w:eastAsia="Times New Roman" w:hAnsi="Arial" w:cs="Arial"/>
          <w:color w:val="5D6172"/>
          <w:sz w:val="21"/>
          <w:szCs w:val="21"/>
          <w:lang w:eastAsia="nl-NL"/>
        </w:rPr>
        <w:t xml:space="preserve"> organisaties’ meer in het hier en nu zijn waardoor zij met een frisse blik naar de gebeurtenissen kijken”.</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lastRenderedPageBreak/>
        <w:t>En: “Een ander deel van de verklaring is dat het denken (geest) en het doen (lichaam) in ‘</w:t>
      </w:r>
      <w:proofErr w:type="spellStart"/>
      <w:r w:rsidRPr="00E5384C">
        <w:rPr>
          <w:rFonts w:ascii="Arial" w:eastAsia="Times New Roman" w:hAnsi="Arial" w:cs="Arial"/>
          <w:color w:val="5D6172"/>
          <w:sz w:val="21"/>
          <w:szCs w:val="21"/>
          <w:lang w:eastAsia="nl-NL"/>
        </w:rPr>
        <w:t>mindful</w:t>
      </w:r>
      <w:proofErr w:type="spellEnd"/>
      <w:r w:rsidRPr="00E5384C">
        <w:rPr>
          <w:rFonts w:ascii="Arial" w:eastAsia="Times New Roman" w:hAnsi="Arial" w:cs="Arial"/>
          <w:color w:val="5D6172"/>
          <w:sz w:val="21"/>
          <w:szCs w:val="21"/>
          <w:lang w:eastAsia="nl-NL"/>
        </w:rPr>
        <w:t xml:space="preserve"> organisaties’ meer een eenheid vormen, waardoor de reactiesnelheid toeneemt. Het gaat er hierbij onder meer om dat mensen zoveel mogelijk real time beslissingen nemen. Niet te veel plannen en structuren vooraf bedenken, maar de organisatie zo inrichten dat medewerkers kunnen en mogen reageren op wat er echt gebeurt”.</w:t>
      </w:r>
    </w:p>
    <w:p w:rsidR="00E5384C" w:rsidRPr="00E5384C" w:rsidRDefault="00E5384C" w:rsidP="00E5384C">
      <w:pPr>
        <w:spacing w:before="100" w:beforeAutospacing="1" w:after="100" w:afterAutospacing="1" w:line="420" w:lineRule="atLeast"/>
        <w:outlineLvl w:val="1"/>
        <w:rPr>
          <w:rFonts w:ascii="Arial" w:eastAsia="Times New Roman" w:hAnsi="Arial" w:cs="Arial"/>
          <w:b/>
          <w:bCs/>
          <w:color w:val="5D6172"/>
          <w:sz w:val="32"/>
          <w:szCs w:val="32"/>
          <w:lang w:eastAsia="nl-NL"/>
        </w:rPr>
      </w:pPr>
      <w:r w:rsidRPr="00E5384C">
        <w:rPr>
          <w:rFonts w:ascii="Arial" w:eastAsia="Times New Roman" w:hAnsi="Arial" w:cs="Arial"/>
          <w:b/>
          <w:bCs/>
          <w:color w:val="5D6172"/>
          <w:sz w:val="32"/>
          <w:szCs w:val="32"/>
          <w:lang w:eastAsia="nl-NL"/>
        </w:rPr>
        <w:t>Het gaat om focus</w:t>
      </w:r>
    </w:p>
    <w:p w:rsidR="00E5384C" w:rsidRPr="00E5384C" w:rsidRDefault="00E5384C" w:rsidP="00E5384C">
      <w:pPr>
        <w:pBdr>
          <w:top w:val="dotted" w:sz="6" w:space="15" w:color="AAAAAA"/>
          <w:bottom w:val="dotted" w:sz="6" w:space="15" w:color="AAAAAA"/>
        </w:pBdr>
        <w:spacing w:before="300" w:after="300" w:line="465" w:lineRule="atLeast"/>
        <w:ind w:left="300"/>
        <w:rPr>
          <w:rFonts w:ascii="Arial" w:eastAsia="Times New Roman" w:hAnsi="Arial" w:cs="Arial"/>
          <w:i/>
          <w:iCs/>
          <w:color w:val="5D6172"/>
          <w:sz w:val="30"/>
          <w:szCs w:val="30"/>
          <w:lang w:eastAsia="nl-NL"/>
        </w:rPr>
      </w:pPr>
      <w:r w:rsidRPr="00E5384C">
        <w:rPr>
          <w:rFonts w:ascii="Arial" w:eastAsia="Times New Roman" w:hAnsi="Arial" w:cs="Arial"/>
          <w:i/>
          <w:iCs/>
          <w:color w:val="5D6172"/>
          <w:sz w:val="30"/>
          <w:szCs w:val="30"/>
          <w:lang w:eastAsia="nl-NL"/>
        </w:rPr>
        <w:t>Hoe kunnen we de processen zo inrichten dat de klant verrukt is?</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Het klinkt wellicht velen te soft in de oren, maar uiteindelijk gaat het toch om FOCUS. Hoe kunnen we de processen zo inrichten dat de klant verrukt is, een ervaring meemaakt, die hij of zij niet meer vergeet, integendeel aan iedereen in de omgeving vertelt. Dat kan een externe, maar ook een interne klant zijn.</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 xml:space="preserve">Dat vraagt van mij dat ik </w:t>
      </w:r>
      <w:proofErr w:type="spellStart"/>
      <w:r w:rsidRPr="00E5384C">
        <w:rPr>
          <w:rFonts w:ascii="Arial" w:eastAsia="Times New Roman" w:hAnsi="Arial" w:cs="Arial"/>
          <w:color w:val="5D6172"/>
          <w:sz w:val="21"/>
          <w:szCs w:val="21"/>
          <w:lang w:eastAsia="nl-NL"/>
        </w:rPr>
        <w:t>vakvolwassen</w:t>
      </w:r>
      <w:proofErr w:type="spellEnd"/>
      <w:r w:rsidRPr="00E5384C">
        <w:rPr>
          <w:rFonts w:ascii="Arial" w:eastAsia="Times New Roman" w:hAnsi="Arial" w:cs="Arial"/>
          <w:color w:val="5D6172"/>
          <w:sz w:val="21"/>
          <w:szCs w:val="21"/>
          <w:lang w:eastAsia="nl-NL"/>
        </w:rPr>
        <w:t xml:space="preserve"> ben. Dat vraagt om helderheid ten aanzien van de </w:t>
      </w:r>
      <w:proofErr w:type="spellStart"/>
      <w:r w:rsidRPr="00E5384C">
        <w:rPr>
          <w:rFonts w:ascii="Arial" w:eastAsia="Times New Roman" w:hAnsi="Arial" w:cs="Arial"/>
          <w:color w:val="5D6172"/>
          <w:sz w:val="21"/>
          <w:szCs w:val="21"/>
          <w:lang w:eastAsia="nl-NL"/>
        </w:rPr>
        <w:t>purpose</w:t>
      </w:r>
      <w:proofErr w:type="spellEnd"/>
      <w:r w:rsidRPr="00E5384C">
        <w:rPr>
          <w:rFonts w:ascii="Arial" w:eastAsia="Times New Roman" w:hAnsi="Arial" w:cs="Arial"/>
          <w:color w:val="5D6172"/>
          <w:sz w:val="21"/>
          <w:szCs w:val="21"/>
          <w:lang w:eastAsia="nl-NL"/>
        </w:rPr>
        <w:t xml:space="preserve">, om het geven van autonomie en vertrouwen aan medewerkers om zelf beslissingen te nemen en om medewerkers die hun professie beheersen. Dan Pink noemt dat in zijn presentatie de drie belangrijkste </w:t>
      </w:r>
      <w:proofErr w:type="spellStart"/>
      <w:r w:rsidRPr="00E5384C">
        <w:rPr>
          <w:rFonts w:ascii="Arial" w:eastAsia="Times New Roman" w:hAnsi="Arial" w:cs="Arial"/>
          <w:color w:val="5D6172"/>
          <w:sz w:val="21"/>
          <w:szCs w:val="21"/>
          <w:lang w:eastAsia="nl-NL"/>
        </w:rPr>
        <w:t>motivatoren</w:t>
      </w:r>
      <w:proofErr w:type="spellEnd"/>
      <w:r w:rsidRPr="00E5384C">
        <w:rPr>
          <w:rFonts w:ascii="Arial" w:eastAsia="Times New Roman" w:hAnsi="Arial" w:cs="Arial"/>
          <w:color w:val="5D6172"/>
          <w:sz w:val="21"/>
          <w:szCs w:val="21"/>
          <w:lang w:eastAsia="nl-NL"/>
        </w:rPr>
        <w:t xml:space="preserve"> van mensen.</w:t>
      </w:r>
    </w:p>
    <w:p w:rsidR="00E5384C" w:rsidRPr="00E5384C" w:rsidRDefault="00E5384C" w:rsidP="00E5384C">
      <w:pPr>
        <w:spacing w:after="345" w:line="345" w:lineRule="atLeast"/>
        <w:rPr>
          <w:rFonts w:ascii="Arial" w:eastAsia="Times New Roman" w:hAnsi="Arial" w:cs="Arial"/>
          <w:color w:val="5D6172"/>
          <w:sz w:val="21"/>
          <w:szCs w:val="21"/>
          <w:lang w:eastAsia="nl-NL"/>
        </w:rPr>
      </w:pPr>
      <w:r w:rsidRPr="00E5384C">
        <w:rPr>
          <w:rFonts w:ascii="Arial" w:eastAsia="Times New Roman" w:hAnsi="Arial" w:cs="Arial"/>
          <w:color w:val="5D6172"/>
          <w:sz w:val="21"/>
          <w:szCs w:val="21"/>
          <w:lang w:eastAsia="nl-NL"/>
        </w:rPr>
        <w:t xml:space="preserve">Aandacht voor mij en mijn passie, voor mijn </w:t>
      </w:r>
      <w:proofErr w:type="spellStart"/>
      <w:r w:rsidRPr="00E5384C">
        <w:rPr>
          <w:rFonts w:ascii="Arial" w:eastAsia="Times New Roman" w:hAnsi="Arial" w:cs="Arial"/>
          <w:color w:val="5D6172"/>
          <w:sz w:val="21"/>
          <w:szCs w:val="21"/>
          <w:lang w:eastAsia="nl-NL"/>
        </w:rPr>
        <w:t>vakvolwassenheid</w:t>
      </w:r>
      <w:proofErr w:type="spellEnd"/>
      <w:r w:rsidRPr="00E5384C">
        <w:rPr>
          <w:rFonts w:ascii="Arial" w:eastAsia="Times New Roman" w:hAnsi="Arial" w:cs="Arial"/>
          <w:color w:val="5D6172"/>
          <w:sz w:val="21"/>
          <w:szCs w:val="21"/>
          <w:lang w:eastAsia="nl-NL"/>
        </w:rPr>
        <w:t>; voor de klant en voor de processen creëren de flexibiliteit die nodig is.</w:t>
      </w:r>
    </w:p>
    <w:p w:rsidR="00E5384C" w:rsidRPr="00E5384C" w:rsidRDefault="00E5384C" w:rsidP="00E5384C">
      <w:pPr>
        <w:spacing w:after="345" w:line="345" w:lineRule="atLeast"/>
        <w:rPr>
          <w:rFonts w:ascii="Arial" w:eastAsia="Times New Roman" w:hAnsi="Arial" w:cs="Arial"/>
          <w:color w:val="5D6172"/>
          <w:sz w:val="21"/>
          <w:szCs w:val="21"/>
          <w:lang w:val="en-GB" w:eastAsia="nl-NL"/>
        </w:rPr>
      </w:pPr>
      <w:proofErr w:type="spellStart"/>
      <w:r w:rsidRPr="00E5384C">
        <w:rPr>
          <w:rFonts w:ascii="Arial" w:eastAsia="Times New Roman" w:hAnsi="Arial" w:cs="Arial"/>
          <w:i/>
          <w:iCs/>
          <w:color w:val="5D6172"/>
          <w:sz w:val="21"/>
          <w:szCs w:val="21"/>
          <w:lang w:val="en-GB" w:eastAsia="nl-NL"/>
        </w:rPr>
        <w:t>Weick</w:t>
      </w:r>
      <w:proofErr w:type="spellEnd"/>
      <w:r w:rsidRPr="00E5384C">
        <w:rPr>
          <w:rFonts w:ascii="Arial" w:eastAsia="Times New Roman" w:hAnsi="Arial" w:cs="Arial"/>
          <w:i/>
          <w:iCs/>
          <w:color w:val="5D6172"/>
          <w:sz w:val="21"/>
          <w:szCs w:val="21"/>
          <w:lang w:val="en-GB" w:eastAsia="nl-NL"/>
        </w:rPr>
        <w:t xml:space="preserve">, Karl E., Sutcliffe, Kathleen M. and </w:t>
      </w:r>
      <w:proofErr w:type="spellStart"/>
      <w:r w:rsidRPr="00E5384C">
        <w:rPr>
          <w:rFonts w:ascii="Arial" w:eastAsia="Times New Roman" w:hAnsi="Arial" w:cs="Arial"/>
          <w:i/>
          <w:iCs/>
          <w:color w:val="5D6172"/>
          <w:sz w:val="21"/>
          <w:szCs w:val="21"/>
          <w:lang w:val="en-GB" w:eastAsia="nl-NL"/>
        </w:rPr>
        <w:t>Obstfeld</w:t>
      </w:r>
      <w:proofErr w:type="spellEnd"/>
      <w:r w:rsidRPr="00E5384C">
        <w:rPr>
          <w:rFonts w:ascii="Arial" w:eastAsia="Times New Roman" w:hAnsi="Arial" w:cs="Arial"/>
          <w:i/>
          <w:iCs/>
          <w:color w:val="5D6172"/>
          <w:sz w:val="21"/>
          <w:szCs w:val="21"/>
          <w:lang w:val="en-GB" w:eastAsia="nl-NL"/>
        </w:rPr>
        <w:t xml:space="preserve">, David, Organizing for High Reliability: Processes of Collective Mindfulness, pp. 31 – 66, in Crisis Management Volume III, editor </w:t>
      </w:r>
      <w:proofErr w:type="spellStart"/>
      <w:r w:rsidRPr="00E5384C">
        <w:rPr>
          <w:rFonts w:ascii="Arial" w:eastAsia="Times New Roman" w:hAnsi="Arial" w:cs="Arial"/>
          <w:i/>
          <w:iCs/>
          <w:color w:val="5D6172"/>
          <w:sz w:val="21"/>
          <w:szCs w:val="21"/>
          <w:lang w:val="en-GB" w:eastAsia="nl-NL"/>
        </w:rPr>
        <w:t>Arjen</w:t>
      </w:r>
      <w:proofErr w:type="spellEnd"/>
      <w:r w:rsidRPr="00E5384C">
        <w:rPr>
          <w:rFonts w:ascii="Arial" w:eastAsia="Times New Roman" w:hAnsi="Arial" w:cs="Arial"/>
          <w:i/>
          <w:iCs/>
          <w:color w:val="5D6172"/>
          <w:sz w:val="21"/>
          <w:szCs w:val="21"/>
          <w:lang w:val="en-GB" w:eastAsia="nl-NL"/>
        </w:rPr>
        <w:t xml:space="preserve"> </w:t>
      </w:r>
      <w:proofErr w:type="spellStart"/>
      <w:r w:rsidRPr="00E5384C">
        <w:rPr>
          <w:rFonts w:ascii="Arial" w:eastAsia="Times New Roman" w:hAnsi="Arial" w:cs="Arial"/>
          <w:i/>
          <w:iCs/>
          <w:color w:val="5D6172"/>
          <w:sz w:val="21"/>
          <w:szCs w:val="21"/>
          <w:lang w:val="en-GB" w:eastAsia="nl-NL"/>
        </w:rPr>
        <w:t>Boin</w:t>
      </w:r>
      <w:proofErr w:type="spellEnd"/>
      <w:r w:rsidRPr="00E5384C">
        <w:rPr>
          <w:rFonts w:ascii="Arial" w:eastAsia="Times New Roman" w:hAnsi="Arial" w:cs="Arial"/>
          <w:i/>
          <w:iCs/>
          <w:color w:val="5D6172"/>
          <w:sz w:val="21"/>
          <w:szCs w:val="21"/>
          <w:lang w:val="en-GB" w:eastAsia="nl-NL"/>
        </w:rPr>
        <w:t>, Sage, 2008.</w:t>
      </w:r>
    </w:p>
    <w:p w:rsidR="00E5384C" w:rsidRPr="00E5384C" w:rsidRDefault="00E5384C">
      <w:pPr>
        <w:rPr>
          <w:rFonts w:ascii="Arial" w:hAnsi="Arial" w:cs="Arial"/>
          <w:sz w:val="20"/>
          <w:szCs w:val="20"/>
          <w:lang w:val="en-GB"/>
        </w:rPr>
      </w:pPr>
      <w:bookmarkStart w:id="0" w:name="_GoBack"/>
      <w:bookmarkEnd w:id="0"/>
    </w:p>
    <w:sectPr w:rsidR="00E5384C" w:rsidRPr="00E53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24F0F"/>
    <w:multiLevelType w:val="multilevel"/>
    <w:tmpl w:val="7F98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4C"/>
    <w:rsid w:val="00A05C95"/>
    <w:rsid w:val="00D57803"/>
    <w:rsid w:val="00E53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8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8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86320436">
          <w:marLeft w:val="0"/>
          <w:marRight w:val="0"/>
          <w:marTop w:val="0"/>
          <w:marBottom w:val="0"/>
          <w:divBdr>
            <w:top w:val="none" w:sz="0" w:space="0" w:color="auto"/>
            <w:left w:val="none" w:sz="0" w:space="0" w:color="auto"/>
            <w:bottom w:val="none" w:sz="0" w:space="0" w:color="auto"/>
            <w:right w:val="none" w:sz="0" w:space="0" w:color="auto"/>
          </w:divBdr>
          <w:divsChild>
            <w:div w:id="1083799923">
              <w:marLeft w:val="0"/>
              <w:marRight w:val="0"/>
              <w:marTop w:val="0"/>
              <w:marBottom w:val="0"/>
              <w:divBdr>
                <w:top w:val="none" w:sz="0" w:space="0" w:color="auto"/>
                <w:left w:val="none" w:sz="0" w:space="0" w:color="auto"/>
                <w:bottom w:val="none" w:sz="0" w:space="0" w:color="auto"/>
                <w:right w:val="none" w:sz="0" w:space="0" w:color="auto"/>
              </w:divBdr>
              <w:divsChild>
                <w:div w:id="927344918">
                  <w:marLeft w:val="0"/>
                  <w:marRight w:val="0"/>
                  <w:marTop w:val="0"/>
                  <w:marBottom w:val="0"/>
                  <w:divBdr>
                    <w:top w:val="none" w:sz="0" w:space="0" w:color="auto"/>
                    <w:left w:val="none" w:sz="0" w:space="0" w:color="auto"/>
                    <w:bottom w:val="none" w:sz="0" w:space="0" w:color="auto"/>
                    <w:right w:val="none" w:sz="0" w:space="0" w:color="auto"/>
                  </w:divBdr>
                  <w:divsChild>
                    <w:div w:id="1449928765">
                      <w:marLeft w:val="0"/>
                      <w:marRight w:val="0"/>
                      <w:marTop w:val="0"/>
                      <w:marBottom w:val="0"/>
                      <w:divBdr>
                        <w:top w:val="none" w:sz="0" w:space="0" w:color="auto"/>
                        <w:left w:val="none" w:sz="0" w:space="0" w:color="auto"/>
                        <w:bottom w:val="none" w:sz="0" w:space="0" w:color="auto"/>
                        <w:right w:val="none" w:sz="0" w:space="0" w:color="auto"/>
                      </w:divBdr>
                      <w:divsChild>
                        <w:div w:id="377362733">
                          <w:marLeft w:val="0"/>
                          <w:marRight w:val="0"/>
                          <w:marTop w:val="0"/>
                          <w:marBottom w:val="0"/>
                          <w:divBdr>
                            <w:top w:val="none" w:sz="0" w:space="0" w:color="auto"/>
                            <w:left w:val="none" w:sz="0" w:space="0" w:color="auto"/>
                            <w:bottom w:val="none" w:sz="0" w:space="0" w:color="auto"/>
                            <w:right w:val="none" w:sz="0" w:space="0" w:color="auto"/>
                          </w:divBdr>
                          <w:divsChild>
                            <w:div w:id="4476914">
                              <w:marLeft w:val="0"/>
                              <w:marRight w:val="0"/>
                              <w:marTop w:val="0"/>
                              <w:marBottom w:val="0"/>
                              <w:divBdr>
                                <w:top w:val="none" w:sz="0" w:space="0" w:color="auto"/>
                                <w:left w:val="none" w:sz="0" w:space="0" w:color="auto"/>
                                <w:bottom w:val="none" w:sz="0" w:space="0" w:color="auto"/>
                                <w:right w:val="none" w:sz="0" w:space="0" w:color="auto"/>
                              </w:divBdr>
                              <w:divsChild>
                                <w:div w:id="439183484">
                                  <w:marLeft w:val="0"/>
                                  <w:marRight w:val="0"/>
                                  <w:marTop w:val="0"/>
                                  <w:marBottom w:val="0"/>
                                  <w:divBdr>
                                    <w:top w:val="none" w:sz="0" w:space="0" w:color="auto"/>
                                    <w:left w:val="none" w:sz="0" w:space="0" w:color="auto"/>
                                    <w:bottom w:val="none" w:sz="0" w:space="0" w:color="auto"/>
                                    <w:right w:val="none" w:sz="0" w:space="0" w:color="auto"/>
                                  </w:divBdr>
                                  <w:divsChild>
                                    <w:div w:id="1191334575">
                                      <w:marLeft w:val="0"/>
                                      <w:marRight w:val="0"/>
                                      <w:marTop w:val="0"/>
                                      <w:marBottom w:val="0"/>
                                      <w:divBdr>
                                        <w:top w:val="none" w:sz="0" w:space="0" w:color="auto"/>
                                        <w:left w:val="none" w:sz="0" w:space="0" w:color="auto"/>
                                        <w:bottom w:val="none" w:sz="0" w:space="0" w:color="auto"/>
                                        <w:right w:val="none" w:sz="0" w:space="0" w:color="auto"/>
                                      </w:divBdr>
                                      <w:divsChild>
                                        <w:div w:id="2061854534">
                                          <w:marLeft w:val="0"/>
                                          <w:marRight w:val="0"/>
                                          <w:marTop w:val="0"/>
                                          <w:marBottom w:val="0"/>
                                          <w:divBdr>
                                            <w:top w:val="none" w:sz="0" w:space="0" w:color="auto"/>
                                            <w:left w:val="none" w:sz="0" w:space="0" w:color="auto"/>
                                            <w:bottom w:val="none" w:sz="0" w:space="0" w:color="auto"/>
                                            <w:right w:val="none" w:sz="0" w:space="0" w:color="auto"/>
                                          </w:divBdr>
                                          <w:divsChild>
                                            <w:div w:id="1395196171">
                                              <w:marLeft w:val="0"/>
                                              <w:marRight w:val="0"/>
                                              <w:marTop w:val="0"/>
                                              <w:marBottom w:val="0"/>
                                              <w:divBdr>
                                                <w:top w:val="none" w:sz="0" w:space="0" w:color="auto"/>
                                                <w:left w:val="none" w:sz="0" w:space="0" w:color="auto"/>
                                                <w:bottom w:val="none" w:sz="0" w:space="0" w:color="auto"/>
                                                <w:right w:val="none" w:sz="0" w:space="0" w:color="auto"/>
                                              </w:divBdr>
                                              <w:divsChild>
                                                <w:div w:id="10950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0443">
                                          <w:marLeft w:val="0"/>
                                          <w:marRight w:val="0"/>
                                          <w:marTop w:val="0"/>
                                          <w:marBottom w:val="0"/>
                                          <w:divBdr>
                                            <w:top w:val="none" w:sz="0" w:space="0" w:color="auto"/>
                                            <w:left w:val="none" w:sz="0" w:space="0" w:color="auto"/>
                                            <w:bottom w:val="none" w:sz="0" w:space="0" w:color="auto"/>
                                            <w:right w:val="none" w:sz="0" w:space="0" w:color="auto"/>
                                          </w:divBdr>
                                          <w:divsChild>
                                            <w:div w:id="177038917">
                                              <w:marLeft w:val="0"/>
                                              <w:marRight w:val="0"/>
                                              <w:marTop w:val="0"/>
                                              <w:marBottom w:val="0"/>
                                              <w:divBdr>
                                                <w:top w:val="none" w:sz="0" w:space="0" w:color="auto"/>
                                                <w:left w:val="none" w:sz="0" w:space="0" w:color="auto"/>
                                                <w:bottom w:val="none" w:sz="0" w:space="0" w:color="auto"/>
                                                <w:right w:val="none" w:sz="0" w:space="0" w:color="auto"/>
                                              </w:divBdr>
                                              <w:divsChild>
                                                <w:div w:id="746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winta.be/nieuws/de-mythe-van-de-pdca-accra"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winta.be/gebruiker/everard-van-kemena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rtgovblog.com/2013/12/15/organisatietrend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Kemenade,Everard E.A. van</dc:creator>
  <cp:lastModifiedBy>Kemenade,Everard E.A. van</cp:lastModifiedBy>
  <cp:revision>1</cp:revision>
  <dcterms:created xsi:type="dcterms:W3CDTF">2014-05-26T09:17:00Z</dcterms:created>
  <dcterms:modified xsi:type="dcterms:W3CDTF">2014-05-26T09:18:00Z</dcterms:modified>
</cp:coreProperties>
</file>