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9252C" w14:textId="0903074D" w:rsidR="00E55D7B" w:rsidRDefault="007E05B0" w:rsidP="00E55D7B">
      <w:pPr>
        <w:pStyle w:val="Kop2"/>
      </w:pPr>
      <w:bookmarkStart w:id="0" w:name="_GoBack"/>
      <w:bookmarkEnd w:id="0"/>
      <w:r>
        <w:t xml:space="preserve">Bijlage </w:t>
      </w:r>
      <w:r w:rsidR="004C6BA0">
        <w:t>02</w:t>
      </w:r>
      <w:r>
        <w:tab/>
        <w:t>Aanvullende analyse</w:t>
      </w:r>
    </w:p>
    <w:p w14:paraId="6603C0E1" w14:textId="1961F8A5" w:rsidR="009470CB" w:rsidRDefault="0052033F" w:rsidP="00E55D7B">
      <w:pPr>
        <w:pStyle w:val="Geenafstand"/>
      </w:pPr>
      <w:r>
        <w:t>De uitgevoerde analyse levert meer indicatoren op da</w:t>
      </w:r>
      <w:r w:rsidR="00A66B21">
        <w:t>n zijn verwerkt tot eis. Om</w:t>
      </w:r>
      <w:r>
        <w:t xml:space="preserve"> een zo compleet mogelijk beeld te schetsen van de complexiteit die speelt rondom de realisatie van de STII is onderstaande bijlage opgezet. Hierin worden onder meer de (mogelijke) invloed van de vorm, structuur en functie van de calcaneus toegelicht</w:t>
      </w:r>
      <w:r w:rsidR="00A66B21">
        <w:t xml:space="preserve"> e</w:t>
      </w:r>
      <w:r w:rsidR="009470CB">
        <w:t>n wat de neutrale driehoek m</w:t>
      </w:r>
      <w:r w:rsidR="004D02A1">
        <w:t>ogelijk voor invloed heeft op</w:t>
      </w:r>
      <w:r w:rsidR="009470CB">
        <w:t xml:space="preserve"> het fractuurverloop door middel van een krachtenanalyse en onderzoek. Verder word</w:t>
      </w:r>
      <w:r w:rsidR="00EF5543">
        <w:t>t</w:t>
      </w:r>
      <w:r w:rsidR="009470CB">
        <w:t xml:space="preserve"> nog ingegaan op de werking van excentrische contractie en lichaamshouding bij het landen.</w:t>
      </w:r>
    </w:p>
    <w:p w14:paraId="390B64E9" w14:textId="77777777" w:rsidR="0052033F" w:rsidRPr="006F4414" w:rsidRDefault="0052033F" w:rsidP="00E55D7B">
      <w:pPr>
        <w:pStyle w:val="Geenafstand"/>
      </w:pPr>
    </w:p>
    <w:p w14:paraId="052B0B13" w14:textId="77777777" w:rsidR="00E55D7B" w:rsidRPr="00AC7D79" w:rsidRDefault="00E55D7B" w:rsidP="00E55D7B">
      <w:pPr>
        <w:pStyle w:val="Kop4"/>
      </w:pPr>
      <w:r>
        <w:t>Vorm, structuur en functie van de calcaneus</w:t>
      </w:r>
    </w:p>
    <w:p w14:paraId="5F5495DE" w14:textId="77777777" w:rsidR="00E55D7B" w:rsidRDefault="009470CB" w:rsidP="00E55D7B">
      <w:pPr>
        <w:pStyle w:val="Kop5"/>
        <w:ind w:firstLine="708"/>
      </w:pPr>
      <w:r>
        <w:rPr>
          <w:noProof/>
          <w:lang w:val="en-US" w:eastAsia="en-US"/>
        </w:rPr>
        <w:drawing>
          <wp:anchor distT="0" distB="0" distL="114300" distR="114300" simplePos="0" relativeHeight="251659264" behindDoc="0" locked="0" layoutInCell="1" allowOverlap="1" wp14:anchorId="3E741366" wp14:editId="0618FD4F">
            <wp:simplePos x="0" y="0"/>
            <wp:positionH relativeFrom="margin">
              <wp:posOffset>2857500</wp:posOffset>
            </wp:positionH>
            <wp:positionV relativeFrom="margin">
              <wp:posOffset>2286000</wp:posOffset>
            </wp:positionV>
            <wp:extent cx="2819400" cy="2333625"/>
            <wp:effectExtent l="0" t="0" r="0" b="3175"/>
            <wp:wrapSquare wrapText="bothSides"/>
            <wp:docPr id="1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333625"/>
                    </a:xfrm>
                    <a:prstGeom prst="rect">
                      <a:avLst/>
                    </a:prstGeom>
                    <a:noFill/>
                    <a:ln>
                      <a:noFill/>
                    </a:ln>
                  </pic:spPr>
                </pic:pic>
              </a:graphicData>
            </a:graphic>
          </wp:anchor>
        </w:drawing>
      </w:r>
      <w:r w:rsidR="00E55D7B">
        <w:t>Opbouw en structuur</w:t>
      </w:r>
    </w:p>
    <w:p w14:paraId="4B0647CE" w14:textId="75A06438" w:rsidR="00E55D7B" w:rsidRPr="00A43DAF" w:rsidRDefault="00E55D7B" w:rsidP="00E55D7B">
      <w:pPr>
        <w:pStyle w:val="Geenafstand"/>
      </w:pPr>
      <w:r w:rsidRPr="00A43DAF">
        <w:t>De calcaneus is opgebouwd met een buiten</w:t>
      </w:r>
      <w:r w:rsidR="004D02A1">
        <w:t>-</w:t>
      </w:r>
      <w:r w:rsidRPr="00A43DAF">
        <w:t xml:space="preserve"> laag bestaande uit com</w:t>
      </w:r>
      <w:r w:rsidR="004D02A1">
        <w:t>pacta</w:t>
      </w:r>
      <w:r w:rsidR="00EF5543">
        <w:t xml:space="preserve"> </w:t>
      </w:r>
      <w:r w:rsidR="004D02A1">
        <w:t xml:space="preserve">(massief bot). Deze buitenste </w:t>
      </w:r>
      <w:r w:rsidRPr="00A43DAF">
        <w:t>laag heeft een variabele dikte, ontstaan ten gevolge van de inwerkende compressiekrachten. Bijvoorbeeld direct onder de facies posterior we</w:t>
      </w:r>
      <w:r w:rsidR="00EF5543">
        <w:t>rkt een grote compressiekracht. D</w:t>
      </w:r>
      <w:r w:rsidRPr="00A43DAF">
        <w:t xml:space="preserve">e massieve laag bot is daarom verdikt om deze krachten goed te kunnen verdelen. In afbeelding 7 is deze verdikking aangegeven tussen de twee omhoog wijzende pijltjes, te zien aan de wittere kleur. </w:t>
      </w:r>
      <w:sdt>
        <w:sdtPr>
          <w:id w:val="-538592707"/>
          <w:citation/>
        </w:sdtPr>
        <w:sdtEndPr/>
        <w:sdtContent>
          <w:r w:rsidRPr="00A43DAF">
            <w:fldChar w:fldCharType="begin"/>
          </w:r>
          <w:r w:rsidRPr="00A43DAF">
            <w:instrText xml:space="preserve">CITATION KBa11 \l 1043 </w:instrText>
          </w:r>
          <w:r w:rsidRPr="00A43DAF">
            <w:fldChar w:fldCharType="separate"/>
          </w:r>
          <w:r>
            <w:rPr>
              <w:noProof/>
            </w:rPr>
            <w:t>(K. Badillo 2011)</w:t>
          </w:r>
          <w:r w:rsidRPr="00A43DAF">
            <w:fldChar w:fldCharType="end"/>
          </w:r>
        </w:sdtContent>
      </w:sdt>
    </w:p>
    <w:p w14:paraId="4AFD81BA" w14:textId="59CCCE7E" w:rsidR="00E55D7B" w:rsidRPr="00A43DAF" w:rsidRDefault="00E55D7B" w:rsidP="00E55D7B">
      <w:pPr>
        <w:pStyle w:val="Geenafstand"/>
      </w:pPr>
      <w:r>
        <w:rPr>
          <w:noProof/>
          <w:lang w:val="en-US" w:eastAsia="en-US"/>
        </w:rPr>
        <mc:AlternateContent>
          <mc:Choice Requires="wps">
            <w:drawing>
              <wp:anchor distT="0" distB="0" distL="114300" distR="114300" simplePos="0" relativeHeight="251660288" behindDoc="0" locked="0" layoutInCell="1" allowOverlap="1" wp14:anchorId="07BA7D98" wp14:editId="1870E50C">
                <wp:simplePos x="0" y="0"/>
                <wp:positionH relativeFrom="column">
                  <wp:posOffset>2857500</wp:posOffset>
                </wp:positionH>
                <wp:positionV relativeFrom="paragraph">
                  <wp:posOffset>121920</wp:posOffset>
                </wp:positionV>
                <wp:extent cx="2819400" cy="796925"/>
                <wp:effectExtent l="0" t="0" r="0" b="0"/>
                <wp:wrapSquare wrapText="bothSides"/>
                <wp:docPr id="19" name="Tekstvak 19"/>
                <wp:cNvGraphicFramePr/>
                <a:graphic xmlns:a="http://schemas.openxmlformats.org/drawingml/2006/main">
                  <a:graphicData uri="http://schemas.microsoft.com/office/word/2010/wordprocessingShape">
                    <wps:wsp>
                      <wps:cNvSpPr txBox="1"/>
                      <wps:spPr>
                        <a:xfrm>
                          <a:off x="0" y="0"/>
                          <a:ext cx="2819400" cy="79692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A81105" w14:textId="548CEB66" w:rsidR="00185A23" w:rsidRPr="00DA38CE" w:rsidRDefault="00185A23" w:rsidP="00E55D7B">
                            <w:pPr>
                              <w:pStyle w:val="Bijschrift"/>
                              <w:rPr>
                                <w:noProof/>
                                <w:lang w:val="en-US"/>
                              </w:rPr>
                            </w:pPr>
                            <w:r>
                              <w:t xml:space="preserve">Röntgen van de rechter voet, mediaal aanzicht. T=Talus; L = Laterale processus; Pijltjes= Facies posterior; Parallel strepen wit= compressie belastbaargebied; Parallel zwarte strepen= rek belastbaar gebied. </w:t>
                            </w:r>
                            <w:sdt>
                              <w:sdtPr>
                                <w:id w:val="334033824"/>
                                <w:citation/>
                              </w:sdtPr>
                              <w:sdtEndPr/>
                              <w:sdtContent>
                                <w:r>
                                  <w:fldChar w:fldCharType="begin"/>
                                </w:r>
                                <w:r>
                                  <w:rPr>
                                    <w:rFonts w:ascii="Times New Roman" w:hAnsi="Times New Roman"/>
                                  </w:rPr>
                                  <w:instrText xml:space="preserve"> CITATION KBa11 \l 1043 </w:instrText>
                                </w:r>
                                <w:r>
                                  <w:fldChar w:fldCharType="separate"/>
                                </w:r>
                                <w:r w:rsidRPr="00F30265">
                                  <w:rPr>
                                    <w:rFonts w:ascii="Times New Roman" w:hAnsi="Times New Roman"/>
                                    <w:noProof/>
                                  </w:rPr>
                                  <w:t>(K. Badillo, 2011)</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7BA7D98" id="_x0000_t202" coordsize="21600,21600" o:spt="202" path="m,l,21600r21600,l21600,xe">
                <v:stroke joinstyle="miter"/>
                <v:path gradientshapeok="t" o:connecttype="rect"/>
              </v:shapetype>
              <v:shape id="Tekstvak 19" o:spid="_x0000_s1026" type="#_x0000_t202" style="position:absolute;margin-left:225pt;margin-top:9.6pt;width:222pt;height:6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" stroked="f">
                <v:textbox style="mso-fit-shape-to-text:t" inset="0,0,0,0">
                  <w:txbxContent>
                    <w:p w14:paraId="50A81105" w14:textId="548CEB66" w:rsidR="00185A23" w:rsidRPr="00DA38CE" w:rsidRDefault="00185A23" w:rsidP="00E55D7B">
                      <w:pPr>
                        <w:pStyle w:val="Bijschrift"/>
                        <w:rPr>
                          <w:noProof/>
                          <w:lang w:val="en-US"/>
                        </w:rPr>
                      </w:pPr>
                      <w:r>
                        <w:t xml:space="preserve">Röntgen van de rechter voet, mediaal aanzicht. T=Talus; L = Laterale processus; Pijltjes= Facies posterior; Parallel strepen wit= compressie belastbaargebied; Parallel zwarte strepen= rek belastbaar gebied. </w:t>
                      </w:r>
                      <w:sdt>
                        <w:sdtPr>
                          <w:id w:val="334033824"/>
                          <w:citation/>
                        </w:sdtPr>
                        <w:sdtEndPr/>
                        <w:sdtContent>
                          <w:r>
                            <w:fldChar w:fldCharType="begin"/>
                          </w:r>
                          <w:r>
                            <w:rPr>
                              <w:rFonts w:ascii="Times New Roman" w:hAnsi="Times New Roman"/>
                            </w:rPr>
                            <w:instrText xml:space="preserve"> CITATION KBa11 \l 1043 </w:instrText>
                          </w:r>
                          <w:r>
                            <w:fldChar w:fldCharType="separate"/>
                          </w:r>
                          <w:r w:rsidRPr="00F30265">
                            <w:rPr>
                              <w:rFonts w:ascii="Times New Roman" w:hAnsi="Times New Roman"/>
                              <w:noProof/>
                            </w:rPr>
                            <w:t>(K. Badillo, 2011)</w:t>
                          </w:r>
                          <w:r>
                            <w:fldChar w:fldCharType="end"/>
                          </w:r>
                        </w:sdtContent>
                      </w:sdt>
                    </w:p>
                  </w:txbxContent>
                </v:textbox>
                <w10:wrap type="square"/>
              </v:shape>
            </w:pict>
          </mc:Fallback>
        </mc:AlternateContent>
      </w:r>
      <w:r w:rsidRPr="00A43DAF">
        <w:t>Het binnenste van de calcaneus bestaat uit spongiosa</w:t>
      </w:r>
      <w:r w:rsidR="004D02A1">
        <w:t xml:space="preserve"> </w:t>
      </w:r>
      <w:r w:rsidRPr="00A43DAF">
        <w:t>(sponzig bot). Dit sponzige bot is gerangschikt om, zo efficiënt mogelijk en met een beperkte massa, aan inwerkende compressiekrachten te vo</w:t>
      </w:r>
      <w:r w:rsidRPr="004D02A1">
        <w:t xml:space="preserve">ldoen. </w:t>
      </w:r>
      <w:sdt>
        <w:sdtPr>
          <w:id w:val="2128728425"/>
          <w:citation/>
        </w:sdtPr>
        <w:sdtEndPr/>
        <w:sdtContent>
          <w:r w:rsidR="004D02A1" w:rsidRPr="004D02A1">
            <w:fldChar w:fldCharType="begin"/>
          </w:r>
          <w:r w:rsidR="004D02A1" w:rsidRPr="004D02A1">
            <w:rPr>
              <w:rFonts w:ascii="Times New Roman" w:hAnsi="Times New Roman"/>
            </w:rPr>
            <w:instrText xml:space="preserve"> CITATION DeM \l 1043 </w:instrText>
          </w:r>
          <w:r w:rsidR="004D02A1" w:rsidRPr="004D02A1">
            <w:fldChar w:fldCharType="separate"/>
          </w:r>
          <w:r w:rsidR="004D02A1" w:rsidRPr="004D02A1">
            <w:rPr>
              <w:rFonts w:ascii="Times New Roman" w:hAnsi="Times New Roman"/>
              <w:noProof/>
            </w:rPr>
            <w:t>(De Morree 2008)</w:t>
          </w:r>
          <w:r w:rsidR="004D02A1" w:rsidRPr="004D02A1">
            <w:fldChar w:fldCharType="end"/>
          </w:r>
        </w:sdtContent>
      </w:sdt>
    </w:p>
    <w:p w14:paraId="7A6698E1" w14:textId="77777777" w:rsidR="00E55D7B" w:rsidRPr="002C6FF1" w:rsidRDefault="00E55D7B" w:rsidP="00E55D7B">
      <w:pPr>
        <w:pStyle w:val="Kop5"/>
        <w:ind w:firstLine="708"/>
      </w:pPr>
      <w:r>
        <w:t>Compressie en rek belastbare structuur.</w:t>
      </w:r>
    </w:p>
    <w:p w14:paraId="4D03E78C" w14:textId="02813648" w:rsidR="00E55D7B" w:rsidRPr="004D02A1" w:rsidRDefault="00E55D7B" w:rsidP="00E55D7B">
      <w:pPr>
        <w:pStyle w:val="Geenafstand"/>
      </w:pPr>
      <w:r w:rsidRPr="00A43DAF">
        <w:t xml:space="preserve">Binnen de calcaneus zijn delen die meer gespecialiseerd zijn in verschillende </w:t>
      </w:r>
      <w:r w:rsidR="004D02A1">
        <w:t>types belasting</w:t>
      </w:r>
      <w:r w:rsidRPr="00A43DAF">
        <w:t xml:space="preserve">. Hier is de rangschikking van spongiosa meer gericht op het </w:t>
      </w:r>
      <w:r w:rsidR="004D02A1">
        <w:t>verwerken van compressie of rek</w:t>
      </w:r>
      <w:r w:rsidRPr="00A43DAF">
        <w:t>belasting. Zo is het gebied aangegeven met de d</w:t>
      </w:r>
      <w:r w:rsidR="004D02A1">
        <w:t>rie witte strepen in afbeelding 1</w:t>
      </w:r>
      <w:r w:rsidRPr="00A43DAF">
        <w:t xml:space="preserve"> meer gerangschikt voor belasting in de vorm van compressie. Daarentegen is het gedeelte met de zwarte str</w:t>
      </w:r>
      <w:r w:rsidR="004D02A1">
        <w:t>epen meer gerangschikt voor rek</w:t>
      </w:r>
      <w:r w:rsidRPr="00A43DAF">
        <w:t xml:space="preserve">belasting </w:t>
      </w:r>
      <w:sdt>
        <w:sdtPr>
          <w:id w:val="-1474981433"/>
          <w:citation/>
        </w:sdtPr>
        <w:sdtEndPr/>
        <w:sdtContent>
          <w:r w:rsidRPr="00A43DAF">
            <w:fldChar w:fldCharType="begin"/>
          </w:r>
          <w:r w:rsidRPr="00A43DAF">
            <w:instrText xml:space="preserve">CITATION KBa11 \l 1043 </w:instrText>
          </w:r>
          <w:r w:rsidRPr="00A43DAF">
            <w:fldChar w:fldCharType="separate"/>
          </w:r>
          <w:r>
            <w:rPr>
              <w:noProof/>
            </w:rPr>
            <w:t>(K. Badillo 2011)</w:t>
          </w:r>
          <w:r w:rsidRPr="00A43DAF">
            <w:fldChar w:fldCharType="end"/>
          </w:r>
        </w:sdtContent>
      </w:sdt>
      <w:r w:rsidRPr="00A43DAF">
        <w:t>.</w:t>
      </w:r>
    </w:p>
    <w:p w14:paraId="29D6D0C9" w14:textId="77777777" w:rsidR="00E55D7B" w:rsidRDefault="00E55D7B" w:rsidP="00E55D7B">
      <w:pPr>
        <w:pStyle w:val="Kop5"/>
        <w:ind w:firstLine="708"/>
      </w:pPr>
      <w:r>
        <w:t>Neutrale driehoek</w:t>
      </w:r>
    </w:p>
    <w:p w14:paraId="31146A37" w14:textId="2531C19D" w:rsidR="00E55D7B" w:rsidRPr="00A43DAF" w:rsidRDefault="00E55D7B" w:rsidP="00E55D7B">
      <w:pPr>
        <w:pStyle w:val="Geenafstand"/>
      </w:pPr>
      <w:r w:rsidRPr="00A43DAF">
        <w:t>Ten gevolge van de</w:t>
      </w:r>
      <w:r>
        <w:t xml:space="preserve"> spongiosa-</w:t>
      </w:r>
      <w:r w:rsidRPr="00A43DAF">
        <w:t>rangschikking is een uiteenlopende dichtheid en ordeni</w:t>
      </w:r>
      <w:r>
        <w:t>ng ontstaan. Hierbij blijkt</w:t>
      </w:r>
      <w:r w:rsidRPr="00A43DAF">
        <w:t xml:space="preserve"> dat het gebied direct onder de facies posterior de laagste botdichtheid bevat. Dit gebied word</w:t>
      </w:r>
      <w:r w:rsidR="004D02A1">
        <w:t>t</w:t>
      </w:r>
      <w:r w:rsidRPr="00A43DAF">
        <w:t xml:space="preserve"> door</w:t>
      </w:r>
      <w:r w:rsidR="00EF5543">
        <w:t xml:space="preserve"> </w:t>
      </w:r>
      <w:r w:rsidRPr="00A43DAF">
        <w:t xml:space="preserve">middel van een lateraal geprojecteerde driehoek weergegeven en wordt aangeduid als de </w:t>
      </w:r>
      <w:r>
        <w:t>‘</w:t>
      </w:r>
      <w:r w:rsidRPr="00A43DAF">
        <w:t>neutrale driehoek</w:t>
      </w:r>
      <w:r>
        <w:t>’</w:t>
      </w:r>
      <w:r w:rsidRPr="00A43DAF">
        <w:t>(afbeelding 7; witte driehoek). Badillo et al stelt dan ook een vrijwel consequent fractuurverloop door deze driehoek.</w:t>
      </w:r>
    </w:p>
    <w:p w14:paraId="773B867C" w14:textId="77777777" w:rsidR="00E55D7B" w:rsidRDefault="00E55D7B" w:rsidP="00E55D7B">
      <w:pPr>
        <w:pStyle w:val="Geenafstand"/>
      </w:pPr>
      <w:r w:rsidRPr="00A43DAF">
        <w:t>Chamacho et al trokken een ondersteunende conclusie in een studie naar botdichtheid in de calcaneus. Hierbij is geconcludeerd dat het gebied overeenkomstig met de neutrale driehoek de laagste botdichtheid bevat. Bovendien, zo word</w:t>
      </w:r>
      <w:r>
        <w:t>t</w:t>
      </w:r>
      <w:r w:rsidRPr="00A43DAF">
        <w:t xml:space="preserve"> geconcludeerd, correleert de botdichtheid direct met de maximale belastbaarheid van het bot. Dus hoe groter de botdichtheid, des te hoger de maximale belastbaarheid.</w:t>
      </w:r>
    </w:p>
    <w:p w14:paraId="41A34054" w14:textId="77777777" w:rsidR="00E55D7B" w:rsidRDefault="00E55D7B" w:rsidP="00E55D7B">
      <w:pPr>
        <w:rPr>
          <w:sz w:val="22"/>
          <w:szCs w:val="22"/>
        </w:rPr>
      </w:pPr>
      <w:r>
        <w:br w:type="page"/>
      </w:r>
    </w:p>
    <w:p w14:paraId="2EE7A4F8" w14:textId="58565E6A" w:rsidR="009470CB" w:rsidRPr="00C84C44" w:rsidRDefault="009470CB" w:rsidP="009470CB">
      <w:pPr>
        <w:pStyle w:val="Kop4"/>
      </w:pPr>
      <w:r w:rsidRPr="00C84C44">
        <w:lastRenderedPageBreak/>
        <w:t>Krachtenanalyse</w:t>
      </w:r>
    </w:p>
    <w:p w14:paraId="07B07864" w14:textId="0470FC0D" w:rsidR="009470CB" w:rsidRDefault="00185FBB" w:rsidP="009470CB">
      <w:pPr>
        <w:pStyle w:val="Geenafstand"/>
      </w:pPr>
      <w:r>
        <w:rPr>
          <w:noProof/>
          <w:lang w:val="en-US" w:eastAsia="en-US"/>
        </w:rPr>
        <w:drawing>
          <wp:anchor distT="0" distB="0" distL="114300" distR="114300" simplePos="0" relativeHeight="251664384" behindDoc="0" locked="0" layoutInCell="1" allowOverlap="1" wp14:anchorId="5E1CB249" wp14:editId="33671B8E">
            <wp:simplePos x="0" y="0"/>
            <wp:positionH relativeFrom="column">
              <wp:posOffset>3092450</wp:posOffset>
            </wp:positionH>
            <wp:positionV relativeFrom="paragraph">
              <wp:posOffset>142875</wp:posOffset>
            </wp:positionV>
            <wp:extent cx="2656205" cy="535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6205" cy="535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0CB">
        <w:t>Het effect van de neutrale driehoek op de calcaneus kan in een krachtenanalyse worden toegelicht. In onderstaande krachtenanalyse word</w:t>
      </w:r>
      <w:r w:rsidR="004D02A1">
        <w:t>t</w:t>
      </w:r>
      <w:r w:rsidR="009470CB">
        <w:t xml:space="preserve"> een sterk vereenvoudigde calcaneus met een gelijke dichtheid gebruikt.</w:t>
      </w:r>
    </w:p>
    <w:p w14:paraId="180753F2" w14:textId="51CDF4B2" w:rsidR="009470CB" w:rsidRPr="0044170B" w:rsidRDefault="009470CB" w:rsidP="009470CB">
      <w:pPr>
        <w:pStyle w:val="Geenafstand"/>
      </w:pPr>
      <w:r>
        <w:t>Hier wordt om te beginnen een eenvoudige vraag gesteld; Welke van onderstaande blokjes is sterker? Het massieve blokje A of het blokje met gat B? Beide blokjes hebben verder dezelfde afmeting en dichtheid.</w:t>
      </w:r>
    </w:p>
    <w:p w14:paraId="6C2C268E" w14:textId="6B4F7277" w:rsidR="009470CB" w:rsidRDefault="009470CB" w:rsidP="009470CB">
      <w:pPr>
        <w:pStyle w:val="Geenafstand"/>
      </w:pPr>
      <w:r>
        <w:t>Deze vraag is intuïtief te beantwoorden. Blokje A is sterker omdat blokje B is verzwakt door het gat. Het gat presenteert hierbij de neutrale driehoek.</w:t>
      </w:r>
    </w:p>
    <w:p w14:paraId="74D005E7" w14:textId="18B2241C" w:rsidR="009470CB" w:rsidRPr="009E2476" w:rsidRDefault="009470CB" w:rsidP="009470CB">
      <w:pPr>
        <w:pStyle w:val="Geenafstand"/>
      </w:pPr>
      <w:r>
        <w:t>De volgende vraag; Waar breekt het blokje bij de geschetste krachten in situatie 1? Hi</w:t>
      </w:r>
      <w:r w:rsidR="004D02A1">
        <w:t>erbij is blokje B aan de linker</w:t>
      </w:r>
      <w:r w:rsidR="00EF5543">
        <w:t>kant gefixeerd. D</w:t>
      </w:r>
      <w:r>
        <w:t>eze representeert de verbinding van de calcaneus met de voetbotjes. De naar beneden gerichte pijl staat voor de kracht die ontstaat door zwaartekracht op het lichaam en eventuele activiteiten. De omhoog gerichte pijl staat voor de reactiekracht door contact met de ondergrond.</w:t>
      </w:r>
    </w:p>
    <w:p w14:paraId="6B7F538B" w14:textId="5D219438" w:rsidR="009470CB" w:rsidRDefault="009470CB" w:rsidP="009470CB">
      <w:pPr>
        <w:pStyle w:val="Geenafstand"/>
      </w:pPr>
      <w:r>
        <w:t>Aannemelijk is dat een fractuur zoals in, of overeenkomstig met</w:t>
      </w:r>
      <w:r w:rsidR="004D02A1">
        <w:t>, 2 is geschetst zal ontstaan e</w:t>
      </w:r>
      <w:r>
        <w:t>n omschrijft hiermee een verloop door ‘de neutrale driehoek’.</w:t>
      </w:r>
    </w:p>
    <w:p w14:paraId="0EB4F99B" w14:textId="56036D33" w:rsidR="009470CB" w:rsidRPr="0044170B" w:rsidRDefault="009470CB" w:rsidP="009470CB">
      <w:pPr>
        <w:pStyle w:val="Geenafstand"/>
      </w:pPr>
      <w:r>
        <w:t xml:space="preserve">In situatie 3 is de ‘calcaneus’ onder een hoek geplaatst die overeenkomstig is met de werkelijkheid. De krachten en inklemming blijven gelijk met voorgaande situatie. </w:t>
      </w:r>
    </w:p>
    <w:p w14:paraId="4FD85765" w14:textId="18C9E062" w:rsidR="009470CB" w:rsidRDefault="00185FBB" w:rsidP="009470CB">
      <w:pPr>
        <w:pStyle w:val="Geenafstand"/>
      </w:pPr>
      <w:r>
        <w:rPr>
          <w:noProof/>
          <w:lang w:val="en-US" w:eastAsia="en-US"/>
        </w:rPr>
        <mc:AlternateContent>
          <mc:Choice Requires="wps">
            <w:drawing>
              <wp:anchor distT="0" distB="0" distL="114300" distR="114300" simplePos="0" relativeHeight="251654144" behindDoc="0" locked="0" layoutInCell="1" allowOverlap="1" wp14:anchorId="415861BA" wp14:editId="575BDDFF">
                <wp:simplePos x="0" y="0"/>
                <wp:positionH relativeFrom="column">
                  <wp:posOffset>3072130</wp:posOffset>
                </wp:positionH>
                <wp:positionV relativeFrom="paragraph">
                  <wp:posOffset>466725</wp:posOffset>
                </wp:positionV>
                <wp:extent cx="2675255" cy="571500"/>
                <wp:effectExtent l="0" t="0" r="0" b="0"/>
                <wp:wrapSquare wrapText="bothSides"/>
                <wp:docPr id="20" name="Tekstvak 20"/>
                <wp:cNvGraphicFramePr/>
                <a:graphic xmlns:a="http://schemas.openxmlformats.org/drawingml/2006/main">
                  <a:graphicData uri="http://schemas.microsoft.com/office/word/2010/wordprocessingShape">
                    <wps:wsp>
                      <wps:cNvSpPr txBox="1"/>
                      <wps:spPr>
                        <a:xfrm>
                          <a:off x="0" y="0"/>
                          <a:ext cx="2675255" cy="5715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DA7786" w14:textId="09602FBF" w:rsidR="00185A23" w:rsidRPr="00186351" w:rsidRDefault="00185A23" w:rsidP="009470CB">
                            <w:pPr>
                              <w:pStyle w:val="Bijschrift"/>
                              <w:rPr>
                                <w:noProof/>
                                <w:sz w:val="22"/>
                                <w:szCs w:val="22"/>
                              </w:rPr>
                            </w:pPr>
                            <w:r>
                              <w:t>Situatie schetsen van de krachtenanalyse. A t/m E zijn in volgorde van boven naar beneden geschetst.</w:t>
                            </w:r>
                            <w:r w:rsidR="00BE29CA">
                              <w:t xml:space="preserve"> Toelichting in de tekst hiernaast.</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861BA" id="Tekstvak 20" o:spid="_x0000_s1027" type="#_x0000_t202" style="position:absolute;margin-left:241.9pt;margin-top:36.75pt;width:210.6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" stroked="f">
                <v:textbox inset="0,0,0,0">
                  <w:txbxContent>
                    <w:p w14:paraId="77DA7786" w14:textId="09602FBF" w:rsidR="00185A23" w:rsidRPr="00186351" w:rsidRDefault="00185A23" w:rsidP="009470CB">
                      <w:pPr>
                        <w:pStyle w:val="Bijschrift"/>
                        <w:rPr>
                          <w:noProof/>
                          <w:sz w:val="22"/>
                          <w:szCs w:val="22"/>
                        </w:rPr>
                      </w:pPr>
                      <w:r>
                        <w:t>Situatie schetsen van de krachtenanalyse. A t/m E zijn in volgorde van boven naar beneden geschetst.</w:t>
                      </w:r>
                      <w:r w:rsidR="00BE29CA">
                        <w:t xml:space="preserve"> Toelichting in de tekst hiernaast.</w:t>
                      </w:r>
                      <w:r>
                        <w:t xml:space="preserve"> </w:t>
                      </w:r>
                    </w:p>
                  </w:txbxContent>
                </v:textbox>
                <w10:wrap type="square"/>
              </v:shape>
            </w:pict>
          </mc:Fallback>
        </mc:AlternateContent>
      </w:r>
      <w:r w:rsidR="009470CB">
        <w:t xml:space="preserve">Deze kanteling heeft logischerwijs invloed op het krachtenspel. De krachten en inklemming staan namelijk onder een andere hoek. </w:t>
      </w:r>
      <w:r w:rsidR="007E05B0">
        <w:t xml:space="preserve">Is een gewijzigd fractuurverloop dan ook een logisch gevolg? Instinctief is het antwoord ja. </w:t>
      </w:r>
    </w:p>
    <w:p w14:paraId="399D9E5A" w14:textId="6C46A5CF" w:rsidR="009470CB" w:rsidRDefault="009470CB" w:rsidP="009470CB">
      <w:pPr>
        <w:pStyle w:val="Geenafstand"/>
      </w:pPr>
    </w:p>
    <w:p w14:paraId="6ED0A24F" w14:textId="3035BE14" w:rsidR="007E05B0" w:rsidRDefault="004D02A1" w:rsidP="009470CB">
      <w:pPr>
        <w:pStyle w:val="Geenafstand"/>
      </w:pPr>
      <w:r>
        <w:t>Om dit</w:t>
      </w:r>
      <w:r w:rsidR="007E05B0">
        <w:t xml:space="preserve"> gewijzigde fractuurverloop te toetsen is een onderzoek gedaan. Dit is uitgevoerd in bij</w:t>
      </w:r>
      <w:r w:rsidR="007E05B0" w:rsidRPr="004D02A1">
        <w:t>lage</w:t>
      </w:r>
      <w:r w:rsidR="007E05B0">
        <w:t xml:space="preserve"> ‘botdichtheid-variatie en fractuurverloop in de calcaneus’. Hierin worden de zoals in afbeelding 8 geschetste blokjes</w:t>
      </w:r>
      <w:r>
        <w:t xml:space="preserve"> getoetst, in horizontale en lich</w:t>
      </w:r>
      <w:r w:rsidR="007E05B0">
        <w:t>t gekantelde oriëntatie. Hierbij is vooral de visuele presentatie effectief in het schetsen van de resultaten.</w:t>
      </w:r>
    </w:p>
    <w:p w14:paraId="54EF92B4" w14:textId="1D813B5D" w:rsidR="007E05B0" w:rsidRDefault="007E05B0">
      <w:pPr>
        <w:rPr>
          <w:sz w:val="22"/>
          <w:szCs w:val="22"/>
        </w:rPr>
      </w:pPr>
      <w:r>
        <w:rPr>
          <w:b/>
          <w:bCs/>
          <w:sz w:val="22"/>
          <w:szCs w:val="22"/>
        </w:rPr>
        <w:br w:type="page"/>
      </w:r>
    </w:p>
    <w:p w14:paraId="05DBF3B6" w14:textId="2CF8AC05" w:rsidR="00E55D7B" w:rsidRPr="009C3AFF" w:rsidRDefault="007E359B" w:rsidP="002A62BC">
      <w:pPr>
        <w:pStyle w:val="Kop4"/>
      </w:pPr>
      <w:r>
        <w:lastRenderedPageBreak/>
        <w:t>L</w:t>
      </w:r>
      <w:r w:rsidR="00F56826">
        <w:t xml:space="preserve">ichaamshouding, </w:t>
      </w:r>
      <w:r w:rsidR="002A62BC">
        <w:t>‘</w:t>
      </w:r>
      <w:r>
        <w:t>i</w:t>
      </w:r>
      <w:r w:rsidR="00E55D7B">
        <w:t>nveren</w:t>
      </w:r>
      <w:r w:rsidR="002A62BC">
        <w:t>’</w:t>
      </w:r>
      <w:r w:rsidR="00F56826">
        <w:t xml:space="preserve"> en</w:t>
      </w:r>
      <w:r w:rsidR="00E55D7B">
        <w:t xml:space="preserve"> excentrische contractie </w:t>
      </w:r>
      <w:r w:rsidR="00185A23">
        <w:t>§</w:t>
      </w:r>
      <w:r w:rsidR="00E55D7B">
        <w:t xml:space="preserve"> </w:t>
      </w:r>
    </w:p>
    <w:p w14:paraId="41EFD128" w14:textId="01AAC5AF" w:rsidR="00F56826" w:rsidRDefault="007E359B" w:rsidP="00E55D7B">
      <w:pPr>
        <w:pStyle w:val="Geenafstand"/>
      </w:pPr>
      <w:r>
        <w:t>De lichaamshouding bij de landing is bepalend voor het krachtenspel dat van toepassing is op de calcaneus. Deze verschillen namelijk nogal. De calcaneus heeft grofweg te maken met twee belasting vormen. Te weten statische, ‘lage’ dynamische belasting tegenover ‘hoge’ dynamische belasting van de onderste extremiteiten</w:t>
      </w:r>
    </w:p>
    <w:p w14:paraId="5F0298BF" w14:textId="0E00C9A3" w:rsidR="007E359B" w:rsidRDefault="00EF5543" w:rsidP="00E55D7B">
      <w:pPr>
        <w:pStyle w:val="Geenafstand"/>
      </w:pPr>
      <w:r>
        <w:t>Bij een statische of</w:t>
      </w:r>
      <w:r w:rsidR="007E359B">
        <w:t xml:space="preserve"> lage dynamische </w:t>
      </w:r>
      <w:r>
        <w:t xml:space="preserve">belasting </w:t>
      </w:r>
      <w:r w:rsidR="007E359B">
        <w:t>bij bijvoorbeeld staan en gaan, is sprake van een ‘direct’ contact tussen calcaneus en grond. Hierbij is sprake van een craniocaudale druk door het neutraal gepositioneerde calcaneus. Bij hoge dynamische belasting is er geen direct contact met de ondergrond en word</w:t>
      </w:r>
      <w:r>
        <w:t>t</w:t>
      </w:r>
      <w:r w:rsidR="007E359B">
        <w:t xml:space="preserve"> de calcaneus in een meer plantair georiënteerde houding belast.</w:t>
      </w:r>
    </w:p>
    <w:p w14:paraId="70F7D96E" w14:textId="23A62A5E" w:rsidR="007E359B" w:rsidRDefault="00185FBB" w:rsidP="00E55D7B">
      <w:pPr>
        <w:pStyle w:val="Geenafstand"/>
      </w:pPr>
      <w:r>
        <w:rPr>
          <w:noProof/>
          <w:lang w:val="en-US" w:eastAsia="en-US"/>
        </w:rPr>
        <w:drawing>
          <wp:anchor distT="0" distB="0" distL="114300" distR="114300" simplePos="0" relativeHeight="251667456" behindDoc="0" locked="0" layoutInCell="1" allowOverlap="1" wp14:anchorId="140E97D6" wp14:editId="6A0872BB">
            <wp:simplePos x="0" y="0"/>
            <wp:positionH relativeFrom="column">
              <wp:posOffset>3234055</wp:posOffset>
            </wp:positionH>
            <wp:positionV relativeFrom="paragraph">
              <wp:posOffset>13970</wp:posOffset>
            </wp:positionV>
            <wp:extent cx="2424642" cy="2486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4642"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06EF7CA0" wp14:editId="1FC8B209">
            <wp:extent cx="3274604" cy="2333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2344" cy="2360520"/>
                    </a:xfrm>
                    <a:prstGeom prst="rect">
                      <a:avLst/>
                    </a:prstGeom>
                  </pic:spPr>
                </pic:pic>
              </a:graphicData>
            </a:graphic>
          </wp:inline>
        </w:drawing>
      </w:r>
    </w:p>
    <w:p w14:paraId="2837B257" w14:textId="0FFE238A" w:rsidR="00F56826" w:rsidRDefault="00F56826" w:rsidP="00E55D7B">
      <w:pPr>
        <w:pStyle w:val="Geenafstand"/>
      </w:pPr>
    </w:p>
    <w:p w14:paraId="7BC18007" w14:textId="77777777" w:rsidR="00F56826" w:rsidRDefault="00F56826" w:rsidP="00E55D7B">
      <w:pPr>
        <w:pStyle w:val="Geenafstand"/>
      </w:pPr>
    </w:p>
    <w:p w14:paraId="6C4E4766" w14:textId="77777777" w:rsidR="007E359B" w:rsidRDefault="007E359B" w:rsidP="00E55D7B">
      <w:pPr>
        <w:pStyle w:val="Geenafstand"/>
      </w:pPr>
    </w:p>
    <w:p w14:paraId="0DA846C0" w14:textId="0560DDBA" w:rsidR="00177C5D" w:rsidRDefault="007E359B" w:rsidP="00177C5D">
      <w:pPr>
        <w:pStyle w:val="Geenafstand"/>
      </w:pPr>
      <w:r>
        <w:t xml:space="preserve">Het gewijzigde krachtenspel is het gevolg van een mechanisme dat het lichaam beschermd tegen grote piekbelasting, </w:t>
      </w:r>
      <w:r w:rsidR="00177C5D">
        <w:t>benoemd als inveren. Deze getimede verkleining van het lichaam zorgt voor een geleidelijke afremming van het lichaamszwaartepunt bij een landing. Door excentrische contractie van de spieren(remmende werking) en verlenging van de remweg</w:t>
      </w:r>
      <w:r w:rsidR="00EF5543">
        <w:t xml:space="preserve"> </w:t>
      </w:r>
      <w:r w:rsidR="00177C5D">
        <w:t>(van het lichaamszwaartepunt) word</w:t>
      </w:r>
      <w:r w:rsidR="00EF5543">
        <w:t>t</w:t>
      </w:r>
      <w:r w:rsidR="00177C5D">
        <w:t xml:space="preserve"> de netto belasting per lichaamsdeel kleiner. Uitblijven van of onvoldoende inveren bij hoge dynamische belasting kan direct resulteren in een calcaneus fractuur. Probeer namelijk maar eens zonder de knieën </w:t>
      </w:r>
      <w:r w:rsidR="00AB060A">
        <w:t xml:space="preserve">en enkels </w:t>
      </w:r>
      <w:r w:rsidR="00177C5D">
        <w:t xml:space="preserve">te buigen van de onderste </w:t>
      </w:r>
      <w:r w:rsidR="00AB060A">
        <w:t xml:space="preserve">traptrede </w:t>
      </w:r>
      <w:r w:rsidR="00177C5D">
        <w:t xml:space="preserve">te springen. Verre van prettig, zelfs al bij </w:t>
      </w:r>
      <w:r w:rsidR="00AB060A">
        <w:t xml:space="preserve">een </w:t>
      </w:r>
      <w:r w:rsidR="00177C5D">
        <w:t>dergelijk kleine hoogte.</w:t>
      </w:r>
    </w:p>
    <w:p w14:paraId="56368F2A" w14:textId="77777777" w:rsidR="00AB060A" w:rsidRDefault="00AB060A" w:rsidP="00177C5D">
      <w:pPr>
        <w:pStyle w:val="Geenafstand"/>
      </w:pPr>
    </w:p>
    <w:p w14:paraId="207B4A9C" w14:textId="1BC681B3" w:rsidR="00F07AC4" w:rsidRDefault="00F07AC4" w:rsidP="00F07AC4">
      <w:pPr>
        <w:pStyle w:val="Geenafstand"/>
      </w:pPr>
      <w:r>
        <w:t>Het uitblijven van het inveren kan verschillende oorzaken hebben. Bijvoorbeeld bij een sprong in onverwachts ondiep water.</w:t>
      </w:r>
      <w:r w:rsidRPr="00F07AC4">
        <w:t xml:space="preserve"> </w:t>
      </w:r>
      <w:r>
        <w:t>Het lichaam heeft zich in deze situatie niet ingesteld op de plotselinge impact. Maar ook het ontbreken van timing bij de excentrische</w:t>
      </w:r>
      <w:r w:rsidR="00EF5543">
        <w:t xml:space="preserve"> contractie kan parten spelen m</w:t>
      </w:r>
      <w:r>
        <w:t>et als gevolg een grotere netto belasting per lichaamsdeel.</w:t>
      </w:r>
    </w:p>
    <w:p w14:paraId="0FC2B3E7" w14:textId="75327299" w:rsidR="00F07AC4" w:rsidRDefault="00F07AC4" w:rsidP="00F07AC4">
      <w:pPr>
        <w:pStyle w:val="Geenafstand"/>
      </w:pPr>
      <w:r>
        <w:t>Daarnaast kan de lichaamshouding van invloed zijn op de kwaliteit van het inveren. Een gewijzigde lichaamshouding resulteert</w:t>
      </w:r>
      <w:r w:rsidR="00EF5543">
        <w:t xml:space="preserve"> namelijk in een wijziging</w:t>
      </w:r>
      <w:r>
        <w:t xml:space="preserve"> van het lichaamszwaartepunt. Een gewijzigde lichaamshouding resulteert op haar beurt in</w:t>
      </w:r>
      <w:r w:rsidR="00B85FDD">
        <w:t xml:space="preserve"> een wijziging van de gevraagde excentrische </w:t>
      </w:r>
      <w:r>
        <w:t>contra</w:t>
      </w:r>
      <w:r w:rsidR="00B85FDD">
        <w:t>ctie in de onderste extremiteiten.</w:t>
      </w:r>
    </w:p>
    <w:p w14:paraId="1620E9E4" w14:textId="07969050" w:rsidR="00FB6A6E" w:rsidRDefault="00FB6A6E" w:rsidP="00177C5D">
      <w:pPr>
        <w:pStyle w:val="Geenafstand"/>
        <w:rPr>
          <w:lang w:val="en-US"/>
        </w:rPr>
      </w:pPr>
      <w:r>
        <w:rPr>
          <w:noProof/>
          <w:lang w:val="en-US" w:eastAsia="en-US"/>
        </w:rPr>
        <w:lastRenderedPageBreak/>
        <mc:AlternateContent>
          <mc:Choice Requires="wps">
            <w:drawing>
              <wp:anchor distT="0" distB="0" distL="114300" distR="114300" simplePos="0" relativeHeight="251670528" behindDoc="0" locked="0" layoutInCell="1" allowOverlap="1" wp14:anchorId="362B01AA" wp14:editId="5053E3E5">
                <wp:simplePos x="0" y="0"/>
                <wp:positionH relativeFrom="column">
                  <wp:posOffset>433705</wp:posOffset>
                </wp:positionH>
                <wp:positionV relativeFrom="paragraph">
                  <wp:posOffset>2110105</wp:posOffset>
                </wp:positionV>
                <wp:extent cx="489585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895850" cy="635"/>
                        </a:xfrm>
                        <a:prstGeom prst="rect">
                          <a:avLst/>
                        </a:prstGeom>
                        <a:solidFill>
                          <a:prstClr val="white"/>
                        </a:solidFill>
                        <a:ln>
                          <a:noFill/>
                        </a:ln>
                        <a:effectLst/>
                      </wps:spPr>
                      <wps:txbx>
                        <w:txbxContent>
                          <w:p w14:paraId="343FE3FB" w14:textId="58847703" w:rsidR="00FB6A6E" w:rsidRDefault="00FB6A6E" w:rsidP="00FB6A6E">
                            <w:pPr>
                              <w:pStyle w:val="Bijschrift"/>
                              <w:rPr>
                                <w:noProof/>
                              </w:rPr>
                            </w:pPr>
                            <w:r>
                              <w:t xml:space="preserve">Links de projectie voor het enkelgewricht, hierbij is een tegenwerkend moment nodig van de extensoren over het enkelgewricht. Rechts </w:t>
                            </w:r>
                            <w:r w:rsidRPr="00FB6A6E">
                              <w:rPr>
                                <w:noProof/>
                                <w:lang w:eastAsia="en-US"/>
                              </w:rPr>
                              <w:t>de projectie achter het enkelgewricht, hierbij is een tegenwerkend moment nodig van de flexoren.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2B01AA" id="Text Box 5" o:spid="_x0000_s1028" type="#_x0000_t202" style="position:absolute;margin-left:34.15pt;margin-top:166.15pt;width:385.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" stroked="f">
                <v:textbox style="mso-fit-shape-to-text:t" inset="0,0,0,0">
                  <w:txbxContent>
                    <w:p w14:paraId="343FE3FB" w14:textId="58847703" w:rsidR="00FB6A6E" w:rsidRDefault="00FB6A6E" w:rsidP="00FB6A6E">
                      <w:pPr>
                        <w:pStyle w:val="Bijschrift"/>
                        <w:rPr>
                          <w:noProof/>
                        </w:rPr>
                      </w:pPr>
                      <w:r>
                        <w:t xml:space="preserve">Links de projectie voor het enkelgewricht, hierbij is een tegenwerkend moment nodig van de extensoren over het enkelgewricht. Rechts </w:t>
                      </w:r>
                      <w:r w:rsidRPr="00FB6A6E">
                        <w:rPr>
                          <w:noProof/>
                          <w:lang w:eastAsia="en-US"/>
                        </w:rPr>
                        <w:t>de projectie achter het enkelgewricht, hierbij is een tegenwerkend moment nodig van de flexoren.</w:t>
                      </w:r>
                    </w:p>
                  </w:txbxContent>
                </v:textbox>
                <w10:wrap type="square"/>
              </v:shape>
            </w:pict>
          </mc:Fallback>
        </mc:AlternateContent>
      </w:r>
      <w:r>
        <w:rPr>
          <w:noProof/>
          <w:lang w:val="en-US" w:eastAsia="en-US"/>
        </w:rPr>
        <w:drawing>
          <wp:anchor distT="0" distB="0" distL="114300" distR="114300" simplePos="0" relativeHeight="251668480" behindDoc="0" locked="0" layoutInCell="1" allowOverlap="1" wp14:anchorId="722BA1CD" wp14:editId="50B97EBC">
            <wp:simplePos x="0" y="0"/>
            <wp:positionH relativeFrom="column">
              <wp:posOffset>433705</wp:posOffset>
            </wp:positionH>
            <wp:positionV relativeFrom="paragraph">
              <wp:posOffset>-4445</wp:posOffset>
            </wp:positionV>
            <wp:extent cx="4895850" cy="2057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95850" cy="2057400"/>
                    </a:xfrm>
                    <a:prstGeom prst="rect">
                      <a:avLst/>
                    </a:prstGeom>
                  </pic:spPr>
                </pic:pic>
              </a:graphicData>
            </a:graphic>
            <wp14:sizeRelH relativeFrom="page">
              <wp14:pctWidth>0</wp14:pctWidth>
            </wp14:sizeRelH>
            <wp14:sizeRelV relativeFrom="page">
              <wp14:pctHeight>0</wp14:pctHeight>
            </wp14:sizeRelV>
          </wp:anchor>
        </w:drawing>
      </w:r>
    </w:p>
    <w:p w14:paraId="3DE5155A" w14:textId="07B97E36" w:rsidR="00F07AC4" w:rsidRDefault="00B85FDD" w:rsidP="00177C5D">
      <w:pPr>
        <w:pStyle w:val="Geenafstand"/>
      </w:pPr>
      <w:r>
        <w:t>Projectie van het lichaamszwaartepunt acht</w:t>
      </w:r>
      <w:r w:rsidR="00FE1377">
        <w:t xml:space="preserve">er het enkelgewricht vraagt excentrische contractie van de flexoren, die daar niet echt geschikt voor zijn. Projectie voor het enkelgewricht vraagt excentrische contractie van de extensoren. De extensoren zijn voor deze functie beter geschikt. Deze kunnen namelijk een groter moment leveren. </w:t>
      </w:r>
    </w:p>
    <w:p w14:paraId="31A6E087" w14:textId="4918573F" w:rsidR="006F3336" w:rsidRPr="00CE4506" w:rsidRDefault="00FE1377" w:rsidP="00CE4506">
      <w:pPr>
        <w:pStyle w:val="Geenafstand"/>
      </w:pPr>
      <w:r>
        <w:t xml:space="preserve">Uit deze analyse vallen niet direct eisen te stellen aan de methode. Aansturing van de spieren ontbreekt immers bij de kadaver onderbenen. </w:t>
      </w:r>
      <w:r w:rsidR="00C10DB7">
        <w:t>De wijziging waarop de calcaneus belast wordt bij toenemende belasting geeft wel een sterke indicatie over de houding van de calcaneus ten opzichte van de padding om de STII te realiseren. Namelijk in neutrale houding zodat een maximale craniocaudale druk ontstaat. Of dit daadw</w:t>
      </w:r>
      <w:r w:rsidR="00CE4506">
        <w:t>erkelijk het geval is zal moeten</w:t>
      </w:r>
      <w:r w:rsidR="00C10DB7">
        <w:t xml:space="preserve"> blijken.</w:t>
      </w:r>
    </w:p>
    <w:sectPr w:rsidR="006F3336" w:rsidRPr="00CE4506" w:rsidSect="003576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7B"/>
    <w:rsid w:val="000311BC"/>
    <w:rsid w:val="00045703"/>
    <w:rsid w:val="00117A3B"/>
    <w:rsid w:val="00177C5D"/>
    <w:rsid w:val="00185A23"/>
    <w:rsid w:val="00185FBB"/>
    <w:rsid w:val="00270058"/>
    <w:rsid w:val="002A169D"/>
    <w:rsid w:val="002A62BC"/>
    <w:rsid w:val="0035768F"/>
    <w:rsid w:val="003D176A"/>
    <w:rsid w:val="00413B61"/>
    <w:rsid w:val="00430C61"/>
    <w:rsid w:val="00434E57"/>
    <w:rsid w:val="004C2BBA"/>
    <w:rsid w:val="004C6BA0"/>
    <w:rsid w:val="004D02A1"/>
    <w:rsid w:val="0052033F"/>
    <w:rsid w:val="005A0A21"/>
    <w:rsid w:val="006F3336"/>
    <w:rsid w:val="006F346D"/>
    <w:rsid w:val="007340F3"/>
    <w:rsid w:val="007E05B0"/>
    <w:rsid w:val="007E359B"/>
    <w:rsid w:val="00821F3D"/>
    <w:rsid w:val="00840955"/>
    <w:rsid w:val="0087746D"/>
    <w:rsid w:val="00910A81"/>
    <w:rsid w:val="009470CB"/>
    <w:rsid w:val="00976420"/>
    <w:rsid w:val="00A32786"/>
    <w:rsid w:val="00A66B21"/>
    <w:rsid w:val="00AB060A"/>
    <w:rsid w:val="00B163C9"/>
    <w:rsid w:val="00B85FDD"/>
    <w:rsid w:val="00BE29CA"/>
    <w:rsid w:val="00C10DB7"/>
    <w:rsid w:val="00C30989"/>
    <w:rsid w:val="00C72887"/>
    <w:rsid w:val="00CE367B"/>
    <w:rsid w:val="00CE4506"/>
    <w:rsid w:val="00E2159C"/>
    <w:rsid w:val="00E55D7B"/>
    <w:rsid w:val="00EF5543"/>
    <w:rsid w:val="00F07AC4"/>
    <w:rsid w:val="00F3066F"/>
    <w:rsid w:val="00F56826"/>
    <w:rsid w:val="00FB6A6E"/>
    <w:rsid w:val="00FD3171"/>
    <w:rsid w:val="00FE1377"/>
    <w:rsid w:val="00FE53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3E24C"/>
  <w14:defaultImageDpi w14:val="300"/>
  <w15:docId w15:val="{9C44C0F3-3759-4D92-9012-6B09C43D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5D7B"/>
  </w:style>
  <w:style w:type="paragraph" w:styleId="Kop2">
    <w:name w:val="heading 2"/>
    <w:basedOn w:val="Standaard"/>
    <w:next w:val="Standaard"/>
    <w:link w:val="Kop2Char"/>
    <w:uiPriority w:val="9"/>
    <w:unhideWhenUsed/>
    <w:qFormat/>
    <w:rsid w:val="00E55D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55D7B"/>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55D7B"/>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E55D7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55D7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55D7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55D7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E55D7B"/>
    <w:rPr>
      <w:rFonts w:asciiTheme="majorHAnsi" w:eastAsiaTheme="majorEastAsia" w:hAnsiTheme="majorHAnsi" w:cstheme="majorBidi"/>
      <w:color w:val="243F60" w:themeColor="accent1" w:themeShade="7F"/>
    </w:rPr>
  </w:style>
  <w:style w:type="paragraph" w:styleId="Geenafstand">
    <w:name w:val="No Spacing"/>
    <w:link w:val="GeenafstandChar"/>
    <w:qFormat/>
    <w:rsid w:val="00E55D7B"/>
    <w:rPr>
      <w:sz w:val="22"/>
      <w:szCs w:val="22"/>
    </w:rPr>
  </w:style>
  <w:style w:type="character" w:customStyle="1" w:styleId="GeenafstandChar">
    <w:name w:val="Geen afstand Char"/>
    <w:basedOn w:val="Standaardalinea-lettertype"/>
    <w:link w:val="Geenafstand"/>
    <w:rsid w:val="00E55D7B"/>
    <w:rPr>
      <w:sz w:val="22"/>
      <w:szCs w:val="22"/>
    </w:rPr>
  </w:style>
  <w:style w:type="paragraph" w:styleId="Bijschrift">
    <w:name w:val="caption"/>
    <w:basedOn w:val="Standaard"/>
    <w:next w:val="Standaard"/>
    <w:uiPriority w:val="35"/>
    <w:unhideWhenUsed/>
    <w:qFormat/>
    <w:rsid w:val="00E55D7B"/>
    <w:pPr>
      <w:spacing w:after="200"/>
    </w:pPr>
    <w:rPr>
      <w:b/>
      <w:bCs/>
      <w:color w:val="4F81BD" w:themeColor="accent1"/>
      <w:sz w:val="18"/>
      <w:szCs w:val="18"/>
    </w:rPr>
  </w:style>
  <w:style w:type="character" w:styleId="Verwijzingopmerking">
    <w:name w:val="annotation reference"/>
    <w:basedOn w:val="Standaardalinea-lettertype"/>
    <w:uiPriority w:val="99"/>
    <w:semiHidden/>
    <w:unhideWhenUsed/>
    <w:rsid w:val="00E55D7B"/>
    <w:rPr>
      <w:sz w:val="18"/>
      <w:szCs w:val="18"/>
    </w:rPr>
  </w:style>
  <w:style w:type="paragraph" w:styleId="Tekstopmerking">
    <w:name w:val="annotation text"/>
    <w:basedOn w:val="Standaard"/>
    <w:link w:val="TekstopmerkingChar"/>
    <w:uiPriority w:val="99"/>
    <w:unhideWhenUsed/>
    <w:rsid w:val="00E55D7B"/>
  </w:style>
  <w:style w:type="character" w:customStyle="1" w:styleId="TekstopmerkingChar">
    <w:name w:val="Tekst opmerking Char"/>
    <w:basedOn w:val="Standaardalinea-lettertype"/>
    <w:link w:val="Tekstopmerking"/>
    <w:uiPriority w:val="99"/>
    <w:rsid w:val="00E55D7B"/>
  </w:style>
  <w:style w:type="paragraph" w:styleId="Ballontekst">
    <w:name w:val="Balloon Text"/>
    <w:basedOn w:val="Standaard"/>
    <w:link w:val="BallontekstChar"/>
    <w:uiPriority w:val="99"/>
    <w:semiHidden/>
    <w:unhideWhenUsed/>
    <w:rsid w:val="00E55D7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55D7B"/>
    <w:rPr>
      <w:rFonts w:ascii="Lucida Grande" w:hAnsi="Lucida Grande" w:cs="Lucida Grande"/>
      <w:sz w:val="18"/>
      <w:szCs w:val="18"/>
    </w:rPr>
  </w:style>
  <w:style w:type="paragraph" w:styleId="Onderwerpvanopmerking">
    <w:name w:val="annotation subject"/>
    <w:basedOn w:val="Tekstopmerking"/>
    <w:next w:val="Tekstopmerking"/>
    <w:link w:val="OnderwerpvanopmerkingChar"/>
    <w:uiPriority w:val="99"/>
    <w:semiHidden/>
    <w:unhideWhenUsed/>
    <w:rsid w:val="00434E57"/>
    <w:rPr>
      <w:b/>
      <w:bCs/>
      <w:sz w:val="20"/>
      <w:szCs w:val="20"/>
    </w:rPr>
  </w:style>
  <w:style w:type="character" w:customStyle="1" w:styleId="OnderwerpvanopmerkingChar">
    <w:name w:val="Onderwerp van opmerking Char"/>
    <w:basedOn w:val="TekstopmerkingChar"/>
    <w:link w:val="Onderwerpvanopmerking"/>
    <w:uiPriority w:val="99"/>
    <w:semiHidden/>
    <w:rsid w:val="00434E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KBa11</b:Tag>
    <b:SourceType>JournalArticle</b:SourceType>
    <b:Guid>{D44CAD98-F6A8-684C-BB89-84B5C7A3A97C}</b:Guid>
    <b:Title>Multidetector CT evaluation of Calcaneal Fractures</b:Title>
    <b:Year>2011</b:Year>
    <b:Author>
      <b:Author>
        <b:NameList>
          <b:Person>
            <b:Last>K. Badillo</b:Last>
            <b:First>J.A.</b:First>
            <b:Middle>Pacheco, S.O. Padua, A.A. Gomez, E. Colon, J.A. Vidal</b:Middle>
          </b:Person>
        </b:NameList>
      </b:Author>
    </b:Author>
    <b:JournalName>RadioGraphics</b:JournalName>
    <b:Pages>81-92</b:Pages>
    <b:RefOrder>1</b:RefOrder>
  </b:Source>
  <b:Source>
    <b:Tag>DeM</b:Tag>
    <b:SourceType>BookSection</b:SourceType>
    <b:Guid>{FEE7CF09-F0E7-E444-8CF0-20A325D30605}</b:Guid>
    <b:Title>Dynamiek van het menselijk bindweefsel. Functie, beschadiging en herstel.</b:Title>
    <b:Author>
      <b:Author>
        <b:NameList>
          <b:Person>
            <b:Last>De Morree</b:Last>
            <b:Middle>J.</b:Middle>
            <b:First>J.</b:First>
          </b:Person>
        </b:NameList>
      </b:Author>
      <b:BookAuthor>
        <b:NameList>
          <b:Person>
            <b:Last>de Morree</b:Last>
            <b:Middle>J.</b:Middle>
            <b:First>J.</b:First>
          </b:Person>
        </b:NameList>
      </b:BookAuthor>
    </b:Author>
    <b:BookTitle>Dynamiek van het menselijk bindweefsel</b:BookTitle>
    <b:City>Houten</b:City>
    <b:StateProvince>Utrecht</b:StateProvince>
    <b:CountryRegion>Nederland</b:CountryRegion>
    <b:Publisher>Bohn Stafleu van Loghum</b:Publisher>
    <b:Year>2008</b:Year>
    <b:Volume>4</b:Volume>
    <b:Pages>81-83</b:Pages>
    <b:ShortTitle>Dynamiek van het menselijk bindweefsel</b:ShortTitle>
    <b:Edition>5e druk</b:Edition>
    <b:RefOrder>2</b:RefOrder>
  </b:Source>
</b:Sources>
</file>

<file path=customXml/itemProps1.xml><?xml version="1.0" encoding="utf-8"?>
<ds:datastoreItem xmlns:ds="http://schemas.openxmlformats.org/officeDocument/2006/customXml" ds:itemID="{BD094197-7876-4582-9653-227CCE36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6481</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Breugel</dc:creator>
  <cp:keywords/>
  <dc:description/>
  <cp:lastModifiedBy>Ammeraal-Deelen, S.J.</cp:lastModifiedBy>
  <cp:revision>2</cp:revision>
  <dcterms:created xsi:type="dcterms:W3CDTF">2017-01-23T12:44:00Z</dcterms:created>
  <dcterms:modified xsi:type="dcterms:W3CDTF">2017-01-23T12:44:00Z</dcterms:modified>
</cp:coreProperties>
</file>