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8065A7" w14:textId="77777777" w:rsidR="00FC2F91" w:rsidRDefault="00FC2F91" w:rsidP="00A26F6F">
      <w:pPr>
        <w:rPr>
          <w:rFonts w:ascii="Verdana" w:hAnsi="Verdana"/>
        </w:rPr>
      </w:pPr>
      <w:bookmarkStart w:id="0" w:name="_GoBack"/>
      <w:bookmarkEnd w:id="0"/>
    </w:p>
    <w:p w14:paraId="7A642BB3" w14:textId="3D7AC03A" w:rsidR="002122FD" w:rsidRDefault="00A26F6F" w:rsidP="002122FD">
      <w:pPr>
        <w:spacing w:after="0" w:line="360" w:lineRule="auto"/>
        <w:rPr>
          <w:rFonts w:ascii="Verdana" w:hAnsi="Verdana" w:cs="Times New Roman"/>
          <w:color w:val="000000"/>
          <w:sz w:val="40"/>
          <w:szCs w:val="40"/>
          <w:lang w:eastAsia="nl-NL"/>
        </w:rPr>
      </w:pPr>
      <w:r w:rsidRPr="000E2789">
        <w:rPr>
          <w:rFonts w:ascii="Times New Roman" w:eastAsia="Times New Roman" w:hAnsi="Times New Roman" w:cs="Times New Roman"/>
          <w:noProof/>
          <w:lang w:eastAsia="nl-NL"/>
        </w:rPr>
        <w:drawing>
          <wp:anchor distT="0" distB="0" distL="114300" distR="114300" simplePos="0" relativeHeight="251664384" behindDoc="1" locked="0" layoutInCell="1" allowOverlap="1" wp14:anchorId="292D4C2F" wp14:editId="49D07C1E">
            <wp:simplePos x="0" y="0"/>
            <wp:positionH relativeFrom="column">
              <wp:posOffset>-1076776</wp:posOffset>
            </wp:positionH>
            <wp:positionV relativeFrom="paragraph">
              <wp:posOffset>-2271395</wp:posOffset>
            </wp:positionV>
            <wp:extent cx="7768529" cy="5195286"/>
            <wp:effectExtent l="50800" t="0" r="55245" b="62865"/>
            <wp:wrapNone/>
            <wp:docPr id="1" name="Afbeelding 1" descr="iefde, Slot, Een, Metaal, Roest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efde, Slot, Een, Metaal, Roestig"/>
                    <pic:cNvPicPr>
                      <a:picLocks noChangeAspect="1" noChangeArrowheads="1"/>
                    </pic:cNvPicPr>
                  </pic:nvPicPr>
                  <pic:blipFill>
                    <a:blip r:embed="rId8">
                      <a:extLst>
                        <a:ext uri="{BEBA8EAE-BF5A-486C-A8C5-ECC9F3942E4B}">
                          <a14:imgProps xmlns:a14="http://schemas.microsoft.com/office/drawing/2010/main">
                            <a14:imgLayer r:embed="rId9">
                              <a14:imgEffect>
                                <a14:colorTemperature colorTemp="5300"/>
                              </a14:imgEffect>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7768529" cy="5195286"/>
                    </a:xfrm>
                    <a:prstGeom prst="rect">
                      <a:avLst/>
                    </a:prstGeom>
                    <a:noFill/>
                    <a:ln>
                      <a:noFill/>
                    </a:ln>
                    <a:effectLst>
                      <a:glow>
                        <a:schemeClr val="accent1">
                          <a:alpha val="0"/>
                        </a:schemeClr>
                      </a:glow>
                      <a:outerShdw blurRad="50800" dist="63500" dir="5400000" algn="ctr" rotWithShape="0">
                        <a:srgbClr val="000000">
                          <a:alpha val="0"/>
                        </a:srgbClr>
                      </a:outerShdw>
                      <a:reflection endPos="0" dist="50800" dir="5400000" sy="-100000" algn="bl" rotWithShape="0"/>
                      <a:softEdge rad="1270000"/>
                    </a:effectLst>
                  </pic:spPr>
                </pic:pic>
              </a:graphicData>
            </a:graphic>
            <wp14:sizeRelH relativeFrom="page">
              <wp14:pctWidth>0</wp14:pctWidth>
            </wp14:sizeRelH>
            <wp14:sizeRelV relativeFrom="page">
              <wp14:pctHeight>0</wp14:pctHeight>
            </wp14:sizeRelV>
          </wp:anchor>
        </w:drawing>
      </w:r>
      <w:r w:rsidR="00EA0CDE" w:rsidRPr="00EA0CDE">
        <w:rPr>
          <w:rFonts w:ascii="Times New Roman" w:eastAsia="Times New Roman" w:hAnsi="Times New Roman" w:cs="Times New Roman"/>
          <w:noProof/>
          <w:sz w:val="24"/>
          <w:szCs w:val="24"/>
          <w:lang w:eastAsia="nl-NL"/>
        </w:rPr>
        <w:drawing>
          <wp:anchor distT="0" distB="0" distL="114300" distR="114300" simplePos="0" relativeHeight="251662336" behindDoc="1" locked="0" layoutInCell="1" allowOverlap="1" wp14:anchorId="2F11999C" wp14:editId="1BA9E08F">
            <wp:simplePos x="0" y="0"/>
            <wp:positionH relativeFrom="column">
              <wp:posOffset>-1076959</wp:posOffset>
            </wp:positionH>
            <wp:positionV relativeFrom="paragraph">
              <wp:posOffset>-2271395</wp:posOffset>
            </wp:positionV>
            <wp:extent cx="7779324" cy="5181895"/>
            <wp:effectExtent l="0" t="0" r="0" b="0"/>
            <wp:wrapNone/>
            <wp:docPr id="3" name="Afbeelding 3" descr="rikkeldraad, Video Camera, Toezicht Op De, Op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ikkeldraad, Video Camera, Toezicht Op De, Opnam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785576" cy="5186060"/>
                    </a:xfrm>
                    <a:prstGeom prst="rect">
                      <a:avLst/>
                    </a:prstGeom>
                    <a:noFill/>
                    <a:ln>
                      <a:noFill/>
                    </a:ln>
                    <a:effectLst>
                      <a:outerShdw blurRad="12700" dist="50800" dir="5400000" algn="ctr" rotWithShape="0">
                        <a:srgbClr val="000000">
                          <a:alpha val="0"/>
                        </a:srgbClr>
                      </a:outerShdw>
                      <a:softEdge rad="1270000"/>
                    </a:effectLst>
                  </pic:spPr>
                </pic:pic>
              </a:graphicData>
            </a:graphic>
            <wp14:sizeRelH relativeFrom="page">
              <wp14:pctWidth>0</wp14:pctWidth>
            </wp14:sizeRelH>
            <wp14:sizeRelV relativeFrom="page">
              <wp14:pctHeight>0</wp14:pctHeight>
            </wp14:sizeRelV>
          </wp:anchor>
        </w:drawing>
      </w:r>
    </w:p>
    <w:p w14:paraId="3A472096" w14:textId="28370E5C" w:rsidR="00EA0CDE" w:rsidRPr="00EA0CDE" w:rsidRDefault="00EA0CDE" w:rsidP="00EA0CDE">
      <w:pPr>
        <w:spacing w:after="0" w:line="240" w:lineRule="auto"/>
        <w:rPr>
          <w:rFonts w:ascii="Times New Roman" w:eastAsia="Times New Roman" w:hAnsi="Times New Roman" w:cs="Times New Roman"/>
          <w:sz w:val="24"/>
          <w:szCs w:val="24"/>
          <w:lang w:eastAsia="nl-NL"/>
        </w:rPr>
      </w:pPr>
    </w:p>
    <w:p w14:paraId="50BC3BDB" w14:textId="77777777" w:rsidR="00EA0CDE" w:rsidRDefault="00EA0CDE" w:rsidP="002122FD">
      <w:pPr>
        <w:spacing w:after="0" w:line="360" w:lineRule="auto"/>
        <w:rPr>
          <w:rFonts w:ascii="Verdana" w:hAnsi="Verdana" w:cs="Times New Roman"/>
          <w:color w:val="000000"/>
          <w:sz w:val="40"/>
          <w:szCs w:val="40"/>
          <w:lang w:eastAsia="nl-NL"/>
        </w:rPr>
      </w:pPr>
    </w:p>
    <w:p w14:paraId="6FED7347" w14:textId="77777777" w:rsidR="002122FD" w:rsidRDefault="002122FD" w:rsidP="002122FD">
      <w:pPr>
        <w:spacing w:after="0" w:line="360" w:lineRule="auto"/>
        <w:rPr>
          <w:rFonts w:ascii="Verdana" w:hAnsi="Verdana" w:cs="Times New Roman"/>
          <w:color w:val="000000"/>
          <w:sz w:val="40"/>
          <w:szCs w:val="40"/>
          <w:lang w:eastAsia="nl-NL"/>
        </w:rPr>
      </w:pPr>
    </w:p>
    <w:p w14:paraId="036C5160" w14:textId="77777777" w:rsidR="002122FD" w:rsidRDefault="002122FD" w:rsidP="002122FD">
      <w:pPr>
        <w:spacing w:after="0" w:line="360" w:lineRule="auto"/>
        <w:rPr>
          <w:rFonts w:ascii="Verdana" w:hAnsi="Verdana" w:cs="Times New Roman"/>
          <w:color w:val="000000"/>
          <w:sz w:val="40"/>
          <w:szCs w:val="40"/>
          <w:lang w:eastAsia="nl-NL"/>
        </w:rPr>
      </w:pPr>
    </w:p>
    <w:p w14:paraId="1EAD464E" w14:textId="77777777" w:rsidR="00EA0CDE" w:rsidRDefault="00EA0CDE" w:rsidP="002122FD">
      <w:pPr>
        <w:spacing w:after="0" w:line="360" w:lineRule="auto"/>
        <w:rPr>
          <w:rFonts w:ascii="Verdana" w:hAnsi="Verdana" w:cs="Times New Roman"/>
          <w:color w:val="000000"/>
          <w:sz w:val="40"/>
          <w:szCs w:val="40"/>
          <w:lang w:eastAsia="nl-NL"/>
        </w:rPr>
      </w:pPr>
    </w:p>
    <w:p w14:paraId="786EDD0C" w14:textId="77777777" w:rsidR="00EA0CDE" w:rsidRDefault="00EA0CDE" w:rsidP="002122FD">
      <w:pPr>
        <w:spacing w:after="0" w:line="360" w:lineRule="auto"/>
        <w:rPr>
          <w:rFonts w:ascii="Verdana" w:hAnsi="Verdana" w:cs="Times New Roman"/>
          <w:color w:val="000000"/>
          <w:sz w:val="40"/>
          <w:szCs w:val="40"/>
          <w:lang w:eastAsia="nl-NL"/>
        </w:rPr>
      </w:pPr>
    </w:p>
    <w:p w14:paraId="34934A13" w14:textId="568895FD" w:rsidR="005B611F" w:rsidRDefault="00A94678" w:rsidP="000C62E7">
      <w:pPr>
        <w:spacing w:after="0" w:line="360" w:lineRule="auto"/>
        <w:rPr>
          <w:rFonts w:ascii="Verdana" w:hAnsi="Verdana" w:cs="Times New Roman"/>
          <w:color w:val="000000"/>
          <w:sz w:val="40"/>
          <w:szCs w:val="40"/>
          <w:lang w:eastAsia="nl-NL"/>
        </w:rPr>
      </w:pPr>
      <w:r>
        <w:rPr>
          <w:rFonts w:ascii="Verdana" w:hAnsi="Verdana" w:cs="Times New Roman"/>
          <w:color w:val="000000"/>
          <w:sz w:val="40"/>
          <w:szCs w:val="40"/>
          <w:lang w:eastAsia="nl-NL"/>
        </w:rPr>
        <w:br/>
      </w:r>
      <w:r w:rsidR="005B611F">
        <w:rPr>
          <w:rFonts w:ascii="Verdana" w:hAnsi="Verdana" w:cs="Times New Roman"/>
          <w:color w:val="000000"/>
          <w:sz w:val="40"/>
          <w:szCs w:val="40"/>
          <w:lang w:eastAsia="nl-NL"/>
        </w:rPr>
        <w:t>De gevolgen van het Ouhrami arrest</w:t>
      </w:r>
    </w:p>
    <w:p w14:paraId="2DE01676" w14:textId="222E2346" w:rsidR="000775DB" w:rsidRDefault="00A94678" w:rsidP="00574306">
      <w:pPr>
        <w:spacing w:after="0" w:line="360" w:lineRule="auto"/>
        <w:rPr>
          <w:rFonts w:ascii="Verdana" w:hAnsi="Verdana" w:cs="Times New Roman"/>
          <w:i/>
          <w:color w:val="000000"/>
          <w:sz w:val="24"/>
          <w:szCs w:val="40"/>
          <w:lang w:eastAsia="nl-NL"/>
        </w:rPr>
      </w:pPr>
      <w:r w:rsidRPr="00A94678">
        <w:rPr>
          <w:rFonts w:ascii="Verdana" w:hAnsi="Verdana" w:cs="Times New Roman"/>
          <w:i/>
          <w:color w:val="000000"/>
          <w:sz w:val="24"/>
          <w:szCs w:val="40"/>
          <w:lang w:eastAsia="nl-NL"/>
        </w:rPr>
        <w:t>Een onderzoek</w:t>
      </w:r>
      <w:r>
        <w:rPr>
          <w:rFonts w:ascii="Verdana" w:hAnsi="Verdana" w:cs="Times New Roman"/>
          <w:i/>
          <w:color w:val="000000"/>
          <w:sz w:val="24"/>
          <w:szCs w:val="40"/>
          <w:lang w:eastAsia="nl-NL"/>
        </w:rPr>
        <w:t xml:space="preserve"> naar de gevolgen van het Ouhrami arrest</w:t>
      </w:r>
      <w:r w:rsidR="00F46649">
        <w:rPr>
          <w:rFonts w:ascii="Verdana" w:hAnsi="Verdana" w:cs="Times New Roman"/>
          <w:i/>
          <w:color w:val="000000"/>
          <w:sz w:val="24"/>
          <w:szCs w:val="40"/>
          <w:lang w:eastAsia="nl-NL"/>
        </w:rPr>
        <w:t xml:space="preserve"> voor zowel het </w:t>
      </w:r>
      <w:r w:rsidR="00C93820">
        <w:rPr>
          <w:rFonts w:ascii="Verdana" w:hAnsi="Verdana" w:cs="Times New Roman"/>
          <w:i/>
          <w:color w:val="000000"/>
          <w:sz w:val="24"/>
          <w:szCs w:val="40"/>
          <w:lang w:eastAsia="nl-NL"/>
        </w:rPr>
        <w:t xml:space="preserve">Nederlandse </w:t>
      </w:r>
      <w:r w:rsidR="00F46649">
        <w:rPr>
          <w:rFonts w:ascii="Verdana" w:hAnsi="Verdana" w:cs="Times New Roman"/>
          <w:i/>
          <w:color w:val="000000"/>
          <w:sz w:val="24"/>
          <w:szCs w:val="40"/>
          <w:lang w:eastAsia="nl-NL"/>
        </w:rPr>
        <w:t>vreemdelingenrecht als het strafrecht</w:t>
      </w:r>
      <w:r>
        <w:rPr>
          <w:rFonts w:ascii="Verdana" w:hAnsi="Verdana" w:cs="Times New Roman"/>
          <w:i/>
          <w:color w:val="000000"/>
          <w:sz w:val="24"/>
          <w:szCs w:val="40"/>
          <w:lang w:eastAsia="nl-NL"/>
        </w:rPr>
        <w:t>.</w:t>
      </w:r>
    </w:p>
    <w:p w14:paraId="57B677F1" w14:textId="77777777" w:rsidR="000775DB" w:rsidRDefault="000775DB" w:rsidP="002122FD">
      <w:pPr>
        <w:spacing w:after="0" w:line="360" w:lineRule="auto"/>
        <w:rPr>
          <w:rFonts w:ascii="Verdana" w:hAnsi="Verdana" w:cs="Times New Roman"/>
          <w:i/>
          <w:color w:val="000000"/>
          <w:sz w:val="24"/>
          <w:szCs w:val="40"/>
          <w:lang w:eastAsia="nl-NL"/>
        </w:rPr>
      </w:pPr>
    </w:p>
    <w:p w14:paraId="0E242FC5" w14:textId="77777777" w:rsidR="000775DB" w:rsidRDefault="000775DB" w:rsidP="002122FD">
      <w:pPr>
        <w:spacing w:after="0" w:line="360" w:lineRule="auto"/>
        <w:rPr>
          <w:rFonts w:ascii="Verdana" w:hAnsi="Verdana" w:cs="Times New Roman"/>
          <w:i/>
          <w:color w:val="000000"/>
          <w:sz w:val="24"/>
          <w:szCs w:val="40"/>
          <w:lang w:eastAsia="nl-NL"/>
        </w:rPr>
      </w:pPr>
    </w:p>
    <w:p w14:paraId="1699B99D" w14:textId="77777777" w:rsidR="0050510D" w:rsidRDefault="0050510D" w:rsidP="001D35AC">
      <w:pPr>
        <w:spacing w:after="0" w:line="360" w:lineRule="auto"/>
        <w:rPr>
          <w:rFonts w:ascii="Verdana" w:hAnsi="Verdana" w:cs="Times New Roman"/>
          <w:color w:val="000000"/>
          <w:sz w:val="24"/>
          <w:szCs w:val="28"/>
          <w:lang w:eastAsia="nl-NL"/>
        </w:rPr>
      </w:pPr>
    </w:p>
    <w:p w14:paraId="32AA3C6D" w14:textId="1A5D14E6" w:rsidR="000775DB" w:rsidRPr="005335B0" w:rsidRDefault="000775DB" w:rsidP="0050510D">
      <w:pPr>
        <w:pBdr>
          <w:top w:val="single" w:sz="4" w:space="1" w:color="auto"/>
        </w:pBdr>
        <w:spacing w:after="0" w:line="360" w:lineRule="auto"/>
        <w:rPr>
          <w:rFonts w:ascii="Verdana" w:hAnsi="Verdana" w:cs="Times New Roman"/>
          <w:color w:val="000000"/>
          <w:sz w:val="20"/>
          <w:szCs w:val="28"/>
          <w:lang w:eastAsia="nl-NL"/>
        </w:rPr>
      </w:pPr>
      <w:r w:rsidRPr="0050510D">
        <w:rPr>
          <w:rFonts w:ascii="Verdana" w:hAnsi="Verdana" w:cs="Times New Roman"/>
          <w:color w:val="000000"/>
          <w:sz w:val="24"/>
          <w:szCs w:val="28"/>
          <w:lang w:eastAsia="nl-NL"/>
        </w:rPr>
        <w:br/>
      </w:r>
      <w:r w:rsidRPr="005335B0">
        <w:rPr>
          <w:rFonts w:ascii="Verdana" w:hAnsi="Verdana" w:cs="Times New Roman"/>
          <w:color w:val="000000"/>
          <w:sz w:val="20"/>
          <w:szCs w:val="28"/>
          <w:lang w:eastAsia="nl-NL"/>
        </w:rPr>
        <w:t>Naam:</w:t>
      </w:r>
      <w:r w:rsidRPr="005335B0">
        <w:rPr>
          <w:rFonts w:ascii="Verdana" w:hAnsi="Verdana" w:cs="Times New Roman"/>
          <w:color w:val="000000"/>
          <w:sz w:val="20"/>
          <w:szCs w:val="28"/>
          <w:lang w:eastAsia="nl-NL"/>
        </w:rPr>
        <w:tab/>
      </w:r>
      <w:r w:rsidRPr="005335B0">
        <w:rPr>
          <w:rFonts w:ascii="Verdana" w:hAnsi="Verdana" w:cs="Times New Roman"/>
          <w:color w:val="000000"/>
          <w:sz w:val="20"/>
          <w:szCs w:val="28"/>
          <w:lang w:eastAsia="nl-NL"/>
        </w:rPr>
        <w:tab/>
      </w:r>
      <w:r w:rsidRPr="005335B0">
        <w:rPr>
          <w:rFonts w:ascii="Verdana" w:hAnsi="Verdana" w:cs="Times New Roman"/>
          <w:color w:val="000000"/>
          <w:sz w:val="20"/>
          <w:szCs w:val="28"/>
          <w:lang w:eastAsia="nl-NL"/>
        </w:rPr>
        <w:tab/>
      </w:r>
      <w:r w:rsidR="006E551A">
        <w:rPr>
          <w:rFonts w:ascii="Verdana" w:hAnsi="Verdana" w:cs="Times New Roman"/>
          <w:color w:val="000000"/>
          <w:sz w:val="20"/>
          <w:szCs w:val="28"/>
          <w:lang w:eastAsia="nl-NL"/>
        </w:rPr>
        <w:tab/>
      </w:r>
      <w:r w:rsidR="000C62E7" w:rsidRPr="005335B0">
        <w:rPr>
          <w:rFonts w:ascii="Verdana" w:hAnsi="Verdana" w:cs="Times New Roman"/>
          <w:color w:val="000000"/>
          <w:sz w:val="20"/>
          <w:szCs w:val="28"/>
          <w:lang w:eastAsia="nl-NL"/>
        </w:rPr>
        <w:t>Lejla</w:t>
      </w:r>
      <w:r w:rsidRPr="005335B0">
        <w:rPr>
          <w:rFonts w:ascii="Verdana" w:hAnsi="Verdana" w:cs="Times New Roman"/>
          <w:color w:val="000000"/>
          <w:sz w:val="20"/>
          <w:szCs w:val="28"/>
          <w:lang w:eastAsia="nl-NL"/>
        </w:rPr>
        <w:t xml:space="preserve"> Ibisevic</w:t>
      </w:r>
    </w:p>
    <w:p w14:paraId="10433968" w14:textId="7DFE13C2" w:rsidR="000775DB" w:rsidRPr="005335B0" w:rsidRDefault="000775DB" w:rsidP="002122FD">
      <w:pPr>
        <w:spacing w:after="0" w:line="360" w:lineRule="auto"/>
        <w:rPr>
          <w:rFonts w:ascii="Verdana" w:hAnsi="Verdana" w:cs="Times New Roman"/>
          <w:color w:val="000000"/>
          <w:sz w:val="20"/>
          <w:szCs w:val="28"/>
          <w:lang w:eastAsia="nl-NL"/>
        </w:rPr>
      </w:pPr>
      <w:r w:rsidRPr="005335B0">
        <w:rPr>
          <w:rFonts w:ascii="Verdana" w:hAnsi="Verdana" w:cs="Times New Roman"/>
          <w:color w:val="000000"/>
          <w:sz w:val="20"/>
          <w:szCs w:val="28"/>
          <w:lang w:eastAsia="nl-NL"/>
        </w:rPr>
        <w:t>Studentnummer:</w:t>
      </w:r>
      <w:r w:rsidRPr="005335B0">
        <w:rPr>
          <w:rFonts w:ascii="Verdana" w:hAnsi="Verdana" w:cs="Times New Roman"/>
          <w:color w:val="000000"/>
          <w:sz w:val="20"/>
          <w:szCs w:val="28"/>
          <w:lang w:eastAsia="nl-NL"/>
        </w:rPr>
        <w:tab/>
      </w:r>
      <w:r w:rsidRPr="005335B0">
        <w:rPr>
          <w:rFonts w:ascii="Verdana" w:hAnsi="Verdana" w:cs="Times New Roman"/>
          <w:color w:val="000000"/>
          <w:sz w:val="20"/>
          <w:szCs w:val="28"/>
          <w:lang w:eastAsia="nl-NL"/>
        </w:rPr>
        <w:tab/>
        <w:t>1086938</w:t>
      </w:r>
    </w:p>
    <w:p w14:paraId="1DA76878" w14:textId="7C9B515F" w:rsidR="0050510D" w:rsidRPr="005335B0" w:rsidRDefault="0050510D" w:rsidP="002122FD">
      <w:pPr>
        <w:spacing w:after="0" w:line="360" w:lineRule="auto"/>
        <w:rPr>
          <w:rFonts w:ascii="Verdana" w:hAnsi="Verdana" w:cs="Times New Roman"/>
          <w:color w:val="000000"/>
          <w:sz w:val="20"/>
          <w:szCs w:val="28"/>
          <w:lang w:eastAsia="nl-NL"/>
        </w:rPr>
      </w:pPr>
      <w:r w:rsidRPr="005335B0">
        <w:rPr>
          <w:rFonts w:ascii="Verdana" w:hAnsi="Verdana" w:cs="Times New Roman"/>
          <w:color w:val="000000"/>
          <w:sz w:val="20"/>
          <w:szCs w:val="28"/>
          <w:lang w:eastAsia="nl-NL"/>
        </w:rPr>
        <w:t>Opleiding:</w:t>
      </w:r>
      <w:r w:rsidRPr="005335B0">
        <w:rPr>
          <w:rFonts w:ascii="Verdana" w:hAnsi="Verdana" w:cs="Times New Roman"/>
          <w:color w:val="000000"/>
          <w:sz w:val="20"/>
          <w:szCs w:val="28"/>
          <w:lang w:eastAsia="nl-NL"/>
        </w:rPr>
        <w:tab/>
      </w:r>
      <w:r w:rsidRPr="005335B0">
        <w:rPr>
          <w:rFonts w:ascii="Verdana" w:hAnsi="Verdana" w:cs="Times New Roman"/>
          <w:color w:val="000000"/>
          <w:sz w:val="20"/>
          <w:szCs w:val="28"/>
          <w:lang w:eastAsia="nl-NL"/>
        </w:rPr>
        <w:tab/>
      </w:r>
      <w:r w:rsidRPr="005335B0">
        <w:rPr>
          <w:rFonts w:ascii="Verdana" w:hAnsi="Verdana" w:cs="Times New Roman"/>
          <w:color w:val="000000"/>
          <w:sz w:val="20"/>
          <w:szCs w:val="28"/>
          <w:lang w:eastAsia="nl-NL"/>
        </w:rPr>
        <w:tab/>
        <w:t>HBO-Rechten</w:t>
      </w:r>
    </w:p>
    <w:p w14:paraId="3A5F7F16" w14:textId="7FF76EA7" w:rsidR="0050510D" w:rsidRPr="005335B0" w:rsidRDefault="0050510D" w:rsidP="002122FD">
      <w:pPr>
        <w:spacing w:after="0" w:line="360" w:lineRule="auto"/>
        <w:rPr>
          <w:rFonts w:ascii="Verdana" w:hAnsi="Verdana" w:cs="Times New Roman"/>
          <w:color w:val="000000"/>
          <w:sz w:val="20"/>
          <w:szCs w:val="28"/>
          <w:lang w:eastAsia="nl-NL"/>
        </w:rPr>
      </w:pPr>
      <w:r w:rsidRPr="005335B0">
        <w:rPr>
          <w:rFonts w:ascii="Verdana" w:hAnsi="Verdana" w:cs="Times New Roman"/>
          <w:color w:val="000000"/>
          <w:sz w:val="20"/>
          <w:szCs w:val="28"/>
          <w:lang w:eastAsia="nl-NL"/>
        </w:rPr>
        <w:t>Onderwijsinstelling:</w:t>
      </w:r>
      <w:r w:rsidR="006E551A">
        <w:rPr>
          <w:rFonts w:ascii="Verdana" w:hAnsi="Verdana" w:cs="Times New Roman"/>
          <w:color w:val="000000"/>
          <w:sz w:val="20"/>
          <w:szCs w:val="28"/>
          <w:lang w:eastAsia="nl-NL"/>
        </w:rPr>
        <w:tab/>
      </w:r>
      <w:r w:rsidRPr="005335B0">
        <w:rPr>
          <w:rFonts w:ascii="Verdana" w:hAnsi="Verdana" w:cs="Times New Roman"/>
          <w:color w:val="000000"/>
          <w:sz w:val="20"/>
          <w:szCs w:val="28"/>
          <w:lang w:eastAsia="nl-NL"/>
        </w:rPr>
        <w:tab/>
        <w:t>Hogeschool Leiden</w:t>
      </w:r>
    </w:p>
    <w:p w14:paraId="67E6CE48" w14:textId="525CF839" w:rsidR="000775DB" w:rsidRPr="005335B0" w:rsidRDefault="000775DB" w:rsidP="002122FD">
      <w:pPr>
        <w:spacing w:after="0" w:line="360" w:lineRule="auto"/>
        <w:rPr>
          <w:rFonts w:ascii="Verdana" w:hAnsi="Verdana" w:cs="Times New Roman"/>
          <w:color w:val="000000"/>
          <w:sz w:val="20"/>
          <w:szCs w:val="28"/>
          <w:lang w:eastAsia="nl-NL"/>
        </w:rPr>
      </w:pPr>
      <w:r w:rsidRPr="005335B0">
        <w:rPr>
          <w:rFonts w:ascii="Verdana" w:hAnsi="Verdana" w:cs="Times New Roman"/>
          <w:color w:val="000000"/>
          <w:sz w:val="20"/>
          <w:szCs w:val="28"/>
          <w:lang w:eastAsia="nl-NL"/>
        </w:rPr>
        <w:t>Modulecode:</w:t>
      </w:r>
      <w:r w:rsidRPr="005335B0">
        <w:rPr>
          <w:rFonts w:ascii="Verdana" w:hAnsi="Verdana" w:cs="Times New Roman"/>
          <w:color w:val="000000"/>
          <w:sz w:val="20"/>
          <w:szCs w:val="28"/>
          <w:lang w:eastAsia="nl-NL"/>
        </w:rPr>
        <w:tab/>
      </w:r>
      <w:r w:rsidRPr="005335B0">
        <w:rPr>
          <w:rFonts w:ascii="Verdana" w:hAnsi="Verdana" w:cs="Times New Roman"/>
          <w:color w:val="000000"/>
          <w:sz w:val="20"/>
          <w:szCs w:val="28"/>
          <w:lang w:eastAsia="nl-NL"/>
        </w:rPr>
        <w:tab/>
      </w:r>
      <w:r w:rsidR="006E551A">
        <w:rPr>
          <w:rFonts w:ascii="Verdana" w:hAnsi="Verdana" w:cs="Times New Roman"/>
          <w:color w:val="000000"/>
          <w:sz w:val="20"/>
          <w:szCs w:val="28"/>
          <w:lang w:eastAsia="nl-NL"/>
        </w:rPr>
        <w:tab/>
      </w:r>
      <w:r w:rsidRPr="00B707E8">
        <w:rPr>
          <w:rFonts w:ascii="Verdana" w:hAnsi="Verdana" w:cs="Times New Roman"/>
          <w:color w:val="000000"/>
          <w:sz w:val="20"/>
          <w:szCs w:val="28"/>
          <w:lang w:eastAsia="nl-NL"/>
        </w:rPr>
        <w:t>HBR-AS17-AS</w:t>
      </w:r>
    </w:p>
    <w:p w14:paraId="6B44C86D" w14:textId="0465DDE7" w:rsidR="00717F04" w:rsidRPr="005335B0" w:rsidRDefault="00717F04" w:rsidP="002122FD">
      <w:pPr>
        <w:spacing w:after="0" w:line="360" w:lineRule="auto"/>
        <w:rPr>
          <w:rFonts w:ascii="Verdana" w:hAnsi="Verdana" w:cs="Times New Roman"/>
          <w:color w:val="000000"/>
          <w:sz w:val="20"/>
          <w:szCs w:val="28"/>
          <w:lang w:eastAsia="nl-NL"/>
        </w:rPr>
      </w:pPr>
      <w:r w:rsidRPr="005335B0">
        <w:rPr>
          <w:rFonts w:ascii="Verdana" w:hAnsi="Verdana" w:cs="Times New Roman"/>
          <w:color w:val="000000"/>
          <w:sz w:val="20"/>
          <w:szCs w:val="28"/>
          <w:lang w:eastAsia="nl-NL"/>
        </w:rPr>
        <w:t>Opdrachtgever:</w:t>
      </w:r>
      <w:r w:rsidRPr="005335B0">
        <w:rPr>
          <w:rFonts w:ascii="Verdana" w:hAnsi="Verdana" w:cs="Times New Roman"/>
          <w:color w:val="000000"/>
          <w:sz w:val="20"/>
          <w:szCs w:val="28"/>
          <w:lang w:eastAsia="nl-NL"/>
        </w:rPr>
        <w:tab/>
      </w:r>
      <w:r w:rsidRPr="005335B0">
        <w:rPr>
          <w:rFonts w:ascii="Verdana" w:hAnsi="Verdana" w:cs="Times New Roman"/>
          <w:color w:val="000000"/>
          <w:sz w:val="20"/>
          <w:szCs w:val="28"/>
          <w:lang w:eastAsia="nl-NL"/>
        </w:rPr>
        <w:tab/>
        <w:t>Schoneveld Vennik Van der Klaauw Advocaten</w:t>
      </w:r>
    </w:p>
    <w:p w14:paraId="48C9E513" w14:textId="57E31008" w:rsidR="00717F04" w:rsidRPr="005335B0" w:rsidRDefault="00717F04" w:rsidP="002122FD">
      <w:pPr>
        <w:spacing w:after="0" w:line="360" w:lineRule="auto"/>
        <w:rPr>
          <w:rFonts w:ascii="Verdana" w:hAnsi="Verdana" w:cs="Times New Roman"/>
          <w:color w:val="000000"/>
          <w:sz w:val="20"/>
          <w:szCs w:val="28"/>
          <w:lang w:eastAsia="nl-NL"/>
        </w:rPr>
      </w:pPr>
      <w:r w:rsidRPr="005335B0">
        <w:rPr>
          <w:rFonts w:ascii="Verdana" w:hAnsi="Verdana" w:cs="Times New Roman"/>
          <w:color w:val="000000"/>
          <w:sz w:val="20"/>
          <w:szCs w:val="28"/>
          <w:lang w:eastAsia="nl-NL"/>
        </w:rPr>
        <w:tab/>
      </w:r>
      <w:r w:rsidRPr="005335B0">
        <w:rPr>
          <w:rFonts w:ascii="Verdana" w:hAnsi="Verdana" w:cs="Times New Roman"/>
          <w:color w:val="000000"/>
          <w:sz w:val="20"/>
          <w:szCs w:val="28"/>
          <w:lang w:eastAsia="nl-NL"/>
        </w:rPr>
        <w:tab/>
      </w:r>
      <w:r w:rsidRPr="005335B0">
        <w:rPr>
          <w:rFonts w:ascii="Verdana" w:hAnsi="Verdana" w:cs="Times New Roman"/>
          <w:color w:val="000000"/>
          <w:sz w:val="20"/>
          <w:szCs w:val="28"/>
          <w:lang w:eastAsia="nl-NL"/>
        </w:rPr>
        <w:tab/>
      </w:r>
      <w:r w:rsidRPr="005335B0">
        <w:rPr>
          <w:rFonts w:ascii="Verdana" w:hAnsi="Verdana" w:cs="Times New Roman"/>
          <w:color w:val="000000"/>
          <w:sz w:val="20"/>
          <w:szCs w:val="28"/>
          <w:lang w:eastAsia="nl-NL"/>
        </w:rPr>
        <w:tab/>
        <w:t>Mw. mr. M.I. Vennik</w:t>
      </w:r>
    </w:p>
    <w:p w14:paraId="2270AE7F" w14:textId="53AB90C7" w:rsidR="00717F04" w:rsidRPr="005335B0" w:rsidRDefault="00717F04" w:rsidP="002122FD">
      <w:pPr>
        <w:spacing w:after="0" w:line="360" w:lineRule="auto"/>
        <w:rPr>
          <w:rFonts w:ascii="Verdana" w:hAnsi="Verdana" w:cs="Times New Roman"/>
          <w:color w:val="000000"/>
          <w:sz w:val="20"/>
          <w:szCs w:val="28"/>
          <w:lang w:eastAsia="nl-NL"/>
        </w:rPr>
      </w:pPr>
      <w:r w:rsidRPr="005335B0">
        <w:rPr>
          <w:rFonts w:ascii="Verdana" w:hAnsi="Verdana" w:cs="Times New Roman"/>
          <w:color w:val="000000"/>
          <w:sz w:val="20"/>
          <w:szCs w:val="28"/>
          <w:lang w:eastAsia="nl-NL"/>
        </w:rPr>
        <w:t>Afstudeerbegeleider:</w:t>
      </w:r>
      <w:r w:rsidR="006E551A">
        <w:rPr>
          <w:rFonts w:ascii="Verdana" w:hAnsi="Verdana" w:cs="Times New Roman"/>
          <w:color w:val="000000"/>
          <w:sz w:val="20"/>
          <w:szCs w:val="28"/>
          <w:lang w:eastAsia="nl-NL"/>
        </w:rPr>
        <w:tab/>
      </w:r>
      <w:r w:rsidRPr="005335B0">
        <w:rPr>
          <w:rFonts w:ascii="Verdana" w:hAnsi="Verdana" w:cs="Times New Roman"/>
          <w:color w:val="000000"/>
          <w:sz w:val="20"/>
          <w:szCs w:val="28"/>
          <w:lang w:eastAsia="nl-NL"/>
        </w:rPr>
        <w:tab/>
        <w:t>Dhr. mr. S. Kok</w:t>
      </w:r>
    </w:p>
    <w:p w14:paraId="6D074AAF" w14:textId="77DDF59C" w:rsidR="00717F04" w:rsidRPr="005335B0" w:rsidRDefault="00717F04" w:rsidP="002122FD">
      <w:pPr>
        <w:spacing w:after="0" w:line="360" w:lineRule="auto"/>
        <w:rPr>
          <w:rFonts w:ascii="Verdana" w:hAnsi="Verdana" w:cs="Times New Roman"/>
          <w:color w:val="000000"/>
          <w:sz w:val="20"/>
          <w:szCs w:val="28"/>
          <w:lang w:eastAsia="nl-NL"/>
        </w:rPr>
      </w:pPr>
      <w:r w:rsidRPr="005335B0">
        <w:rPr>
          <w:rFonts w:ascii="Verdana" w:hAnsi="Verdana" w:cs="Times New Roman"/>
          <w:color w:val="000000"/>
          <w:sz w:val="20"/>
          <w:szCs w:val="28"/>
          <w:lang w:eastAsia="nl-NL"/>
        </w:rPr>
        <w:t>Onderzoeksdocent:</w:t>
      </w:r>
      <w:r w:rsidRPr="005335B0">
        <w:rPr>
          <w:rFonts w:ascii="Verdana" w:hAnsi="Verdana" w:cs="Times New Roman"/>
          <w:color w:val="000000"/>
          <w:sz w:val="20"/>
          <w:szCs w:val="28"/>
          <w:lang w:eastAsia="nl-NL"/>
        </w:rPr>
        <w:tab/>
      </w:r>
      <w:r w:rsidR="006E551A">
        <w:rPr>
          <w:rFonts w:ascii="Verdana" w:hAnsi="Verdana" w:cs="Times New Roman"/>
          <w:color w:val="000000"/>
          <w:sz w:val="20"/>
          <w:szCs w:val="28"/>
          <w:lang w:eastAsia="nl-NL"/>
        </w:rPr>
        <w:tab/>
      </w:r>
      <w:r w:rsidRPr="005335B0">
        <w:rPr>
          <w:rFonts w:ascii="Verdana" w:hAnsi="Verdana" w:cs="Times New Roman"/>
          <w:color w:val="000000"/>
          <w:sz w:val="20"/>
          <w:szCs w:val="28"/>
          <w:lang w:eastAsia="nl-NL"/>
        </w:rPr>
        <w:t>Dhr. mr. M. Verstuijf</w:t>
      </w:r>
    </w:p>
    <w:p w14:paraId="7C8F0AAE" w14:textId="22726E04" w:rsidR="0050510D" w:rsidRPr="005335B0" w:rsidRDefault="00717F04" w:rsidP="002122FD">
      <w:pPr>
        <w:spacing w:after="0" w:line="360" w:lineRule="auto"/>
        <w:rPr>
          <w:rFonts w:ascii="Verdana" w:hAnsi="Verdana" w:cs="Times New Roman"/>
          <w:color w:val="000000"/>
          <w:sz w:val="20"/>
          <w:szCs w:val="28"/>
          <w:lang w:eastAsia="nl-NL"/>
        </w:rPr>
      </w:pPr>
      <w:r w:rsidRPr="005335B0">
        <w:rPr>
          <w:rFonts w:ascii="Verdana" w:hAnsi="Verdana" w:cs="Times New Roman"/>
          <w:color w:val="000000"/>
          <w:sz w:val="20"/>
          <w:szCs w:val="28"/>
          <w:lang w:eastAsia="nl-NL"/>
        </w:rPr>
        <w:t>Inleverdatum:</w:t>
      </w:r>
      <w:r w:rsidRPr="005335B0">
        <w:rPr>
          <w:rFonts w:ascii="Verdana" w:hAnsi="Verdana" w:cs="Times New Roman"/>
          <w:color w:val="000000"/>
          <w:sz w:val="20"/>
          <w:szCs w:val="28"/>
          <w:lang w:eastAsia="nl-NL"/>
        </w:rPr>
        <w:tab/>
      </w:r>
      <w:r w:rsidRPr="005335B0">
        <w:rPr>
          <w:rFonts w:ascii="Verdana" w:hAnsi="Verdana" w:cs="Times New Roman"/>
          <w:color w:val="000000"/>
          <w:sz w:val="20"/>
          <w:szCs w:val="28"/>
          <w:lang w:eastAsia="nl-NL"/>
        </w:rPr>
        <w:tab/>
        <w:t>13 juni 2018</w:t>
      </w:r>
    </w:p>
    <w:p w14:paraId="1BE5015B" w14:textId="77777777" w:rsidR="008228AD" w:rsidRDefault="008228AD" w:rsidP="008228AD">
      <w:pPr>
        <w:spacing w:after="0" w:line="360" w:lineRule="auto"/>
        <w:rPr>
          <w:rFonts w:ascii="Verdana" w:eastAsia="Times New Roman" w:hAnsi="Verdana" w:cs="Arial"/>
          <w:i/>
          <w:color w:val="464646"/>
          <w:sz w:val="21"/>
          <w:szCs w:val="21"/>
          <w:shd w:val="clear" w:color="auto" w:fill="FFFFFF"/>
          <w:lang w:eastAsia="nl-NL"/>
        </w:rPr>
      </w:pPr>
    </w:p>
    <w:p w14:paraId="3B71CFEF" w14:textId="77777777" w:rsidR="008228AD" w:rsidRDefault="008228AD" w:rsidP="008228AD">
      <w:pPr>
        <w:spacing w:after="0" w:line="360" w:lineRule="auto"/>
        <w:rPr>
          <w:rFonts w:ascii="Verdana" w:eastAsia="Times New Roman" w:hAnsi="Verdana" w:cs="Arial"/>
          <w:i/>
          <w:color w:val="464646"/>
          <w:sz w:val="21"/>
          <w:szCs w:val="21"/>
          <w:shd w:val="clear" w:color="auto" w:fill="FFFFFF"/>
          <w:lang w:eastAsia="nl-NL"/>
        </w:rPr>
      </w:pPr>
    </w:p>
    <w:p w14:paraId="1842CF6E" w14:textId="77777777" w:rsidR="008228AD" w:rsidRDefault="008228AD" w:rsidP="008228AD">
      <w:pPr>
        <w:spacing w:after="0" w:line="360" w:lineRule="auto"/>
        <w:rPr>
          <w:rFonts w:ascii="Verdana" w:eastAsia="Times New Roman" w:hAnsi="Verdana" w:cs="Arial"/>
          <w:i/>
          <w:color w:val="464646"/>
          <w:sz w:val="21"/>
          <w:szCs w:val="21"/>
          <w:shd w:val="clear" w:color="auto" w:fill="FFFFFF"/>
          <w:lang w:eastAsia="nl-NL"/>
        </w:rPr>
      </w:pPr>
    </w:p>
    <w:p w14:paraId="561C6D00" w14:textId="77777777" w:rsidR="008228AD" w:rsidRDefault="008228AD" w:rsidP="008228AD">
      <w:pPr>
        <w:spacing w:after="0" w:line="360" w:lineRule="auto"/>
        <w:rPr>
          <w:rFonts w:ascii="Verdana" w:eastAsia="Times New Roman" w:hAnsi="Verdana" w:cs="Arial"/>
          <w:i/>
          <w:color w:val="464646"/>
          <w:sz w:val="21"/>
          <w:szCs w:val="21"/>
          <w:shd w:val="clear" w:color="auto" w:fill="FFFFFF"/>
          <w:lang w:eastAsia="nl-NL"/>
        </w:rPr>
      </w:pPr>
    </w:p>
    <w:p w14:paraId="1B8E8220" w14:textId="77777777" w:rsidR="008228AD" w:rsidRDefault="008228AD" w:rsidP="008228AD">
      <w:pPr>
        <w:spacing w:after="0" w:line="360" w:lineRule="auto"/>
        <w:rPr>
          <w:rFonts w:ascii="Verdana" w:eastAsia="Times New Roman" w:hAnsi="Verdana" w:cs="Arial"/>
          <w:i/>
          <w:color w:val="464646"/>
          <w:sz w:val="21"/>
          <w:szCs w:val="21"/>
          <w:shd w:val="clear" w:color="auto" w:fill="FFFFFF"/>
          <w:lang w:eastAsia="nl-NL"/>
        </w:rPr>
      </w:pPr>
    </w:p>
    <w:p w14:paraId="4522D965" w14:textId="77777777" w:rsidR="008228AD" w:rsidRDefault="008228AD" w:rsidP="008228AD">
      <w:pPr>
        <w:spacing w:after="0" w:line="360" w:lineRule="auto"/>
        <w:rPr>
          <w:rFonts w:ascii="Verdana" w:eastAsia="Times New Roman" w:hAnsi="Verdana" w:cs="Arial"/>
          <w:i/>
          <w:color w:val="464646"/>
          <w:sz w:val="21"/>
          <w:szCs w:val="21"/>
          <w:shd w:val="clear" w:color="auto" w:fill="FFFFFF"/>
          <w:lang w:eastAsia="nl-NL"/>
        </w:rPr>
      </w:pPr>
    </w:p>
    <w:p w14:paraId="64FAD460" w14:textId="77777777" w:rsidR="008228AD" w:rsidRDefault="008228AD" w:rsidP="008228AD">
      <w:pPr>
        <w:spacing w:after="0" w:line="360" w:lineRule="auto"/>
        <w:rPr>
          <w:rFonts w:ascii="Verdana" w:eastAsia="Times New Roman" w:hAnsi="Verdana" w:cs="Arial"/>
          <w:i/>
          <w:color w:val="464646"/>
          <w:sz w:val="21"/>
          <w:szCs w:val="21"/>
          <w:shd w:val="clear" w:color="auto" w:fill="FFFFFF"/>
          <w:lang w:eastAsia="nl-NL"/>
        </w:rPr>
      </w:pPr>
    </w:p>
    <w:p w14:paraId="05B25B2B" w14:textId="77777777" w:rsidR="008228AD" w:rsidRDefault="008228AD" w:rsidP="008228AD">
      <w:pPr>
        <w:spacing w:after="0" w:line="360" w:lineRule="auto"/>
        <w:rPr>
          <w:rFonts w:ascii="Verdana" w:eastAsia="Times New Roman" w:hAnsi="Verdana" w:cs="Arial"/>
          <w:i/>
          <w:color w:val="464646"/>
          <w:sz w:val="21"/>
          <w:szCs w:val="21"/>
          <w:shd w:val="clear" w:color="auto" w:fill="FFFFFF"/>
          <w:lang w:eastAsia="nl-NL"/>
        </w:rPr>
      </w:pPr>
    </w:p>
    <w:p w14:paraId="02B3F72B" w14:textId="77777777" w:rsidR="00E00CE3" w:rsidRDefault="00E00CE3" w:rsidP="008228AD">
      <w:pPr>
        <w:spacing w:after="0" w:line="360" w:lineRule="auto"/>
        <w:rPr>
          <w:rFonts w:ascii="Verdana" w:eastAsia="Times New Roman" w:hAnsi="Verdana" w:cs="Arial"/>
          <w:i/>
          <w:color w:val="464646"/>
          <w:sz w:val="21"/>
          <w:szCs w:val="21"/>
          <w:shd w:val="clear" w:color="auto" w:fill="FFFFFF"/>
          <w:lang w:eastAsia="nl-NL"/>
        </w:rPr>
      </w:pPr>
    </w:p>
    <w:p w14:paraId="26603081" w14:textId="77777777" w:rsidR="008228AD" w:rsidRDefault="008228AD" w:rsidP="008228AD">
      <w:pPr>
        <w:spacing w:after="0" w:line="360" w:lineRule="auto"/>
        <w:rPr>
          <w:rFonts w:ascii="Verdana" w:eastAsia="Times New Roman" w:hAnsi="Verdana" w:cs="Arial"/>
          <w:i/>
          <w:color w:val="464646"/>
          <w:sz w:val="21"/>
          <w:szCs w:val="21"/>
          <w:shd w:val="clear" w:color="auto" w:fill="FFFFFF"/>
          <w:lang w:eastAsia="nl-NL"/>
        </w:rPr>
      </w:pPr>
    </w:p>
    <w:p w14:paraId="53317AF6" w14:textId="77777777" w:rsidR="008228AD" w:rsidRPr="005B75C3" w:rsidRDefault="008228AD" w:rsidP="008228AD">
      <w:pPr>
        <w:spacing w:after="0" w:line="360" w:lineRule="auto"/>
        <w:rPr>
          <w:rFonts w:ascii="Verdana" w:eastAsia="Times New Roman" w:hAnsi="Verdana" w:cs="Arial"/>
          <w:i/>
          <w:color w:val="808080" w:themeColor="background1" w:themeShade="80"/>
          <w:sz w:val="21"/>
          <w:szCs w:val="21"/>
          <w:shd w:val="clear" w:color="auto" w:fill="FFFFFF"/>
          <w:lang w:eastAsia="nl-NL"/>
        </w:rPr>
      </w:pPr>
    </w:p>
    <w:p w14:paraId="2C470EC1" w14:textId="77777777" w:rsidR="008228AD" w:rsidRPr="005B75C3" w:rsidRDefault="008228AD" w:rsidP="008228AD">
      <w:pPr>
        <w:spacing w:after="0" w:line="360" w:lineRule="auto"/>
        <w:rPr>
          <w:rFonts w:ascii="Verdana" w:eastAsia="Times New Roman" w:hAnsi="Verdana" w:cs="Arial"/>
          <w:i/>
          <w:sz w:val="21"/>
          <w:szCs w:val="21"/>
          <w:shd w:val="clear" w:color="auto" w:fill="FFFFFF"/>
          <w:lang w:eastAsia="nl-NL"/>
        </w:rPr>
      </w:pPr>
    </w:p>
    <w:p w14:paraId="3D0DBE5B" w14:textId="77777777" w:rsidR="008228AD" w:rsidRPr="005B75C3" w:rsidRDefault="008228AD" w:rsidP="008228AD">
      <w:pPr>
        <w:spacing w:after="0" w:line="360" w:lineRule="auto"/>
        <w:rPr>
          <w:rFonts w:ascii="Verdana" w:eastAsia="Times New Roman" w:hAnsi="Verdana" w:cs="Arial"/>
          <w:i/>
          <w:sz w:val="21"/>
          <w:szCs w:val="21"/>
          <w:shd w:val="clear" w:color="auto" w:fill="FFFFFF"/>
          <w:lang w:eastAsia="nl-NL"/>
        </w:rPr>
      </w:pPr>
    </w:p>
    <w:p w14:paraId="3B880D59" w14:textId="77777777" w:rsidR="00175702" w:rsidRDefault="00175702">
      <w:pPr>
        <w:spacing w:after="0" w:line="240" w:lineRule="auto"/>
        <w:rPr>
          <w:rFonts w:ascii="Verdana" w:eastAsia="Times New Roman" w:hAnsi="Verdana" w:cs="Arial"/>
          <w:i/>
          <w:sz w:val="21"/>
          <w:szCs w:val="21"/>
          <w:shd w:val="clear" w:color="auto" w:fill="FFFFFF"/>
          <w:lang w:eastAsia="nl-NL"/>
        </w:rPr>
      </w:pPr>
      <w:r>
        <w:rPr>
          <w:rFonts w:ascii="Verdana" w:eastAsia="Times New Roman" w:hAnsi="Verdana" w:cs="Arial"/>
          <w:i/>
          <w:sz w:val="21"/>
          <w:szCs w:val="21"/>
          <w:shd w:val="clear" w:color="auto" w:fill="FFFFFF"/>
          <w:lang w:eastAsia="nl-NL"/>
        </w:rPr>
        <w:br w:type="page"/>
      </w:r>
    </w:p>
    <w:p w14:paraId="6D74D11E" w14:textId="77777777" w:rsidR="00175702" w:rsidRDefault="00175702" w:rsidP="008228AD">
      <w:pPr>
        <w:spacing w:after="0" w:line="360" w:lineRule="auto"/>
        <w:rPr>
          <w:rFonts w:ascii="Verdana" w:eastAsia="Times New Roman" w:hAnsi="Verdana" w:cs="Arial"/>
          <w:i/>
          <w:sz w:val="21"/>
          <w:szCs w:val="21"/>
          <w:shd w:val="clear" w:color="auto" w:fill="FFFFFF"/>
          <w:lang w:eastAsia="nl-NL"/>
        </w:rPr>
      </w:pPr>
    </w:p>
    <w:p w14:paraId="3587582C" w14:textId="77777777" w:rsidR="00175702" w:rsidRDefault="00175702" w:rsidP="008228AD">
      <w:pPr>
        <w:spacing w:after="0" w:line="360" w:lineRule="auto"/>
        <w:rPr>
          <w:rFonts w:ascii="Verdana" w:eastAsia="Times New Roman" w:hAnsi="Verdana" w:cs="Arial"/>
          <w:i/>
          <w:sz w:val="21"/>
          <w:szCs w:val="21"/>
          <w:shd w:val="clear" w:color="auto" w:fill="FFFFFF"/>
          <w:lang w:eastAsia="nl-NL"/>
        </w:rPr>
      </w:pPr>
    </w:p>
    <w:p w14:paraId="244E5598" w14:textId="77777777" w:rsidR="00175702" w:rsidRDefault="00175702" w:rsidP="008228AD">
      <w:pPr>
        <w:spacing w:after="0" w:line="360" w:lineRule="auto"/>
        <w:rPr>
          <w:rFonts w:ascii="Verdana" w:eastAsia="Times New Roman" w:hAnsi="Verdana" w:cs="Arial"/>
          <w:i/>
          <w:sz w:val="21"/>
          <w:szCs w:val="21"/>
          <w:shd w:val="clear" w:color="auto" w:fill="FFFFFF"/>
          <w:lang w:eastAsia="nl-NL"/>
        </w:rPr>
      </w:pPr>
    </w:p>
    <w:p w14:paraId="6C36783D" w14:textId="77777777" w:rsidR="00175702" w:rsidRDefault="00175702" w:rsidP="008228AD">
      <w:pPr>
        <w:spacing w:after="0" w:line="360" w:lineRule="auto"/>
        <w:rPr>
          <w:rFonts w:ascii="Verdana" w:eastAsia="Times New Roman" w:hAnsi="Verdana" w:cs="Arial"/>
          <w:i/>
          <w:sz w:val="21"/>
          <w:szCs w:val="21"/>
          <w:shd w:val="clear" w:color="auto" w:fill="FFFFFF"/>
          <w:lang w:eastAsia="nl-NL"/>
        </w:rPr>
      </w:pPr>
    </w:p>
    <w:p w14:paraId="00AFBC11" w14:textId="77777777" w:rsidR="00175702" w:rsidRDefault="00175702" w:rsidP="008228AD">
      <w:pPr>
        <w:spacing w:after="0" w:line="360" w:lineRule="auto"/>
        <w:rPr>
          <w:rFonts w:ascii="Verdana" w:eastAsia="Times New Roman" w:hAnsi="Verdana" w:cs="Arial"/>
          <w:i/>
          <w:sz w:val="21"/>
          <w:szCs w:val="21"/>
          <w:shd w:val="clear" w:color="auto" w:fill="FFFFFF"/>
          <w:lang w:eastAsia="nl-NL"/>
        </w:rPr>
      </w:pPr>
    </w:p>
    <w:p w14:paraId="70CE8E0C" w14:textId="77777777" w:rsidR="00175702" w:rsidRDefault="00175702" w:rsidP="008228AD">
      <w:pPr>
        <w:spacing w:after="0" w:line="360" w:lineRule="auto"/>
        <w:rPr>
          <w:rFonts w:ascii="Verdana" w:eastAsia="Times New Roman" w:hAnsi="Verdana" w:cs="Arial"/>
          <w:i/>
          <w:sz w:val="21"/>
          <w:szCs w:val="21"/>
          <w:shd w:val="clear" w:color="auto" w:fill="FFFFFF"/>
          <w:lang w:eastAsia="nl-NL"/>
        </w:rPr>
      </w:pPr>
    </w:p>
    <w:p w14:paraId="3F2C5334" w14:textId="77777777" w:rsidR="00175702" w:rsidRDefault="00175702" w:rsidP="008228AD">
      <w:pPr>
        <w:spacing w:after="0" w:line="360" w:lineRule="auto"/>
        <w:rPr>
          <w:rFonts w:ascii="Verdana" w:eastAsia="Times New Roman" w:hAnsi="Verdana" w:cs="Arial"/>
          <w:i/>
          <w:sz w:val="21"/>
          <w:szCs w:val="21"/>
          <w:shd w:val="clear" w:color="auto" w:fill="FFFFFF"/>
          <w:lang w:eastAsia="nl-NL"/>
        </w:rPr>
      </w:pPr>
    </w:p>
    <w:p w14:paraId="2280C60A" w14:textId="77777777" w:rsidR="00175702" w:rsidRDefault="00175702" w:rsidP="008228AD">
      <w:pPr>
        <w:spacing w:after="0" w:line="360" w:lineRule="auto"/>
        <w:rPr>
          <w:rFonts w:ascii="Verdana" w:eastAsia="Times New Roman" w:hAnsi="Verdana" w:cs="Arial"/>
          <w:i/>
          <w:sz w:val="21"/>
          <w:szCs w:val="21"/>
          <w:shd w:val="clear" w:color="auto" w:fill="FFFFFF"/>
          <w:lang w:eastAsia="nl-NL"/>
        </w:rPr>
      </w:pPr>
    </w:p>
    <w:p w14:paraId="413A206F" w14:textId="77777777" w:rsidR="00175702" w:rsidRDefault="00175702" w:rsidP="008228AD">
      <w:pPr>
        <w:spacing w:after="0" w:line="360" w:lineRule="auto"/>
        <w:rPr>
          <w:rFonts w:ascii="Verdana" w:eastAsia="Times New Roman" w:hAnsi="Verdana" w:cs="Arial"/>
          <w:i/>
          <w:sz w:val="21"/>
          <w:szCs w:val="21"/>
          <w:shd w:val="clear" w:color="auto" w:fill="FFFFFF"/>
          <w:lang w:eastAsia="nl-NL"/>
        </w:rPr>
      </w:pPr>
    </w:p>
    <w:p w14:paraId="6DFB2201" w14:textId="77777777" w:rsidR="00175702" w:rsidRDefault="00175702" w:rsidP="008228AD">
      <w:pPr>
        <w:spacing w:after="0" w:line="360" w:lineRule="auto"/>
        <w:rPr>
          <w:rFonts w:ascii="Verdana" w:eastAsia="Times New Roman" w:hAnsi="Verdana" w:cs="Arial"/>
          <w:i/>
          <w:sz w:val="21"/>
          <w:szCs w:val="21"/>
          <w:shd w:val="clear" w:color="auto" w:fill="FFFFFF"/>
          <w:lang w:eastAsia="nl-NL"/>
        </w:rPr>
      </w:pPr>
    </w:p>
    <w:p w14:paraId="56547ED7" w14:textId="77777777" w:rsidR="00175702" w:rsidRDefault="00175702" w:rsidP="008228AD">
      <w:pPr>
        <w:spacing w:after="0" w:line="360" w:lineRule="auto"/>
        <w:rPr>
          <w:rFonts w:ascii="Verdana" w:eastAsia="Times New Roman" w:hAnsi="Verdana" w:cs="Arial"/>
          <w:i/>
          <w:sz w:val="21"/>
          <w:szCs w:val="21"/>
          <w:shd w:val="clear" w:color="auto" w:fill="FFFFFF"/>
          <w:lang w:eastAsia="nl-NL"/>
        </w:rPr>
      </w:pPr>
    </w:p>
    <w:p w14:paraId="0292EF54" w14:textId="77777777" w:rsidR="00175702" w:rsidRPr="00713EDC" w:rsidRDefault="00175702" w:rsidP="00713EDC">
      <w:pPr>
        <w:spacing w:after="0" w:line="360" w:lineRule="auto"/>
        <w:rPr>
          <w:rFonts w:ascii="Verdana" w:eastAsia="Times New Roman" w:hAnsi="Verdana" w:cs="Arial"/>
          <w:i/>
          <w:sz w:val="18"/>
          <w:szCs w:val="21"/>
          <w:shd w:val="clear" w:color="auto" w:fill="FFFFFF"/>
          <w:lang w:eastAsia="nl-NL"/>
        </w:rPr>
      </w:pPr>
    </w:p>
    <w:p w14:paraId="59F4083C" w14:textId="77777777" w:rsidR="00175702" w:rsidRPr="00713EDC" w:rsidRDefault="00175702" w:rsidP="00713EDC">
      <w:pPr>
        <w:spacing w:after="0" w:line="360" w:lineRule="auto"/>
        <w:rPr>
          <w:rFonts w:ascii="Verdana" w:eastAsia="Times New Roman" w:hAnsi="Verdana" w:cs="Arial"/>
          <w:i/>
          <w:sz w:val="18"/>
          <w:szCs w:val="21"/>
          <w:shd w:val="clear" w:color="auto" w:fill="FFFFFF"/>
          <w:lang w:eastAsia="nl-NL"/>
        </w:rPr>
      </w:pPr>
    </w:p>
    <w:p w14:paraId="1CBEB340" w14:textId="3DE5FF83" w:rsidR="008228AD" w:rsidRPr="00713EDC" w:rsidRDefault="001720C6" w:rsidP="00713EDC">
      <w:pPr>
        <w:spacing w:after="0" w:line="360" w:lineRule="auto"/>
        <w:rPr>
          <w:rFonts w:ascii="Verdana" w:eastAsia="Times New Roman" w:hAnsi="Verdana" w:cs="Arial"/>
          <w:sz w:val="18"/>
          <w:szCs w:val="21"/>
          <w:shd w:val="clear" w:color="auto" w:fill="FFFFFF"/>
          <w:lang w:eastAsia="nl-NL"/>
        </w:rPr>
      </w:pPr>
      <w:r w:rsidRPr="00713EDC">
        <w:rPr>
          <w:rFonts w:ascii="Verdana" w:eastAsia="Times New Roman" w:hAnsi="Verdana" w:cs="Arial"/>
          <w:i/>
          <w:sz w:val="18"/>
          <w:szCs w:val="21"/>
          <w:shd w:val="clear" w:color="auto" w:fill="FFFFFF"/>
          <w:lang w:eastAsia="nl-NL"/>
        </w:rPr>
        <w:t>‘</w:t>
      </w:r>
      <w:r w:rsidR="008228AD" w:rsidRPr="00713EDC">
        <w:rPr>
          <w:rFonts w:ascii="Verdana" w:eastAsia="Times New Roman" w:hAnsi="Verdana" w:cs="Arial"/>
          <w:i/>
          <w:sz w:val="18"/>
          <w:szCs w:val="21"/>
          <w:shd w:val="clear" w:color="auto" w:fill="FFFFFF"/>
          <w:lang w:eastAsia="nl-NL"/>
        </w:rPr>
        <w:t>‘Inmiddels is eigenlijk het gehele migratierecht Unierecht</w:t>
      </w:r>
      <w:r w:rsidRPr="00713EDC">
        <w:rPr>
          <w:rFonts w:ascii="Verdana" w:eastAsia="Times New Roman" w:hAnsi="Verdana" w:cs="Arial"/>
          <w:i/>
          <w:sz w:val="18"/>
          <w:szCs w:val="21"/>
          <w:shd w:val="clear" w:color="auto" w:fill="FFFFFF"/>
          <w:lang w:eastAsia="nl-NL"/>
        </w:rPr>
        <w:t>.</w:t>
      </w:r>
      <w:r w:rsidR="008228AD" w:rsidRPr="00713EDC">
        <w:rPr>
          <w:rFonts w:ascii="Verdana" w:eastAsia="Times New Roman" w:hAnsi="Verdana" w:cs="Arial"/>
          <w:i/>
          <w:sz w:val="18"/>
          <w:szCs w:val="21"/>
          <w:shd w:val="clear" w:color="auto" w:fill="FFFFFF"/>
          <w:lang w:eastAsia="nl-NL"/>
        </w:rPr>
        <w:t>’</w:t>
      </w:r>
      <w:r w:rsidRPr="00713EDC">
        <w:rPr>
          <w:rFonts w:ascii="Verdana" w:eastAsia="Times New Roman" w:hAnsi="Verdana" w:cs="Arial"/>
          <w:i/>
          <w:sz w:val="18"/>
          <w:szCs w:val="21"/>
          <w:shd w:val="clear" w:color="auto" w:fill="FFFFFF"/>
          <w:lang w:eastAsia="nl-NL"/>
        </w:rPr>
        <w:t>’</w:t>
      </w:r>
      <w:r w:rsidR="008228AD" w:rsidRPr="00713EDC">
        <w:rPr>
          <w:rFonts w:ascii="Verdana" w:eastAsia="Times New Roman" w:hAnsi="Verdana" w:cs="Arial"/>
          <w:sz w:val="18"/>
          <w:szCs w:val="21"/>
          <w:shd w:val="clear" w:color="auto" w:fill="FFFFFF"/>
          <w:lang w:eastAsia="nl-NL"/>
        </w:rPr>
        <w:t xml:space="preserve"> - Nico Verheij, voorzitter van de Vreemdelingenkamer van de Afdeling</w:t>
      </w:r>
      <w:r w:rsidR="009260A4" w:rsidRPr="00713EDC">
        <w:rPr>
          <w:rFonts w:ascii="Verdana" w:eastAsia="Times New Roman" w:hAnsi="Verdana" w:cs="Arial"/>
          <w:sz w:val="18"/>
          <w:szCs w:val="21"/>
          <w:shd w:val="clear" w:color="auto" w:fill="FFFFFF"/>
          <w:lang w:eastAsia="nl-NL"/>
        </w:rPr>
        <w:t xml:space="preserve"> Bestuursrechtspraak van de Raad van State</w:t>
      </w:r>
      <w:r w:rsidR="008228AD" w:rsidRPr="00713EDC">
        <w:rPr>
          <w:rFonts w:ascii="Verdana" w:eastAsia="Times New Roman" w:hAnsi="Verdana" w:cs="Arial"/>
          <w:sz w:val="18"/>
          <w:szCs w:val="21"/>
          <w:shd w:val="clear" w:color="auto" w:fill="FFFFFF"/>
          <w:lang w:eastAsia="nl-NL"/>
        </w:rPr>
        <w:t>, in een interview in A&amp;MR 2017, nr. 3.</w:t>
      </w:r>
    </w:p>
    <w:p w14:paraId="6262B847" w14:textId="77777777" w:rsidR="008228AD" w:rsidRPr="005B75C3" w:rsidRDefault="008228AD" w:rsidP="008228AD">
      <w:pPr>
        <w:spacing w:after="0" w:line="360" w:lineRule="auto"/>
        <w:rPr>
          <w:rFonts w:ascii="Verdana" w:eastAsia="Times New Roman" w:hAnsi="Verdana" w:cs="Arial"/>
          <w:color w:val="808080" w:themeColor="background1" w:themeShade="80"/>
          <w:sz w:val="21"/>
          <w:szCs w:val="21"/>
          <w:shd w:val="clear" w:color="auto" w:fill="FFFFFF"/>
          <w:lang w:eastAsia="nl-NL"/>
        </w:rPr>
      </w:pPr>
    </w:p>
    <w:p w14:paraId="004469CB" w14:textId="77777777" w:rsidR="008228AD" w:rsidRDefault="008228AD" w:rsidP="008228AD">
      <w:pPr>
        <w:spacing w:after="0" w:line="360" w:lineRule="auto"/>
        <w:rPr>
          <w:rFonts w:ascii="Verdana" w:eastAsia="Times New Roman" w:hAnsi="Verdana" w:cs="Arial"/>
          <w:color w:val="464646"/>
          <w:sz w:val="21"/>
          <w:szCs w:val="21"/>
          <w:shd w:val="clear" w:color="auto" w:fill="FFFFFF"/>
          <w:lang w:eastAsia="nl-NL"/>
        </w:rPr>
      </w:pPr>
    </w:p>
    <w:p w14:paraId="5B9B36BC" w14:textId="77777777" w:rsidR="008228AD" w:rsidRDefault="008228AD" w:rsidP="008228AD">
      <w:pPr>
        <w:spacing w:after="0" w:line="360" w:lineRule="auto"/>
        <w:rPr>
          <w:rFonts w:ascii="Verdana" w:eastAsia="Times New Roman" w:hAnsi="Verdana" w:cs="Arial"/>
          <w:color w:val="464646"/>
          <w:sz w:val="21"/>
          <w:szCs w:val="21"/>
          <w:shd w:val="clear" w:color="auto" w:fill="FFFFFF"/>
          <w:lang w:eastAsia="nl-NL"/>
        </w:rPr>
      </w:pPr>
    </w:p>
    <w:p w14:paraId="6C8FA7A8" w14:textId="77777777" w:rsidR="008228AD" w:rsidRDefault="008228AD" w:rsidP="008228AD">
      <w:pPr>
        <w:spacing w:after="0" w:line="360" w:lineRule="auto"/>
        <w:rPr>
          <w:rFonts w:ascii="Verdana" w:eastAsia="Times New Roman" w:hAnsi="Verdana" w:cs="Arial"/>
          <w:color w:val="464646"/>
          <w:sz w:val="21"/>
          <w:szCs w:val="21"/>
          <w:shd w:val="clear" w:color="auto" w:fill="FFFFFF"/>
          <w:lang w:eastAsia="nl-NL"/>
        </w:rPr>
      </w:pPr>
    </w:p>
    <w:p w14:paraId="5E1FCCB1" w14:textId="77777777" w:rsidR="008228AD" w:rsidRDefault="008228AD" w:rsidP="008228AD">
      <w:pPr>
        <w:spacing w:after="0" w:line="360" w:lineRule="auto"/>
        <w:rPr>
          <w:rFonts w:ascii="Verdana" w:eastAsia="Times New Roman" w:hAnsi="Verdana" w:cs="Arial"/>
          <w:color w:val="464646"/>
          <w:sz w:val="21"/>
          <w:szCs w:val="21"/>
          <w:shd w:val="clear" w:color="auto" w:fill="FFFFFF"/>
          <w:lang w:eastAsia="nl-NL"/>
        </w:rPr>
      </w:pPr>
    </w:p>
    <w:p w14:paraId="04FC9B77" w14:textId="77777777" w:rsidR="008228AD" w:rsidRDefault="008228AD" w:rsidP="008228AD">
      <w:pPr>
        <w:spacing w:after="0" w:line="360" w:lineRule="auto"/>
        <w:rPr>
          <w:rFonts w:ascii="Verdana" w:eastAsia="Times New Roman" w:hAnsi="Verdana" w:cs="Arial"/>
          <w:color w:val="464646"/>
          <w:sz w:val="21"/>
          <w:szCs w:val="21"/>
          <w:shd w:val="clear" w:color="auto" w:fill="FFFFFF"/>
          <w:lang w:eastAsia="nl-NL"/>
        </w:rPr>
      </w:pPr>
    </w:p>
    <w:p w14:paraId="69E4CCB1" w14:textId="77777777" w:rsidR="008228AD" w:rsidRDefault="008228AD" w:rsidP="008228AD">
      <w:pPr>
        <w:spacing w:after="0" w:line="360" w:lineRule="auto"/>
        <w:rPr>
          <w:rFonts w:ascii="Verdana" w:eastAsia="Times New Roman" w:hAnsi="Verdana" w:cs="Arial"/>
          <w:color w:val="464646"/>
          <w:sz w:val="21"/>
          <w:szCs w:val="21"/>
          <w:shd w:val="clear" w:color="auto" w:fill="FFFFFF"/>
          <w:lang w:eastAsia="nl-NL"/>
        </w:rPr>
      </w:pPr>
    </w:p>
    <w:p w14:paraId="098D7F71" w14:textId="77777777" w:rsidR="008228AD" w:rsidRDefault="008228AD" w:rsidP="008228AD">
      <w:pPr>
        <w:spacing w:after="0" w:line="360" w:lineRule="auto"/>
        <w:rPr>
          <w:rFonts w:ascii="Verdana" w:eastAsia="Times New Roman" w:hAnsi="Verdana" w:cs="Arial"/>
          <w:color w:val="464646"/>
          <w:sz w:val="21"/>
          <w:szCs w:val="21"/>
          <w:shd w:val="clear" w:color="auto" w:fill="FFFFFF"/>
          <w:lang w:eastAsia="nl-NL"/>
        </w:rPr>
      </w:pPr>
    </w:p>
    <w:p w14:paraId="145EBD10" w14:textId="77777777" w:rsidR="008228AD" w:rsidRDefault="008228AD" w:rsidP="008228AD">
      <w:pPr>
        <w:spacing w:after="0" w:line="360" w:lineRule="auto"/>
        <w:rPr>
          <w:rFonts w:ascii="Verdana" w:eastAsia="Times New Roman" w:hAnsi="Verdana" w:cs="Arial"/>
          <w:color w:val="464646"/>
          <w:sz w:val="21"/>
          <w:szCs w:val="21"/>
          <w:shd w:val="clear" w:color="auto" w:fill="FFFFFF"/>
          <w:lang w:eastAsia="nl-NL"/>
        </w:rPr>
      </w:pPr>
    </w:p>
    <w:p w14:paraId="1187CC55" w14:textId="77777777" w:rsidR="008228AD" w:rsidRDefault="008228AD" w:rsidP="008228AD">
      <w:pPr>
        <w:spacing w:after="0" w:line="360" w:lineRule="auto"/>
        <w:rPr>
          <w:rFonts w:ascii="Verdana" w:eastAsia="Times New Roman" w:hAnsi="Verdana" w:cs="Arial"/>
          <w:color w:val="464646"/>
          <w:sz w:val="21"/>
          <w:szCs w:val="21"/>
          <w:shd w:val="clear" w:color="auto" w:fill="FFFFFF"/>
          <w:lang w:eastAsia="nl-NL"/>
        </w:rPr>
      </w:pPr>
    </w:p>
    <w:p w14:paraId="21B6913A" w14:textId="77777777" w:rsidR="008228AD" w:rsidRDefault="008228AD" w:rsidP="008228AD">
      <w:pPr>
        <w:spacing w:after="0" w:line="360" w:lineRule="auto"/>
        <w:rPr>
          <w:rFonts w:ascii="Verdana" w:eastAsia="Times New Roman" w:hAnsi="Verdana" w:cs="Arial"/>
          <w:color w:val="464646"/>
          <w:sz w:val="21"/>
          <w:szCs w:val="21"/>
          <w:shd w:val="clear" w:color="auto" w:fill="FFFFFF"/>
          <w:lang w:eastAsia="nl-NL"/>
        </w:rPr>
      </w:pPr>
    </w:p>
    <w:p w14:paraId="73EE2852" w14:textId="77777777" w:rsidR="008228AD" w:rsidRDefault="008228AD" w:rsidP="008228AD">
      <w:pPr>
        <w:spacing w:after="0" w:line="360" w:lineRule="auto"/>
        <w:rPr>
          <w:rFonts w:ascii="Verdana" w:eastAsia="Times New Roman" w:hAnsi="Verdana" w:cs="Arial"/>
          <w:color w:val="464646"/>
          <w:sz w:val="21"/>
          <w:szCs w:val="21"/>
          <w:shd w:val="clear" w:color="auto" w:fill="FFFFFF"/>
          <w:lang w:eastAsia="nl-NL"/>
        </w:rPr>
      </w:pPr>
    </w:p>
    <w:p w14:paraId="128DD238" w14:textId="77777777" w:rsidR="008228AD" w:rsidRDefault="008228AD" w:rsidP="008228AD">
      <w:pPr>
        <w:spacing w:after="0" w:line="360" w:lineRule="auto"/>
        <w:rPr>
          <w:rFonts w:ascii="Verdana" w:eastAsia="Times New Roman" w:hAnsi="Verdana" w:cs="Arial"/>
          <w:color w:val="464646"/>
          <w:sz w:val="21"/>
          <w:szCs w:val="21"/>
          <w:shd w:val="clear" w:color="auto" w:fill="FFFFFF"/>
          <w:lang w:eastAsia="nl-NL"/>
        </w:rPr>
      </w:pPr>
    </w:p>
    <w:p w14:paraId="65C66EB5" w14:textId="77777777" w:rsidR="008228AD" w:rsidRDefault="008228AD" w:rsidP="008228AD">
      <w:pPr>
        <w:spacing w:after="0" w:line="360" w:lineRule="auto"/>
        <w:rPr>
          <w:rFonts w:ascii="Verdana" w:eastAsia="Times New Roman" w:hAnsi="Verdana" w:cs="Arial"/>
          <w:color w:val="464646"/>
          <w:sz w:val="21"/>
          <w:szCs w:val="21"/>
          <w:shd w:val="clear" w:color="auto" w:fill="FFFFFF"/>
          <w:lang w:eastAsia="nl-NL"/>
        </w:rPr>
      </w:pPr>
    </w:p>
    <w:p w14:paraId="0891F0B8" w14:textId="77777777" w:rsidR="008228AD" w:rsidRDefault="008228AD" w:rsidP="008228AD">
      <w:pPr>
        <w:spacing w:after="0" w:line="360" w:lineRule="auto"/>
        <w:rPr>
          <w:rFonts w:ascii="Verdana" w:eastAsia="Times New Roman" w:hAnsi="Verdana" w:cs="Arial"/>
          <w:color w:val="464646"/>
          <w:sz w:val="21"/>
          <w:szCs w:val="21"/>
          <w:shd w:val="clear" w:color="auto" w:fill="FFFFFF"/>
          <w:lang w:eastAsia="nl-NL"/>
        </w:rPr>
      </w:pPr>
    </w:p>
    <w:p w14:paraId="61CC89F3" w14:textId="77777777" w:rsidR="008228AD" w:rsidRDefault="008228AD" w:rsidP="008228AD">
      <w:pPr>
        <w:spacing w:after="0" w:line="360" w:lineRule="auto"/>
        <w:rPr>
          <w:rFonts w:ascii="Verdana" w:eastAsia="Times New Roman" w:hAnsi="Verdana" w:cs="Arial"/>
          <w:color w:val="464646"/>
          <w:sz w:val="21"/>
          <w:szCs w:val="21"/>
          <w:shd w:val="clear" w:color="auto" w:fill="FFFFFF"/>
          <w:lang w:eastAsia="nl-NL"/>
        </w:rPr>
      </w:pPr>
    </w:p>
    <w:p w14:paraId="7ED51793" w14:textId="77777777" w:rsidR="008228AD" w:rsidRDefault="008228AD" w:rsidP="008228AD">
      <w:pPr>
        <w:spacing w:after="0" w:line="360" w:lineRule="auto"/>
        <w:rPr>
          <w:rFonts w:ascii="Verdana" w:eastAsia="Times New Roman" w:hAnsi="Verdana" w:cs="Arial"/>
          <w:color w:val="464646"/>
          <w:sz w:val="21"/>
          <w:szCs w:val="21"/>
          <w:shd w:val="clear" w:color="auto" w:fill="FFFFFF"/>
          <w:lang w:eastAsia="nl-NL"/>
        </w:rPr>
      </w:pPr>
    </w:p>
    <w:p w14:paraId="4FF65C9C" w14:textId="77777777" w:rsidR="008228AD" w:rsidRDefault="008228AD" w:rsidP="008228AD">
      <w:pPr>
        <w:spacing w:after="0" w:line="360" w:lineRule="auto"/>
        <w:rPr>
          <w:rFonts w:ascii="Verdana" w:eastAsia="Times New Roman" w:hAnsi="Verdana" w:cs="Arial"/>
          <w:color w:val="464646"/>
          <w:sz w:val="21"/>
          <w:szCs w:val="21"/>
          <w:shd w:val="clear" w:color="auto" w:fill="FFFFFF"/>
          <w:lang w:eastAsia="nl-NL"/>
        </w:rPr>
      </w:pPr>
    </w:p>
    <w:p w14:paraId="394BB067" w14:textId="77777777" w:rsidR="008228AD" w:rsidRDefault="008228AD" w:rsidP="008228AD">
      <w:pPr>
        <w:spacing w:after="0" w:line="360" w:lineRule="auto"/>
        <w:rPr>
          <w:rFonts w:ascii="Verdana" w:eastAsia="Times New Roman" w:hAnsi="Verdana" w:cs="Arial"/>
          <w:color w:val="464646"/>
          <w:sz w:val="21"/>
          <w:szCs w:val="21"/>
          <w:shd w:val="clear" w:color="auto" w:fill="FFFFFF"/>
          <w:lang w:eastAsia="nl-NL"/>
        </w:rPr>
      </w:pPr>
    </w:p>
    <w:p w14:paraId="27BB3031" w14:textId="77777777" w:rsidR="008228AD" w:rsidRDefault="008228AD" w:rsidP="008228AD">
      <w:pPr>
        <w:spacing w:after="0" w:line="360" w:lineRule="auto"/>
        <w:rPr>
          <w:rFonts w:ascii="Verdana" w:eastAsia="Times New Roman" w:hAnsi="Verdana" w:cs="Arial"/>
          <w:color w:val="464646"/>
          <w:sz w:val="21"/>
          <w:szCs w:val="21"/>
          <w:shd w:val="clear" w:color="auto" w:fill="FFFFFF"/>
          <w:lang w:eastAsia="nl-NL"/>
        </w:rPr>
      </w:pPr>
    </w:p>
    <w:p w14:paraId="2A77BE26" w14:textId="77777777" w:rsidR="008228AD" w:rsidRDefault="008228AD">
      <w:pPr>
        <w:spacing w:after="0" w:line="240" w:lineRule="auto"/>
        <w:rPr>
          <w:rFonts w:ascii="Verdana" w:hAnsi="Verdana"/>
          <w:b/>
          <w:sz w:val="18"/>
          <w:szCs w:val="18"/>
        </w:rPr>
      </w:pPr>
      <w:r>
        <w:rPr>
          <w:rFonts w:ascii="Verdana" w:hAnsi="Verdana"/>
          <w:b/>
          <w:sz w:val="18"/>
          <w:szCs w:val="18"/>
        </w:rPr>
        <w:br w:type="page"/>
      </w:r>
    </w:p>
    <w:p w14:paraId="75385997" w14:textId="77777777" w:rsidR="00175702" w:rsidRDefault="00175702">
      <w:pPr>
        <w:spacing w:after="0" w:line="240" w:lineRule="auto"/>
        <w:rPr>
          <w:rFonts w:ascii="Verdana" w:hAnsi="Verdana"/>
          <w:b/>
          <w:sz w:val="18"/>
          <w:szCs w:val="18"/>
        </w:rPr>
      </w:pPr>
      <w:r>
        <w:rPr>
          <w:rFonts w:ascii="Verdana" w:hAnsi="Verdana"/>
          <w:b/>
          <w:sz w:val="18"/>
          <w:szCs w:val="18"/>
        </w:rPr>
        <w:lastRenderedPageBreak/>
        <w:br w:type="page"/>
      </w:r>
    </w:p>
    <w:p w14:paraId="7B8C0199" w14:textId="77777777" w:rsidR="00560F1D" w:rsidRDefault="00560F1D" w:rsidP="00560F1D">
      <w:pPr>
        <w:pBdr>
          <w:bottom w:val="single" w:sz="4" w:space="1" w:color="auto"/>
        </w:pBdr>
        <w:spacing w:after="0" w:line="360" w:lineRule="auto"/>
        <w:jc w:val="both"/>
        <w:rPr>
          <w:rFonts w:ascii="Verdana" w:hAnsi="Verdana"/>
          <w:b/>
          <w:sz w:val="18"/>
          <w:szCs w:val="18"/>
        </w:rPr>
      </w:pPr>
      <w:r w:rsidRPr="00FC2F91">
        <w:rPr>
          <w:rFonts w:ascii="Verdana" w:hAnsi="Verdana"/>
          <w:b/>
          <w:sz w:val="18"/>
          <w:szCs w:val="18"/>
        </w:rPr>
        <w:lastRenderedPageBreak/>
        <w:t>Voorwoord</w:t>
      </w:r>
    </w:p>
    <w:p w14:paraId="4526501B" w14:textId="77777777" w:rsidR="00560F1D" w:rsidRDefault="00560F1D" w:rsidP="00560F1D">
      <w:pPr>
        <w:spacing w:after="0" w:line="360" w:lineRule="auto"/>
        <w:jc w:val="both"/>
        <w:rPr>
          <w:rFonts w:ascii="Verdana" w:hAnsi="Verdana"/>
          <w:b/>
          <w:sz w:val="18"/>
          <w:szCs w:val="18"/>
        </w:rPr>
      </w:pPr>
    </w:p>
    <w:p w14:paraId="69DBE9A8" w14:textId="78BA7896" w:rsidR="00560F1D" w:rsidRDefault="00560F1D" w:rsidP="00560F1D">
      <w:pPr>
        <w:spacing w:after="0" w:line="360" w:lineRule="auto"/>
        <w:jc w:val="both"/>
        <w:rPr>
          <w:rFonts w:ascii="Verdana" w:hAnsi="Verdana"/>
          <w:sz w:val="18"/>
          <w:szCs w:val="18"/>
        </w:rPr>
      </w:pPr>
      <w:r>
        <w:rPr>
          <w:rFonts w:ascii="Verdana" w:hAnsi="Verdana"/>
          <w:sz w:val="18"/>
          <w:szCs w:val="18"/>
        </w:rPr>
        <w:t>Voor u ligt het afstudeeronderzoek dat ik heb geschreven in het kader van de afronding van mijn opleiding HBO-Rechten aan de Hogeschool Leiden. Dit rapport is het meest waardevolle sluitstuk van mijn studie en ik heb hier de afgelopen maanden met veel passie en plezier</w:t>
      </w:r>
      <w:r w:rsidR="00F840FA">
        <w:rPr>
          <w:rFonts w:ascii="Verdana" w:hAnsi="Verdana"/>
          <w:sz w:val="18"/>
          <w:szCs w:val="18"/>
        </w:rPr>
        <w:t xml:space="preserve"> aan </w:t>
      </w:r>
      <w:r w:rsidR="00962029">
        <w:rPr>
          <w:rFonts w:ascii="Verdana" w:hAnsi="Verdana"/>
          <w:sz w:val="18"/>
          <w:szCs w:val="18"/>
        </w:rPr>
        <w:t>gewerkt</w:t>
      </w:r>
      <w:r>
        <w:rPr>
          <w:rFonts w:ascii="Verdana" w:hAnsi="Verdana"/>
          <w:sz w:val="18"/>
          <w:szCs w:val="18"/>
        </w:rPr>
        <w:t xml:space="preserve">. Met grote dank aan Schoneveld Vennik Van der Klaauw advocaten heb ik mijzelf de afgelopen twee jaren bezig mogen houden met verscheidene onderwerpen binnen het vreemdelingenrecht en het strafrecht. Het is dus geen toeval dat mijn afstudeeronderzoek zich richt tot beide rechtsgebieden. </w:t>
      </w:r>
    </w:p>
    <w:p w14:paraId="349FC7AB" w14:textId="77777777" w:rsidR="00560F1D" w:rsidRDefault="00560F1D" w:rsidP="00560F1D">
      <w:pPr>
        <w:spacing w:after="0" w:line="360" w:lineRule="auto"/>
        <w:jc w:val="both"/>
        <w:rPr>
          <w:rFonts w:ascii="Verdana" w:hAnsi="Verdana"/>
          <w:sz w:val="18"/>
          <w:szCs w:val="18"/>
        </w:rPr>
      </w:pPr>
    </w:p>
    <w:p w14:paraId="70BBCBB3" w14:textId="1366999A" w:rsidR="00560F1D" w:rsidRDefault="00BA10A4" w:rsidP="00560F1D">
      <w:pPr>
        <w:spacing w:after="0" w:line="360" w:lineRule="auto"/>
        <w:jc w:val="both"/>
        <w:rPr>
          <w:rFonts w:ascii="Verdana" w:hAnsi="Verdana"/>
          <w:sz w:val="18"/>
          <w:szCs w:val="18"/>
        </w:rPr>
      </w:pPr>
      <w:r>
        <w:rPr>
          <w:rFonts w:ascii="Verdana" w:hAnsi="Verdana"/>
          <w:sz w:val="18"/>
          <w:szCs w:val="18"/>
        </w:rPr>
        <w:t xml:space="preserve">Dit onderzoek zou </w:t>
      </w:r>
      <w:r w:rsidR="00560F1D">
        <w:rPr>
          <w:rFonts w:ascii="Verdana" w:hAnsi="Verdana"/>
          <w:sz w:val="18"/>
          <w:szCs w:val="18"/>
        </w:rPr>
        <w:t xml:space="preserve">niet tot stand zijn gekomen zonder de hulp van anderen. Bij dezen wens ik dan ook mijn dank uit te spreken aan enkele personen. Allereerst dank ik mijn opdrachtgever Schoneveld Vennik Van der Klaauw advocaten voor het voortdurende vertrouwen en de kansen die zij mij geven. In het bijzonder wens ik mevrouw mr. M.I. (Margot) Vennik te bedanken voor onder meer haar betrokkenheid en ondersteuning gedurende dit gehele proces. Daarbij dank ik haar voor het feit dat zij mij kennis heeft laten maken met dit zeer specifieke onderwerp en mij de nodige kansen heeft geboden om het meeste uit dit onderzoek te kunnen halen. Zij motiveert mij dagelijks op veel gebieden en mede door haar groeit mijn passie voor het advocatenvak iedere dag.  </w:t>
      </w:r>
    </w:p>
    <w:p w14:paraId="6F829766" w14:textId="77777777" w:rsidR="00560F1D" w:rsidRDefault="00560F1D" w:rsidP="00560F1D">
      <w:pPr>
        <w:spacing w:after="0" w:line="360" w:lineRule="auto"/>
        <w:jc w:val="both"/>
        <w:rPr>
          <w:rFonts w:ascii="Verdana" w:hAnsi="Verdana"/>
          <w:sz w:val="18"/>
          <w:szCs w:val="18"/>
        </w:rPr>
      </w:pPr>
    </w:p>
    <w:p w14:paraId="58249BF4" w14:textId="73C9CD9C" w:rsidR="0076720E" w:rsidRDefault="00560F1D" w:rsidP="0076720E">
      <w:pPr>
        <w:spacing w:after="0" w:line="360" w:lineRule="auto"/>
        <w:jc w:val="both"/>
        <w:rPr>
          <w:rFonts w:ascii="Verdana" w:hAnsi="Verdana"/>
          <w:sz w:val="18"/>
          <w:szCs w:val="18"/>
        </w:rPr>
      </w:pPr>
      <w:r>
        <w:rPr>
          <w:rFonts w:ascii="Verdana" w:hAnsi="Verdana"/>
          <w:sz w:val="18"/>
          <w:szCs w:val="18"/>
        </w:rPr>
        <w:t xml:space="preserve">Mijn dank gaat daarnaast uit naar mijn afstudeerbegeleider, de heer mr. S. (Stefan) Kok, die door zijn deskundigheid op onder </w:t>
      </w:r>
      <w:r w:rsidR="00CE35D6">
        <w:rPr>
          <w:rFonts w:ascii="Verdana" w:hAnsi="Verdana"/>
          <w:sz w:val="18"/>
          <w:szCs w:val="18"/>
        </w:rPr>
        <w:t>meer</w:t>
      </w:r>
      <w:r>
        <w:rPr>
          <w:rFonts w:ascii="Verdana" w:hAnsi="Verdana"/>
          <w:sz w:val="18"/>
          <w:szCs w:val="18"/>
        </w:rPr>
        <w:t xml:space="preserve"> het gebied </w:t>
      </w:r>
      <w:r w:rsidR="00CE35D6">
        <w:rPr>
          <w:rFonts w:ascii="Verdana" w:hAnsi="Verdana"/>
          <w:sz w:val="18"/>
          <w:szCs w:val="18"/>
        </w:rPr>
        <w:t xml:space="preserve">van </w:t>
      </w:r>
      <w:r>
        <w:rPr>
          <w:rFonts w:ascii="Verdana" w:hAnsi="Verdana"/>
          <w:sz w:val="18"/>
          <w:szCs w:val="18"/>
        </w:rPr>
        <w:t xml:space="preserve">Europees </w:t>
      </w:r>
      <w:r w:rsidR="00CE35D6">
        <w:rPr>
          <w:rFonts w:ascii="Verdana" w:hAnsi="Verdana"/>
          <w:sz w:val="18"/>
          <w:szCs w:val="18"/>
        </w:rPr>
        <w:t>immigratie</w:t>
      </w:r>
      <w:r>
        <w:rPr>
          <w:rFonts w:ascii="Verdana" w:hAnsi="Verdana"/>
          <w:sz w:val="18"/>
          <w:szCs w:val="18"/>
        </w:rPr>
        <w:t xml:space="preserve">recht te allen tijde met een kritische blik naar mijn afstudeeronderzoek heeft kunnen kijken. Ondanks het gecompliceerde karakter van het onderwerp heeft hij mij op alle vlakken </w:t>
      </w:r>
      <w:r w:rsidR="00CE35D6">
        <w:rPr>
          <w:rFonts w:ascii="Verdana" w:hAnsi="Verdana"/>
          <w:sz w:val="18"/>
          <w:szCs w:val="18"/>
        </w:rPr>
        <w:t>goed</w:t>
      </w:r>
      <w:r>
        <w:rPr>
          <w:rFonts w:ascii="Verdana" w:hAnsi="Verdana"/>
          <w:sz w:val="18"/>
          <w:szCs w:val="18"/>
        </w:rPr>
        <w:t xml:space="preserve"> </w:t>
      </w:r>
      <w:r w:rsidR="00A82545">
        <w:rPr>
          <w:rFonts w:ascii="Verdana" w:hAnsi="Verdana"/>
          <w:sz w:val="18"/>
          <w:szCs w:val="18"/>
        </w:rPr>
        <w:t xml:space="preserve">begeleid </w:t>
      </w:r>
      <w:r>
        <w:rPr>
          <w:rFonts w:ascii="Verdana" w:hAnsi="Verdana"/>
          <w:sz w:val="18"/>
          <w:szCs w:val="18"/>
        </w:rPr>
        <w:t>en was hij hierbij zeer betrokken. Ik heb veel gehad aan zijn kennis, scherpzinnige blik en bemoedigende woorden.</w:t>
      </w:r>
      <w:r w:rsidR="0076720E" w:rsidRPr="0076720E">
        <w:rPr>
          <w:rFonts w:ascii="Verdana" w:hAnsi="Verdana"/>
          <w:sz w:val="18"/>
          <w:szCs w:val="18"/>
        </w:rPr>
        <w:t xml:space="preserve"> </w:t>
      </w:r>
    </w:p>
    <w:p w14:paraId="30DC024A" w14:textId="77777777" w:rsidR="0076720E" w:rsidRDefault="0076720E" w:rsidP="0076720E">
      <w:pPr>
        <w:spacing w:after="0" w:line="360" w:lineRule="auto"/>
        <w:jc w:val="both"/>
        <w:rPr>
          <w:rFonts w:ascii="Verdana" w:hAnsi="Verdana"/>
          <w:sz w:val="18"/>
          <w:szCs w:val="18"/>
        </w:rPr>
      </w:pPr>
    </w:p>
    <w:p w14:paraId="49BD5043" w14:textId="77777777" w:rsidR="0076720E" w:rsidRDefault="00560F1D" w:rsidP="0076720E">
      <w:pPr>
        <w:spacing w:after="0" w:line="360" w:lineRule="auto"/>
        <w:jc w:val="both"/>
        <w:rPr>
          <w:rFonts w:ascii="Verdana" w:hAnsi="Verdana"/>
          <w:sz w:val="18"/>
          <w:szCs w:val="18"/>
        </w:rPr>
      </w:pPr>
      <w:r>
        <w:rPr>
          <w:rFonts w:ascii="Verdana" w:hAnsi="Verdana"/>
          <w:sz w:val="18"/>
          <w:szCs w:val="18"/>
        </w:rPr>
        <w:t xml:space="preserve">Ten slotte wil ik mijn moeder bedanken voor haar eeuwige wijsheid en kracht. Zij heeft mij geleerd wat doorzettingsvermogen is en ik ben haar voor altijd dankbaar. </w:t>
      </w:r>
    </w:p>
    <w:p w14:paraId="05B196F4" w14:textId="304CAD44" w:rsidR="0076720E" w:rsidRDefault="0076720E" w:rsidP="0076720E">
      <w:pPr>
        <w:spacing w:after="0" w:line="360" w:lineRule="auto"/>
        <w:jc w:val="both"/>
        <w:rPr>
          <w:rFonts w:ascii="Verdana" w:hAnsi="Verdana"/>
          <w:sz w:val="18"/>
          <w:szCs w:val="18"/>
        </w:rPr>
      </w:pPr>
    </w:p>
    <w:p w14:paraId="5746C416" w14:textId="089FD6F5" w:rsidR="00560F1D" w:rsidRPr="0076720E" w:rsidRDefault="00560F1D" w:rsidP="0076720E">
      <w:pPr>
        <w:spacing w:line="360" w:lineRule="auto"/>
        <w:jc w:val="both"/>
        <w:rPr>
          <w:rFonts w:ascii="Verdana" w:hAnsi="Verdana"/>
          <w:sz w:val="18"/>
          <w:szCs w:val="18"/>
        </w:rPr>
      </w:pPr>
      <w:r>
        <w:rPr>
          <w:rFonts w:ascii="Verdana" w:hAnsi="Verdana"/>
          <w:color w:val="000000"/>
          <w:sz w:val="18"/>
          <w:szCs w:val="18"/>
        </w:rPr>
        <w:t>Ik wens u veel leesplezier toe.</w:t>
      </w:r>
    </w:p>
    <w:p w14:paraId="50DD6C43" w14:textId="77777777" w:rsidR="00560F1D" w:rsidRDefault="00560F1D" w:rsidP="00560F1D">
      <w:pPr>
        <w:spacing w:line="360" w:lineRule="auto"/>
        <w:rPr>
          <w:rFonts w:ascii="Calibri" w:hAnsi="Calibri"/>
          <w:color w:val="000000"/>
        </w:rPr>
      </w:pPr>
    </w:p>
    <w:p w14:paraId="598F323C" w14:textId="77777777" w:rsidR="00560F1D" w:rsidRDefault="00560F1D" w:rsidP="00560F1D">
      <w:pPr>
        <w:spacing w:line="360" w:lineRule="auto"/>
        <w:rPr>
          <w:rFonts w:ascii="Calibri" w:hAnsi="Calibri"/>
          <w:color w:val="000000"/>
        </w:rPr>
      </w:pPr>
      <w:r>
        <w:rPr>
          <w:rFonts w:ascii="Verdana" w:hAnsi="Verdana"/>
          <w:color w:val="000000"/>
          <w:sz w:val="18"/>
          <w:szCs w:val="18"/>
        </w:rPr>
        <w:t>Lejla Ibisevic</w:t>
      </w:r>
    </w:p>
    <w:p w14:paraId="65871737" w14:textId="77777777" w:rsidR="00560F1D" w:rsidRDefault="00560F1D" w:rsidP="00560F1D">
      <w:pPr>
        <w:spacing w:line="360" w:lineRule="auto"/>
        <w:rPr>
          <w:rFonts w:ascii="Calibri" w:hAnsi="Calibri"/>
          <w:color w:val="000000"/>
        </w:rPr>
      </w:pPr>
      <w:r>
        <w:rPr>
          <w:rFonts w:ascii="Verdana" w:hAnsi="Verdana"/>
          <w:color w:val="000000"/>
          <w:sz w:val="18"/>
          <w:szCs w:val="18"/>
        </w:rPr>
        <w:t>Haarlem, 13 juni 2018</w:t>
      </w:r>
    </w:p>
    <w:p w14:paraId="0A9276A5" w14:textId="77777777" w:rsidR="00560F1D" w:rsidRDefault="00560F1D" w:rsidP="00560F1D">
      <w:pPr>
        <w:spacing w:line="330" w:lineRule="atLeast"/>
        <w:rPr>
          <w:rFonts w:ascii="Calibri" w:hAnsi="Calibri"/>
          <w:color w:val="000000"/>
        </w:rPr>
      </w:pPr>
      <w:r>
        <w:rPr>
          <w:rFonts w:ascii="Verdana" w:hAnsi="Verdana"/>
          <w:color w:val="000000"/>
          <w:sz w:val="18"/>
          <w:szCs w:val="18"/>
        </w:rPr>
        <w:t> </w:t>
      </w:r>
    </w:p>
    <w:p w14:paraId="7E4AD62D" w14:textId="77777777" w:rsidR="00560F1D" w:rsidRDefault="00560F1D">
      <w:pPr>
        <w:spacing w:after="0" w:line="240" w:lineRule="auto"/>
        <w:rPr>
          <w:rFonts w:ascii="Verdana" w:hAnsi="Verdana"/>
          <w:b/>
          <w:sz w:val="18"/>
          <w:szCs w:val="18"/>
        </w:rPr>
      </w:pPr>
      <w:r>
        <w:rPr>
          <w:rFonts w:ascii="Verdana" w:hAnsi="Verdana"/>
          <w:b/>
          <w:sz w:val="18"/>
          <w:szCs w:val="18"/>
        </w:rPr>
        <w:br w:type="page"/>
      </w:r>
    </w:p>
    <w:p w14:paraId="14CE7FFB" w14:textId="77777777" w:rsidR="00A92ECE" w:rsidRDefault="00A92ECE">
      <w:pPr>
        <w:spacing w:after="0" w:line="240" w:lineRule="auto"/>
        <w:rPr>
          <w:rFonts w:ascii="Verdana" w:hAnsi="Verdana"/>
          <w:b/>
          <w:sz w:val="18"/>
          <w:szCs w:val="18"/>
        </w:rPr>
      </w:pPr>
      <w:r>
        <w:rPr>
          <w:rFonts w:ascii="Verdana" w:hAnsi="Verdana"/>
          <w:b/>
          <w:sz w:val="18"/>
          <w:szCs w:val="18"/>
        </w:rPr>
        <w:lastRenderedPageBreak/>
        <w:br w:type="page"/>
      </w:r>
    </w:p>
    <w:p w14:paraId="221197FD" w14:textId="7F6D07BB" w:rsidR="005F3B7B" w:rsidRDefault="00FC2F91" w:rsidP="00E51D23">
      <w:pPr>
        <w:pBdr>
          <w:bottom w:val="single" w:sz="4" w:space="1" w:color="auto"/>
        </w:pBdr>
        <w:spacing w:after="0" w:line="360" w:lineRule="auto"/>
        <w:jc w:val="both"/>
        <w:rPr>
          <w:rFonts w:ascii="Verdana" w:hAnsi="Verdana"/>
          <w:b/>
          <w:sz w:val="18"/>
          <w:szCs w:val="18"/>
        </w:rPr>
      </w:pPr>
      <w:r>
        <w:rPr>
          <w:rFonts w:ascii="Verdana" w:hAnsi="Verdana"/>
          <w:b/>
          <w:sz w:val="18"/>
          <w:szCs w:val="18"/>
        </w:rPr>
        <w:lastRenderedPageBreak/>
        <w:t>Samenvatting</w:t>
      </w:r>
    </w:p>
    <w:p w14:paraId="695E6E5D" w14:textId="77777777" w:rsidR="005F3B7B" w:rsidRDefault="005F3B7B" w:rsidP="00E51D23">
      <w:pPr>
        <w:spacing w:after="0" w:line="360" w:lineRule="auto"/>
        <w:jc w:val="both"/>
        <w:rPr>
          <w:rFonts w:ascii="Verdana" w:hAnsi="Verdana"/>
          <w:b/>
          <w:sz w:val="18"/>
          <w:szCs w:val="18"/>
        </w:rPr>
      </w:pPr>
    </w:p>
    <w:p w14:paraId="4F1DCB7C" w14:textId="35ACAE49" w:rsidR="00C05FFF" w:rsidRDefault="00AF0300" w:rsidP="00E51D23">
      <w:pPr>
        <w:spacing w:after="0" w:line="360" w:lineRule="auto"/>
        <w:jc w:val="both"/>
        <w:rPr>
          <w:rFonts w:ascii="Verdana" w:hAnsi="Verdana"/>
          <w:sz w:val="18"/>
          <w:szCs w:val="18"/>
        </w:rPr>
      </w:pPr>
      <w:r>
        <w:rPr>
          <w:rFonts w:ascii="Verdana" w:hAnsi="Verdana"/>
          <w:sz w:val="18"/>
          <w:szCs w:val="18"/>
        </w:rPr>
        <w:t xml:space="preserve">Gedurende </w:t>
      </w:r>
      <w:r w:rsidR="00C013FD">
        <w:rPr>
          <w:rFonts w:ascii="Verdana" w:hAnsi="Verdana"/>
          <w:sz w:val="18"/>
          <w:szCs w:val="18"/>
        </w:rPr>
        <w:t>een lange periode</w:t>
      </w:r>
      <w:r w:rsidR="00294CDF">
        <w:rPr>
          <w:rFonts w:ascii="Verdana" w:hAnsi="Verdana"/>
          <w:sz w:val="18"/>
          <w:szCs w:val="18"/>
        </w:rPr>
        <w:t xml:space="preserve"> was de terugkeer en verwijd</w:t>
      </w:r>
      <w:r w:rsidR="005D238F">
        <w:rPr>
          <w:rFonts w:ascii="Verdana" w:hAnsi="Verdana"/>
          <w:sz w:val="18"/>
          <w:szCs w:val="18"/>
        </w:rPr>
        <w:t>erin</w:t>
      </w:r>
      <w:r w:rsidR="00BE668F">
        <w:rPr>
          <w:rFonts w:ascii="Verdana" w:hAnsi="Verdana"/>
          <w:sz w:val="18"/>
          <w:szCs w:val="18"/>
        </w:rPr>
        <w:t>g van illegale derdelanders uitsluitend een aangelegenheid van de betrokken</w:t>
      </w:r>
      <w:r w:rsidR="00AB5E9C">
        <w:rPr>
          <w:rFonts w:ascii="Verdana" w:hAnsi="Verdana"/>
          <w:sz w:val="18"/>
          <w:szCs w:val="18"/>
        </w:rPr>
        <w:t xml:space="preserve"> Europese</w:t>
      </w:r>
      <w:r w:rsidR="00BE668F">
        <w:rPr>
          <w:rFonts w:ascii="Verdana" w:hAnsi="Verdana"/>
          <w:sz w:val="18"/>
          <w:szCs w:val="18"/>
        </w:rPr>
        <w:t xml:space="preserve"> </w:t>
      </w:r>
      <w:r w:rsidR="00AB5E9C">
        <w:rPr>
          <w:rFonts w:ascii="Verdana" w:hAnsi="Verdana"/>
          <w:sz w:val="18"/>
          <w:szCs w:val="18"/>
        </w:rPr>
        <w:t>lidstaat</w:t>
      </w:r>
      <w:r w:rsidR="00BC61F7">
        <w:rPr>
          <w:rFonts w:ascii="Verdana" w:hAnsi="Verdana"/>
          <w:sz w:val="18"/>
          <w:szCs w:val="18"/>
        </w:rPr>
        <w:t>.</w:t>
      </w:r>
      <w:r w:rsidR="003826C6">
        <w:rPr>
          <w:rFonts w:ascii="Verdana" w:hAnsi="Verdana"/>
          <w:sz w:val="18"/>
          <w:szCs w:val="18"/>
        </w:rPr>
        <w:t xml:space="preserve"> </w:t>
      </w:r>
      <w:r w:rsidR="00AE635C">
        <w:rPr>
          <w:rFonts w:ascii="Verdana" w:hAnsi="Verdana"/>
          <w:sz w:val="18"/>
          <w:szCs w:val="18"/>
        </w:rPr>
        <w:t xml:space="preserve">De noodzaak voor een gemeenschappelijk en doeltreffend beleid </w:t>
      </w:r>
      <w:r w:rsidR="00636D25">
        <w:rPr>
          <w:rFonts w:ascii="Verdana" w:hAnsi="Verdana"/>
          <w:sz w:val="18"/>
          <w:szCs w:val="18"/>
        </w:rPr>
        <w:t xml:space="preserve">hieromtrent op Europees niveau </w:t>
      </w:r>
      <w:r w:rsidR="00AE635C">
        <w:rPr>
          <w:rFonts w:ascii="Verdana" w:hAnsi="Verdana"/>
          <w:sz w:val="18"/>
          <w:szCs w:val="18"/>
        </w:rPr>
        <w:t xml:space="preserve">bleek echter </w:t>
      </w:r>
      <w:r w:rsidR="00992D3B">
        <w:rPr>
          <w:rFonts w:ascii="Verdana" w:hAnsi="Verdana"/>
          <w:sz w:val="18"/>
          <w:szCs w:val="18"/>
        </w:rPr>
        <w:t xml:space="preserve">door </w:t>
      </w:r>
      <w:r w:rsidR="00636D25">
        <w:rPr>
          <w:rFonts w:ascii="Verdana" w:hAnsi="Verdana"/>
          <w:sz w:val="18"/>
          <w:szCs w:val="18"/>
        </w:rPr>
        <w:t xml:space="preserve">de jaren heen </w:t>
      </w:r>
      <w:r w:rsidR="00AE635C">
        <w:rPr>
          <w:rFonts w:ascii="Verdana" w:hAnsi="Verdana"/>
          <w:sz w:val="18"/>
          <w:szCs w:val="18"/>
        </w:rPr>
        <w:t xml:space="preserve">steeds groter </w:t>
      </w:r>
      <w:r w:rsidR="00502224">
        <w:rPr>
          <w:rFonts w:ascii="Verdana" w:hAnsi="Verdana"/>
          <w:sz w:val="18"/>
          <w:szCs w:val="18"/>
        </w:rPr>
        <w:t xml:space="preserve">te </w:t>
      </w:r>
      <w:r w:rsidR="00AE635C">
        <w:rPr>
          <w:rFonts w:ascii="Verdana" w:hAnsi="Verdana"/>
          <w:sz w:val="18"/>
          <w:szCs w:val="18"/>
        </w:rPr>
        <w:t>wo</w:t>
      </w:r>
      <w:r w:rsidR="00636D25">
        <w:rPr>
          <w:rFonts w:ascii="Verdana" w:hAnsi="Verdana"/>
          <w:sz w:val="18"/>
          <w:szCs w:val="18"/>
        </w:rPr>
        <w:t>rden</w:t>
      </w:r>
      <w:r w:rsidR="004A060E">
        <w:rPr>
          <w:rFonts w:ascii="Verdana" w:hAnsi="Verdana"/>
          <w:sz w:val="18"/>
          <w:szCs w:val="18"/>
        </w:rPr>
        <w:t xml:space="preserve">. </w:t>
      </w:r>
      <w:r w:rsidR="00636D25">
        <w:rPr>
          <w:rFonts w:ascii="Verdana" w:hAnsi="Verdana"/>
          <w:sz w:val="18"/>
          <w:szCs w:val="18"/>
        </w:rPr>
        <w:t xml:space="preserve">Met de totstandkoming van de Terugkeerrichtlijn is </w:t>
      </w:r>
      <w:r w:rsidR="004A060E">
        <w:rPr>
          <w:rFonts w:ascii="Verdana" w:hAnsi="Verdana"/>
          <w:sz w:val="18"/>
          <w:szCs w:val="18"/>
        </w:rPr>
        <w:t>het</w:t>
      </w:r>
      <w:r w:rsidR="000718BC">
        <w:rPr>
          <w:rFonts w:ascii="Verdana" w:hAnsi="Verdana"/>
          <w:sz w:val="18"/>
          <w:szCs w:val="18"/>
        </w:rPr>
        <w:t xml:space="preserve"> gezamenlijke verwijderings- en terugkeerbeleid </w:t>
      </w:r>
      <w:r w:rsidR="00636D25">
        <w:rPr>
          <w:rFonts w:ascii="Verdana" w:hAnsi="Verdana"/>
          <w:sz w:val="18"/>
          <w:szCs w:val="18"/>
        </w:rPr>
        <w:t>uiteindelijk gereal</w:t>
      </w:r>
      <w:r w:rsidR="00AB5E9C">
        <w:rPr>
          <w:rFonts w:ascii="Verdana" w:hAnsi="Verdana"/>
          <w:sz w:val="18"/>
          <w:szCs w:val="18"/>
        </w:rPr>
        <w:t>iseerd.</w:t>
      </w:r>
      <w:r w:rsidR="00C05FFF">
        <w:rPr>
          <w:rFonts w:ascii="Verdana" w:hAnsi="Verdana"/>
          <w:sz w:val="18"/>
          <w:szCs w:val="18"/>
        </w:rPr>
        <w:t xml:space="preserve"> </w:t>
      </w:r>
    </w:p>
    <w:p w14:paraId="35366C59" w14:textId="77777777" w:rsidR="00C05FFF" w:rsidRDefault="00C05FFF" w:rsidP="00E51D23">
      <w:pPr>
        <w:spacing w:after="0" w:line="360" w:lineRule="auto"/>
        <w:jc w:val="both"/>
        <w:rPr>
          <w:rFonts w:ascii="Verdana" w:hAnsi="Verdana"/>
          <w:sz w:val="18"/>
          <w:szCs w:val="18"/>
        </w:rPr>
      </w:pPr>
    </w:p>
    <w:p w14:paraId="1898CD97" w14:textId="6CC0CBFD" w:rsidR="00B25763" w:rsidRDefault="0095698F" w:rsidP="00E51D23">
      <w:pPr>
        <w:spacing w:after="0" w:line="360" w:lineRule="auto"/>
        <w:jc w:val="both"/>
        <w:rPr>
          <w:rFonts w:ascii="Verdana" w:hAnsi="Verdana"/>
          <w:sz w:val="18"/>
          <w:szCs w:val="18"/>
        </w:rPr>
      </w:pPr>
      <w:r>
        <w:rPr>
          <w:rFonts w:ascii="Verdana" w:hAnsi="Verdana"/>
          <w:sz w:val="18"/>
          <w:szCs w:val="18"/>
        </w:rPr>
        <w:t xml:space="preserve">Sinds de implementatie van de Terugkeerrichtlijn in Nederland kent onze </w:t>
      </w:r>
      <w:r w:rsidR="0046679C">
        <w:rPr>
          <w:rFonts w:ascii="Verdana" w:hAnsi="Verdana"/>
          <w:sz w:val="18"/>
          <w:szCs w:val="18"/>
        </w:rPr>
        <w:t>rechtsorde naast de nationale o</w:t>
      </w:r>
      <w:r w:rsidR="00214F7C">
        <w:rPr>
          <w:rFonts w:ascii="Verdana" w:hAnsi="Verdana"/>
          <w:sz w:val="18"/>
          <w:szCs w:val="18"/>
        </w:rPr>
        <w:t>ngewenstverklaring, eveneens het inreisverbod en het terugkeerbesluit.</w:t>
      </w:r>
      <w:r w:rsidR="002154D2">
        <w:rPr>
          <w:rFonts w:ascii="Verdana" w:hAnsi="Verdana"/>
          <w:sz w:val="18"/>
          <w:szCs w:val="18"/>
        </w:rPr>
        <w:t xml:space="preserve"> </w:t>
      </w:r>
      <w:r w:rsidR="000C05F9">
        <w:rPr>
          <w:rFonts w:ascii="Verdana" w:hAnsi="Verdana"/>
          <w:sz w:val="18"/>
          <w:szCs w:val="18"/>
        </w:rPr>
        <w:t>In de Terugkeer</w:t>
      </w:r>
      <w:r w:rsidR="004B218C">
        <w:rPr>
          <w:rFonts w:ascii="Verdana" w:hAnsi="Verdana"/>
          <w:sz w:val="18"/>
          <w:szCs w:val="18"/>
        </w:rPr>
        <w:t>richtlijn is bepaald dat dat het</w:t>
      </w:r>
      <w:r w:rsidR="000C05F9">
        <w:rPr>
          <w:rFonts w:ascii="Verdana" w:hAnsi="Verdana"/>
          <w:sz w:val="18"/>
          <w:szCs w:val="18"/>
        </w:rPr>
        <w:t xml:space="preserve"> inreisverbod</w:t>
      </w:r>
      <w:r w:rsidR="002154D2">
        <w:rPr>
          <w:rFonts w:ascii="Verdana" w:hAnsi="Verdana"/>
          <w:sz w:val="18"/>
          <w:szCs w:val="18"/>
        </w:rPr>
        <w:t xml:space="preserve"> altijd </w:t>
      </w:r>
      <w:r w:rsidR="000C05F9">
        <w:rPr>
          <w:rFonts w:ascii="Verdana" w:hAnsi="Verdana"/>
          <w:sz w:val="18"/>
          <w:szCs w:val="18"/>
        </w:rPr>
        <w:t xml:space="preserve">tezamen </w:t>
      </w:r>
      <w:r w:rsidR="004B218C">
        <w:rPr>
          <w:rFonts w:ascii="Verdana" w:hAnsi="Verdana"/>
          <w:sz w:val="18"/>
          <w:szCs w:val="18"/>
        </w:rPr>
        <w:t>met het terugkeerbe</w:t>
      </w:r>
      <w:r w:rsidR="009F1CE5">
        <w:rPr>
          <w:rFonts w:ascii="Verdana" w:hAnsi="Verdana"/>
          <w:sz w:val="18"/>
          <w:szCs w:val="18"/>
        </w:rPr>
        <w:t>sluit opgelegd dient te worden.</w:t>
      </w:r>
      <w:r w:rsidR="00B25763">
        <w:rPr>
          <w:rFonts w:ascii="Verdana" w:hAnsi="Verdana"/>
          <w:sz w:val="18"/>
          <w:szCs w:val="18"/>
        </w:rPr>
        <w:t xml:space="preserve"> Ondanks dat het inreisverbod sterke gelijkenis toont met de nationale ongewenstverklaring die Nederland reeds voor de implementatie van de Terugkeerrichtlijn kende, verschilt deze toch op belangrijke punten. </w:t>
      </w:r>
      <w:r w:rsidR="00BA68E2">
        <w:rPr>
          <w:rFonts w:ascii="Verdana" w:hAnsi="Verdana"/>
          <w:sz w:val="18"/>
          <w:szCs w:val="18"/>
        </w:rPr>
        <w:t xml:space="preserve">Om deze reden </w:t>
      </w:r>
      <w:r w:rsidR="002C28CE">
        <w:rPr>
          <w:rFonts w:ascii="Verdana" w:hAnsi="Verdana"/>
          <w:sz w:val="18"/>
          <w:szCs w:val="18"/>
        </w:rPr>
        <w:t>hebben de Unierechtelijke bepalingen uit de Terugkeerrichtlijn in 2011 geleid tot wijziging van de Nederlandse Vw 2000.</w:t>
      </w:r>
    </w:p>
    <w:p w14:paraId="4A7F079B" w14:textId="77777777" w:rsidR="00B25763" w:rsidRDefault="00B25763" w:rsidP="00E51D23">
      <w:pPr>
        <w:spacing w:after="0" w:line="360" w:lineRule="auto"/>
        <w:jc w:val="both"/>
        <w:rPr>
          <w:rFonts w:ascii="Verdana" w:hAnsi="Verdana"/>
          <w:sz w:val="18"/>
          <w:szCs w:val="18"/>
        </w:rPr>
      </w:pPr>
    </w:p>
    <w:p w14:paraId="3193916E" w14:textId="7AE4B4F2" w:rsidR="00B25763" w:rsidRDefault="00E801F6" w:rsidP="00E51D23">
      <w:pPr>
        <w:spacing w:after="0" w:line="360" w:lineRule="auto"/>
        <w:jc w:val="both"/>
        <w:rPr>
          <w:rFonts w:ascii="Verdana" w:hAnsi="Verdana"/>
          <w:sz w:val="18"/>
          <w:szCs w:val="18"/>
        </w:rPr>
      </w:pPr>
      <w:r>
        <w:rPr>
          <w:rFonts w:ascii="Verdana" w:hAnsi="Verdana"/>
          <w:sz w:val="18"/>
          <w:szCs w:val="18"/>
        </w:rPr>
        <w:t xml:space="preserve">De ongewenstverklaring, het inreisverbod en het terugkeerbesluit kunnen worden </w:t>
      </w:r>
      <w:r w:rsidR="00377277">
        <w:rPr>
          <w:rFonts w:ascii="Verdana" w:hAnsi="Verdana"/>
          <w:sz w:val="18"/>
          <w:szCs w:val="18"/>
        </w:rPr>
        <w:t>uitgevaardigd aan derdelanders die illegaal op het grondgebied van de lidstaten verblijven.</w:t>
      </w:r>
      <w:r w:rsidR="008C6544">
        <w:rPr>
          <w:rFonts w:ascii="Verdana" w:hAnsi="Verdana"/>
          <w:sz w:val="18"/>
          <w:szCs w:val="18"/>
        </w:rPr>
        <w:t xml:space="preserve"> </w:t>
      </w:r>
      <w:r w:rsidR="00185119">
        <w:rPr>
          <w:rFonts w:ascii="Verdana" w:hAnsi="Verdana"/>
          <w:sz w:val="18"/>
          <w:szCs w:val="18"/>
        </w:rPr>
        <w:t>De exacte reden</w:t>
      </w:r>
      <w:r w:rsidR="00F605D3">
        <w:rPr>
          <w:rFonts w:ascii="Verdana" w:hAnsi="Verdana"/>
          <w:sz w:val="18"/>
          <w:szCs w:val="18"/>
        </w:rPr>
        <w:t>en</w:t>
      </w:r>
      <w:r w:rsidR="00185119">
        <w:rPr>
          <w:rFonts w:ascii="Verdana" w:hAnsi="Verdana"/>
          <w:sz w:val="18"/>
          <w:szCs w:val="18"/>
        </w:rPr>
        <w:t xml:space="preserve"> voor</w:t>
      </w:r>
      <w:r w:rsidR="00F605D3">
        <w:rPr>
          <w:rFonts w:ascii="Verdana" w:hAnsi="Verdana"/>
          <w:sz w:val="18"/>
          <w:szCs w:val="18"/>
        </w:rPr>
        <w:t xml:space="preserve"> het illegale verblijf kunnen</w:t>
      </w:r>
      <w:r w:rsidR="008C6544">
        <w:rPr>
          <w:rFonts w:ascii="Verdana" w:hAnsi="Verdana"/>
          <w:sz w:val="18"/>
          <w:szCs w:val="18"/>
        </w:rPr>
        <w:t xml:space="preserve"> zeer uiteenlopend zijn.</w:t>
      </w:r>
      <w:r w:rsidR="00B25D64">
        <w:rPr>
          <w:rFonts w:ascii="Verdana" w:hAnsi="Verdana"/>
          <w:sz w:val="18"/>
          <w:szCs w:val="18"/>
        </w:rPr>
        <w:t xml:space="preserve"> </w:t>
      </w:r>
      <w:r w:rsidR="00F605D3">
        <w:rPr>
          <w:rFonts w:ascii="Verdana" w:hAnsi="Verdana"/>
          <w:sz w:val="18"/>
          <w:szCs w:val="18"/>
        </w:rPr>
        <w:t>Onderhavig onderzoek richt zich echter slechts tot de derdelanders die illegaal op het grondgebied va</w:t>
      </w:r>
      <w:r w:rsidR="00B25763">
        <w:rPr>
          <w:rFonts w:ascii="Verdana" w:hAnsi="Verdana"/>
          <w:sz w:val="18"/>
          <w:szCs w:val="18"/>
        </w:rPr>
        <w:t>n een lidstaat verblijven doordat hun verblijfsvergunning is ingetrokken</w:t>
      </w:r>
      <w:r w:rsidR="00F123B4">
        <w:rPr>
          <w:rFonts w:ascii="Verdana" w:hAnsi="Verdana"/>
          <w:sz w:val="18"/>
          <w:szCs w:val="18"/>
        </w:rPr>
        <w:t>e, niet verlengd of geweigerd wegens</w:t>
      </w:r>
      <w:r w:rsidR="00B25763">
        <w:rPr>
          <w:rFonts w:ascii="Verdana" w:hAnsi="Verdana"/>
          <w:sz w:val="18"/>
          <w:szCs w:val="18"/>
        </w:rPr>
        <w:t xml:space="preserve"> </w:t>
      </w:r>
      <w:r w:rsidR="00A4556E">
        <w:rPr>
          <w:rFonts w:ascii="Verdana" w:hAnsi="Verdana"/>
          <w:sz w:val="18"/>
          <w:szCs w:val="18"/>
        </w:rPr>
        <w:t xml:space="preserve">het plegen van </w:t>
      </w:r>
      <w:r w:rsidR="00F123B4">
        <w:rPr>
          <w:rFonts w:ascii="Verdana" w:hAnsi="Verdana"/>
          <w:sz w:val="18"/>
          <w:szCs w:val="18"/>
        </w:rPr>
        <w:t>strafbare feiten</w:t>
      </w:r>
      <w:r w:rsidR="00A4556E">
        <w:rPr>
          <w:rFonts w:ascii="Verdana" w:hAnsi="Verdana"/>
          <w:sz w:val="18"/>
          <w:szCs w:val="18"/>
        </w:rPr>
        <w:t>, waardoor zij aangemerkt worden als een gevaar voor de</w:t>
      </w:r>
      <w:r w:rsidR="00B25763">
        <w:rPr>
          <w:rFonts w:ascii="Verdana" w:hAnsi="Verdana"/>
          <w:sz w:val="18"/>
          <w:szCs w:val="18"/>
        </w:rPr>
        <w:t xml:space="preserve"> openbare orde.</w:t>
      </w:r>
    </w:p>
    <w:p w14:paraId="36601CA6" w14:textId="77777777" w:rsidR="00DD7BD5" w:rsidRDefault="00DD7BD5" w:rsidP="00DD7BD5">
      <w:pPr>
        <w:spacing w:after="0" w:line="360" w:lineRule="auto"/>
        <w:rPr>
          <w:rFonts w:ascii="Verdana" w:hAnsi="Verdana"/>
          <w:sz w:val="18"/>
        </w:rPr>
      </w:pPr>
    </w:p>
    <w:p w14:paraId="2A71D907" w14:textId="697886D8" w:rsidR="00DD7BD5" w:rsidRDefault="00DD7BD5" w:rsidP="00DD7BD5">
      <w:pPr>
        <w:spacing w:after="0" w:line="360" w:lineRule="auto"/>
        <w:rPr>
          <w:rFonts w:ascii="Verdana" w:hAnsi="Verdana"/>
          <w:sz w:val="18"/>
          <w:szCs w:val="18"/>
        </w:rPr>
      </w:pPr>
      <w:r>
        <w:rPr>
          <w:rFonts w:ascii="Verdana" w:hAnsi="Verdana"/>
          <w:sz w:val="18"/>
        </w:rPr>
        <w:t xml:space="preserve">In Nederland is illegaal verblijf als zodanig </w:t>
      </w:r>
      <w:r w:rsidR="005B7751">
        <w:rPr>
          <w:rFonts w:ascii="Verdana" w:hAnsi="Verdana"/>
          <w:sz w:val="18"/>
        </w:rPr>
        <w:t xml:space="preserve">destijds </w:t>
      </w:r>
      <w:r>
        <w:rPr>
          <w:rFonts w:ascii="Verdana" w:hAnsi="Verdana"/>
          <w:sz w:val="18"/>
        </w:rPr>
        <w:t xml:space="preserve">niet strafbaar gesteld. De wetgever heeft </w:t>
      </w:r>
      <w:r w:rsidR="005B7751">
        <w:rPr>
          <w:rFonts w:ascii="Verdana" w:hAnsi="Verdana"/>
          <w:sz w:val="18"/>
        </w:rPr>
        <w:t xml:space="preserve">expliciet </w:t>
      </w:r>
      <w:r>
        <w:rPr>
          <w:rFonts w:ascii="Verdana" w:hAnsi="Verdana"/>
          <w:sz w:val="18"/>
        </w:rPr>
        <w:t xml:space="preserve">gekozen om de strafbaarstelling van illegaal op het grondgebied verblijvende derdelanders te koppelen aan het inreisverbod. Hierdoor is slechts het verblijf in weerwil van het inreisverbod strafbaar gesteld in het nationale recht. In dit verband heeft het HvJEU </w:t>
      </w:r>
      <w:r w:rsidR="00424143">
        <w:rPr>
          <w:rFonts w:ascii="Verdana" w:hAnsi="Verdana"/>
          <w:sz w:val="18"/>
          <w:szCs w:val="18"/>
        </w:rPr>
        <w:t>o</w:t>
      </w:r>
      <w:r w:rsidR="00C55C7C">
        <w:rPr>
          <w:rFonts w:ascii="Verdana" w:hAnsi="Verdana"/>
          <w:sz w:val="18"/>
          <w:szCs w:val="18"/>
        </w:rPr>
        <w:t>p 26 juli 2017 een baanbrekende uitspraak gedaan</w:t>
      </w:r>
      <w:r w:rsidR="00667473">
        <w:rPr>
          <w:rFonts w:ascii="Verdana" w:hAnsi="Verdana"/>
          <w:sz w:val="18"/>
          <w:szCs w:val="18"/>
        </w:rPr>
        <w:t xml:space="preserve"> in het Ouhrami arrest,</w:t>
      </w:r>
      <w:r w:rsidR="00C55C7C">
        <w:rPr>
          <w:rFonts w:ascii="Verdana" w:hAnsi="Verdana"/>
          <w:sz w:val="18"/>
          <w:szCs w:val="18"/>
        </w:rPr>
        <w:t xml:space="preserve"> waarbij zij antwoord hebben gegeven op een tweetal prejudiciële vragen</w:t>
      </w:r>
      <w:r w:rsidR="00667473">
        <w:rPr>
          <w:rFonts w:ascii="Verdana" w:hAnsi="Verdana"/>
          <w:sz w:val="18"/>
          <w:szCs w:val="18"/>
        </w:rPr>
        <w:t xml:space="preserve"> van de Hoge Raad. </w:t>
      </w:r>
    </w:p>
    <w:p w14:paraId="472F2CE9" w14:textId="77777777" w:rsidR="00DD7BD5" w:rsidRDefault="00DD7BD5" w:rsidP="00DD7BD5">
      <w:pPr>
        <w:spacing w:after="0" w:line="360" w:lineRule="auto"/>
        <w:rPr>
          <w:rFonts w:ascii="Verdana" w:hAnsi="Verdana"/>
          <w:sz w:val="18"/>
          <w:szCs w:val="18"/>
        </w:rPr>
      </w:pPr>
    </w:p>
    <w:p w14:paraId="27E127E5" w14:textId="44008969" w:rsidR="00CA3A26" w:rsidRPr="00DD7BD5" w:rsidRDefault="00C55C7C" w:rsidP="00DD7BD5">
      <w:pPr>
        <w:spacing w:after="0" w:line="360" w:lineRule="auto"/>
        <w:rPr>
          <w:rFonts w:ascii="Verdana" w:hAnsi="Verdana"/>
          <w:sz w:val="18"/>
          <w:szCs w:val="18"/>
        </w:rPr>
      </w:pPr>
      <w:r>
        <w:rPr>
          <w:rFonts w:ascii="Verdana" w:hAnsi="Verdana"/>
          <w:sz w:val="18"/>
          <w:szCs w:val="18"/>
        </w:rPr>
        <w:t>In eerste instantie ging het in dit arrest kort gezegd om de vraag</w:t>
      </w:r>
      <w:r w:rsidRPr="00667473">
        <w:rPr>
          <w:rFonts w:ascii="Verdana" w:hAnsi="Verdana"/>
          <w:sz w:val="18"/>
          <w:szCs w:val="18"/>
        </w:rPr>
        <w:t>:</w:t>
      </w:r>
      <w:r w:rsidRPr="00667473">
        <w:rPr>
          <w:rFonts w:ascii="Verdana" w:hAnsi="Verdana"/>
          <w:i/>
          <w:sz w:val="18"/>
          <w:szCs w:val="18"/>
        </w:rPr>
        <w:t xml:space="preserve"> </w:t>
      </w:r>
      <w:r w:rsidR="00424143">
        <w:rPr>
          <w:rFonts w:ascii="Verdana" w:hAnsi="Verdana"/>
          <w:i/>
          <w:sz w:val="18"/>
          <w:szCs w:val="18"/>
        </w:rPr>
        <w:t>‘</w:t>
      </w:r>
      <w:r w:rsidRPr="00667473">
        <w:rPr>
          <w:rFonts w:ascii="Verdana" w:hAnsi="Verdana"/>
          <w:i/>
          <w:sz w:val="18"/>
          <w:szCs w:val="18"/>
        </w:rPr>
        <w:t>vanaf welk moment begint de termijn voor het inreisverbod te lopen</w:t>
      </w:r>
      <w:r w:rsidR="00424143">
        <w:rPr>
          <w:rFonts w:ascii="Verdana" w:hAnsi="Verdana"/>
          <w:i/>
          <w:sz w:val="18"/>
          <w:szCs w:val="18"/>
        </w:rPr>
        <w:t>?’</w:t>
      </w:r>
      <w:r>
        <w:rPr>
          <w:rFonts w:ascii="Verdana" w:hAnsi="Verdana"/>
          <w:sz w:val="18"/>
          <w:szCs w:val="18"/>
        </w:rPr>
        <w:t>.</w:t>
      </w:r>
      <w:r w:rsidR="00083BF2">
        <w:rPr>
          <w:rFonts w:ascii="Verdana" w:hAnsi="Verdana"/>
          <w:sz w:val="18"/>
          <w:szCs w:val="18"/>
        </w:rPr>
        <w:t xml:space="preserve"> </w:t>
      </w:r>
      <w:r w:rsidR="00150670">
        <w:rPr>
          <w:rFonts w:ascii="Verdana" w:hAnsi="Verdana"/>
          <w:sz w:val="18"/>
          <w:szCs w:val="18"/>
        </w:rPr>
        <w:t>Volgens de Hoge Raad zouden er drie mogelijkheden zijn: (1) vanaf het moment dat het inreisverbod is uitgevaardigd, (2) vanaf de datum dat de vreemdeling het grondgebied van de lidstaten heeft verlaten of (3) op enig ander moment.</w:t>
      </w:r>
      <w:r w:rsidR="00DD7BD5">
        <w:rPr>
          <w:rFonts w:ascii="Verdana" w:hAnsi="Verdana"/>
          <w:sz w:val="18"/>
          <w:szCs w:val="18"/>
        </w:rPr>
        <w:t xml:space="preserve"> </w:t>
      </w:r>
      <w:r w:rsidR="00083BF2">
        <w:rPr>
          <w:rFonts w:ascii="Verdana" w:hAnsi="Verdana"/>
          <w:sz w:val="18"/>
          <w:szCs w:val="18"/>
        </w:rPr>
        <w:t xml:space="preserve">In de praktijk heeft het antwoord op voornoemde vraag echter tot </w:t>
      </w:r>
      <w:r w:rsidR="00044AB3">
        <w:rPr>
          <w:rFonts w:ascii="Verdana" w:hAnsi="Verdana"/>
          <w:sz w:val="18"/>
          <w:szCs w:val="18"/>
        </w:rPr>
        <w:t xml:space="preserve">aanzienlijke </w:t>
      </w:r>
      <w:r w:rsidR="00384467">
        <w:rPr>
          <w:rFonts w:ascii="Verdana" w:hAnsi="Verdana"/>
          <w:sz w:val="18"/>
          <w:szCs w:val="18"/>
        </w:rPr>
        <w:t>andere gevolgen geleid</w:t>
      </w:r>
      <w:r w:rsidR="001F7DF9">
        <w:rPr>
          <w:rFonts w:ascii="Verdana" w:hAnsi="Verdana"/>
          <w:sz w:val="18"/>
          <w:szCs w:val="18"/>
        </w:rPr>
        <w:t>, zowel voor het vreemdelingenrecht als voor het strafrecht.</w:t>
      </w:r>
      <w:r w:rsidR="00DD7BD5">
        <w:rPr>
          <w:rFonts w:ascii="Verdana" w:hAnsi="Verdana"/>
          <w:sz w:val="18"/>
          <w:szCs w:val="18"/>
        </w:rPr>
        <w:t xml:space="preserve"> </w:t>
      </w:r>
      <w:r w:rsidR="00B117BC">
        <w:rPr>
          <w:rFonts w:ascii="Verdana" w:hAnsi="Verdana"/>
          <w:sz w:val="18"/>
          <w:szCs w:val="18"/>
        </w:rPr>
        <w:t xml:space="preserve">Dit is </w:t>
      </w:r>
      <w:r w:rsidR="005A7213">
        <w:rPr>
          <w:rFonts w:ascii="Verdana" w:hAnsi="Verdana"/>
          <w:sz w:val="18"/>
          <w:szCs w:val="18"/>
        </w:rPr>
        <w:t xml:space="preserve">ook </w:t>
      </w:r>
      <w:r w:rsidR="00DD7BD5">
        <w:rPr>
          <w:rFonts w:ascii="Verdana" w:hAnsi="Verdana"/>
          <w:sz w:val="18"/>
          <w:szCs w:val="18"/>
        </w:rPr>
        <w:t>direct</w:t>
      </w:r>
      <w:r w:rsidR="005A7213">
        <w:rPr>
          <w:rFonts w:ascii="Verdana" w:hAnsi="Verdana"/>
          <w:sz w:val="18"/>
          <w:szCs w:val="18"/>
        </w:rPr>
        <w:t xml:space="preserve"> </w:t>
      </w:r>
      <w:r w:rsidR="00B117BC">
        <w:rPr>
          <w:rFonts w:ascii="Verdana" w:hAnsi="Verdana"/>
          <w:sz w:val="18"/>
          <w:szCs w:val="18"/>
        </w:rPr>
        <w:t>de aanlei</w:t>
      </w:r>
      <w:r w:rsidR="00621A16">
        <w:rPr>
          <w:rFonts w:ascii="Verdana" w:hAnsi="Verdana"/>
          <w:sz w:val="18"/>
          <w:szCs w:val="18"/>
        </w:rPr>
        <w:t xml:space="preserve">ding geweest van dit onderzoek. </w:t>
      </w:r>
      <w:r w:rsidR="00CA3A26">
        <w:rPr>
          <w:rFonts w:ascii="Verdana" w:hAnsi="Verdana"/>
          <w:sz w:val="18"/>
          <w:szCs w:val="18"/>
        </w:rPr>
        <w:t xml:space="preserve">De gevolgen zijn voor onder meer advocaten en rechters op dit moment nog onduidelijk, waardoor het ook niet mogelijk is om cliënten </w:t>
      </w:r>
      <w:r w:rsidR="00290713">
        <w:rPr>
          <w:rFonts w:ascii="Verdana" w:hAnsi="Verdana"/>
          <w:sz w:val="18"/>
          <w:szCs w:val="18"/>
        </w:rPr>
        <w:t xml:space="preserve">vooraf </w:t>
      </w:r>
      <w:r w:rsidR="00044AB3">
        <w:rPr>
          <w:rFonts w:ascii="Verdana" w:hAnsi="Verdana"/>
          <w:sz w:val="18"/>
          <w:szCs w:val="18"/>
        </w:rPr>
        <w:t>naar behoren te adviseren</w:t>
      </w:r>
      <w:r w:rsidR="00290713">
        <w:rPr>
          <w:rFonts w:ascii="Verdana" w:hAnsi="Verdana"/>
          <w:sz w:val="18"/>
          <w:szCs w:val="18"/>
        </w:rPr>
        <w:t xml:space="preserve">, </w:t>
      </w:r>
      <w:r w:rsidR="00CA3A26">
        <w:rPr>
          <w:rFonts w:ascii="Verdana" w:hAnsi="Verdana"/>
          <w:sz w:val="18"/>
          <w:szCs w:val="18"/>
        </w:rPr>
        <w:t>dan we</w:t>
      </w:r>
      <w:r w:rsidR="00290713">
        <w:rPr>
          <w:rFonts w:ascii="Verdana" w:hAnsi="Verdana"/>
          <w:sz w:val="18"/>
          <w:szCs w:val="18"/>
        </w:rPr>
        <w:t>l om de zaken tijdens de zitting te beargumenteren.</w:t>
      </w:r>
      <w:r w:rsidR="00545C99">
        <w:rPr>
          <w:rFonts w:ascii="Verdana" w:hAnsi="Verdana"/>
          <w:sz w:val="18"/>
          <w:szCs w:val="18"/>
        </w:rPr>
        <w:t xml:space="preserve"> Dit is </w:t>
      </w:r>
      <w:r w:rsidR="003272C6">
        <w:rPr>
          <w:rFonts w:ascii="Verdana" w:hAnsi="Verdana"/>
          <w:sz w:val="18"/>
          <w:szCs w:val="18"/>
        </w:rPr>
        <w:t xml:space="preserve">logischerwijs </w:t>
      </w:r>
      <w:r w:rsidR="00545C99">
        <w:rPr>
          <w:rFonts w:ascii="Verdana" w:hAnsi="Verdana"/>
          <w:sz w:val="18"/>
          <w:szCs w:val="18"/>
        </w:rPr>
        <w:t>wel van groot belang.</w:t>
      </w:r>
    </w:p>
    <w:p w14:paraId="0FB83DB0" w14:textId="77777777" w:rsidR="00290713" w:rsidRDefault="00290713" w:rsidP="00E51D23">
      <w:pPr>
        <w:spacing w:after="0" w:line="360" w:lineRule="auto"/>
        <w:jc w:val="both"/>
        <w:rPr>
          <w:rFonts w:ascii="Verdana" w:hAnsi="Verdana"/>
          <w:sz w:val="18"/>
          <w:szCs w:val="18"/>
        </w:rPr>
      </w:pPr>
    </w:p>
    <w:p w14:paraId="582D67C8" w14:textId="698324FE" w:rsidR="00DA540E" w:rsidRDefault="00290713" w:rsidP="00DA540E">
      <w:pPr>
        <w:spacing w:after="0" w:line="360" w:lineRule="auto"/>
        <w:jc w:val="both"/>
        <w:rPr>
          <w:rFonts w:ascii="Verdana" w:hAnsi="Verdana"/>
          <w:sz w:val="18"/>
          <w:szCs w:val="18"/>
        </w:rPr>
      </w:pPr>
      <w:r>
        <w:rPr>
          <w:rFonts w:ascii="Verdana" w:hAnsi="Verdana"/>
          <w:sz w:val="18"/>
          <w:szCs w:val="18"/>
        </w:rPr>
        <w:t xml:space="preserve">Naar aanleiding van vorenstaande is de volgende </w:t>
      </w:r>
      <w:r w:rsidR="00884F22">
        <w:rPr>
          <w:rFonts w:ascii="Verdana" w:hAnsi="Verdana"/>
          <w:sz w:val="18"/>
          <w:szCs w:val="18"/>
        </w:rPr>
        <w:t>centrale vraag</w:t>
      </w:r>
      <w:r>
        <w:rPr>
          <w:rFonts w:ascii="Verdana" w:hAnsi="Verdana"/>
          <w:sz w:val="18"/>
          <w:szCs w:val="18"/>
        </w:rPr>
        <w:t xml:space="preserve"> tot stand gekomen: </w:t>
      </w:r>
      <w:r w:rsidR="00DA540E" w:rsidRPr="00DA540E">
        <w:rPr>
          <w:rFonts w:ascii="Verdana" w:hAnsi="Verdana"/>
          <w:sz w:val="18"/>
          <w:szCs w:val="18"/>
        </w:rPr>
        <w:t xml:space="preserve">‘‘Welk advies kan aan SVK-advocaten worden verschaft, middels wetsanalyse, dossier-, jurisprudentie- en </w:t>
      </w:r>
      <w:r w:rsidR="00DA540E" w:rsidRPr="00DA540E">
        <w:rPr>
          <w:rFonts w:ascii="Verdana" w:hAnsi="Verdana"/>
          <w:sz w:val="18"/>
          <w:szCs w:val="18"/>
        </w:rPr>
        <w:lastRenderedPageBreak/>
        <w:t>literatuuronderzoek, met betrekking tot de gronden die naar aanleiding van het Ouhrami arrest aangevoerd kunnen worden in zowel vreemdelingen- als strafzaken, teneinde een positieve uitkomst te bewerkstelligen, namelijk dat</w:t>
      </w:r>
      <w:r w:rsidR="00664956">
        <w:rPr>
          <w:rFonts w:ascii="Verdana" w:hAnsi="Verdana"/>
          <w:sz w:val="18"/>
          <w:szCs w:val="18"/>
        </w:rPr>
        <w:t xml:space="preserve"> de intrekking, niet-</w:t>
      </w:r>
      <w:r w:rsidR="00DA540E" w:rsidRPr="00DA540E">
        <w:rPr>
          <w:rFonts w:ascii="Verdana" w:hAnsi="Verdana"/>
          <w:sz w:val="18"/>
          <w:szCs w:val="18"/>
        </w:rPr>
        <w:t xml:space="preserve">verlenging of weigering van de verblijfsvergunning </w:t>
      </w:r>
      <w:r w:rsidR="009E3AC0">
        <w:rPr>
          <w:rFonts w:ascii="Verdana" w:hAnsi="Verdana"/>
          <w:sz w:val="18"/>
          <w:szCs w:val="18"/>
        </w:rPr>
        <w:t xml:space="preserve">in openbare-orde zaken </w:t>
      </w:r>
      <w:r w:rsidR="00DA540E" w:rsidRPr="00DA540E">
        <w:rPr>
          <w:rFonts w:ascii="Verdana" w:hAnsi="Verdana"/>
          <w:sz w:val="18"/>
          <w:szCs w:val="18"/>
        </w:rPr>
        <w:t xml:space="preserve">samen met het terugkeerbesluit </w:t>
      </w:r>
      <w:r w:rsidR="006A788F">
        <w:rPr>
          <w:rFonts w:ascii="Verdana" w:hAnsi="Verdana"/>
          <w:sz w:val="18"/>
          <w:szCs w:val="18"/>
        </w:rPr>
        <w:t xml:space="preserve">in beroep </w:t>
      </w:r>
      <w:r w:rsidR="00DA540E" w:rsidRPr="00DA540E">
        <w:rPr>
          <w:rFonts w:ascii="Verdana" w:hAnsi="Verdana"/>
          <w:sz w:val="18"/>
          <w:szCs w:val="18"/>
        </w:rPr>
        <w:t xml:space="preserve">vol </w:t>
      </w:r>
      <w:r w:rsidR="006A788F">
        <w:rPr>
          <w:rFonts w:ascii="Verdana" w:hAnsi="Verdana"/>
          <w:sz w:val="18"/>
          <w:szCs w:val="18"/>
        </w:rPr>
        <w:t xml:space="preserve">wordt getoetst en dat </w:t>
      </w:r>
      <w:r w:rsidR="00B4476E">
        <w:rPr>
          <w:rFonts w:ascii="Verdana" w:hAnsi="Verdana"/>
          <w:sz w:val="18"/>
          <w:szCs w:val="18"/>
        </w:rPr>
        <w:t xml:space="preserve">in strafzaken </w:t>
      </w:r>
      <w:r w:rsidR="006A788F">
        <w:rPr>
          <w:rFonts w:ascii="Verdana" w:hAnsi="Verdana"/>
          <w:sz w:val="18"/>
          <w:szCs w:val="18"/>
        </w:rPr>
        <w:t>een veroordeling voor</w:t>
      </w:r>
      <w:r w:rsidR="00DA540E" w:rsidRPr="00DA540E">
        <w:rPr>
          <w:rFonts w:ascii="Verdana" w:hAnsi="Verdana"/>
          <w:sz w:val="18"/>
          <w:szCs w:val="18"/>
        </w:rPr>
        <w:t xml:space="preserve"> artikel 197 Sr achterwege blijft?’’</w:t>
      </w:r>
    </w:p>
    <w:p w14:paraId="7298753D" w14:textId="77777777" w:rsidR="006A788F" w:rsidRPr="00DA540E" w:rsidRDefault="006A788F" w:rsidP="00DA540E">
      <w:pPr>
        <w:spacing w:after="0" w:line="360" w:lineRule="auto"/>
        <w:jc w:val="both"/>
        <w:rPr>
          <w:rFonts w:ascii="Verdana" w:hAnsi="Verdana"/>
          <w:sz w:val="18"/>
          <w:szCs w:val="18"/>
        </w:rPr>
      </w:pPr>
    </w:p>
    <w:p w14:paraId="10369A80" w14:textId="1022B5D9" w:rsidR="00545C99" w:rsidRDefault="00EA1100" w:rsidP="00442FA2">
      <w:pPr>
        <w:spacing w:after="0" w:line="360" w:lineRule="auto"/>
        <w:jc w:val="both"/>
        <w:rPr>
          <w:rFonts w:ascii="Verdana" w:hAnsi="Verdana"/>
          <w:sz w:val="18"/>
          <w:szCs w:val="18"/>
        </w:rPr>
      </w:pPr>
      <w:r>
        <w:rPr>
          <w:rFonts w:ascii="Verdana" w:hAnsi="Verdana"/>
          <w:sz w:val="18"/>
          <w:szCs w:val="18"/>
        </w:rPr>
        <w:t xml:space="preserve">Ter beantwoording van </w:t>
      </w:r>
      <w:r w:rsidR="00884F22">
        <w:rPr>
          <w:rFonts w:ascii="Verdana" w:hAnsi="Verdana"/>
          <w:sz w:val="18"/>
          <w:szCs w:val="18"/>
        </w:rPr>
        <w:t>bovengenoemde vraag</w:t>
      </w:r>
      <w:r>
        <w:rPr>
          <w:rFonts w:ascii="Verdana" w:hAnsi="Verdana"/>
          <w:sz w:val="18"/>
          <w:szCs w:val="18"/>
        </w:rPr>
        <w:t xml:space="preserve"> zijn </w:t>
      </w:r>
      <w:r w:rsidR="00884F22">
        <w:rPr>
          <w:rFonts w:ascii="Verdana" w:hAnsi="Verdana"/>
          <w:sz w:val="18"/>
          <w:szCs w:val="18"/>
        </w:rPr>
        <w:t>allereerst een reeks deelvragen opgesteld, aan de hand waarvan</w:t>
      </w:r>
      <w:r w:rsidR="00F56B2A">
        <w:rPr>
          <w:rFonts w:ascii="Verdana" w:hAnsi="Verdana"/>
          <w:sz w:val="18"/>
          <w:szCs w:val="18"/>
        </w:rPr>
        <w:t xml:space="preserve"> </w:t>
      </w:r>
      <w:r w:rsidR="00884F22">
        <w:rPr>
          <w:rFonts w:ascii="Verdana" w:hAnsi="Verdana"/>
          <w:sz w:val="18"/>
          <w:szCs w:val="18"/>
        </w:rPr>
        <w:t>wetsanalyse</w:t>
      </w:r>
      <w:r w:rsidR="00F56B2A">
        <w:rPr>
          <w:rFonts w:ascii="Verdana" w:hAnsi="Verdana"/>
          <w:sz w:val="18"/>
          <w:szCs w:val="18"/>
        </w:rPr>
        <w:t>, literatuuronderzoek, jurisprudentieonderzoek en dossieronderzoek</w:t>
      </w:r>
      <w:r w:rsidR="00884F22">
        <w:rPr>
          <w:rFonts w:ascii="Verdana" w:hAnsi="Verdana"/>
          <w:sz w:val="18"/>
          <w:szCs w:val="18"/>
        </w:rPr>
        <w:t xml:space="preserve"> heeft plaatsgevonden. </w:t>
      </w:r>
      <w:r w:rsidR="00140E38">
        <w:rPr>
          <w:rFonts w:ascii="Verdana" w:hAnsi="Verdana"/>
          <w:sz w:val="18"/>
          <w:szCs w:val="18"/>
        </w:rPr>
        <w:t xml:space="preserve">Dit is noodzakelijk geweest voor het </w:t>
      </w:r>
      <w:r w:rsidR="00F56B2A">
        <w:rPr>
          <w:rFonts w:ascii="Verdana" w:hAnsi="Verdana"/>
          <w:sz w:val="18"/>
          <w:szCs w:val="18"/>
        </w:rPr>
        <w:t>behalen van de</w:t>
      </w:r>
      <w:r w:rsidR="00944733">
        <w:rPr>
          <w:rFonts w:ascii="Verdana" w:hAnsi="Verdana"/>
          <w:sz w:val="18"/>
          <w:szCs w:val="18"/>
        </w:rPr>
        <w:t xml:space="preserve"> doelstelling van dit onderzoek, te weten het formuleren van een advies voor SVK-advocaten waarin de gronden zijn </w:t>
      </w:r>
      <w:r w:rsidR="009E5D91">
        <w:rPr>
          <w:rFonts w:ascii="Verdana" w:hAnsi="Verdana"/>
          <w:sz w:val="18"/>
          <w:szCs w:val="18"/>
        </w:rPr>
        <w:t>verwerkt</w:t>
      </w:r>
      <w:r w:rsidR="00944733">
        <w:rPr>
          <w:rFonts w:ascii="Verdana" w:hAnsi="Verdana"/>
          <w:sz w:val="18"/>
          <w:szCs w:val="18"/>
        </w:rPr>
        <w:t xml:space="preserve"> die zij naar aanleid</w:t>
      </w:r>
      <w:r w:rsidR="00893101">
        <w:rPr>
          <w:rFonts w:ascii="Verdana" w:hAnsi="Verdana"/>
          <w:sz w:val="18"/>
          <w:szCs w:val="18"/>
        </w:rPr>
        <w:t>ing van het Ouhrami arrest kunnen</w:t>
      </w:r>
      <w:r w:rsidR="00DD7BD5">
        <w:rPr>
          <w:rFonts w:ascii="Verdana" w:hAnsi="Verdana"/>
          <w:sz w:val="18"/>
          <w:szCs w:val="18"/>
        </w:rPr>
        <w:t xml:space="preserve"> </w:t>
      </w:r>
      <w:r w:rsidR="00893101">
        <w:rPr>
          <w:rFonts w:ascii="Verdana" w:hAnsi="Verdana"/>
          <w:sz w:val="18"/>
          <w:szCs w:val="18"/>
        </w:rPr>
        <w:t>aanvoeren en waarmee zij</w:t>
      </w:r>
      <w:r w:rsidR="00DD7BD5">
        <w:rPr>
          <w:rFonts w:ascii="Verdana" w:hAnsi="Verdana"/>
          <w:sz w:val="18"/>
          <w:szCs w:val="18"/>
        </w:rPr>
        <w:t xml:space="preserve"> </w:t>
      </w:r>
      <w:r w:rsidR="00944733">
        <w:rPr>
          <w:rFonts w:ascii="Verdana" w:hAnsi="Verdana"/>
          <w:sz w:val="18"/>
          <w:szCs w:val="18"/>
        </w:rPr>
        <w:t xml:space="preserve">cliënten </w:t>
      </w:r>
      <w:r w:rsidR="00D74E8B">
        <w:rPr>
          <w:rFonts w:ascii="Verdana" w:hAnsi="Verdana"/>
          <w:sz w:val="18"/>
          <w:szCs w:val="18"/>
        </w:rPr>
        <w:t xml:space="preserve">naar behoren </w:t>
      </w:r>
      <w:r w:rsidR="00944733">
        <w:rPr>
          <w:rFonts w:ascii="Verdana" w:hAnsi="Verdana"/>
          <w:sz w:val="18"/>
          <w:szCs w:val="18"/>
        </w:rPr>
        <w:t>kunnen adviseren.</w:t>
      </w:r>
      <w:r w:rsidR="0061598A">
        <w:rPr>
          <w:rFonts w:ascii="Verdana" w:hAnsi="Verdana"/>
          <w:sz w:val="18"/>
          <w:szCs w:val="18"/>
        </w:rPr>
        <w:t xml:space="preserve"> De gronden die blijkens het advies aangevoerd kunnen worden </w:t>
      </w:r>
      <w:r w:rsidR="006A32B3">
        <w:rPr>
          <w:rFonts w:ascii="Verdana" w:hAnsi="Verdana"/>
          <w:sz w:val="18"/>
          <w:szCs w:val="18"/>
        </w:rPr>
        <w:t xml:space="preserve">moeten in de praktijk </w:t>
      </w:r>
      <w:r w:rsidR="0061598A">
        <w:rPr>
          <w:rFonts w:ascii="Verdana" w:hAnsi="Verdana"/>
          <w:sz w:val="18"/>
          <w:szCs w:val="18"/>
        </w:rPr>
        <w:t xml:space="preserve">leiden tot het volgende: 1) de bestuursrechter neemt </w:t>
      </w:r>
      <w:r w:rsidR="00EB5135">
        <w:rPr>
          <w:rFonts w:ascii="Verdana" w:hAnsi="Verdana"/>
          <w:sz w:val="18"/>
          <w:szCs w:val="18"/>
        </w:rPr>
        <w:t xml:space="preserve">procesbelang aan en toetst </w:t>
      </w:r>
      <w:r w:rsidR="00664956">
        <w:rPr>
          <w:rFonts w:ascii="Verdana" w:hAnsi="Verdana"/>
          <w:sz w:val="18"/>
          <w:szCs w:val="18"/>
        </w:rPr>
        <w:t>de weigering, niet-</w:t>
      </w:r>
      <w:r w:rsidR="00775003">
        <w:rPr>
          <w:rFonts w:ascii="Verdana" w:hAnsi="Verdana"/>
          <w:sz w:val="18"/>
          <w:szCs w:val="18"/>
        </w:rPr>
        <w:t xml:space="preserve">verlenging of intrekking van de verblijfsvergunning </w:t>
      </w:r>
      <w:r w:rsidR="00040622">
        <w:rPr>
          <w:rFonts w:ascii="Verdana" w:hAnsi="Verdana"/>
          <w:sz w:val="18"/>
          <w:szCs w:val="18"/>
        </w:rPr>
        <w:t>en het daarbij behorende</w:t>
      </w:r>
      <w:r w:rsidR="00775003">
        <w:rPr>
          <w:rFonts w:ascii="Verdana" w:hAnsi="Verdana"/>
          <w:sz w:val="18"/>
          <w:szCs w:val="18"/>
        </w:rPr>
        <w:t xml:space="preserve"> terugkeerbesluit </w:t>
      </w:r>
      <w:r w:rsidR="00EB5135">
        <w:rPr>
          <w:rFonts w:ascii="Verdana" w:hAnsi="Verdana"/>
          <w:sz w:val="18"/>
          <w:szCs w:val="18"/>
        </w:rPr>
        <w:t xml:space="preserve">samen met het inreisverbod vol en 2) de strafrechtelijke vervolging van artikel 197 Sr blijft achterwege indien het inreisverbod </w:t>
      </w:r>
      <w:r w:rsidR="009E5D91">
        <w:rPr>
          <w:rFonts w:ascii="Verdana" w:hAnsi="Verdana"/>
          <w:sz w:val="18"/>
          <w:szCs w:val="18"/>
        </w:rPr>
        <w:t xml:space="preserve">op grond van het Ouhrami arrest </w:t>
      </w:r>
      <w:r w:rsidR="00EB5135">
        <w:rPr>
          <w:rFonts w:ascii="Verdana" w:hAnsi="Verdana"/>
          <w:sz w:val="18"/>
          <w:szCs w:val="18"/>
        </w:rPr>
        <w:t xml:space="preserve">nog niet in werking is getreden. </w:t>
      </w:r>
    </w:p>
    <w:p w14:paraId="3C21EC92" w14:textId="77777777" w:rsidR="003241C7" w:rsidRDefault="003241C7" w:rsidP="00442FA2">
      <w:pPr>
        <w:spacing w:after="0" w:line="360" w:lineRule="auto"/>
        <w:jc w:val="both"/>
        <w:rPr>
          <w:rFonts w:ascii="Verdana" w:hAnsi="Verdana"/>
          <w:sz w:val="18"/>
          <w:szCs w:val="18"/>
        </w:rPr>
      </w:pPr>
    </w:p>
    <w:p w14:paraId="7EB565EF" w14:textId="77777777" w:rsidR="00D83AE8" w:rsidRDefault="003241C7" w:rsidP="00442FA2">
      <w:pPr>
        <w:spacing w:after="0" w:line="360" w:lineRule="auto"/>
        <w:jc w:val="both"/>
        <w:rPr>
          <w:rFonts w:ascii="Verdana" w:hAnsi="Verdana"/>
          <w:sz w:val="18"/>
          <w:szCs w:val="18"/>
        </w:rPr>
      </w:pPr>
      <w:r>
        <w:rPr>
          <w:rFonts w:ascii="Verdana" w:hAnsi="Verdana"/>
          <w:sz w:val="18"/>
          <w:szCs w:val="18"/>
        </w:rPr>
        <w:t>De resultaten van dit onderzoek</w:t>
      </w:r>
      <w:r w:rsidR="00D12AC5">
        <w:rPr>
          <w:rFonts w:ascii="Verdana" w:hAnsi="Verdana"/>
          <w:sz w:val="18"/>
          <w:szCs w:val="18"/>
        </w:rPr>
        <w:t xml:space="preserve"> </w:t>
      </w:r>
      <w:r w:rsidR="00322CEF">
        <w:rPr>
          <w:rFonts w:ascii="Verdana" w:hAnsi="Verdana"/>
          <w:sz w:val="18"/>
          <w:szCs w:val="18"/>
        </w:rPr>
        <w:t>zullen tot belangrijk</w:t>
      </w:r>
      <w:r w:rsidR="007B5979">
        <w:rPr>
          <w:rFonts w:ascii="Verdana" w:hAnsi="Verdana"/>
          <w:sz w:val="18"/>
          <w:szCs w:val="18"/>
        </w:rPr>
        <w:t>e ni</w:t>
      </w:r>
      <w:r w:rsidR="00F660F4">
        <w:rPr>
          <w:rFonts w:ascii="Verdana" w:hAnsi="Verdana"/>
          <w:sz w:val="18"/>
          <w:szCs w:val="18"/>
        </w:rPr>
        <w:t xml:space="preserve">euwe ontwikkelingen leiden. </w:t>
      </w:r>
      <w:r w:rsidR="00551BEC">
        <w:rPr>
          <w:rFonts w:ascii="Verdana" w:hAnsi="Verdana"/>
          <w:sz w:val="18"/>
          <w:szCs w:val="18"/>
        </w:rPr>
        <w:t xml:space="preserve">Voor de strafpraktijk </w:t>
      </w:r>
      <w:r w:rsidR="00D83AE8">
        <w:rPr>
          <w:rFonts w:ascii="Verdana" w:hAnsi="Verdana"/>
          <w:sz w:val="18"/>
          <w:szCs w:val="18"/>
        </w:rPr>
        <w:t xml:space="preserve">houdt dit in </w:t>
      </w:r>
      <w:r w:rsidR="00551BEC">
        <w:rPr>
          <w:rFonts w:ascii="Verdana" w:hAnsi="Verdana"/>
          <w:sz w:val="18"/>
          <w:szCs w:val="18"/>
        </w:rPr>
        <w:t>dat er geen adequate wettelijke grondslag is voor de vervolging van het verblijf in weerwil van een inreisverbod en dat derhalve sprake is van een legaliteitsgebrek.</w:t>
      </w:r>
      <w:r w:rsidR="00FD0021">
        <w:rPr>
          <w:rFonts w:ascii="Verdana" w:hAnsi="Verdana"/>
          <w:sz w:val="18"/>
          <w:szCs w:val="18"/>
        </w:rPr>
        <w:t xml:space="preserve"> De </w:t>
      </w:r>
      <w:r w:rsidR="00697978">
        <w:rPr>
          <w:rFonts w:ascii="Verdana" w:hAnsi="Verdana"/>
          <w:sz w:val="18"/>
          <w:szCs w:val="18"/>
        </w:rPr>
        <w:t xml:space="preserve">hierbij behorende </w:t>
      </w:r>
      <w:r w:rsidR="00FD0021">
        <w:rPr>
          <w:rFonts w:ascii="Verdana" w:hAnsi="Verdana"/>
          <w:sz w:val="18"/>
          <w:szCs w:val="18"/>
        </w:rPr>
        <w:t>conclusie i</w:t>
      </w:r>
      <w:r w:rsidR="00697978">
        <w:rPr>
          <w:rFonts w:ascii="Verdana" w:hAnsi="Verdana"/>
          <w:sz w:val="18"/>
          <w:szCs w:val="18"/>
        </w:rPr>
        <w:t>s nam</w:t>
      </w:r>
      <w:r w:rsidR="00E535EC">
        <w:rPr>
          <w:rFonts w:ascii="Verdana" w:hAnsi="Verdana"/>
          <w:sz w:val="18"/>
          <w:szCs w:val="18"/>
        </w:rPr>
        <w:t xml:space="preserve">elijk dat het inreisverbod nog niet in werking is getreden </w:t>
      </w:r>
      <w:r w:rsidR="00697978">
        <w:rPr>
          <w:rFonts w:ascii="Verdana" w:hAnsi="Verdana"/>
          <w:sz w:val="18"/>
          <w:szCs w:val="18"/>
        </w:rPr>
        <w:t>op het moment dat de vreemdeling Nederland nog niet heeft verlaten</w:t>
      </w:r>
      <w:r w:rsidR="00E535EC">
        <w:rPr>
          <w:rFonts w:ascii="Verdana" w:hAnsi="Verdana"/>
          <w:sz w:val="18"/>
          <w:szCs w:val="18"/>
        </w:rPr>
        <w:t>, waardoor een overtreding hiervan ook niet mogelijk is.</w:t>
      </w:r>
    </w:p>
    <w:p w14:paraId="7D853B98" w14:textId="77777777" w:rsidR="00D83AE8" w:rsidRDefault="00D83AE8" w:rsidP="00442FA2">
      <w:pPr>
        <w:spacing w:after="0" w:line="360" w:lineRule="auto"/>
        <w:jc w:val="both"/>
        <w:rPr>
          <w:rFonts w:ascii="Verdana" w:hAnsi="Verdana"/>
          <w:sz w:val="18"/>
          <w:szCs w:val="18"/>
        </w:rPr>
      </w:pPr>
    </w:p>
    <w:p w14:paraId="0614EFCA" w14:textId="56BB368C" w:rsidR="00DD7438" w:rsidRDefault="00F660F4" w:rsidP="00442FA2">
      <w:pPr>
        <w:spacing w:after="0" w:line="360" w:lineRule="auto"/>
        <w:jc w:val="both"/>
        <w:rPr>
          <w:rFonts w:ascii="Verdana" w:hAnsi="Verdana"/>
          <w:sz w:val="18"/>
          <w:szCs w:val="18"/>
        </w:rPr>
      </w:pPr>
      <w:r>
        <w:rPr>
          <w:rFonts w:ascii="Verdana" w:hAnsi="Verdana"/>
          <w:sz w:val="18"/>
          <w:szCs w:val="18"/>
        </w:rPr>
        <w:t xml:space="preserve">Voor de vreemdelingenrechtpraktijk </w:t>
      </w:r>
      <w:r w:rsidR="00D83AE8">
        <w:rPr>
          <w:rFonts w:ascii="Verdana" w:hAnsi="Verdana"/>
          <w:sz w:val="18"/>
          <w:szCs w:val="18"/>
        </w:rPr>
        <w:t xml:space="preserve">betekenen de resultaten dat het </w:t>
      </w:r>
      <w:r w:rsidR="008574A4">
        <w:rPr>
          <w:rFonts w:ascii="Verdana" w:hAnsi="Verdana"/>
          <w:sz w:val="18"/>
          <w:szCs w:val="18"/>
        </w:rPr>
        <w:t>inreisverbod door de bestuursrechter niet meer gebruikt kan worden</w:t>
      </w:r>
      <w:r w:rsidR="000539FB">
        <w:rPr>
          <w:rFonts w:ascii="Verdana" w:hAnsi="Verdana"/>
          <w:sz w:val="18"/>
          <w:szCs w:val="18"/>
        </w:rPr>
        <w:t xml:space="preserve"> om de toetsing van de weigering, niet-verlenging of intrekking van de verblijfsvergunning</w:t>
      </w:r>
      <w:r w:rsidR="00DD7438">
        <w:rPr>
          <w:rFonts w:ascii="Verdana" w:hAnsi="Verdana"/>
          <w:sz w:val="18"/>
          <w:szCs w:val="18"/>
        </w:rPr>
        <w:t xml:space="preserve"> op gronden van de openbare orde</w:t>
      </w:r>
      <w:r w:rsidR="000539FB">
        <w:rPr>
          <w:rFonts w:ascii="Verdana" w:hAnsi="Verdana"/>
          <w:sz w:val="18"/>
          <w:szCs w:val="18"/>
        </w:rPr>
        <w:t>, alsmede het daarbij behorende terugkeerbesluit</w:t>
      </w:r>
      <w:r w:rsidR="002E28EB">
        <w:rPr>
          <w:rFonts w:ascii="Verdana" w:hAnsi="Verdana"/>
          <w:sz w:val="18"/>
          <w:szCs w:val="18"/>
        </w:rPr>
        <w:t xml:space="preserve"> te omzeilen. </w:t>
      </w:r>
      <w:r w:rsidR="00F700E8">
        <w:rPr>
          <w:rFonts w:ascii="Verdana" w:hAnsi="Verdana"/>
          <w:sz w:val="18"/>
          <w:szCs w:val="18"/>
        </w:rPr>
        <w:t>In de huidige praktijk worden voornoemde verblijfsaanspraken in de beroepsprocedure nimmer getoetst, doordat er geen procesbelang zou zijn.</w:t>
      </w:r>
    </w:p>
    <w:p w14:paraId="672872B2" w14:textId="77777777" w:rsidR="00F700E8" w:rsidRDefault="00F700E8" w:rsidP="00442FA2">
      <w:pPr>
        <w:spacing w:after="0" w:line="360" w:lineRule="auto"/>
        <w:jc w:val="both"/>
        <w:rPr>
          <w:rFonts w:ascii="Verdana" w:hAnsi="Verdana"/>
          <w:sz w:val="18"/>
          <w:szCs w:val="18"/>
        </w:rPr>
      </w:pPr>
    </w:p>
    <w:p w14:paraId="4F6C5337" w14:textId="2082068F" w:rsidR="00D83AE8" w:rsidRDefault="000E3DFF" w:rsidP="00442FA2">
      <w:pPr>
        <w:spacing w:after="0" w:line="360" w:lineRule="auto"/>
        <w:jc w:val="both"/>
        <w:rPr>
          <w:rFonts w:ascii="Verdana" w:hAnsi="Verdana"/>
          <w:sz w:val="18"/>
          <w:szCs w:val="18"/>
        </w:rPr>
      </w:pPr>
      <w:r>
        <w:rPr>
          <w:rFonts w:ascii="Verdana" w:hAnsi="Verdana"/>
          <w:sz w:val="18"/>
          <w:szCs w:val="18"/>
        </w:rPr>
        <w:t xml:space="preserve">Uit de resultaten is </w:t>
      </w:r>
      <w:r w:rsidR="0070301B">
        <w:rPr>
          <w:rFonts w:ascii="Verdana" w:hAnsi="Verdana"/>
          <w:sz w:val="18"/>
          <w:szCs w:val="18"/>
        </w:rPr>
        <w:t xml:space="preserve">echter </w:t>
      </w:r>
      <w:r>
        <w:rPr>
          <w:rFonts w:ascii="Verdana" w:hAnsi="Verdana"/>
          <w:sz w:val="18"/>
          <w:szCs w:val="18"/>
        </w:rPr>
        <w:t xml:space="preserve">gebleken dat de bestuursrechter </w:t>
      </w:r>
      <w:r w:rsidR="007963E9">
        <w:rPr>
          <w:rFonts w:ascii="Verdana" w:hAnsi="Verdana"/>
          <w:sz w:val="18"/>
          <w:szCs w:val="18"/>
        </w:rPr>
        <w:t xml:space="preserve">vanaf heden </w:t>
      </w:r>
      <w:r>
        <w:rPr>
          <w:rFonts w:ascii="Verdana" w:hAnsi="Verdana"/>
          <w:sz w:val="18"/>
          <w:szCs w:val="18"/>
        </w:rPr>
        <w:t>genoodz</w:t>
      </w:r>
      <w:r w:rsidR="007963E9">
        <w:rPr>
          <w:rFonts w:ascii="Verdana" w:hAnsi="Verdana"/>
          <w:sz w:val="18"/>
          <w:szCs w:val="18"/>
        </w:rPr>
        <w:t xml:space="preserve">aakt is om voornoemde </w:t>
      </w:r>
      <w:r w:rsidR="00D83AE8">
        <w:rPr>
          <w:rFonts w:ascii="Verdana" w:hAnsi="Verdana"/>
          <w:sz w:val="18"/>
          <w:szCs w:val="18"/>
        </w:rPr>
        <w:t>verblijfsaanspraken</w:t>
      </w:r>
      <w:r w:rsidR="007963E9">
        <w:rPr>
          <w:rFonts w:ascii="Verdana" w:hAnsi="Verdana"/>
          <w:sz w:val="18"/>
          <w:szCs w:val="18"/>
        </w:rPr>
        <w:t xml:space="preserve"> wel </w:t>
      </w:r>
      <w:r w:rsidR="00C40AD2">
        <w:rPr>
          <w:rFonts w:ascii="Verdana" w:hAnsi="Verdana"/>
          <w:sz w:val="18"/>
          <w:szCs w:val="18"/>
        </w:rPr>
        <w:t xml:space="preserve">(vol) </w:t>
      </w:r>
      <w:r>
        <w:rPr>
          <w:rFonts w:ascii="Verdana" w:hAnsi="Verdana"/>
          <w:sz w:val="18"/>
          <w:szCs w:val="18"/>
        </w:rPr>
        <w:t xml:space="preserve">te toetsen, </w:t>
      </w:r>
      <w:r w:rsidR="008C1CD8">
        <w:rPr>
          <w:rFonts w:ascii="Verdana" w:hAnsi="Verdana"/>
          <w:sz w:val="18"/>
          <w:szCs w:val="18"/>
        </w:rPr>
        <w:t xml:space="preserve">indien de vreemdeling Nederland </w:t>
      </w:r>
      <w:r w:rsidR="00D83AE8">
        <w:rPr>
          <w:rFonts w:ascii="Verdana" w:hAnsi="Verdana"/>
          <w:sz w:val="18"/>
          <w:szCs w:val="18"/>
        </w:rPr>
        <w:t xml:space="preserve">nog niet heeft verlaten. </w:t>
      </w:r>
      <w:r w:rsidR="00C40AD2">
        <w:rPr>
          <w:rFonts w:ascii="Verdana" w:hAnsi="Verdana"/>
          <w:sz w:val="18"/>
          <w:szCs w:val="18"/>
        </w:rPr>
        <w:t xml:space="preserve">De hierbij behorende conclusie is namelijk dat </w:t>
      </w:r>
      <w:r w:rsidR="00C720B7">
        <w:rPr>
          <w:rFonts w:ascii="Verdana" w:hAnsi="Verdana"/>
          <w:sz w:val="18"/>
          <w:szCs w:val="18"/>
        </w:rPr>
        <w:t>het inreisverbod in voornoemde gevallen nog geen rechtskracht heeft</w:t>
      </w:r>
      <w:r w:rsidR="00C40AD2">
        <w:rPr>
          <w:rFonts w:ascii="Verdana" w:hAnsi="Verdana"/>
          <w:sz w:val="18"/>
          <w:szCs w:val="18"/>
        </w:rPr>
        <w:t>, waardoor deze ook niet getoetst kan worden door de bestuursrechter.</w:t>
      </w:r>
      <w:r w:rsidR="005F5516">
        <w:rPr>
          <w:rFonts w:ascii="Verdana" w:hAnsi="Verdana"/>
          <w:sz w:val="18"/>
          <w:szCs w:val="18"/>
        </w:rPr>
        <w:t xml:space="preserve"> </w:t>
      </w:r>
      <w:r w:rsidR="00CC7B97">
        <w:rPr>
          <w:rFonts w:ascii="Verdana" w:hAnsi="Verdana"/>
          <w:sz w:val="18"/>
          <w:szCs w:val="18"/>
        </w:rPr>
        <w:t>Doordat het inreisverbod</w:t>
      </w:r>
      <w:r w:rsidR="008D50E2">
        <w:rPr>
          <w:rFonts w:ascii="Verdana" w:hAnsi="Verdana"/>
          <w:sz w:val="18"/>
          <w:szCs w:val="18"/>
        </w:rPr>
        <w:t xml:space="preserve"> nu</w:t>
      </w:r>
      <w:r w:rsidR="00CC7B97">
        <w:rPr>
          <w:rFonts w:ascii="Verdana" w:hAnsi="Verdana"/>
          <w:sz w:val="18"/>
          <w:szCs w:val="18"/>
        </w:rPr>
        <w:t xml:space="preserve"> </w:t>
      </w:r>
      <w:r w:rsidR="008D50E2">
        <w:rPr>
          <w:rFonts w:ascii="Verdana" w:hAnsi="Verdana"/>
          <w:sz w:val="18"/>
          <w:szCs w:val="18"/>
        </w:rPr>
        <w:t xml:space="preserve">niet meer in de weg staat van rechtmatig verblijf in Nederland, zal de bestuursrechter procesbelang moeten aannemen ten aanzien van de genoemde </w:t>
      </w:r>
      <w:r w:rsidR="00D83AE8">
        <w:rPr>
          <w:rFonts w:ascii="Verdana" w:hAnsi="Verdana"/>
          <w:sz w:val="18"/>
          <w:szCs w:val="18"/>
        </w:rPr>
        <w:t xml:space="preserve">verblijfsaanspraken. </w:t>
      </w:r>
    </w:p>
    <w:p w14:paraId="546E9D27" w14:textId="77777777" w:rsidR="00D83AE8" w:rsidRDefault="00D83AE8" w:rsidP="00442FA2">
      <w:pPr>
        <w:spacing w:after="0" w:line="360" w:lineRule="auto"/>
        <w:jc w:val="both"/>
        <w:rPr>
          <w:rFonts w:ascii="Verdana" w:hAnsi="Verdana"/>
          <w:sz w:val="18"/>
          <w:szCs w:val="18"/>
        </w:rPr>
      </w:pPr>
    </w:p>
    <w:p w14:paraId="400DC4A9" w14:textId="15C50EB4" w:rsidR="008F5182" w:rsidRDefault="00C40AD2" w:rsidP="00F700E8">
      <w:pPr>
        <w:spacing w:after="0" w:line="360" w:lineRule="auto"/>
        <w:jc w:val="both"/>
        <w:rPr>
          <w:rFonts w:ascii="Verdana" w:hAnsi="Verdana"/>
          <w:sz w:val="18"/>
          <w:szCs w:val="18"/>
        </w:rPr>
      </w:pPr>
      <w:r>
        <w:rPr>
          <w:rFonts w:ascii="Verdana" w:hAnsi="Verdana"/>
          <w:sz w:val="18"/>
          <w:szCs w:val="18"/>
        </w:rPr>
        <w:t>Een andere conclusie i</w:t>
      </w:r>
      <w:r w:rsidR="00886279">
        <w:rPr>
          <w:rFonts w:ascii="Verdana" w:hAnsi="Verdana"/>
          <w:sz w:val="18"/>
          <w:szCs w:val="18"/>
        </w:rPr>
        <w:t>s dat de bestuursrechter nu óók in het geval van een verblijfsvergunning regulier voor onbepaalde tijd op moet treden als Unierechter, waardoor hij de weigering, niet-verlenging of intrekking van de verblijfsvergunning samen met het terugkeerbesluit vol moet toetsen</w:t>
      </w:r>
      <w:r w:rsidR="001E46EA">
        <w:rPr>
          <w:rFonts w:ascii="Verdana" w:hAnsi="Verdana"/>
          <w:sz w:val="18"/>
          <w:szCs w:val="18"/>
        </w:rPr>
        <w:t xml:space="preserve"> in beroepsprocedures</w:t>
      </w:r>
      <w:r w:rsidR="00886279">
        <w:rPr>
          <w:rFonts w:ascii="Verdana" w:hAnsi="Verdana"/>
          <w:sz w:val="18"/>
          <w:szCs w:val="18"/>
        </w:rPr>
        <w:t>.</w:t>
      </w:r>
      <w:r w:rsidR="00FD0021">
        <w:rPr>
          <w:rFonts w:ascii="Verdana" w:hAnsi="Verdana"/>
          <w:sz w:val="18"/>
          <w:szCs w:val="18"/>
        </w:rPr>
        <w:t xml:space="preserve"> </w:t>
      </w:r>
      <w:r w:rsidR="00781710">
        <w:rPr>
          <w:rFonts w:ascii="Verdana" w:hAnsi="Verdana"/>
          <w:sz w:val="18"/>
          <w:szCs w:val="18"/>
        </w:rPr>
        <w:t xml:space="preserve">Daarmee wordt ook duidelijk dat het Unierecht het immigratierecht </w:t>
      </w:r>
      <w:r w:rsidR="00FD0021">
        <w:rPr>
          <w:rFonts w:ascii="Verdana" w:hAnsi="Verdana"/>
          <w:sz w:val="18"/>
          <w:szCs w:val="18"/>
        </w:rPr>
        <w:t xml:space="preserve">momenteel </w:t>
      </w:r>
      <w:r w:rsidR="00781710">
        <w:rPr>
          <w:rFonts w:ascii="Verdana" w:hAnsi="Verdana"/>
          <w:sz w:val="18"/>
          <w:szCs w:val="18"/>
        </w:rPr>
        <w:t>v</w:t>
      </w:r>
      <w:r w:rsidR="00FD0021">
        <w:rPr>
          <w:rFonts w:ascii="Verdana" w:hAnsi="Verdana"/>
          <w:sz w:val="18"/>
          <w:szCs w:val="18"/>
        </w:rPr>
        <w:t>oor een heel groot gedeelte bepaald.</w:t>
      </w:r>
    </w:p>
    <w:p w14:paraId="5B11990B" w14:textId="7EB34FEA" w:rsidR="00E51D23" w:rsidRDefault="00E51D23" w:rsidP="00E51D23">
      <w:pPr>
        <w:pBdr>
          <w:bottom w:val="single" w:sz="4" w:space="1" w:color="auto"/>
        </w:pBdr>
        <w:spacing w:after="0" w:line="360" w:lineRule="auto"/>
        <w:jc w:val="both"/>
        <w:rPr>
          <w:rFonts w:ascii="Verdana" w:hAnsi="Verdana"/>
          <w:sz w:val="18"/>
          <w:szCs w:val="18"/>
        </w:rPr>
      </w:pPr>
      <w:r>
        <w:rPr>
          <w:rFonts w:ascii="Verdana" w:hAnsi="Verdana"/>
          <w:b/>
          <w:sz w:val="18"/>
          <w:szCs w:val="18"/>
        </w:rPr>
        <w:lastRenderedPageBreak/>
        <w:t>Afkortingen</w:t>
      </w:r>
    </w:p>
    <w:p w14:paraId="7E5A1EA8" w14:textId="77777777" w:rsidR="00E51D23" w:rsidRDefault="00E51D23" w:rsidP="005D43B2">
      <w:pPr>
        <w:spacing w:after="0" w:line="360" w:lineRule="auto"/>
        <w:jc w:val="both"/>
        <w:rPr>
          <w:rFonts w:ascii="Verdana" w:hAnsi="Verdana"/>
          <w:sz w:val="18"/>
          <w:szCs w:val="18"/>
        </w:rPr>
      </w:pPr>
    </w:p>
    <w:p w14:paraId="30F5AA33" w14:textId="4CBB3659" w:rsidR="00D80CF2" w:rsidRDefault="00BA6889" w:rsidP="003575C8">
      <w:pPr>
        <w:spacing w:after="0" w:line="360" w:lineRule="auto"/>
        <w:rPr>
          <w:rFonts w:ascii="Verdana" w:hAnsi="Verdana"/>
          <w:sz w:val="18"/>
          <w:szCs w:val="18"/>
        </w:rPr>
      </w:pPr>
      <w:r>
        <w:rPr>
          <w:rFonts w:ascii="Verdana" w:hAnsi="Verdana"/>
          <w:sz w:val="18"/>
          <w:szCs w:val="18"/>
        </w:rPr>
        <w:t>ACVZ</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sidR="00D80CF2">
        <w:rPr>
          <w:rFonts w:ascii="Verdana" w:hAnsi="Verdana"/>
          <w:sz w:val="18"/>
          <w:szCs w:val="18"/>
        </w:rPr>
        <w:t>Adviescommissie voor Vreemdelingenzaken</w:t>
      </w:r>
    </w:p>
    <w:p w14:paraId="1D3E5A85" w14:textId="7C235789" w:rsidR="00D80CF2" w:rsidRDefault="00D80CF2" w:rsidP="005D43B2">
      <w:pPr>
        <w:spacing w:after="0" w:line="360" w:lineRule="auto"/>
        <w:rPr>
          <w:rFonts w:ascii="Verdana" w:hAnsi="Verdana"/>
          <w:sz w:val="18"/>
          <w:szCs w:val="18"/>
        </w:rPr>
      </w:pPr>
      <w:r>
        <w:rPr>
          <w:rFonts w:ascii="Verdana" w:hAnsi="Verdana"/>
          <w:sz w:val="18"/>
          <w:szCs w:val="18"/>
        </w:rPr>
        <w:t>Awb</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Algemene wet bestuursrecht</w:t>
      </w:r>
    </w:p>
    <w:p w14:paraId="72E21DF3" w14:textId="67A3E4CB" w:rsidR="00D80CF2" w:rsidRDefault="00D80CF2" w:rsidP="005D43B2">
      <w:pPr>
        <w:spacing w:after="0" w:line="360" w:lineRule="auto"/>
        <w:rPr>
          <w:rFonts w:ascii="Verdana" w:hAnsi="Verdana"/>
          <w:sz w:val="18"/>
          <w:szCs w:val="18"/>
        </w:rPr>
      </w:pPr>
      <w:r>
        <w:rPr>
          <w:rFonts w:ascii="Verdana" w:hAnsi="Verdana"/>
          <w:sz w:val="18"/>
          <w:szCs w:val="18"/>
        </w:rPr>
        <w:t>EHRM</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Europees Hof voor de Rechten van de Mens</w:t>
      </w:r>
    </w:p>
    <w:p w14:paraId="1BEF7BEB" w14:textId="4D71B186" w:rsidR="002416EB" w:rsidRDefault="002416EB" w:rsidP="005D43B2">
      <w:pPr>
        <w:spacing w:after="0" w:line="360" w:lineRule="auto"/>
        <w:rPr>
          <w:rFonts w:ascii="Verdana" w:hAnsi="Verdana"/>
          <w:sz w:val="18"/>
          <w:szCs w:val="18"/>
        </w:rPr>
      </w:pPr>
      <w:r>
        <w:rPr>
          <w:rFonts w:ascii="Verdana" w:hAnsi="Verdana"/>
          <w:sz w:val="18"/>
          <w:szCs w:val="18"/>
        </w:rPr>
        <w:t>EU</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Europese Unie</w:t>
      </w:r>
    </w:p>
    <w:p w14:paraId="2DC7C43F" w14:textId="63C074AF" w:rsidR="00D80CF2" w:rsidRDefault="00D80CF2" w:rsidP="005D43B2">
      <w:pPr>
        <w:spacing w:after="0" w:line="360" w:lineRule="auto"/>
        <w:rPr>
          <w:rFonts w:ascii="Verdana" w:hAnsi="Verdana"/>
          <w:sz w:val="18"/>
          <w:szCs w:val="18"/>
        </w:rPr>
      </w:pPr>
      <w:r>
        <w:rPr>
          <w:rFonts w:ascii="Verdana" w:hAnsi="Verdana"/>
          <w:sz w:val="18"/>
          <w:szCs w:val="18"/>
        </w:rPr>
        <w:t>EVRM</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Europees Verdrag voor de Rechten van de Mens</w:t>
      </w:r>
    </w:p>
    <w:p w14:paraId="3A87568F" w14:textId="77777777" w:rsidR="005D43B2" w:rsidRDefault="00970EF9" w:rsidP="005D43B2">
      <w:pPr>
        <w:spacing w:after="0" w:line="360" w:lineRule="auto"/>
        <w:rPr>
          <w:rFonts w:ascii="Verdana" w:hAnsi="Verdana"/>
          <w:sz w:val="18"/>
          <w:szCs w:val="18"/>
        </w:rPr>
      </w:pPr>
      <w:r>
        <w:rPr>
          <w:rFonts w:ascii="Verdana" w:hAnsi="Verdana"/>
          <w:sz w:val="18"/>
          <w:szCs w:val="18"/>
        </w:rPr>
        <w:t>HvJEU</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Hof van Justitie van de Europese Unie</w:t>
      </w:r>
    </w:p>
    <w:p w14:paraId="0B91D0C3" w14:textId="77777777" w:rsidR="005D43B2" w:rsidRDefault="005D43B2" w:rsidP="005D43B2">
      <w:pPr>
        <w:spacing w:after="0" w:line="360" w:lineRule="auto"/>
        <w:rPr>
          <w:rFonts w:ascii="Verdana" w:hAnsi="Verdana"/>
          <w:sz w:val="18"/>
          <w:szCs w:val="18"/>
        </w:rPr>
      </w:pPr>
      <w:r>
        <w:rPr>
          <w:rFonts w:ascii="Verdana" w:hAnsi="Verdana"/>
          <w:sz w:val="18"/>
          <w:szCs w:val="18"/>
        </w:rPr>
        <w:t>IND</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Immigratie- en Naturalisatiedienst</w:t>
      </w:r>
    </w:p>
    <w:p w14:paraId="7D7B08DD" w14:textId="74100B94" w:rsidR="00D80CF2" w:rsidRDefault="00D80CF2" w:rsidP="005D43B2">
      <w:pPr>
        <w:spacing w:after="0" w:line="360" w:lineRule="auto"/>
        <w:rPr>
          <w:rFonts w:ascii="Verdana" w:hAnsi="Verdana"/>
          <w:sz w:val="18"/>
          <w:szCs w:val="18"/>
        </w:rPr>
      </w:pPr>
      <w:r>
        <w:rPr>
          <w:rFonts w:ascii="Verdana" w:hAnsi="Verdana"/>
          <w:sz w:val="18"/>
          <w:szCs w:val="18"/>
        </w:rPr>
        <w:t>IVBP</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Internationaal Verdrag inzake Burger- en Politieke Rechten</w:t>
      </w:r>
    </w:p>
    <w:p w14:paraId="50D15D88" w14:textId="75DEC00F" w:rsidR="00D80CF2" w:rsidRDefault="00D80CF2" w:rsidP="00D80CF2">
      <w:pPr>
        <w:rPr>
          <w:rFonts w:ascii="Verdana" w:hAnsi="Verdana"/>
          <w:sz w:val="18"/>
          <w:szCs w:val="20"/>
        </w:rPr>
      </w:pPr>
      <w:r>
        <w:rPr>
          <w:rFonts w:ascii="Verdana" w:hAnsi="Verdana"/>
          <w:sz w:val="18"/>
          <w:szCs w:val="20"/>
        </w:rPr>
        <w:t>IVRK</w:t>
      </w:r>
      <w:r>
        <w:rPr>
          <w:rFonts w:ascii="Verdana" w:hAnsi="Verdana"/>
          <w:sz w:val="18"/>
          <w:szCs w:val="20"/>
        </w:rPr>
        <w:tab/>
      </w:r>
      <w:r>
        <w:rPr>
          <w:rFonts w:ascii="Verdana" w:hAnsi="Verdana"/>
          <w:sz w:val="18"/>
          <w:szCs w:val="20"/>
        </w:rPr>
        <w:tab/>
      </w:r>
      <w:r>
        <w:rPr>
          <w:rFonts w:ascii="Verdana" w:hAnsi="Verdana"/>
          <w:sz w:val="18"/>
          <w:szCs w:val="20"/>
        </w:rPr>
        <w:tab/>
      </w:r>
      <w:r>
        <w:rPr>
          <w:rFonts w:ascii="Verdana" w:hAnsi="Verdana"/>
          <w:sz w:val="18"/>
          <w:szCs w:val="20"/>
        </w:rPr>
        <w:tab/>
      </w:r>
      <w:r>
        <w:rPr>
          <w:rFonts w:ascii="Verdana" w:hAnsi="Verdana"/>
          <w:sz w:val="18"/>
          <w:szCs w:val="20"/>
        </w:rPr>
        <w:tab/>
        <w:t>Internationaal Verdrag inzake de Rechten van het Kind</w:t>
      </w:r>
    </w:p>
    <w:p w14:paraId="136D2C2D" w14:textId="092D7BDE" w:rsidR="00D80CF2" w:rsidRPr="00D80CF2" w:rsidRDefault="00D80CF2" w:rsidP="00D80CF2">
      <w:pPr>
        <w:rPr>
          <w:rFonts w:ascii="Verdana" w:hAnsi="Verdana"/>
          <w:sz w:val="18"/>
          <w:szCs w:val="20"/>
        </w:rPr>
      </w:pPr>
      <w:r>
        <w:rPr>
          <w:rFonts w:ascii="Verdana" w:hAnsi="Verdana"/>
          <w:sz w:val="18"/>
          <w:szCs w:val="20"/>
        </w:rPr>
        <w:t>SIS</w:t>
      </w:r>
      <w:r>
        <w:rPr>
          <w:rFonts w:ascii="Verdana" w:hAnsi="Verdana"/>
          <w:sz w:val="18"/>
          <w:szCs w:val="20"/>
        </w:rPr>
        <w:tab/>
      </w:r>
      <w:r>
        <w:rPr>
          <w:rFonts w:ascii="Verdana" w:hAnsi="Verdana"/>
          <w:sz w:val="18"/>
          <w:szCs w:val="20"/>
        </w:rPr>
        <w:tab/>
      </w:r>
      <w:r>
        <w:rPr>
          <w:rFonts w:ascii="Verdana" w:hAnsi="Verdana"/>
          <w:sz w:val="18"/>
          <w:szCs w:val="20"/>
        </w:rPr>
        <w:tab/>
      </w:r>
      <w:r>
        <w:rPr>
          <w:rFonts w:ascii="Verdana" w:hAnsi="Verdana"/>
          <w:sz w:val="18"/>
          <w:szCs w:val="20"/>
        </w:rPr>
        <w:tab/>
      </w:r>
      <w:r>
        <w:rPr>
          <w:rFonts w:ascii="Verdana" w:hAnsi="Verdana"/>
          <w:sz w:val="18"/>
          <w:szCs w:val="20"/>
        </w:rPr>
        <w:tab/>
        <w:t>Schengen-Informatiesysteem</w:t>
      </w:r>
    </w:p>
    <w:p w14:paraId="63457843" w14:textId="7B237FEC" w:rsidR="002416EB" w:rsidRDefault="002416EB" w:rsidP="005D43B2">
      <w:pPr>
        <w:spacing w:after="0" w:line="360" w:lineRule="auto"/>
        <w:rPr>
          <w:rFonts w:ascii="Verdana" w:hAnsi="Verdana"/>
          <w:sz w:val="18"/>
          <w:szCs w:val="18"/>
        </w:rPr>
      </w:pPr>
      <w:r>
        <w:rPr>
          <w:rFonts w:ascii="Verdana" w:hAnsi="Verdana"/>
          <w:sz w:val="18"/>
          <w:szCs w:val="18"/>
        </w:rPr>
        <w:t>SVK-advocaten</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Schoneveld Vennik Van der Klaauw advocaten</w:t>
      </w:r>
    </w:p>
    <w:p w14:paraId="6A735C4B" w14:textId="77777777" w:rsidR="005D43B2" w:rsidRDefault="005D43B2" w:rsidP="005D43B2">
      <w:pPr>
        <w:spacing w:after="0" w:line="360" w:lineRule="auto"/>
        <w:rPr>
          <w:rFonts w:ascii="Verdana" w:hAnsi="Verdana"/>
          <w:sz w:val="18"/>
          <w:szCs w:val="18"/>
        </w:rPr>
      </w:pPr>
      <w:r>
        <w:rPr>
          <w:rFonts w:ascii="Verdana" w:hAnsi="Verdana"/>
          <w:sz w:val="18"/>
          <w:szCs w:val="18"/>
        </w:rPr>
        <w:t>Sr</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Wetboek van Strafrecht</w:t>
      </w:r>
    </w:p>
    <w:p w14:paraId="2699325D" w14:textId="23249B98" w:rsidR="00D80CF2" w:rsidRDefault="00D80CF2" w:rsidP="005D43B2">
      <w:pPr>
        <w:spacing w:after="0" w:line="360" w:lineRule="auto"/>
        <w:rPr>
          <w:rFonts w:ascii="Verdana" w:hAnsi="Verdana"/>
          <w:sz w:val="18"/>
          <w:szCs w:val="18"/>
        </w:rPr>
      </w:pPr>
      <w:r>
        <w:rPr>
          <w:rFonts w:ascii="Verdana" w:hAnsi="Verdana"/>
          <w:sz w:val="18"/>
          <w:szCs w:val="18"/>
        </w:rPr>
        <w:t>Vb 2000</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Vreemdelingenbesluit 2000</w:t>
      </w:r>
    </w:p>
    <w:p w14:paraId="5E2DEE87" w14:textId="4E71D4EF" w:rsidR="00D80CF2" w:rsidRDefault="00D80CF2" w:rsidP="005D43B2">
      <w:pPr>
        <w:spacing w:after="0" w:line="360" w:lineRule="auto"/>
        <w:rPr>
          <w:rFonts w:ascii="Verdana" w:hAnsi="Verdana"/>
          <w:sz w:val="18"/>
          <w:szCs w:val="18"/>
        </w:rPr>
      </w:pPr>
      <w:r>
        <w:rPr>
          <w:rFonts w:ascii="Verdana" w:hAnsi="Verdana"/>
          <w:sz w:val="18"/>
          <w:szCs w:val="18"/>
        </w:rPr>
        <w:t>Vc 2000</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Vreemdelingencirculaire 2000</w:t>
      </w:r>
    </w:p>
    <w:p w14:paraId="2C5750E7" w14:textId="77777777" w:rsidR="00A7019F" w:rsidRDefault="005D43B2" w:rsidP="005D43B2">
      <w:pPr>
        <w:spacing w:after="0" w:line="360" w:lineRule="auto"/>
        <w:rPr>
          <w:rFonts w:ascii="Verdana" w:hAnsi="Verdana"/>
          <w:sz w:val="18"/>
          <w:szCs w:val="18"/>
        </w:rPr>
      </w:pPr>
      <w:r>
        <w:rPr>
          <w:rFonts w:ascii="Verdana" w:hAnsi="Verdana"/>
          <w:sz w:val="18"/>
          <w:szCs w:val="18"/>
        </w:rPr>
        <w:t>Vw 2000</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Vreemdelingenwet 2000</w:t>
      </w:r>
    </w:p>
    <w:p w14:paraId="3DD2789C" w14:textId="77777777" w:rsidR="00C41F20" w:rsidRDefault="00A7019F" w:rsidP="005D43B2">
      <w:pPr>
        <w:spacing w:after="0" w:line="360" w:lineRule="auto"/>
        <w:rPr>
          <w:rFonts w:ascii="Verdana" w:hAnsi="Verdana"/>
          <w:sz w:val="18"/>
          <w:szCs w:val="18"/>
        </w:rPr>
      </w:pPr>
      <w:r>
        <w:rPr>
          <w:rFonts w:ascii="Verdana" w:hAnsi="Verdana"/>
          <w:sz w:val="18"/>
          <w:szCs w:val="18"/>
        </w:rPr>
        <w:t>VwEU</w:t>
      </w:r>
      <w:r w:rsidR="000D715C">
        <w:rPr>
          <w:rFonts w:ascii="Verdana" w:hAnsi="Verdana"/>
          <w:sz w:val="18"/>
          <w:szCs w:val="18"/>
        </w:rPr>
        <w:tab/>
      </w:r>
      <w:r w:rsidR="000D715C">
        <w:rPr>
          <w:rFonts w:ascii="Verdana" w:hAnsi="Verdana"/>
          <w:sz w:val="18"/>
          <w:szCs w:val="18"/>
        </w:rPr>
        <w:tab/>
      </w:r>
      <w:r w:rsidR="000D715C">
        <w:rPr>
          <w:rFonts w:ascii="Verdana" w:hAnsi="Verdana"/>
          <w:sz w:val="18"/>
          <w:szCs w:val="18"/>
        </w:rPr>
        <w:tab/>
      </w:r>
      <w:r w:rsidR="000D715C">
        <w:rPr>
          <w:rFonts w:ascii="Verdana" w:hAnsi="Verdana"/>
          <w:sz w:val="18"/>
          <w:szCs w:val="18"/>
        </w:rPr>
        <w:tab/>
      </w:r>
      <w:r w:rsidR="000D715C">
        <w:rPr>
          <w:rFonts w:ascii="Verdana" w:hAnsi="Verdana"/>
          <w:sz w:val="18"/>
          <w:szCs w:val="18"/>
        </w:rPr>
        <w:tab/>
        <w:t>Verdrag betreffende de werking van de Europese Unie</w:t>
      </w:r>
    </w:p>
    <w:p w14:paraId="4E3C0C10" w14:textId="77777777" w:rsidR="00C41F20" w:rsidRDefault="00C41F20" w:rsidP="005D43B2">
      <w:pPr>
        <w:spacing w:after="0" w:line="360" w:lineRule="auto"/>
        <w:rPr>
          <w:rFonts w:ascii="Verdana" w:hAnsi="Verdana"/>
          <w:sz w:val="18"/>
          <w:szCs w:val="18"/>
        </w:rPr>
      </w:pPr>
    </w:p>
    <w:p w14:paraId="70A7902F" w14:textId="77777777" w:rsidR="00C41F20" w:rsidRDefault="00C41F20" w:rsidP="005D43B2">
      <w:pPr>
        <w:spacing w:after="0" w:line="360" w:lineRule="auto"/>
        <w:rPr>
          <w:rFonts w:ascii="Verdana" w:hAnsi="Verdana"/>
          <w:sz w:val="18"/>
          <w:szCs w:val="18"/>
        </w:rPr>
      </w:pPr>
    </w:p>
    <w:p w14:paraId="67535B20" w14:textId="77777777" w:rsidR="00C41F20" w:rsidRDefault="00C41F20" w:rsidP="005D43B2">
      <w:pPr>
        <w:spacing w:after="0" w:line="360" w:lineRule="auto"/>
        <w:rPr>
          <w:rFonts w:ascii="Verdana" w:hAnsi="Verdana"/>
          <w:sz w:val="18"/>
          <w:szCs w:val="18"/>
        </w:rPr>
      </w:pPr>
    </w:p>
    <w:p w14:paraId="43360333" w14:textId="098E938A" w:rsidR="000F768C" w:rsidRDefault="000F768C" w:rsidP="005D43B2">
      <w:pPr>
        <w:spacing w:after="0" w:line="360" w:lineRule="auto"/>
        <w:rPr>
          <w:rFonts w:ascii="Verdana" w:hAnsi="Verdana"/>
          <w:sz w:val="18"/>
          <w:szCs w:val="18"/>
        </w:rPr>
      </w:pPr>
      <w:r>
        <w:rPr>
          <w:rFonts w:ascii="Verdana" w:hAnsi="Verdana"/>
          <w:sz w:val="18"/>
          <w:szCs w:val="18"/>
        </w:rPr>
        <w:br w:type="page"/>
      </w:r>
    </w:p>
    <w:p w14:paraId="5339DDF7" w14:textId="77777777" w:rsidR="00713EDC" w:rsidRDefault="00713EDC">
      <w:pPr>
        <w:spacing w:after="0" w:line="240" w:lineRule="auto"/>
        <w:rPr>
          <w:rFonts w:ascii="Verdana" w:hAnsi="Verdana"/>
          <w:b/>
          <w:sz w:val="18"/>
          <w:szCs w:val="18"/>
        </w:rPr>
      </w:pPr>
      <w:r>
        <w:rPr>
          <w:rFonts w:ascii="Verdana" w:hAnsi="Verdana"/>
          <w:b/>
          <w:sz w:val="18"/>
          <w:szCs w:val="18"/>
        </w:rPr>
        <w:lastRenderedPageBreak/>
        <w:br w:type="page"/>
      </w:r>
    </w:p>
    <w:p w14:paraId="3E85AB1E" w14:textId="4B27DC43" w:rsidR="00E51D23" w:rsidRDefault="000F768C" w:rsidP="000F768C">
      <w:pPr>
        <w:pBdr>
          <w:bottom w:val="single" w:sz="4" w:space="1" w:color="auto"/>
        </w:pBdr>
        <w:spacing w:after="0" w:line="360" w:lineRule="auto"/>
        <w:jc w:val="both"/>
        <w:rPr>
          <w:rFonts w:ascii="Verdana" w:hAnsi="Verdana"/>
          <w:b/>
          <w:sz w:val="18"/>
          <w:szCs w:val="18"/>
        </w:rPr>
      </w:pPr>
      <w:r>
        <w:rPr>
          <w:rFonts w:ascii="Verdana" w:hAnsi="Verdana"/>
          <w:b/>
          <w:sz w:val="18"/>
          <w:szCs w:val="18"/>
        </w:rPr>
        <w:lastRenderedPageBreak/>
        <w:t>Inhoudsopgave</w:t>
      </w:r>
    </w:p>
    <w:p w14:paraId="28F77D35" w14:textId="77777777" w:rsidR="000F768C" w:rsidRDefault="000F768C" w:rsidP="00805F89">
      <w:pPr>
        <w:spacing w:after="0" w:line="360" w:lineRule="auto"/>
        <w:jc w:val="both"/>
        <w:rPr>
          <w:rFonts w:ascii="Verdana" w:hAnsi="Verdana"/>
          <w:b/>
          <w:sz w:val="18"/>
          <w:szCs w:val="18"/>
        </w:rPr>
      </w:pPr>
    </w:p>
    <w:p w14:paraId="08FBC573" w14:textId="77777777" w:rsidR="00C41F20" w:rsidRDefault="00C41F20" w:rsidP="00805F89">
      <w:pPr>
        <w:spacing w:after="0" w:line="360" w:lineRule="auto"/>
        <w:jc w:val="both"/>
        <w:rPr>
          <w:rFonts w:ascii="Verdana" w:hAnsi="Verdana"/>
          <w:sz w:val="18"/>
          <w:szCs w:val="18"/>
        </w:rPr>
      </w:pPr>
    </w:p>
    <w:p w14:paraId="6A48594B" w14:textId="25154C65" w:rsidR="00805F89" w:rsidRDefault="00805F89" w:rsidP="00805F89">
      <w:pPr>
        <w:spacing w:after="0" w:line="360" w:lineRule="auto"/>
        <w:jc w:val="both"/>
        <w:rPr>
          <w:rFonts w:ascii="Verdana" w:hAnsi="Verdana"/>
          <w:sz w:val="18"/>
          <w:szCs w:val="18"/>
        </w:rPr>
      </w:pPr>
      <w:r>
        <w:rPr>
          <w:rFonts w:ascii="Verdana" w:hAnsi="Verdana"/>
          <w:sz w:val="18"/>
          <w:szCs w:val="18"/>
        </w:rPr>
        <w:t>Samenvatting</w:t>
      </w:r>
      <w:r w:rsidR="00C41F20">
        <w:rPr>
          <w:rFonts w:ascii="Verdana" w:hAnsi="Verdana"/>
          <w:sz w:val="18"/>
          <w:szCs w:val="18"/>
        </w:rPr>
        <w:tab/>
      </w:r>
      <w:r w:rsidR="00C41F20">
        <w:rPr>
          <w:rFonts w:ascii="Verdana" w:hAnsi="Verdana"/>
          <w:sz w:val="18"/>
          <w:szCs w:val="18"/>
        </w:rPr>
        <w:tab/>
      </w:r>
      <w:r w:rsidR="00C41F20">
        <w:rPr>
          <w:rFonts w:ascii="Verdana" w:hAnsi="Verdana"/>
          <w:sz w:val="18"/>
          <w:szCs w:val="18"/>
        </w:rPr>
        <w:tab/>
      </w:r>
      <w:r w:rsidR="00C41F20">
        <w:rPr>
          <w:rFonts w:ascii="Verdana" w:hAnsi="Verdana"/>
          <w:sz w:val="18"/>
          <w:szCs w:val="18"/>
        </w:rPr>
        <w:tab/>
      </w:r>
      <w:r w:rsidR="00C41F20">
        <w:rPr>
          <w:rFonts w:ascii="Verdana" w:hAnsi="Verdana"/>
          <w:sz w:val="18"/>
          <w:szCs w:val="18"/>
        </w:rPr>
        <w:tab/>
      </w:r>
      <w:r w:rsidR="00C41F20">
        <w:rPr>
          <w:rFonts w:ascii="Verdana" w:hAnsi="Verdana"/>
          <w:sz w:val="18"/>
          <w:szCs w:val="18"/>
        </w:rPr>
        <w:tab/>
      </w:r>
      <w:r w:rsidR="00C41F20">
        <w:rPr>
          <w:rFonts w:ascii="Verdana" w:hAnsi="Verdana"/>
          <w:sz w:val="18"/>
          <w:szCs w:val="18"/>
        </w:rPr>
        <w:tab/>
      </w:r>
      <w:r w:rsidR="00C41F20">
        <w:rPr>
          <w:rFonts w:ascii="Verdana" w:hAnsi="Verdana"/>
          <w:sz w:val="18"/>
          <w:szCs w:val="18"/>
        </w:rPr>
        <w:tab/>
      </w:r>
      <w:r w:rsidR="00C41F20">
        <w:rPr>
          <w:rFonts w:ascii="Verdana" w:hAnsi="Verdana"/>
          <w:sz w:val="18"/>
          <w:szCs w:val="18"/>
        </w:rPr>
        <w:tab/>
      </w:r>
      <w:r w:rsidR="00C41F20">
        <w:rPr>
          <w:rFonts w:ascii="Verdana" w:hAnsi="Verdana"/>
          <w:sz w:val="18"/>
          <w:szCs w:val="18"/>
        </w:rPr>
        <w:tab/>
        <w:t>p.</w:t>
      </w:r>
      <w:r w:rsidR="00671585">
        <w:rPr>
          <w:rFonts w:ascii="Verdana" w:hAnsi="Verdana"/>
          <w:sz w:val="18"/>
          <w:szCs w:val="18"/>
        </w:rPr>
        <w:t xml:space="preserve"> 7</w:t>
      </w:r>
    </w:p>
    <w:p w14:paraId="0E875B50" w14:textId="246C0365" w:rsidR="00805F89" w:rsidRDefault="00805F89" w:rsidP="00805F89">
      <w:pPr>
        <w:spacing w:after="0" w:line="360" w:lineRule="auto"/>
        <w:jc w:val="both"/>
        <w:rPr>
          <w:rFonts w:ascii="Verdana" w:hAnsi="Verdana"/>
          <w:sz w:val="18"/>
          <w:szCs w:val="18"/>
        </w:rPr>
      </w:pPr>
      <w:r>
        <w:rPr>
          <w:rFonts w:ascii="Verdana" w:hAnsi="Verdana"/>
          <w:sz w:val="18"/>
          <w:szCs w:val="18"/>
        </w:rPr>
        <w:t>Afkortingen</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p.</w:t>
      </w:r>
      <w:r w:rsidR="00671585">
        <w:rPr>
          <w:rFonts w:ascii="Verdana" w:hAnsi="Verdana"/>
          <w:sz w:val="18"/>
          <w:szCs w:val="18"/>
        </w:rPr>
        <w:t xml:space="preserve"> 9</w:t>
      </w:r>
    </w:p>
    <w:p w14:paraId="79C6D69D" w14:textId="6A777F17" w:rsidR="00805F89" w:rsidRDefault="00805F89" w:rsidP="00805F89">
      <w:pPr>
        <w:spacing w:after="0" w:line="360" w:lineRule="auto"/>
        <w:jc w:val="both"/>
        <w:rPr>
          <w:rFonts w:ascii="Verdana" w:hAnsi="Verdana"/>
          <w:sz w:val="18"/>
          <w:szCs w:val="18"/>
        </w:rPr>
      </w:pPr>
      <w:r>
        <w:rPr>
          <w:rFonts w:ascii="Verdana" w:hAnsi="Verdana"/>
          <w:sz w:val="18"/>
          <w:szCs w:val="18"/>
        </w:rPr>
        <w:tab/>
      </w:r>
    </w:p>
    <w:p w14:paraId="74F738B2" w14:textId="2B079023" w:rsidR="00805F89" w:rsidRDefault="00805F89" w:rsidP="00805F89">
      <w:pPr>
        <w:spacing w:after="0" w:line="360" w:lineRule="auto"/>
        <w:jc w:val="both"/>
        <w:rPr>
          <w:rFonts w:ascii="Verdana" w:hAnsi="Verdana"/>
          <w:sz w:val="18"/>
          <w:szCs w:val="18"/>
        </w:rPr>
      </w:pPr>
      <w:r>
        <w:rPr>
          <w:rFonts w:ascii="Verdana" w:hAnsi="Verdana"/>
          <w:sz w:val="18"/>
          <w:szCs w:val="18"/>
        </w:rPr>
        <w:t>Hoofdstuk 1: inleiding</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p.</w:t>
      </w:r>
      <w:r w:rsidR="00671585">
        <w:rPr>
          <w:rFonts w:ascii="Verdana" w:hAnsi="Verdana"/>
          <w:sz w:val="18"/>
          <w:szCs w:val="18"/>
        </w:rPr>
        <w:t xml:space="preserve"> 13</w:t>
      </w:r>
    </w:p>
    <w:p w14:paraId="71A06C00" w14:textId="5C31645B" w:rsidR="00805F89" w:rsidRDefault="00805F89" w:rsidP="00805F89">
      <w:pPr>
        <w:spacing w:after="0" w:line="360" w:lineRule="auto"/>
        <w:jc w:val="both"/>
        <w:rPr>
          <w:rFonts w:ascii="Verdana" w:hAnsi="Verdana"/>
          <w:sz w:val="18"/>
          <w:szCs w:val="18"/>
        </w:rPr>
      </w:pPr>
      <w:r>
        <w:rPr>
          <w:rFonts w:ascii="Verdana" w:hAnsi="Verdana"/>
          <w:sz w:val="18"/>
          <w:szCs w:val="18"/>
        </w:rPr>
        <w:tab/>
      </w:r>
      <w:r>
        <w:rPr>
          <w:rFonts w:ascii="Verdana" w:hAnsi="Verdana"/>
          <w:i/>
          <w:sz w:val="18"/>
          <w:szCs w:val="18"/>
        </w:rPr>
        <w:t>1.1 Probleemanalyse</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p.</w:t>
      </w:r>
      <w:r w:rsidR="00671585">
        <w:rPr>
          <w:rFonts w:ascii="Verdana" w:hAnsi="Verdana"/>
          <w:sz w:val="18"/>
          <w:szCs w:val="18"/>
        </w:rPr>
        <w:t xml:space="preserve"> 13</w:t>
      </w:r>
    </w:p>
    <w:p w14:paraId="4CE88924" w14:textId="5B5B507D" w:rsidR="002B4DBD" w:rsidRDefault="002B4DBD" w:rsidP="00805F89">
      <w:pPr>
        <w:spacing w:after="0" w:line="360" w:lineRule="auto"/>
        <w:jc w:val="both"/>
        <w:rPr>
          <w:rFonts w:ascii="Verdana" w:hAnsi="Verdana"/>
          <w:sz w:val="18"/>
          <w:szCs w:val="18"/>
        </w:rPr>
      </w:pPr>
      <w:r>
        <w:rPr>
          <w:rFonts w:ascii="Verdana" w:hAnsi="Verdana"/>
          <w:sz w:val="18"/>
          <w:szCs w:val="18"/>
        </w:rPr>
        <w:tab/>
      </w:r>
      <w:r>
        <w:rPr>
          <w:rFonts w:ascii="Verdana" w:hAnsi="Verdana"/>
          <w:i/>
          <w:sz w:val="18"/>
          <w:szCs w:val="18"/>
        </w:rPr>
        <w:t>1.2 Doelstelling, centrale vraag en deelvragen</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p.</w:t>
      </w:r>
      <w:r w:rsidR="00671585">
        <w:rPr>
          <w:rFonts w:ascii="Verdana" w:hAnsi="Verdana"/>
          <w:sz w:val="18"/>
          <w:szCs w:val="18"/>
        </w:rPr>
        <w:t xml:space="preserve"> 15</w:t>
      </w:r>
    </w:p>
    <w:p w14:paraId="571EAD23" w14:textId="6221E5BD" w:rsidR="002F7983" w:rsidRDefault="002F7983" w:rsidP="00805F89">
      <w:pPr>
        <w:spacing w:after="0" w:line="360" w:lineRule="auto"/>
        <w:jc w:val="both"/>
        <w:rPr>
          <w:rFonts w:ascii="Verdana" w:hAnsi="Verdana"/>
          <w:sz w:val="18"/>
          <w:szCs w:val="18"/>
        </w:rPr>
      </w:pPr>
      <w:r>
        <w:rPr>
          <w:rFonts w:ascii="Verdana" w:hAnsi="Verdana"/>
          <w:sz w:val="18"/>
          <w:szCs w:val="18"/>
        </w:rPr>
        <w:tab/>
      </w:r>
      <w:r>
        <w:rPr>
          <w:rFonts w:ascii="Verdana" w:hAnsi="Verdana"/>
          <w:sz w:val="18"/>
          <w:szCs w:val="18"/>
        </w:rPr>
        <w:tab/>
      </w:r>
      <w:r>
        <w:rPr>
          <w:rFonts w:ascii="Verdana" w:hAnsi="Verdana"/>
          <w:i/>
          <w:sz w:val="18"/>
          <w:szCs w:val="18"/>
        </w:rPr>
        <w:t>1.2.1 Doelstelling</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p.</w:t>
      </w:r>
      <w:r w:rsidR="00671585">
        <w:rPr>
          <w:rFonts w:ascii="Verdana" w:hAnsi="Verdana"/>
          <w:sz w:val="18"/>
          <w:szCs w:val="18"/>
        </w:rPr>
        <w:t xml:space="preserve"> 15</w:t>
      </w:r>
    </w:p>
    <w:p w14:paraId="407BCA21" w14:textId="353907BF" w:rsidR="002F7983" w:rsidRDefault="002F7983" w:rsidP="00805F89">
      <w:pPr>
        <w:spacing w:after="0" w:line="360" w:lineRule="auto"/>
        <w:jc w:val="both"/>
        <w:rPr>
          <w:rFonts w:ascii="Verdana" w:hAnsi="Verdana"/>
          <w:sz w:val="18"/>
          <w:szCs w:val="18"/>
        </w:rPr>
      </w:pPr>
      <w:r>
        <w:rPr>
          <w:rFonts w:ascii="Verdana" w:hAnsi="Verdana"/>
          <w:sz w:val="18"/>
          <w:szCs w:val="18"/>
        </w:rPr>
        <w:tab/>
      </w:r>
      <w:r>
        <w:rPr>
          <w:rFonts w:ascii="Verdana" w:hAnsi="Verdana"/>
          <w:sz w:val="18"/>
          <w:szCs w:val="18"/>
        </w:rPr>
        <w:tab/>
      </w:r>
      <w:r>
        <w:rPr>
          <w:rFonts w:ascii="Verdana" w:hAnsi="Verdana"/>
          <w:i/>
          <w:sz w:val="18"/>
          <w:szCs w:val="18"/>
        </w:rPr>
        <w:t>1.2.2 Centrale vraag en deelvragen</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p.</w:t>
      </w:r>
      <w:r w:rsidR="00671585">
        <w:rPr>
          <w:rFonts w:ascii="Verdana" w:hAnsi="Verdana"/>
          <w:sz w:val="18"/>
          <w:szCs w:val="18"/>
        </w:rPr>
        <w:t xml:space="preserve"> 15</w:t>
      </w:r>
    </w:p>
    <w:p w14:paraId="2B5DFFBB" w14:textId="54591229" w:rsidR="0033634F" w:rsidRDefault="0033634F" w:rsidP="00805F89">
      <w:pPr>
        <w:spacing w:after="0" w:line="360" w:lineRule="auto"/>
        <w:jc w:val="both"/>
        <w:rPr>
          <w:rFonts w:ascii="Verdana" w:hAnsi="Verdana"/>
          <w:sz w:val="18"/>
          <w:szCs w:val="18"/>
        </w:rPr>
      </w:pPr>
      <w:r>
        <w:rPr>
          <w:rFonts w:ascii="Verdana" w:hAnsi="Verdana"/>
          <w:sz w:val="18"/>
          <w:szCs w:val="18"/>
        </w:rPr>
        <w:tab/>
      </w:r>
      <w:r>
        <w:rPr>
          <w:rFonts w:ascii="Verdana" w:hAnsi="Verdana"/>
          <w:i/>
          <w:sz w:val="18"/>
          <w:szCs w:val="18"/>
        </w:rPr>
        <w:t>1.3 Operationaliseren van begrippen</w:t>
      </w:r>
      <w:r>
        <w:rPr>
          <w:rFonts w:ascii="Verdana" w:hAnsi="Verdana"/>
          <w:i/>
          <w:sz w:val="18"/>
          <w:szCs w:val="18"/>
        </w:rPr>
        <w:tab/>
      </w:r>
      <w:r>
        <w:rPr>
          <w:rFonts w:ascii="Verdana" w:hAnsi="Verdana"/>
          <w:i/>
          <w:sz w:val="18"/>
          <w:szCs w:val="18"/>
        </w:rPr>
        <w:tab/>
      </w:r>
      <w:r>
        <w:rPr>
          <w:rFonts w:ascii="Verdana" w:hAnsi="Verdana"/>
          <w:i/>
          <w:sz w:val="18"/>
          <w:szCs w:val="18"/>
        </w:rPr>
        <w:tab/>
      </w:r>
      <w:r>
        <w:rPr>
          <w:rFonts w:ascii="Verdana" w:hAnsi="Verdana"/>
          <w:i/>
          <w:sz w:val="18"/>
          <w:szCs w:val="18"/>
        </w:rPr>
        <w:tab/>
      </w:r>
      <w:r>
        <w:rPr>
          <w:rFonts w:ascii="Verdana" w:hAnsi="Verdana"/>
          <w:i/>
          <w:sz w:val="18"/>
          <w:szCs w:val="18"/>
        </w:rPr>
        <w:tab/>
      </w:r>
      <w:r>
        <w:rPr>
          <w:rFonts w:ascii="Verdana" w:hAnsi="Verdana"/>
          <w:i/>
          <w:sz w:val="18"/>
          <w:szCs w:val="18"/>
        </w:rPr>
        <w:tab/>
      </w:r>
      <w:r>
        <w:rPr>
          <w:rFonts w:ascii="Verdana" w:hAnsi="Verdana"/>
          <w:sz w:val="18"/>
          <w:szCs w:val="18"/>
        </w:rPr>
        <w:t>p.</w:t>
      </w:r>
      <w:r w:rsidR="00671585">
        <w:rPr>
          <w:rFonts w:ascii="Verdana" w:hAnsi="Verdana"/>
          <w:sz w:val="18"/>
          <w:szCs w:val="18"/>
        </w:rPr>
        <w:t xml:space="preserve"> 16</w:t>
      </w:r>
    </w:p>
    <w:p w14:paraId="3F1C16CD" w14:textId="3018A226" w:rsidR="0032278E" w:rsidRDefault="0032278E" w:rsidP="00805F89">
      <w:pPr>
        <w:spacing w:after="0" w:line="360" w:lineRule="auto"/>
        <w:jc w:val="both"/>
        <w:rPr>
          <w:rFonts w:ascii="Verdana" w:hAnsi="Verdana"/>
          <w:sz w:val="18"/>
          <w:szCs w:val="18"/>
        </w:rPr>
      </w:pPr>
      <w:r>
        <w:rPr>
          <w:rFonts w:ascii="Verdana" w:hAnsi="Verdana"/>
          <w:sz w:val="18"/>
          <w:szCs w:val="18"/>
        </w:rPr>
        <w:tab/>
      </w:r>
      <w:r>
        <w:rPr>
          <w:rFonts w:ascii="Verdana" w:hAnsi="Verdana"/>
          <w:i/>
          <w:sz w:val="18"/>
          <w:szCs w:val="18"/>
        </w:rPr>
        <w:t>1.4 Onderzoeksmethoden en verantwoording</w:t>
      </w:r>
      <w:r>
        <w:rPr>
          <w:rFonts w:ascii="Verdana" w:hAnsi="Verdana"/>
          <w:i/>
          <w:sz w:val="18"/>
          <w:szCs w:val="18"/>
        </w:rPr>
        <w:tab/>
      </w:r>
      <w:r>
        <w:rPr>
          <w:rFonts w:ascii="Verdana" w:hAnsi="Verdana"/>
          <w:i/>
          <w:sz w:val="18"/>
          <w:szCs w:val="18"/>
        </w:rPr>
        <w:tab/>
      </w:r>
      <w:r>
        <w:rPr>
          <w:rFonts w:ascii="Verdana" w:hAnsi="Verdana"/>
          <w:i/>
          <w:sz w:val="18"/>
          <w:szCs w:val="18"/>
        </w:rPr>
        <w:tab/>
      </w:r>
      <w:r>
        <w:rPr>
          <w:rFonts w:ascii="Verdana" w:hAnsi="Verdana"/>
          <w:i/>
          <w:sz w:val="18"/>
          <w:szCs w:val="18"/>
        </w:rPr>
        <w:tab/>
      </w:r>
      <w:r>
        <w:rPr>
          <w:rFonts w:ascii="Verdana" w:hAnsi="Verdana"/>
          <w:i/>
          <w:sz w:val="18"/>
          <w:szCs w:val="18"/>
        </w:rPr>
        <w:tab/>
      </w:r>
      <w:r>
        <w:rPr>
          <w:rFonts w:ascii="Verdana" w:hAnsi="Verdana"/>
          <w:sz w:val="18"/>
          <w:szCs w:val="18"/>
        </w:rPr>
        <w:t>p.</w:t>
      </w:r>
      <w:r w:rsidR="00671585">
        <w:rPr>
          <w:rFonts w:ascii="Verdana" w:hAnsi="Verdana"/>
          <w:sz w:val="18"/>
          <w:szCs w:val="18"/>
        </w:rPr>
        <w:t xml:space="preserve"> 17</w:t>
      </w:r>
    </w:p>
    <w:p w14:paraId="04D06BEA" w14:textId="7E0E6F4E" w:rsidR="00753F1D" w:rsidRDefault="00753F1D" w:rsidP="00805F89">
      <w:pPr>
        <w:spacing w:after="0" w:line="360" w:lineRule="auto"/>
        <w:jc w:val="both"/>
        <w:rPr>
          <w:rFonts w:ascii="Verdana" w:hAnsi="Verdana"/>
          <w:sz w:val="18"/>
          <w:szCs w:val="18"/>
        </w:rPr>
      </w:pPr>
      <w:r>
        <w:rPr>
          <w:rFonts w:ascii="Verdana" w:hAnsi="Verdana"/>
          <w:sz w:val="18"/>
          <w:szCs w:val="18"/>
        </w:rPr>
        <w:tab/>
      </w:r>
      <w:r>
        <w:rPr>
          <w:rFonts w:ascii="Verdana" w:hAnsi="Verdana"/>
          <w:i/>
          <w:sz w:val="18"/>
          <w:szCs w:val="18"/>
        </w:rPr>
        <w:t>1.5 Leeswijzer</w:t>
      </w:r>
      <w:r>
        <w:rPr>
          <w:rFonts w:ascii="Verdana" w:hAnsi="Verdana"/>
          <w:i/>
          <w:sz w:val="18"/>
          <w:szCs w:val="18"/>
        </w:rPr>
        <w:tab/>
      </w:r>
      <w:r>
        <w:rPr>
          <w:rFonts w:ascii="Verdana" w:hAnsi="Verdana"/>
          <w:i/>
          <w:sz w:val="18"/>
          <w:szCs w:val="18"/>
        </w:rPr>
        <w:tab/>
      </w:r>
      <w:r>
        <w:rPr>
          <w:rFonts w:ascii="Verdana" w:hAnsi="Verdana"/>
          <w:i/>
          <w:sz w:val="18"/>
          <w:szCs w:val="18"/>
        </w:rPr>
        <w:tab/>
      </w:r>
      <w:r>
        <w:rPr>
          <w:rFonts w:ascii="Verdana" w:hAnsi="Verdana"/>
          <w:i/>
          <w:sz w:val="18"/>
          <w:szCs w:val="18"/>
        </w:rPr>
        <w:tab/>
      </w:r>
      <w:r>
        <w:rPr>
          <w:rFonts w:ascii="Verdana" w:hAnsi="Verdana"/>
          <w:i/>
          <w:sz w:val="18"/>
          <w:szCs w:val="18"/>
        </w:rPr>
        <w:tab/>
      </w:r>
      <w:r>
        <w:rPr>
          <w:rFonts w:ascii="Verdana" w:hAnsi="Verdana"/>
          <w:i/>
          <w:sz w:val="18"/>
          <w:szCs w:val="18"/>
        </w:rPr>
        <w:tab/>
      </w:r>
      <w:r>
        <w:rPr>
          <w:rFonts w:ascii="Verdana" w:hAnsi="Verdana"/>
          <w:i/>
          <w:sz w:val="18"/>
          <w:szCs w:val="18"/>
        </w:rPr>
        <w:tab/>
      </w:r>
      <w:r>
        <w:rPr>
          <w:rFonts w:ascii="Verdana" w:hAnsi="Verdana"/>
          <w:i/>
          <w:sz w:val="18"/>
          <w:szCs w:val="18"/>
        </w:rPr>
        <w:tab/>
      </w:r>
      <w:r>
        <w:rPr>
          <w:rFonts w:ascii="Verdana" w:hAnsi="Verdana"/>
          <w:i/>
          <w:sz w:val="18"/>
          <w:szCs w:val="18"/>
        </w:rPr>
        <w:tab/>
      </w:r>
      <w:r>
        <w:rPr>
          <w:rFonts w:ascii="Verdana" w:hAnsi="Verdana"/>
          <w:sz w:val="18"/>
          <w:szCs w:val="18"/>
        </w:rPr>
        <w:t>p.</w:t>
      </w:r>
      <w:r w:rsidR="00671585">
        <w:rPr>
          <w:rFonts w:ascii="Verdana" w:hAnsi="Verdana"/>
          <w:sz w:val="18"/>
          <w:szCs w:val="18"/>
        </w:rPr>
        <w:t xml:space="preserve"> 19</w:t>
      </w:r>
    </w:p>
    <w:p w14:paraId="09341254" w14:textId="77777777" w:rsidR="00835881" w:rsidRDefault="00835881" w:rsidP="00805F89">
      <w:pPr>
        <w:spacing w:after="0" w:line="360" w:lineRule="auto"/>
        <w:jc w:val="both"/>
        <w:rPr>
          <w:rFonts w:ascii="Verdana" w:hAnsi="Verdana"/>
          <w:sz w:val="18"/>
          <w:szCs w:val="18"/>
        </w:rPr>
      </w:pPr>
    </w:p>
    <w:p w14:paraId="2DAFCEAC" w14:textId="346F0C96" w:rsidR="00835881" w:rsidRDefault="00835881" w:rsidP="00805F89">
      <w:pPr>
        <w:spacing w:after="0" w:line="360" w:lineRule="auto"/>
        <w:jc w:val="both"/>
        <w:rPr>
          <w:rFonts w:ascii="Verdana" w:hAnsi="Verdana"/>
          <w:sz w:val="18"/>
          <w:szCs w:val="18"/>
        </w:rPr>
      </w:pPr>
      <w:r>
        <w:rPr>
          <w:rFonts w:ascii="Verdana" w:hAnsi="Verdana"/>
          <w:sz w:val="18"/>
          <w:szCs w:val="18"/>
        </w:rPr>
        <w:t>Hoofdstuk 2: juridisch kader</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p.</w:t>
      </w:r>
      <w:r w:rsidR="00C65040">
        <w:rPr>
          <w:rFonts w:ascii="Verdana" w:hAnsi="Verdana"/>
          <w:sz w:val="18"/>
          <w:szCs w:val="18"/>
        </w:rPr>
        <w:t xml:space="preserve"> 20</w:t>
      </w:r>
    </w:p>
    <w:p w14:paraId="4C987221" w14:textId="76F97498" w:rsidR="00835881" w:rsidRDefault="00835881" w:rsidP="00805F89">
      <w:pPr>
        <w:spacing w:after="0" w:line="360" w:lineRule="auto"/>
        <w:jc w:val="both"/>
        <w:rPr>
          <w:rFonts w:ascii="Verdana" w:hAnsi="Verdana"/>
          <w:sz w:val="18"/>
          <w:szCs w:val="18"/>
        </w:rPr>
      </w:pPr>
      <w:r>
        <w:rPr>
          <w:rFonts w:ascii="Verdana" w:hAnsi="Verdana"/>
          <w:sz w:val="18"/>
          <w:szCs w:val="18"/>
        </w:rPr>
        <w:tab/>
      </w:r>
      <w:r>
        <w:rPr>
          <w:rFonts w:ascii="Verdana" w:hAnsi="Verdana"/>
          <w:i/>
          <w:sz w:val="18"/>
          <w:szCs w:val="18"/>
        </w:rPr>
        <w:t>2.1 Het Unierecht</w:t>
      </w:r>
      <w:r>
        <w:rPr>
          <w:rFonts w:ascii="Verdana" w:hAnsi="Verdana"/>
          <w:i/>
          <w:sz w:val="18"/>
          <w:szCs w:val="18"/>
        </w:rPr>
        <w:tab/>
      </w:r>
      <w:r>
        <w:rPr>
          <w:rFonts w:ascii="Verdana" w:hAnsi="Verdana"/>
          <w:i/>
          <w:sz w:val="18"/>
          <w:szCs w:val="18"/>
        </w:rPr>
        <w:tab/>
      </w:r>
      <w:r>
        <w:rPr>
          <w:rFonts w:ascii="Verdana" w:hAnsi="Verdana"/>
          <w:i/>
          <w:sz w:val="18"/>
          <w:szCs w:val="18"/>
        </w:rPr>
        <w:tab/>
      </w:r>
      <w:r>
        <w:rPr>
          <w:rFonts w:ascii="Verdana" w:hAnsi="Verdana"/>
          <w:i/>
          <w:sz w:val="18"/>
          <w:szCs w:val="18"/>
        </w:rPr>
        <w:tab/>
      </w:r>
      <w:r>
        <w:rPr>
          <w:rFonts w:ascii="Verdana" w:hAnsi="Verdana"/>
          <w:i/>
          <w:sz w:val="18"/>
          <w:szCs w:val="18"/>
        </w:rPr>
        <w:tab/>
      </w:r>
      <w:r>
        <w:rPr>
          <w:rFonts w:ascii="Verdana" w:hAnsi="Verdana"/>
          <w:i/>
          <w:sz w:val="18"/>
          <w:szCs w:val="18"/>
        </w:rPr>
        <w:tab/>
      </w:r>
      <w:r>
        <w:rPr>
          <w:rFonts w:ascii="Verdana" w:hAnsi="Verdana"/>
          <w:i/>
          <w:sz w:val="18"/>
          <w:szCs w:val="18"/>
        </w:rPr>
        <w:tab/>
      </w:r>
      <w:r>
        <w:rPr>
          <w:rFonts w:ascii="Verdana" w:hAnsi="Verdana"/>
          <w:i/>
          <w:sz w:val="18"/>
          <w:szCs w:val="18"/>
        </w:rPr>
        <w:tab/>
      </w:r>
      <w:r>
        <w:rPr>
          <w:rFonts w:ascii="Verdana" w:hAnsi="Verdana"/>
          <w:sz w:val="18"/>
          <w:szCs w:val="18"/>
        </w:rPr>
        <w:t>p.</w:t>
      </w:r>
      <w:r w:rsidR="00C65040">
        <w:rPr>
          <w:rFonts w:ascii="Verdana" w:hAnsi="Verdana"/>
          <w:sz w:val="18"/>
          <w:szCs w:val="18"/>
        </w:rPr>
        <w:t xml:space="preserve"> </w:t>
      </w:r>
      <w:r w:rsidR="00595812">
        <w:rPr>
          <w:rFonts w:ascii="Verdana" w:hAnsi="Verdana"/>
          <w:sz w:val="18"/>
          <w:szCs w:val="18"/>
        </w:rPr>
        <w:t>20</w:t>
      </w:r>
    </w:p>
    <w:p w14:paraId="1EC7BDDA" w14:textId="5AFAEB45" w:rsidR="00D949DE" w:rsidRDefault="00D949DE" w:rsidP="00805F89">
      <w:pPr>
        <w:spacing w:after="0" w:line="360" w:lineRule="auto"/>
        <w:jc w:val="both"/>
        <w:rPr>
          <w:rFonts w:ascii="Verdana" w:hAnsi="Verdana"/>
          <w:sz w:val="18"/>
          <w:szCs w:val="18"/>
        </w:rPr>
      </w:pPr>
      <w:r>
        <w:rPr>
          <w:rFonts w:ascii="Verdana" w:hAnsi="Verdana"/>
          <w:sz w:val="18"/>
          <w:szCs w:val="18"/>
        </w:rPr>
        <w:tab/>
      </w:r>
      <w:r>
        <w:rPr>
          <w:rFonts w:ascii="Verdana" w:hAnsi="Verdana"/>
          <w:sz w:val="18"/>
          <w:szCs w:val="18"/>
        </w:rPr>
        <w:tab/>
      </w:r>
      <w:r>
        <w:rPr>
          <w:rFonts w:ascii="Verdana" w:hAnsi="Verdana"/>
          <w:i/>
          <w:sz w:val="18"/>
          <w:szCs w:val="18"/>
        </w:rPr>
        <w:t>2.1.1 De Terugkeerrichtlijn</w:t>
      </w:r>
      <w:r>
        <w:rPr>
          <w:rFonts w:ascii="Verdana" w:hAnsi="Verdana"/>
          <w:i/>
          <w:sz w:val="18"/>
          <w:szCs w:val="18"/>
        </w:rPr>
        <w:tab/>
      </w:r>
      <w:r>
        <w:rPr>
          <w:rFonts w:ascii="Verdana" w:hAnsi="Verdana"/>
          <w:i/>
          <w:sz w:val="18"/>
          <w:szCs w:val="18"/>
        </w:rPr>
        <w:tab/>
      </w:r>
      <w:r>
        <w:rPr>
          <w:rFonts w:ascii="Verdana" w:hAnsi="Verdana"/>
          <w:i/>
          <w:sz w:val="18"/>
          <w:szCs w:val="18"/>
        </w:rPr>
        <w:tab/>
      </w:r>
      <w:r>
        <w:rPr>
          <w:rFonts w:ascii="Verdana" w:hAnsi="Verdana"/>
          <w:i/>
          <w:sz w:val="18"/>
          <w:szCs w:val="18"/>
        </w:rPr>
        <w:tab/>
      </w:r>
      <w:r>
        <w:rPr>
          <w:rFonts w:ascii="Verdana" w:hAnsi="Verdana"/>
          <w:i/>
          <w:sz w:val="18"/>
          <w:szCs w:val="18"/>
        </w:rPr>
        <w:tab/>
      </w:r>
      <w:r>
        <w:rPr>
          <w:rFonts w:ascii="Verdana" w:hAnsi="Verdana"/>
          <w:i/>
          <w:sz w:val="18"/>
          <w:szCs w:val="18"/>
        </w:rPr>
        <w:tab/>
      </w:r>
      <w:r>
        <w:rPr>
          <w:rFonts w:ascii="Verdana" w:hAnsi="Verdana"/>
          <w:sz w:val="18"/>
          <w:szCs w:val="18"/>
        </w:rPr>
        <w:t>p.</w:t>
      </w:r>
      <w:r w:rsidR="00595812">
        <w:rPr>
          <w:rFonts w:ascii="Verdana" w:hAnsi="Verdana"/>
          <w:sz w:val="18"/>
          <w:szCs w:val="18"/>
        </w:rPr>
        <w:t xml:space="preserve"> 20</w:t>
      </w:r>
    </w:p>
    <w:p w14:paraId="60603151" w14:textId="69B02CC2" w:rsidR="00E77A80" w:rsidRDefault="00E77A80" w:rsidP="00805F89">
      <w:pPr>
        <w:spacing w:after="0" w:line="360" w:lineRule="auto"/>
        <w:jc w:val="both"/>
        <w:rPr>
          <w:rFonts w:ascii="Verdana" w:hAnsi="Verdana"/>
          <w:sz w:val="18"/>
          <w:szCs w:val="18"/>
        </w:rPr>
      </w:pPr>
      <w:r>
        <w:rPr>
          <w:rFonts w:ascii="Verdana" w:hAnsi="Verdana"/>
          <w:sz w:val="18"/>
          <w:szCs w:val="18"/>
        </w:rPr>
        <w:tab/>
      </w:r>
      <w:r>
        <w:rPr>
          <w:rFonts w:ascii="Verdana" w:hAnsi="Verdana"/>
          <w:sz w:val="18"/>
          <w:szCs w:val="18"/>
        </w:rPr>
        <w:tab/>
      </w:r>
      <w:r>
        <w:rPr>
          <w:rFonts w:ascii="Verdana" w:hAnsi="Verdana"/>
          <w:i/>
          <w:sz w:val="18"/>
          <w:szCs w:val="18"/>
        </w:rPr>
        <w:t>2.1.2 Reikwijdte Terugkeerrichtlijn</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p.</w:t>
      </w:r>
      <w:r w:rsidR="00595812">
        <w:rPr>
          <w:rFonts w:ascii="Verdana" w:hAnsi="Verdana"/>
          <w:sz w:val="18"/>
          <w:szCs w:val="18"/>
        </w:rPr>
        <w:t xml:space="preserve"> 21</w:t>
      </w:r>
    </w:p>
    <w:p w14:paraId="432DD601" w14:textId="26B1FE32" w:rsidR="00BE6399" w:rsidRDefault="00BE6399" w:rsidP="00805F89">
      <w:pPr>
        <w:spacing w:after="0" w:line="360" w:lineRule="auto"/>
        <w:jc w:val="both"/>
        <w:rPr>
          <w:rFonts w:ascii="Verdana" w:hAnsi="Verdana"/>
          <w:sz w:val="18"/>
          <w:szCs w:val="18"/>
        </w:rPr>
      </w:pPr>
      <w:r>
        <w:rPr>
          <w:rFonts w:ascii="Verdana" w:hAnsi="Verdana"/>
          <w:sz w:val="18"/>
          <w:szCs w:val="18"/>
        </w:rPr>
        <w:tab/>
      </w:r>
      <w:r>
        <w:rPr>
          <w:rFonts w:ascii="Verdana" w:hAnsi="Verdana"/>
          <w:sz w:val="18"/>
          <w:szCs w:val="18"/>
        </w:rPr>
        <w:tab/>
      </w:r>
      <w:r>
        <w:rPr>
          <w:rFonts w:ascii="Verdana" w:hAnsi="Verdana"/>
          <w:i/>
          <w:sz w:val="18"/>
          <w:szCs w:val="18"/>
        </w:rPr>
        <w:t>2.1.3 Terugkeerbesluit ex Terugkeerrichtlijn</w:t>
      </w:r>
      <w:r>
        <w:rPr>
          <w:rFonts w:ascii="Verdana" w:hAnsi="Verdana"/>
          <w:i/>
          <w:sz w:val="18"/>
          <w:szCs w:val="18"/>
        </w:rPr>
        <w:tab/>
      </w:r>
      <w:r>
        <w:rPr>
          <w:rFonts w:ascii="Verdana" w:hAnsi="Verdana"/>
          <w:i/>
          <w:sz w:val="18"/>
          <w:szCs w:val="18"/>
        </w:rPr>
        <w:tab/>
      </w:r>
      <w:r>
        <w:rPr>
          <w:rFonts w:ascii="Verdana" w:hAnsi="Verdana"/>
          <w:i/>
          <w:sz w:val="18"/>
          <w:szCs w:val="18"/>
        </w:rPr>
        <w:tab/>
      </w:r>
      <w:r>
        <w:rPr>
          <w:rFonts w:ascii="Verdana" w:hAnsi="Verdana"/>
          <w:i/>
          <w:sz w:val="18"/>
          <w:szCs w:val="18"/>
        </w:rPr>
        <w:tab/>
      </w:r>
      <w:r>
        <w:rPr>
          <w:rFonts w:ascii="Verdana" w:hAnsi="Verdana"/>
          <w:sz w:val="18"/>
          <w:szCs w:val="18"/>
        </w:rPr>
        <w:t>p.</w:t>
      </w:r>
      <w:r w:rsidR="00595812">
        <w:rPr>
          <w:rFonts w:ascii="Verdana" w:hAnsi="Verdana"/>
          <w:sz w:val="18"/>
          <w:szCs w:val="18"/>
        </w:rPr>
        <w:t xml:space="preserve"> 22</w:t>
      </w:r>
    </w:p>
    <w:p w14:paraId="13BC0977" w14:textId="15719756" w:rsidR="002C3D0B" w:rsidRDefault="002C3D0B" w:rsidP="00805F89">
      <w:pPr>
        <w:spacing w:after="0" w:line="360" w:lineRule="auto"/>
        <w:jc w:val="both"/>
        <w:rPr>
          <w:rFonts w:ascii="Verdana" w:hAnsi="Verdana"/>
          <w:sz w:val="18"/>
          <w:szCs w:val="18"/>
        </w:rPr>
      </w:pPr>
      <w:r>
        <w:rPr>
          <w:rFonts w:ascii="Verdana" w:hAnsi="Verdana"/>
          <w:sz w:val="18"/>
          <w:szCs w:val="18"/>
        </w:rPr>
        <w:tab/>
      </w:r>
      <w:r>
        <w:rPr>
          <w:rFonts w:ascii="Verdana" w:hAnsi="Verdana"/>
          <w:sz w:val="18"/>
          <w:szCs w:val="18"/>
        </w:rPr>
        <w:tab/>
      </w:r>
      <w:r>
        <w:rPr>
          <w:rFonts w:ascii="Verdana" w:hAnsi="Verdana"/>
          <w:i/>
          <w:sz w:val="18"/>
          <w:szCs w:val="18"/>
        </w:rPr>
        <w:t>2.1.4 Inreisverbod ex Terugkeerrichtlijn</w:t>
      </w:r>
      <w:r>
        <w:rPr>
          <w:rFonts w:ascii="Verdana" w:hAnsi="Verdana"/>
          <w:i/>
          <w:sz w:val="18"/>
          <w:szCs w:val="18"/>
        </w:rPr>
        <w:tab/>
      </w:r>
      <w:r>
        <w:rPr>
          <w:rFonts w:ascii="Verdana" w:hAnsi="Verdana"/>
          <w:i/>
          <w:sz w:val="18"/>
          <w:szCs w:val="18"/>
        </w:rPr>
        <w:tab/>
      </w:r>
      <w:r>
        <w:rPr>
          <w:rFonts w:ascii="Verdana" w:hAnsi="Verdana"/>
          <w:i/>
          <w:sz w:val="18"/>
          <w:szCs w:val="18"/>
        </w:rPr>
        <w:tab/>
      </w:r>
      <w:r>
        <w:rPr>
          <w:rFonts w:ascii="Verdana" w:hAnsi="Verdana"/>
          <w:i/>
          <w:sz w:val="18"/>
          <w:szCs w:val="18"/>
        </w:rPr>
        <w:tab/>
      </w:r>
      <w:r>
        <w:rPr>
          <w:rFonts w:ascii="Verdana" w:hAnsi="Verdana"/>
          <w:sz w:val="18"/>
          <w:szCs w:val="18"/>
        </w:rPr>
        <w:t>p.</w:t>
      </w:r>
      <w:r w:rsidR="00595812">
        <w:rPr>
          <w:rFonts w:ascii="Verdana" w:hAnsi="Verdana"/>
          <w:sz w:val="18"/>
          <w:szCs w:val="18"/>
        </w:rPr>
        <w:t xml:space="preserve"> 22</w:t>
      </w:r>
    </w:p>
    <w:p w14:paraId="7F2A32A0" w14:textId="1EF48864" w:rsidR="006D0FE3" w:rsidRDefault="006D0FE3" w:rsidP="00805F89">
      <w:pPr>
        <w:spacing w:after="0" w:line="360" w:lineRule="auto"/>
        <w:jc w:val="both"/>
        <w:rPr>
          <w:rFonts w:ascii="Verdana" w:hAnsi="Verdana"/>
          <w:sz w:val="18"/>
          <w:szCs w:val="18"/>
        </w:rPr>
      </w:pPr>
      <w:r>
        <w:rPr>
          <w:rFonts w:ascii="Verdana" w:hAnsi="Verdana"/>
          <w:sz w:val="18"/>
          <w:szCs w:val="18"/>
        </w:rPr>
        <w:tab/>
      </w:r>
      <w:r>
        <w:rPr>
          <w:rFonts w:ascii="Verdana" w:hAnsi="Verdana"/>
          <w:sz w:val="18"/>
          <w:szCs w:val="18"/>
        </w:rPr>
        <w:tab/>
      </w:r>
      <w:r>
        <w:rPr>
          <w:rFonts w:ascii="Verdana" w:hAnsi="Verdana"/>
          <w:i/>
          <w:sz w:val="18"/>
          <w:szCs w:val="18"/>
        </w:rPr>
        <w:t>2.1.5 Belangenafweging ex Terugkeerrichtlijn</w:t>
      </w:r>
      <w:r>
        <w:rPr>
          <w:rFonts w:ascii="Verdana" w:hAnsi="Verdana"/>
          <w:i/>
          <w:sz w:val="18"/>
          <w:szCs w:val="18"/>
        </w:rPr>
        <w:tab/>
      </w:r>
      <w:r>
        <w:rPr>
          <w:rFonts w:ascii="Verdana" w:hAnsi="Verdana"/>
          <w:i/>
          <w:sz w:val="18"/>
          <w:szCs w:val="18"/>
        </w:rPr>
        <w:tab/>
      </w:r>
      <w:r>
        <w:rPr>
          <w:rFonts w:ascii="Verdana" w:hAnsi="Verdana"/>
          <w:i/>
          <w:sz w:val="18"/>
          <w:szCs w:val="18"/>
        </w:rPr>
        <w:tab/>
      </w:r>
      <w:r>
        <w:rPr>
          <w:rFonts w:ascii="Verdana" w:hAnsi="Verdana"/>
          <w:i/>
          <w:sz w:val="18"/>
          <w:szCs w:val="18"/>
        </w:rPr>
        <w:tab/>
      </w:r>
      <w:r>
        <w:rPr>
          <w:rFonts w:ascii="Verdana" w:hAnsi="Verdana"/>
          <w:sz w:val="18"/>
          <w:szCs w:val="18"/>
        </w:rPr>
        <w:t>p.</w:t>
      </w:r>
      <w:r w:rsidR="00595812">
        <w:rPr>
          <w:rFonts w:ascii="Verdana" w:hAnsi="Verdana"/>
          <w:sz w:val="18"/>
          <w:szCs w:val="18"/>
        </w:rPr>
        <w:t xml:space="preserve"> 23</w:t>
      </w:r>
    </w:p>
    <w:p w14:paraId="62A21D9F" w14:textId="26213793" w:rsidR="00577783" w:rsidRDefault="00577783" w:rsidP="00805F89">
      <w:pPr>
        <w:spacing w:after="0" w:line="360" w:lineRule="auto"/>
        <w:jc w:val="both"/>
        <w:rPr>
          <w:rFonts w:ascii="Verdana" w:hAnsi="Verdana"/>
          <w:sz w:val="18"/>
          <w:szCs w:val="18"/>
        </w:rPr>
      </w:pPr>
      <w:r>
        <w:rPr>
          <w:rFonts w:ascii="Verdana" w:hAnsi="Verdana"/>
          <w:sz w:val="18"/>
          <w:szCs w:val="18"/>
        </w:rPr>
        <w:tab/>
      </w:r>
      <w:r>
        <w:rPr>
          <w:rFonts w:ascii="Verdana" w:hAnsi="Verdana"/>
          <w:i/>
          <w:sz w:val="18"/>
          <w:szCs w:val="18"/>
        </w:rPr>
        <w:t>2.2 Het nationale recht</w:t>
      </w:r>
      <w:r>
        <w:rPr>
          <w:rFonts w:ascii="Verdana" w:hAnsi="Verdana"/>
          <w:i/>
          <w:sz w:val="18"/>
          <w:szCs w:val="18"/>
        </w:rPr>
        <w:tab/>
      </w:r>
      <w:r>
        <w:rPr>
          <w:rFonts w:ascii="Verdana" w:hAnsi="Verdana"/>
          <w:i/>
          <w:sz w:val="18"/>
          <w:szCs w:val="18"/>
        </w:rPr>
        <w:tab/>
      </w:r>
      <w:r>
        <w:rPr>
          <w:rFonts w:ascii="Verdana" w:hAnsi="Verdana"/>
          <w:i/>
          <w:sz w:val="18"/>
          <w:szCs w:val="18"/>
        </w:rPr>
        <w:tab/>
      </w:r>
      <w:r>
        <w:rPr>
          <w:rFonts w:ascii="Verdana" w:hAnsi="Verdana"/>
          <w:i/>
          <w:sz w:val="18"/>
          <w:szCs w:val="18"/>
        </w:rPr>
        <w:tab/>
      </w:r>
      <w:r>
        <w:rPr>
          <w:rFonts w:ascii="Verdana" w:hAnsi="Verdana"/>
          <w:i/>
          <w:sz w:val="18"/>
          <w:szCs w:val="18"/>
        </w:rPr>
        <w:tab/>
      </w:r>
      <w:r>
        <w:rPr>
          <w:rFonts w:ascii="Verdana" w:hAnsi="Verdana"/>
          <w:i/>
          <w:sz w:val="18"/>
          <w:szCs w:val="18"/>
        </w:rPr>
        <w:tab/>
      </w:r>
      <w:r>
        <w:rPr>
          <w:rFonts w:ascii="Verdana" w:hAnsi="Verdana"/>
          <w:i/>
          <w:sz w:val="18"/>
          <w:szCs w:val="18"/>
        </w:rPr>
        <w:tab/>
      </w:r>
      <w:r>
        <w:rPr>
          <w:rFonts w:ascii="Verdana" w:hAnsi="Verdana"/>
          <w:i/>
          <w:sz w:val="18"/>
          <w:szCs w:val="18"/>
        </w:rPr>
        <w:tab/>
      </w:r>
      <w:r>
        <w:rPr>
          <w:rFonts w:ascii="Verdana" w:hAnsi="Verdana"/>
          <w:sz w:val="18"/>
          <w:szCs w:val="18"/>
        </w:rPr>
        <w:t>p.</w:t>
      </w:r>
      <w:r w:rsidR="00595812">
        <w:rPr>
          <w:rFonts w:ascii="Verdana" w:hAnsi="Verdana"/>
          <w:sz w:val="18"/>
          <w:szCs w:val="18"/>
        </w:rPr>
        <w:t xml:space="preserve"> 23</w:t>
      </w:r>
    </w:p>
    <w:p w14:paraId="5D889A3B" w14:textId="706A515A" w:rsidR="006A6B4E" w:rsidRDefault="006A6B4E" w:rsidP="00805F89">
      <w:pPr>
        <w:spacing w:after="0" w:line="360" w:lineRule="auto"/>
        <w:jc w:val="both"/>
        <w:rPr>
          <w:rFonts w:ascii="Verdana" w:hAnsi="Verdana"/>
          <w:sz w:val="18"/>
          <w:szCs w:val="18"/>
        </w:rPr>
      </w:pPr>
      <w:r>
        <w:rPr>
          <w:rFonts w:ascii="Verdana" w:hAnsi="Verdana"/>
          <w:sz w:val="18"/>
          <w:szCs w:val="18"/>
        </w:rPr>
        <w:tab/>
      </w:r>
      <w:r>
        <w:rPr>
          <w:rFonts w:ascii="Verdana" w:hAnsi="Verdana"/>
          <w:sz w:val="18"/>
          <w:szCs w:val="18"/>
        </w:rPr>
        <w:tab/>
      </w:r>
      <w:r>
        <w:rPr>
          <w:rFonts w:ascii="Verdana" w:hAnsi="Verdana"/>
          <w:i/>
          <w:sz w:val="18"/>
          <w:szCs w:val="18"/>
        </w:rPr>
        <w:t>2.2.1 Onrechtmatig verblijf</w:t>
      </w:r>
      <w:r>
        <w:rPr>
          <w:rFonts w:ascii="Verdana" w:hAnsi="Verdana"/>
          <w:i/>
          <w:sz w:val="18"/>
          <w:szCs w:val="18"/>
        </w:rPr>
        <w:tab/>
      </w:r>
      <w:r>
        <w:rPr>
          <w:rFonts w:ascii="Verdana" w:hAnsi="Verdana"/>
          <w:i/>
          <w:sz w:val="18"/>
          <w:szCs w:val="18"/>
        </w:rPr>
        <w:tab/>
      </w:r>
      <w:r>
        <w:rPr>
          <w:rFonts w:ascii="Verdana" w:hAnsi="Verdana"/>
          <w:i/>
          <w:sz w:val="18"/>
          <w:szCs w:val="18"/>
        </w:rPr>
        <w:tab/>
      </w:r>
      <w:r>
        <w:rPr>
          <w:rFonts w:ascii="Verdana" w:hAnsi="Verdana"/>
          <w:i/>
          <w:sz w:val="18"/>
          <w:szCs w:val="18"/>
        </w:rPr>
        <w:tab/>
      </w:r>
      <w:r>
        <w:rPr>
          <w:rFonts w:ascii="Verdana" w:hAnsi="Verdana"/>
          <w:i/>
          <w:sz w:val="18"/>
          <w:szCs w:val="18"/>
        </w:rPr>
        <w:tab/>
      </w:r>
      <w:r>
        <w:rPr>
          <w:rFonts w:ascii="Verdana" w:hAnsi="Verdana"/>
          <w:i/>
          <w:sz w:val="18"/>
          <w:szCs w:val="18"/>
        </w:rPr>
        <w:tab/>
      </w:r>
      <w:r>
        <w:rPr>
          <w:rFonts w:ascii="Verdana" w:hAnsi="Verdana"/>
          <w:sz w:val="18"/>
          <w:szCs w:val="18"/>
        </w:rPr>
        <w:t>p.</w:t>
      </w:r>
      <w:r w:rsidR="00140377">
        <w:rPr>
          <w:rFonts w:ascii="Verdana" w:hAnsi="Verdana"/>
          <w:sz w:val="18"/>
          <w:szCs w:val="18"/>
        </w:rPr>
        <w:t xml:space="preserve"> 23</w:t>
      </w:r>
    </w:p>
    <w:p w14:paraId="09CD2878" w14:textId="5CDD170C" w:rsidR="00984923" w:rsidRDefault="00984923" w:rsidP="00805F89">
      <w:pPr>
        <w:spacing w:after="0" w:line="360" w:lineRule="auto"/>
        <w:jc w:val="both"/>
        <w:rPr>
          <w:rFonts w:ascii="Verdana" w:hAnsi="Verdana"/>
          <w:sz w:val="18"/>
          <w:szCs w:val="18"/>
        </w:rPr>
      </w:pPr>
      <w:r>
        <w:rPr>
          <w:rFonts w:ascii="Verdana" w:hAnsi="Verdana"/>
          <w:sz w:val="18"/>
          <w:szCs w:val="18"/>
        </w:rPr>
        <w:tab/>
      </w:r>
      <w:r>
        <w:rPr>
          <w:rFonts w:ascii="Verdana" w:hAnsi="Verdana"/>
          <w:sz w:val="18"/>
          <w:szCs w:val="18"/>
        </w:rPr>
        <w:tab/>
      </w:r>
      <w:r>
        <w:rPr>
          <w:rFonts w:ascii="Verdana" w:hAnsi="Verdana"/>
          <w:i/>
          <w:sz w:val="18"/>
          <w:szCs w:val="18"/>
        </w:rPr>
        <w:t>2.2.2 Terugkeerbesluit ex Vw 2000</w:t>
      </w:r>
      <w:r>
        <w:rPr>
          <w:rFonts w:ascii="Verdana" w:hAnsi="Verdana"/>
          <w:i/>
          <w:sz w:val="18"/>
          <w:szCs w:val="18"/>
        </w:rPr>
        <w:tab/>
      </w:r>
      <w:r>
        <w:rPr>
          <w:rFonts w:ascii="Verdana" w:hAnsi="Verdana"/>
          <w:i/>
          <w:sz w:val="18"/>
          <w:szCs w:val="18"/>
        </w:rPr>
        <w:tab/>
      </w:r>
      <w:r>
        <w:rPr>
          <w:rFonts w:ascii="Verdana" w:hAnsi="Verdana"/>
          <w:i/>
          <w:sz w:val="18"/>
          <w:szCs w:val="18"/>
        </w:rPr>
        <w:tab/>
      </w:r>
      <w:r>
        <w:rPr>
          <w:rFonts w:ascii="Verdana" w:hAnsi="Verdana"/>
          <w:i/>
          <w:sz w:val="18"/>
          <w:szCs w:val="18"/>
        </w:rPr>
        <w:tab/>
      </w:r>
      <w:r>
        <w:rPr>
          <w:rFonts w:ascii="Verdana" w:hAnsi="Verdana"/>
          <w:i/>
          <w:sz w:val="18"/>
          <w:szCs w:val="18"/>
        </w:rPr>
        <w:tab/>
      </w:r>
      <w:r>
        <w:rPr>
          <w:rFonts w:ascii="Verdana" w:hAnsi="Verdana"/>
          <w:sz w:val="18"/>
          <w:szCs w:val="18"/>
        </w:rPr>
        <w:t>p.</w:t>
      </w:r>
      <w:r w:rsidR="00595812">
        <w:rPr>
          <w:rFonts w:ascii="Verdana" w:hAnsi="Verdana"/>
          <w:sz w:val="18"/>
          <w:szCs w:val="18"/>
        </w:rPr>
        <w:t xml:space="preserve"> 24</w:t>
      </w:r>
    </w:p>
    <w:p w14:paraId="51127D6B" w14:textId="2CAEF487" w:rsidR="00736823" w:rsidRDefault="00736823" w:rsidP="00805F89">
      <w:pPr>
        <w:spacing w:after="0" w:line="360" w:lineRule="auto"/>
        <w:jc w:val="both"/>
        <w:rPr>
          <w:rFonts w:ascii="Verdana" w:hAnsi="Verdana"/>
          <w:sz w:val="18"/>
          <w:szCs w:val="18"/>
        </w:rPr>
      </w:pPr>
      <w:r>
        <w:rPr>
          <w:rFonts w:ascii="Verdana" w:hAnsi="Verdana"/>
          <w:sz w:val="18"/>
          <w:szCs w:val="18"/>
        </w:rPr>
        <w:tab/>
      </w:r>
      <w:r>
        <w:rPr>
          <w:rFonts w:ascii="Verdana" w:hAnsi="Verdana"/>
          <w:sz w:val="18"/>
          <w:szCs w:val="18"/>
        </w:rPr>
        <w:tab/>
      </w:r>
      <w:r>
        <w:rPr>
          <w:rFonts w:ascii="Verdana" w:hAnsi="Verdana"/>
          <w:i/>
          <w:sz w:val="18"/>
          <w:szCs w:val="18"/>
        </w:rPr>
        <w:t>2.2.3 Inreisverbod ex Vw 2000</w:t>
      </w:r>
      <w:r>
        <w:rPr>
          <w:rFonts w:ascii="Verdana" w:hAnsi="Verdana"/>
          <w:i/>
          <w:sz w:val="18"/>
          <w:szCs w:val="18"/>
        </w:rPr>
        <w:tab/>
      </w:r>
      <w:r>
        <w:rPr>
          <w:rFonts w:ascii="Verdana" w:hAnsi="Verdana"/>
          <w:i/>
          <w:sz w:val="18"/>
          <w:szCs w:val="18"/>
        </w:rPr>
        <w:tab/>
      </w:r>
      <w:r>
        <w:rPr>
          <w:rFonts w:ascii="Verdana" w:hAnsi="Verdana"/>
          <w:i/>
          <w:sz w:val="18"/>
          <w:szCs w:val="18"/>
        </w:rPr>
        <w:tab/>
      </w:r>
      <w:r>
        <w:rPr>
          <w:rFonts w:ascii="Verdana" w:hAnsi="Verdana"/>
          <w:i/>
          <w:sz w:val="18"/>
          <w:szCs w:val="18"/>
        </w:rPr>
        <w:tab/>
      </w:r>
      <w:r>
        <w:rPr>
          <w:rFonts w:ascii="Verdana" w:hAnsi="Verdana"/>
          <w:i/>
          <w:sz w:val="18"/>
          <w:szCs w:val="18"/>
        </w:rPr>
        <w:tab/>
      </w:r>
      <w:r>
        <w:rPr>
          <w:rFonts w:ascii="Verdana" w:hAnsi="Verdana"/>
          <w:i/>
          <w:sz w:val="18"/>
          <w:szCs w:val="18"/>
        </w:rPr>
        <w:tab/>
      </w:r>
      <w:r>
        <w:rPr>
          <w:rFonts w:ascii="Verdana" w:hAnsi="Verdana"/>
          <w:sz w:val="18"/>
          <w:szCs w:val="18"/>
        </w:rPr>
        <w:t>p.</w:t>
      </w:r>
      <w:r w:rsidR="00232585">
        <w:rPr>
          <w:rFonts w:ascii="Verdana" w:hAnsi="Verdana"/>
          <w:sz w:val="18"/>
          <w:szCs w:val="18"/>
        </w:rPr>
        <w:t xml:space="preserve"> 24</w:t>
      </w:r>
    </w:p>
    <w:p w14:paraId="0E980937" w14:textId="2A92A8F0" w:rsidR="00120217" w:rsidRDefault="00120217" w:rsidP="00805F89">
      <w:pPr>
        <w:spacing w:after="0" w:line="360" w:lineRule="auto"/>
        <w:jc w:val="both"/>
        <w:rPr>
          <w:rFonts w:ascii="Verdana" w:hAnsi="Verdana"/>
          <w:sz w:val="18"/>
          <w:szCs w:val="18"/>
        </w:rPr>
      </w:pPr>
      <w:r>
        <w:rPr>
          <w:rFonts w:ascii="Verdana" w:hAnsi="Verdana"/>
          <w:sz w:val="18"/>
          <w:szCs w:val="18"/>
        </w:rPr>
        <w:tab/>
      </w:r>
      <w:r>
        <w:rPr>
          <w:rFonts w:ascii="Verdana" w:hAnsi="Verdana"/>
          <w:sz w:val="18"/>
          <w:szCs w:val="18"/>
        </w:rPr>
        <w:tab/>
      </w:r>
      <w:r>
        <w:rPr>
          <w:rFonts w:ascii="Verdana" w:hAnsi="Verdana"/>
          <w:i/>
          <w:sz w:val="18"/>
          <w:szCs w:val="18"/>
        </w:rPr>
        <w:t>2.2.4 Ongewenstverklaring ex Vw 2000</w:t>
      </w:r>
      <w:r>
        <w:rPr>
          <w:rFonts w:ascii="Verdana" w:hAnsi="Verdana"/>
          <w:i/>
          <w:sz w:val="18"/>
          <w:szCs w:val="18"/>
        </w:rPr>
        <w:tab/>
      </w:r>
      <w:r>
        <w:rPr>
          <w:rFonts w:ascii="Verdana" w:hAnsi="Verdana"/>
          <w:i/>
          <w:sz w:val="18"/>
          <w:szCs w:val="18"/>
        </w:rPr>
        <w:tab/>
      </w:r>
      <w:r>
        <w:rPr>
          <w:rFonts w:ascii="Verdana" w:hAnsi="Verdana"/>
          <w:i/>
          <w:sz w:val="18"/>
          <w:szCs w:val="18"/>
        </w:rPr>
        <w:tab/>
      </w:r>
      <w:r>
        <w:rPr>
          <w:rFonts w:ascii="Verdana" w:hAnsi="Verdana"/>
          <w:i/>
          <w:sz w:val="18"/>
          <w:szCs w:val="18"/>
        </w:rPr>
        <w:tab/>
      </w:r>
      <w:r>
        <w:rPr>
          <w:rFonts w:ascii="Verdana" w:hAnsi="Verdana"/>
          <w:sz w:val="18"/>
          <w:szCs w:val="18"/>
        </w:rPr>
        <w:t>p.</w:t>
      </w:r>
      <w:r w:rsidR="00232585">
        <w:rPr>
          <w:rFonts w:ascii="Verdana" w:hAnsi="Verdana"/>
          <w:sz w:val="18"/>
          <w:szCs w:val="18"/>
        </w:rPr>
        <w:t xml:space="preserve"> 25</w:t>
      </w:r>
    </w:p>
    <w:p w14:paraId="35FD920E" w14:textId="45BB9630" w:rsidR="00F21577" w:rsidRDefault="00F21577" w:rsidP="00805F89">
      <w:pPr>
        <w:spacing w:after="0" w:line="360" w:lineRule="auto"/>
        <w:jc w:val="both"/>
        <w:rPr>
          <w:rFonts w:ascii="Verdana" w:hAnsi="Verdana"/>
          <w:sz w:val="18"/>
          <w:szCs w:val="18"/>
        </w:rPr>
      </w:pPr>
      <w:r>
        <w:rPr>
          <w:rFonts w:ascii="Verdana" w:hAnsi="Verdana"/>
          <w:sz w:val="18"/>
          <w:szCs w:val="18"/>
        </w:rPr>
        <w:tab/>
      </w:r>
      <w:r>
        <w:rPr>
          <w:rFonts w:ascii="Verdana" w:hAnsi="Verdana"/>
          <w:sz w:val="18"/>
          <w:szCs w:val="18"/>
        </w:rPr>
        <w:tab/>
      </w:r>
      <w:r>
        <w:rPr>
          <w:rFonts w:ascii="Verdana" w:hAnsi="Verdana"/>
          <w:i/>
          <w:sz w:val="18"/>
          <w:szCs w:val="18"/>
        </w:rPr>
        <w:t>2.2.5 Deelconclusie</w:t>
      </w:r>
      <w:r w:rsidR="006F520D">
        <w:rPr>
          <w:rFonts w:ascii="Verdana" w:hAnsi="Verdana"/>
          <w:i/>
          <w:sz w:val="18"/>
          <w:szCs w:val="18"/>
        </w:rPr>
        <w:t xml:space="preserve"> eerste deelvraag</w:t>
      </w:r>
      <w:r>
        <w:rPr>
          <w:rFonts w:ascii="Verdana" w:hAnsi="Verdana"/>
          <w:i/>
          <w:sz w:val="18"/>
          <w:szCs w:val="18"/>
        </w:rPr>
        <w:tab/>
      </w:r>
      <w:r>
        <w:rPr>
          <w:rFonts w:ascii="Verdana" w:hAnsi="Verdana"/>
          <w:i/>
          <w:sz w:val="18"/>
          <w:szCs w:val="18"/>
        </w:rPr>
        <w:tab/>
      </w:r>
      <w:r>
        <w:rPr>
          <w:rFonts w:ascii="Verdana" w:hAnsi="Verdana"/>
          <w:i/>
          <w:sz w:val="18"/>
          <w:szCs w:val="18"/>
        </w:rPr>
        <w:tab/>
      </w:r>
      <w:r>
        <w:rPr>
          <w:rFonts w:ascii="Verdana" w:hAnsi="Verdana"/>
          <w:i/>
          <w:sz w:val="18"/>
          <w:szCs w:val="18"/>
        </w:rPr>
        <w:tab/>
      </w:r>
      <w:r>
        <w:rPr>
          <w:rFonts w:ascii="Verdana" w:hAnsi="Verdana"/>
          <w:i/>
          <w:sz w:val="18"/>
          <w:szCs w:val="18"/>
        </w:rPr>
        <w:tab/>
      </w:r>
      <w:r>
        <w:rPr>
          <w:rFonts w:ascii="Verdana" w:hAnsi="Verdana"/>
          <w:sz w:val="18"/>
          <w:szCs w:val="18"/>
        </w:rPr>
        <w:t>p.</w:t>
      </w:r>
      <w:r w:rsidR="00232585">
        <w:rPr>
          <w:rFonts w:ascii="Verdana" w:hAnsi="Verdana"/>
          <w:sz w:val="18"/>
          <w:szCs w:val="18"/>
        </w:rPr>
        <w:t xml:space="preserve"> 26</w:t>
      </w:r>
    </w:p>
    <w:p w14:paraId="3909C18D" w14:textId="15ABBC13" w:rsidR="0055752E" w:rsidRDefault="0055752E" w:rsidP="00805F89">
      <w:pPr>
        <w:spacing w:after="0" w:line="360" w:lineRule="auto"/>
        <w:jc w:val="both"/>
        <w:rPr>
          <w:rFonts w:ascii="Verdana" w:hAnsi="Verdana"/>
          <w:sz w:val="18"/>
          <w:szCs w:val="18"/>
        </w:rPr>
      </w:pPr>
      <w:r>
        <w:rPr>
          <w:rFonts w:ascii="Verdana" w:hAnsi="Verdana"/>
          <w:sz w:val="18"/>
          <w:szCs w:val="18"/>
        </w:rPr>
        <w:tab/>
      </w:r>
      <w:r>
        <w:rPr>
          <w:rFonts w:ascii="Verdana" w:hAnsi="Verdana"/>
          <w:i/>
          <w:sz w:val="18"/>
          <w:szCs w:val="18"/>
        </w:rPr>
        <w:t>2.3 Het openbare-ordebeleid</w:t>
      </w:r>
      <w:r>
        <w:rPr>
          <w:rFonts w:ascii="Verdana" w:hAnsi="Verdana"/>
          <w:i/>
          <w:sz w:val="18"/>
          <w:szCs w:val="18"/>
        </w:rPr>
        <w:tab/>
      </w:r>
      <w:r>
        <w:rPr>
          <w:rFonts w:ascii="Verdana" w:hAnsi="Verdana"/>
          <w:i/>
          <w:sz w:val="18"/>
          <w:szCs w:val="18"/>
        </w:rPr>
        <w:tab/>
      </w:r>
      <w:r>
        <w:rPr>
          <w:rFonts w:ascii="Verdana" w:hAnsi="Verdana"/>
          <w:i/>
          <w:sz w:val="18"/>
          <w:szCs w:val="18"/>
        </w:rPr>
        <w:tab/>
      </w:r>
      <w:r>
        <w:rPr>
          <w:rFonts w:ascii="Verdana" w:hAnsi="Verdana"/>
          <w:i/>
          <w:sz w:val="18"/>
          <w:szCs w:val="18"/>
        </w:rPr>
        <w:tab/>
      </w:r>
      <w:r>
        <w:rPr>
          <w:rFonts w:ascii="Verdana" w:hAnsi="Verdana"/>
          <w:i/>
          <w:sz w:val="18"/>
          <w:szCs w:val="18"/>
        </w:rPr>
        <w:tab/>
      </w:r>
      <w:r>
        <w:rPr>
          <w:rFonts w:ascii="Verdana" w:hAnsi="Verdana"/>
          <w:i/>
          <w:sz w:val="18"/>
          <w:szCs w:val="18"/>
        </w:rPr>
        <w:tab/>
      </w:r>
      <w:r>
        <w:rPr>
          <w:rFonts w:ascii="Verdana" w:hAnsi="Verdana"/>
          <w:i/>
          <w:sz w:val="18"/>
          <w:szCs w:val="18"/>
        </w:rPr>
        <w:tab/>
      </w:r>
      <w:r>
        <w:rPr>
          <w:rFonts w:ascii="Verdana" w:hAnsi="Verdana"/>
          <w:sz w:val="18"/>
          <w:szCs w:val="18"/>
        </w:rPr>
        <w:t>p.</w:t>
      </w:r>
      <w:r w:rsidR="00232585">
        <w:rPr>
          <w:rFonts w:ascii="Verdana" w:hAnsi="Verdana"/>
          <w:sz w:val="18"/>
          <w:szCs w:val="18"/>
        </w:rPr>
        <w:t xml:space="preserve"> 26</w:t>
      </w:r>
    </w:p>
    <w:p w14:paraId="34419E9D" w14:textId="5E7BD594" w:rsidR="0055752E" w:rsidRDefault="0055752E" w:rsidP="00805F89">
      <w:pPr>
        <w:spacing w:after="0" w:line="360" w:lineRule="auto"/>
        <w:jc w:val="both"/>
        <w:rPr>
          <w:rFonts w:ascii="Verdana" w:hAnsi="Verdana"/>
          <w:sz w:val="18"/>
          <w:szCs w:val="18"/>
        </w:rPr>
      </w:pPr>
      <w:r>
        <w:rPr>
          <w:rFonts w:ascii="Verdana" w:hAnsi="Verdana"/>
          <w:sz w:val="18"/>
          <w:szCs w:val="18"/>
        </w:rPr>
        <w:tab/>
      </w:r>
      <w:r>
        <w:rPr>
          <w:rFonts w:ascii="Verdana" w:hAnsi="Verdana"/>
          <w:sz w:val="18"/>
          <w:szCs w:val="18"/>
        </w:rPr>
        <w:tab/>
      </w:r>
      <w:r>
        <w:rPr>
          <w:rFonts w:ascii="Verdana" w:hAnsi="Verdana"/>
          <w:i/>
          <w:sz w:val="18"/>
          <w:szCs w:val="18"/>
        </w:rPr>
        <w:t>2.3.1 De Unierechtelijke actuele-bedreigingstoets</w:t>
      </w:r>
      <w:r>
        <w:rPr>
          <w:rFonts w:ascii="Verdana" w:hAnsi="Verdana"/>
          <w:i/>
          <w:sz w:val="18"/>
          <w:szCs w:val="18"/>
        </w:rPr>
        <w:tab/>
      </w:r>
      <w:r>
        <w:rPr>
          <w:rFonts w:ascii="Verdana" w:hAnsi="Verdana"/>
          <w:i/>
          <w:sz w:val="18"/>
          <w:szCs w:val="18"/>
        </w:rPr>
        <w:tab/>
      </w:r>
      <w:r>
        <w:rPr>
          <w:rFonts w:ascii="Verdana" w:hAnsi="Verdana"/>
          <w:i/>
          <w:sz w:val="18"/>
          <w:szCs w:val="18"/>
        </w:rPr>
        <w:tab/>
      </w:r>
      <w:r>
        <w:rPr>
          <w:rFonts w:ascii="Verdana" w:hAnsi="Verdana"/>
          <w:sz w:val="18"/>
          <w:szCs w:val="18"/>
        </w:rPr>
        <w:t>p.</w:t>
      </w:r>
      <w:r w:rsidR="00F9677C">
        <w:rPr>
          <w:rFonts w:ascii="Verdana" w:hAnsi="Verdana"/>
          <w:sz w:val="18"/>
          <w:szCs w:val="18"/>
        </w:rPr>
        <w:t xml:space="preserve"> 27</w:t>
      </w:r>
    </w:p>
    <w:p w14:paraId="68856F00" w14:textId="547301A3" w:rsidR="00385CB1" w:rsidRDefault="00385CB1" w:rsidP="00805F89">
      <w:pPr>
        <w:spacing w:after="0" w:line="360" w:lineRule="auto"/>
        <w:jc w:val="both"/>
        <w:rPr>
          <w:rFonts w:ascii="Verdana" w:hAnsi="Verdana"/>
          <w:sz w:val="18"/>
          <w:szCs w:val="18"/>
        </w:rPr>
      </w:pPr>
      <w:r>
        <w:rPr>
          <w:rFonts w:ascii="Verdana" w:hAnsi="Verdana"/>
          <w:sz w:val="18"/>
          <w:szCs w:val="18"/>
        </w:rPr>
        <w:tab/>
      </w:r>
      <w:r>
        <w:rPr>
          <w:rFonts w:ascii="Verdana" w:hAnsi="Verdana"/>
          <w:sz w:val="18"/>
          <w:szCs w:val="18"/>
        </w:rPr>
        <w:tab/>
      </w:r>
      <w:r>
        <w:rPr>
          <w:rFonts w:ascii="Verdana" w:hAnsi="Verdana"/>
          <w:i/>
          <w:sz w:val="18"/>
          <w:szCs w:val="18"/>
        </w:rPr>
        <w:t>2.3.2 De belangenafweging</w:t>
      </w:r>
      <w:r>
        <w:rPr>
          <w:rFonts w:ascii="Verdana" w:hAnsi="Verdana"/>
          <w:i/>
          <w:sz w:val="18"/>
          <w:szCs w:val="18"/>
        </w:rPr>
        <w:tab/>
      </w:r>
      <w:r>
        <w:rPr>
          <w:rFonts w:ascii="Verdana" w:hAnsi="Verdana"/>
          <w:i/>
          <w:sz w:val="18"/>
          <w:szCs w:val="18"/>
        </w:rPr>
        <w:tab/>
      </w:r>
      <w:r>
        <w:rPr>
          <w:rFonts w:ascii="Verdana" w:hAnsi="Verdana"/>
          <w:i/>
          <w:sz w:val="18"/>
          <w:szCs w:val="18"/>
        </w:rPr>
        <w:tab/>
      </w:r>
      <w:r>
        <w:rPr>
          <w:rFonts w:ascii="Verdana" w:hAnsi="Verdana"/>
          <w:i/>
          <w:sz w:val="18"/>
          <w:szCs w:val="18"/>
        </w:rPr>
        <w:tab/>
      </w:r>
      <w:r>
        <w:rPr>
          <w:rFonts w:ascii="Verdana" w:hAnsi="Verdana"/>
          <w:i/>
          <w:sz w:val="18"/>
          <w:szCs w:val="18"/>
        </w:rPr>
        <w:tab/>
      </w:r>
      <w:r>
        <w:rPr>
          <w:rFonts w:ascii="Verdana" w:hAnsi="Verdana"/>
          <w:i/>
          <w:sz w:val="18"/>
          <w:szCs w:val="18"/>
        </w:rPr>
        <w:tab/>
      </w:r>
      <w:r>
        <w:rPr>
          <w:rFonts w:ascii="Verdana" w:hAnsi="Verdana"/>
          <w:sz w:val="18"/>
          <w:szCs w:val="18"/>
        </w:rPr>
        <w:t>p.</w:t>
      </w:r>
      <w:r w:rsidR="00232585">
        <w:rPr>
          <w:rFonts w:ascii="Verdana" w:hAnsi="Verdana"/>
          <w:sz w:val="18"/>
          <w:szCs w:val="18"/>
        </w:rPr>
        <w:t xml:space="preserve"> 28</w:t>
      </w:r>
    </w:p>
    <w:p w14:paraId="240CCD39" w14:textId="31C46413" w:rsidR="00CB42AA" w:rsidRDefault="00CB42AA" w:rsidP="00805F89">
      <w:pPr>
        <w:spacing w:after="0" w:line="360" w:lineRule="auto"/>
        <w:jc w:val="both"/>
        <w:rPr>
          <w:rFonts w:ascii="Verdana" w:hAnsi="Verdana"/>
          <w:sz w:val="18"/>
          <w:szCs w:val="18"/>
        </w:rPr>
      </w:pPr>
      <w:r>
        <w:rPr>
          <w:rFonts w:ascii="Verdana" w:hAnsi="Verdana"/>
          <w:sz w:val="18"/>
          <w:szCs w:val="18"/>
        </w:rPr>
        <w:tab/>
      </w:r>
      <w:r>
        <w:rPr>
          <w:rFonts w:ascii="Verdana" w:hAnsi="Verdana"/>
          <w:sz w:val="18"/>
          <w:szCs w:val="18"/>
        </w:rPr>
        <w:tab/>
      </w:r>
      <w:r>
        <w:rPr>
          <w:rFonts w:ascii="Verdana" w:hAnsi="Verdana"/>
          <w:i/>
          <w:sz w:val="18"/>
          <w:szCs w:val="18"/>
        </w:rPr>
        <w:t>2.3.3 Het nationale openbare-ordebeleid</w:t>
      </w:r>
      <w:r>
        <w:rPr>
          <w:rFonts w:ascii="Verdana" w:hAnsi="Verdana"/>
          <w:i/>
          <w:sz w:val="18"/>
          <w:szCs w:val="18"/>
        </w:rPr>
        <w:tab/>
      </w:r>
      <w:r>
        <w:rPr>
          <w:rFonts w:ascii="Verdana" w:hAnsi="Verdana"/>
          <w:i/>
          <w:sz w:val="18"/>
          <w:szCs w:val="18"/>
        </w:rPr>
        <w:tab/>
      </w:r>
      <w:r>
        <w:rPr>
          <w:rFonts w:ascii="Verdana" w:hAnsi="Verdana"/>
          <w:i/>
          <w:sz w:val="18"/>
          <w:szCs w:val="18"/>
        </w:rPr>
        <w:tab/>
      </w:r>
      <w:r>
        <w:rPr>
          <w:rFonts w:ascii="Verdana" w:hAnsi="Verdana"/>
          <w:i/>
          <w:sz w:val="18"/>
          <w:szCs w:val="18"/>
        </w:rPr>
        <w:tab/>
      </w:r>
      <w:r>
        <w:rPr>
          <w:rFonts w:ascii="Verdana" w:hAnsi="Verdana"/>
          <w:sz w:val="18"/>
          <w:szCs w:val="18"/>
        </w:rPr>
        <w:t>p.</w:t>
      </w:r>
      <w:r w:rsidR="00F9677C">
        <w:rPr>
          <w:rFonts w:ascii="Verdana" w:hAnsi="Verdana"/>
          <w:sz w:val="18"/>
          <w:szCs w:val="18"/>
        </w:rPr>
        <w:t xml:space="preserve"> 29</w:t>
      </w:r>
    </w:p>
    <w:p w14:paraId="280060EF" w14:textId="563FFE20" w:rsidR="000F0A06" w:rsidRDefault="000F0A06" w:rsidP="00805F89">
      <w:pPr>
        <w:spacing w:after="0" w:line="360" w:lineRule="auto"/>
        <w:jc w:val="both"/>
        <w:rPr>
          <w:rFonts w:ascii="Verdana" w:hAnsi="Verdana"/>
          <w:sz w:val="18"/>
          <w:szCs w:val="18"/>
        </w:rPr>
      </w:pPr>
      <w:r>
        <w:rPr>
          <w:rFonts w:ascii="Verdana" w:hAnsi="Verdana"/>
          <w:sz w:val="18"/>
          <w:szCs w:val="18"/>
        </w:rPr>
        <w:tab/>
      </w:r>
      <w:r>
        <w:rPr>
          <w:rFonts w:ascii="Verdana" w:hAnsi="Verdana"/>
          <w:sz w:val="18"/>
          <w:szCs w:val="18"/>
        </w:rPr>
        <w:tab/>
      </w:r>
      <w:r>
        <w:rPr>
          <w:rFonts w:ascii="Verdana" w:hAnsi="Verdana"/>
          <w:i/>
          <w:sz w:val="18"/>
          <w:szCs w:val="18"/>
        </w:rPr>
        <w:t>2.3.4 De belangenafweging</w:t>
      </w:r>
      <w:r>
        <w:rPr>
          <w:rFonts w:ascii="Verdana" w:hAnsi="Verdana"/>
          <w:i/>
          <w:sz w:val="18"/>
          <w:szCs w:val="18"/>
        </w:rPr>
        <w:tab/>
      </w:r>
      <w:r>
        <w:rPr>
          <w:rFonts w:ascii="Verdana" w:hAnsi="Verdana"/>
          <w:i/>
          <w:sz w:val="18"/>
          <w:szCs w:val="18"/>
        </w:rPr>
        <w:tab/>
      </w:r>
      <w:r>
        <w:rPr>
          <w:rFonts w:ascii="Verdana" w:hAnsi="Verdana"/>
          <w:i/>
          <w:sz w:val="18"/>
          <w:szCs w:val="18"/>
        </w:rPr>
        <w:tab/>
      </w:r>
      <w:r>
        <w:rPr>
          <w:rFonts w:ascii="Verdana" w:hAnsi="Verdana"/>
          <w:i/>
          <w:sz w:val="18"/>
          <w:szCs w:val="18"/>
        </w:rPr>
        <w:tab/>
      </w:r>
      <w:r>
        <w:rPr>
          <w:rFonts w:ascii="Verdana" w:hAnsi="Verdana"/>
          <w:i/>
          <w:sz w:val="18"/>
          <w:szCs w:val="18"/>
        </w:rPr>
        <w:tab/>
      </w:r>
      <w:r>
        <w:rPr>
          <w:rFonts w:ascii="Verdana" w:hAnsi="Verdana"/>
          <w:i/>
          <w:sz w:val="18"/>
          <w:szCs w:val="18"/>
        </w:rPr>
        <w:tab/>
      </w:r>
      <w:r>
        <w:rPr>
          <w:rFonts w:ascii="Verdana" w:hAnsi="Verdana"/>
          <w:sz w:val="18"/>
          <w:szCs w:val="18"/>
        </w:rPr>
        <w:t>p.</w:t>
      </w:r>
      <w:r w:rsidR="00F9677C">
        <w:rPr>
          <w:rFonts w:ascii="Verdana" w:hAnsi="Verdana"/>
          <w:sz w:val="18"/>
          <w:szCs w:val="18"/>
        </w:rPr>
        <w:t xml:space="preserve"> 30</w:t>
      </w:r>
    </w:p>
    <w:p w14:paraId="4FA9F8EF" w14:textId="75887A9E" w:rsidR="00041239" w:rsidRPr="00041239" w:rsidRDefault="00041239" w:rsidP="00805F89">
      <w:pPr>
        <w:spacing w:after="0" w:line="360" w:lineRule="auto"/>
        <w:jc w:val="both"/>
        <w:rPr>
          <w:rFonts w:ascii="Verdana" w:hAnsi="Verdana"/>
          <w:sz w:val="18"/>
          <w:szCs w:val="18"/>
        </w:rPr>
      </w:pPr>
      <w:r>
        <w:rPr>
          <w:rFonts w:ascii="Verdana" w:hAnsi="Verdana"/>
          <w:sz w:val="18"/>
          <w:szCs w:val="18"/>
        </w:rPr>
        <w:tab/>
      </w:r>
      <w:r>
        <w:rPr>
          <w:rFonts w:ascii="Verdana" w:hAnsi="Verdana"/>
          <w:sz w:val="18"/>
          <w:szCs w:val="18"/>
        </w:rPr>
        <w:tab/>
      </w:r>
      <w:r>
        <w:rPr>
          <w:rFonts w:ascii="Verdana" w:hAnsi="Verdana"/>
          <w:i/>
          <w:sz w:val="18"/>
          <w:szCs w:val="18"/>
        </w:rPr>
        <w:t>2.3.5 Kritieken</w:t>
      </w:r>
      <w:r>
        <w:rPr>
          <w:rFonts w:ascii="Verdana" w:hAnsi="Verdana"/>
          <w:i/>
          <w:sz w:val="18"/>
          <w:szCs w:val="18"/>
        </w:rPr>
        <w:tab/>
      </w:r>
      <w:r>
        <w:rPr>
          <w:rFonts w:ascii="Verdana" w:hAnsi="Verdana"/>
          <w:i/>
          <w:sz w:val="18"/>
          <w:szCs w:val="18"/>
        </w:rPr>
        <w:tab/>
      </w:r>
      <w:r>
        <w:rPr>
          <w:rFonts w:ascii="Verdana" w:hAnsi="Verdana"/>
          <w:i/>
          <w:sz w:val="18"/>
          <w:szCs w:val="18"/>
        </w:rPr>
        <w:tab/>
      </w:r>
      <w:r>
        <w:rPr>
          <w:rFonts w:ascii="Verdana" w:hAnsi="Verdana"/>
          <w:i/>
          <w:sz w:val="18"/>
          <w:szCs w:val="18"/>
        </w:rPr>
        <w:tab/>
      </w:r>
      <w:r>
        <w:rPr>
          <w:rFonts w:ascii="Verdana" w:hAnsi="Verdana"/>
          <w:i/>
          <w:sz w:val="18"/>
          <w:szCs w:val="18"/>
        </w:rPr>
        <w:tab/>
      </w:r>
      <w:r>
        <w:rPr>
          <w:rFonts w:ascii="Verdana" w:hAnsi="Verdana"/>
          <w:i/>
          <w:sz w:val="18"/>
          <w:szCs w:val="18"/>
        </w:rPr>
        <w:tab/>
      </w:r>
      <w:r>
        <w:rPr>
          <w:rFonts w:ascii="Verdana" w:hAnsi="Verdana"/>
          <w:i/>
          <w:sz w:val="18"/>
          <w:szCs w:val="18"/>
        </w:rPr>
        <w:tab/>
      </w:r>
      <w:r>
        <w:rPr>
          <w:rFonts w:ascii="Verdana" w:hAnsi="Verdana"/>
          <w:i/>
          <w:sz w:val="18"/>
          <w:szCs w:val="18"/>
        </w:rPr>
        <w:tab/>
      </w:r>
      <w:r>
        <w:rPr>
          <w:rFonts w:ascii="Verdana" w:hAnsi="Verdana"/>
          <w:sz w:val="18"/>
          <w:szCs w:val="18"/>
        </w:rPr>
        <w:t>p.</w:t>
      </w:r>
      <w:r w:rsidR="00232585">
        <w:rPr>
          <w:rFonts w:ascii="Verdana" w:hAnsi="Verdana"/>
          <w:sz w:val="18"/>
          <w:szCs w:val="18"/>
        </w:rPr>
        <w:t xml:space="preserve"> 30</w:t>
      </w:r>
    </w:p>
    <w:p w14:paraId="73E64EB9" w14:textId="76C9666F" w:rsidR="0012301D" w:rsidRDefault="0012301D" w:rsidP="00805F89">
      <w:pPr>
        <w:spacing w:after="0" w:line="360" w:lineRule="auto"/>
        <w:jc w:val="both"/>
        <w:rPr>
          <w:rFonts w:ascii="Verdana" w:hAnsi="Verdana"/>
          <w:sz w:val="18"/>
          <w:szCs w:val="18"/>
        </w:rPr>
      </w:pPr>
      <w:r>
        <w:rPr>
          <w:rFonts w:ascii="Verdana" w:hAnsi="Verdana"/>
          <w:sz w:val="18"/>
          <w:szCs w:val="18"/>
        </w:rPr>
        <w:tab/>
      </w:r>
      <w:r>
        <w:rPr>
          <w:rFonts w:ascii="Verdana" w:hAnsi="Verdana"/>
          <w:sz w:val="18"/>
          <w:szCs w:val="18"/>
        </w:rPr>
        <w:tab/>
      </w:r>
      <w:r w:rsidR="00041239">
        <w:rPr>
          <w:rFonts w:ascii="Verdana" w:hAnsi="Verdana"/>
          <w:i/>
          <w:sz w:val="18"/>
          <w:szCs w:val="18"/>
        </w:rPr>
        <w:t>2.3.6</w:t>
      </w:r>
      <w:r>
        <w:rPr>
          <w:rFonts w:ascii="Verdana" w:hAnsi="Verdana"/>
          <w:i/>
          <w:sz w:val="18"/>
          <w:szCs w:val="18"/>
        </w:rPr>
        <w:t xml:space="preserve"> Deelconclusie tweede deelvraag</w:t>
      </w:r>
      <w:r>
        <w:rPr>
          <w:rFonts w:ascii="Verdana" w:hAnsi="Verdana"/>
          <w:i/>
          <w:sz w:val="18"/>
          <w:szCs w:val="18"/>
        </w:rPr>
        <w:tab/>
      </w:r>
      <w:r>
        <w:rPr>
          <w:rFonts w:ascii="Verdana" w:hAnsi="Verdana"/>
          <w:i/>
          <w:sz w:val="18"/>
          <w:szCs w:val="18"/>
        </w:rPr>
        <w:tab/>
      </w:r>
      <w:r>
        <w:rPr>
          <w:rFonts w:ascii="Verdana" w:hAnsi="Verdana"/>
          <w:i/>
          <w:sz w:val="18"/>
          <w:szCs w:val="18"/>
        </w:rPr>
        <w:tab/>
      </w:r>
      <w:r>
        <w:rPr>
          <w:rFonts w:ascii="Verdana" w:hAnsi="Verdana"/>
          <w:i/>
          <w:sz w:val="18"/>
          <w:szCs w:val="18"/>
        </w:rPr>
        <w:tab/>
      </w:r>
      <w:r>
        <w:rPr>
          <w:rFonts w:ascii="Verdana" w:hAnsi="Verdana"/>
          <w:i/>
          <w:sz w:val="18"/>
          <w:szCs w:val="18"/>
        </w:rPr>
        <w:tab/>
      </w:r>
      <w:r>
        <w:rPr>
          <w:rFonts w:ascii="Verdana" w:hAnsi="Verdana"/>
          <w:sz w:val="18"/>
          <w:szCs w:val="18"/>
        </w:rPr>
        <w:t>p.</w:t>
      </w:r>
      <w:r w:rsidR="00232585">
        <w:rPr>
          <w:rFonts w:ascii="Verdana" w:hAnsi="Verdana"/>
          <w:sz w:val="18"/>
          <w:szCs w:val="18"/>
        </w:rPr>
        <w:t xml:space="preserve"> 30</w:t>
      </w:r>
    </w:p>
    <w:p w14:paraId="3754F10E" w14:textId="68AAE4DC" w:rsidR="00261E75" w:rsidRDefault="00261E75" w:rsidP="00805F89">
      <w:pPr>
        <w:spacing w:after="0" w:line="360" w:lineRule="auto"/>
        <w:jc w:val="both"/>
        <w:rPr>
          <w:rFonts w:ascii="Verdana" w:hAnsi="Verdana"/>
          <w:sz w:val="18"/>
          <w:szCs w:val="18"/>
        </w:rPr>
      </w:pPr>
      <w:r>
        <w:rPr>
          <w:rFonts w:ascii="Verdana" w:hAnsi="Verdana"/>
          <w:sz w:val="18"/>
          <w:szCs w:val="18"/>
        </w:rPr>
        <w:tab/>
      </w:r>
      <w:r>
        <w:rPr>
          <w:rFonts w:ascii="Verdana" w:hAnsi="Verdana"/>
          <w:i/>
          <w:sz w:val="18"/>
          <w:szCs w:val="18"/>
        </w:rPr>
        <w:t>2.4 De rechtsmiddelen</w:t>
      </w:r>
      <w:r>
        <w:rPr>
          <w:rFonts w:ascii="Verdana" w:hAnsi="Verdana"/>
          <w:i/>
          <w:sz w:val="18"/>
          <w:szCs w:val="18"/>
        </w:rPr>
        <w:tab/>
      </w:r>
      <w:r>
        <w:rPr>
          <w:rFonts w:ascii="Verdana" w:hAnsi="Verdana"/>
          <w:i/>
          <w:sz w:val="18"/>
          <w:szCs w:val="18"/>
        </w:rPr>
        <w:tab/>
      </w:r>
      <w:r>
        <w:rPr>
          <w:rFonts w:ascii="Verdana" w:hAnsi="Verdana"/>
          <w:i/>
          <w:sz w:val="18"/>
          <w:szCs w:val="18"/>
        </w:rPr>
        <w:tab/>
      </w:r>
      <w:r>
        <w:rPr>
          <w:rFonts w:ascii="Verdana" w:hAnsi="Verdana"/>
          <w:i/>
          <w:sz w:val="18"/>
          <w:szCs w:val="18"/>
        </w:rPr>
        <w:tab/>
      </w:r>
      <w:r>
        <w:rPr>
          <w:rFonts w:ascii="Verdana" w:hAnsi="Verdana"/>
          <w:i/>
          <w:sz w:val="18"/>
          <w:szCs w:val="18"/>
        </w:rPr>
        <w:tab/>
      </w:r>
      <w:r>
        <w:rPr>
          <w:rFonts w:ascii="Verdana" w:hAnsi="Verdana"/>
          <w:i/>
          <w:sz w:val="18"/>
          <w:szCs w:val="18"/>
        </w:rPr>
        <w:tab/>
      </w:r>
      <w:r>
        <w:rPr>
          <w:rFonts w:ascii="Verdana" w:hAnsi="Verdana"/>
          <w:i/>
          <w:sz w:val="18"/>
          <w:szCs w:val="18"/>
        </w:rPr>
        <w:tab/>
      </w:r>
      <w:r>
        <w:rPr>
          <w:rFonts w:ascii="Verdana" w:hAnsi="Verdana"/>
          <w:i/>
          <w:sz w:val="18"/>
          <w:szCs w:val="18"/>
        </w:rPr>
        <w:tab/>
      </w:r>
      <w:r>
        <w:rPr>
          <w:rFonts w:ascii="Verdana" w:hAnsi="Verdana"/>
          <w:sz w:val="18"/>
          <w:szCs w:val="18"/>
        </w:rPr>
        <w:t>p.</w:t>
      </w:r>
      <w:r w:rsidR="00232585">
        <w:rPr>
          <w:rFonts w:ascii="Verdana" w:hAnsi="Verdana"/>
          <w:sz w:val="18"/>
          <w:szCs w:val="18"/>
        </w:rPr>
        <w:t xml:space="preserve"> 31</w:t>
      </w:r>
    </w:p>
    <w:p w14:paraId="2C4115FB" w14:textId="40AE6976" w:rsidR="007C1638" w:rsidRDefault="00CB5DA7" w:rsidP="00805F89">
      <w:pPr>
        <w:spacing w:after="0" w:line="360" w:lineRule="auto"/>
        <w:jc w:val="both"/>
        <w:rPr>
          <w:rFonts w:ascii="Verdana" w:hAnsi="Verdana"/>
          <w:sz w:val="18"/>
          <w:szCs w:val="18"/>
        </w:rPr>
      </w:pPr>
      <w:r>
        <w:rPr>
          <w:rFonts w:ascii="Verdana" w:hAnsi="Verdana"/>
          <w:sz w:val="18"/>
          <w:szCs w:val="18"/>
        </w:rPr>
        <w:tab/>
      </w:r>
      <w:r>
        <w:rPr>
          <w:rFonts w:ascii="Verdana" w:hAnsi="Verdana"/>
          <w:sz w:val="18"/>
          <w:szCs w:val="18"/>
        </w:rPr>
        <w:tab/>
      </w:r>
      <w:r>
        <w:rPr>
          <w:rFonts w:ascii="Verdana" w:hAnsi="Verdana"/>
          <w:i/>
          <w:sz w:val="18"/>
          <w:szCs w:val="18"/>
        </w:rPr>
        <w:t xml:space="preserve">2.4.1 </w:t>
      </w:r>
      <w:r w:rsidR="000F1801">
        <w:rPr>
          <w:rFonts w:ascii="Verdana" w:hAnsi="Verdana"/>
          <w:i/>
          <w:sz w:val="18"/>
          <w:szCs w:val="18"/>
        </w:rPr>
        <w:t>Zienswijzeprocedure, bezwaar en (hoger) beroep</w:t>
      </w:r>
      <w:r w:rsidR="000F1801">
        <w:rPr>
          <w:rFonts w:ascii="Verdana" w:hAnsi="Verdana"/>
          <w:i/>
          <w:sz w:val="18"/>
          <w:szCs w:val="18"/>
        </w:rPr>
        <w:tab/>
      </w:r>
      <w:r>
        <w:rPr>
          <w:rFonts w:ascii="Verdana" w:hAnsi="Verdana"/>
          <w:i/>
          <w:sz w:val="18"/>
          <w:szCs w:val="18"/>
        </w:rPr>
        <w:tab/>
      </w:r>
      <w:r>
        <w:rPr>
          <w:rFonts w:ascii="Verdana" w:hAnsi="Verdana"/>
          <w:sz w:val="18"/>
          <w:szCs w:val="18"/>
        </w:rPr>
        <w:t>p.</w:t>
      </w:r>
      <w:r w:rsidR="00F9677C">
        <w:rPr>
          <w:rFonts w:ascii="Verdana" w:hAnsi="Verdana"/>
          <w:sz w:val="18"/>
          <w:szCs w:val="18"/>
        </w:rPr>
        <w:t xml:space="preserve"> </w:t>
      </w:r>
      <w:r w:rsidR="00232585">
        <w:rPr>
          <w:rFonts w:ascii="Verdana" w:hAnsi="Verdana"/>
          <w:sz w:val="18"/>
          <w:szCs w:val="18"/>
        </w:rPr>
        <w:t>31</w:t>
      </w:r>
    </w:p>
    <w:p w14:paraId="3CC6C94B" w14:textId="634BEEC0" w:rsidR="008476C2" w:rsidRDefault="008476C2" w:rsidP="00805F89">
      <w:pPr>
        <w:spacing w:after="0" w:line="360" w:lineRule="auto"/>
        <w:jc w:val="both"/>
        <w:rPr>
          <w:rFonts w:ascii="Verdana" w:hAnsi="Verdana"/>
          <w:sz w:val="18"/>
          <w:szCs w:val="18"/>
        </w:rPr>
      </w:pPr>
      <w:r>
        <w:rPr>
          <w:rFonts w:ascii="Verdana" w:hAnsi="Verdana"/>
          <w:sz w:val="18"/>
          <w:szCs w:val="18"/>
        </w:rPr>
        <w:tab/>
      </w:r>
      <w:r>
        <w:rPr>
          <w:rFonts w:ascii="Verdana" w:hAnsi="Verdana"/>
          <w:sz w:val="18"/>
          <w:szCs w:val="18"/>
        </w:rPr>
        <w:tab/>
      </w:r>
      <w:r w:rsidR="004628BD">
        <w:rPr>
          <w:rFonts w:ascii="Verdana" w:hAnsi="Verdana"/>
          <w:i/>
          <w:sz w:val="18"/>
          <w:szCs w:val="18"/>
        </w:rPr>
        <w:t>2.4.2</w:t>
      </w:r>
      <w:r>
        <w:rPr>
          <w:rFonts w:ascii="Verdana" w:hAnsi="Verdana"/>
          <w:i/>
          <w:sz w:val="18"/>
          <w:szCs w:val="18"/>
        </w:rPr>
        <w:t xml:space="preserve"> Procesbelang</w:t>
      </w:r>
      <w:r>
        <w:rPr>
          <w:rFonts w:ascii="Verdana" w:hAnsi="Verdana"/>
          <w:i/>
          <w:sz w:val="18"/>
          <w:szCs w:val="18"/>
        </w:rPr>
        <w:tab/>
      </w:r>
      <w:r>
        <w:rPr>
          <w:rFonts w:ascii="Verdana" w:hAnsi="Verdana"/>
          <w:i/>
          <w:sz w:val="18"/>
          <w:szCs w:val="18"/>
        </w:rPr>
        <w:tab/>
      </w:r>
      <w:r>
        <w:rPr>
          <w:rFonts w:ascii="Verdana" w:hAnsi="Verdana"/>
          <w:i/>
          <w:sz w:val="18"/>
          <w:szCs w:val="18"/>
        </w:rPr>
        <w:tab/>
      </w:r>
      <w:r>
        <w:rPr>
          <w:rFonts w:ascii="Verdana" w:hAnsi="Verdana"/>
          <w:i/>
          <w:sz w:val="18"/>
          <w:szCs w:val="18"/>
        </w:rPr>
        <w:tab/>
      </w:r>
      <w:r>
        <w:rPr>
          <w:rFonts w:ascii="Verdana" w:hAnsi="Verdana"/>
          <w:i/>
          <w:sz w:val="18"/>
          <w:szCs w:val="18"/>
        </w:rPr>
        <w:tab/>
      </w:r>
      <w:r>
        <w:rPr>
          <w:rFonts w:ascii="Verdana" w:hAnsi="Verdana"/>
          <w:i/>
          <w:sz w:val="18"/>
          <w:szCs w:val="18"/>
        </w:rPr>
        <w:tab/>
      </w:r>
      <w:r>
        <w:rPr>
          <w:rFonts w:ascii="Verdana" w:hAnsi="Verdana"/>
          <w:i/>
          <w:sz w:val="18"/>
          <w:szCs w:val="18"/>
        </w:rPr>
        <w:tab/>
      </w:r>
      <w:r>
        <w:rPr>
          <w:rFonts w:ascii="Verdana" w:hAnsi="Verdana"/>
          <w:sz w:val="18"/>
          <w:szCs w:val="18"/>
        </w:rPr>
        <w:t>p.</w:t>
      </w:r>
      <w:r w:rsidR="00232585">
        <w:rPr>
          <w:rFonts w:ascii="Verdana" w:hAnsi="Verdana"/>
          <w:sz w:val="18"/>
          <w:szCs w:val="18"/>
        </w:rPr>
        <w:t xml:space="preserve"> 31</w:t>
      </w:r>
    </w:p>
    <w:p w14:paraId="29F2359B" w14:textId="3E301387" w:rsidR="008C09E3" w:rsidRDefault="008C09E3" w:rsidP="00805F89">
      <w:pPr>
        <w:spacing w:after="0" w:line="360" w:lineRule="auto"/>
        <w:jc w:val="both"/>
        <w:rPr>
          <w:rFonts w:ascii="Verdana" w:hAnsi="Verdana"/>
          <w:sz w:val="18"/>
          <w:szCs w:val="18"/>
        </w:rPr>
      </w:pPr>
      <w:r>
        <w:rPr>
          <w:rFonts w:ascii="Verdana" w:hAnsi="Verdana"/>
          <w:sz w:val="18"/>
          <w:szCs w:val="18"/>
        </w:rPr>
        <w:tab/>
      </w:r>
      <w:r>
        <w:rPr>
          <w:rFonts w:ascii="Verdana" w:hAnsi="Verdana"/>
          <w:sz w:val="18"/>
          <w:szCs w:val="18"/>
        </w:rPr>
        <w:tab/>
      </w:r>
      <w:r w:rsidR="004628BD">
        <w:rPr>
          <w:rFonts w:ascii="Verdana" w:hAnsi="Verdana"/>
          <w:i/>
          <w:sz w:val="18"/>
          <w:szCs w:val="18"/>
        </w:rPr>
        <w:t>2.4.3</w:t>
      </w:r>
      <w:r>
        <w:rPr>
          <w:rFonts w:ascii="Verdana" w:hAnsi="Verdana"/>
          <w:i/>
          <w:sz w:val="18"/>
          <w:szCs w:val="18"/>
        </w:rPr>
        <w:t xml:space="preserve"> Rechterlijke toetsing</w:t>
      </w:r>
      <w:r>
        <w:rPr>
          <w:rFonts w:ascii="Verdana" w:hAnsi="Verdana"/>
          <w:i/>
          <w:sz w:val="18"/>
          <w:szCs w:val="18"/>
        </w:rPr>
        <w:tab/>
      </w:r>
      <w:r>
        <w:rPr>
          <w:rFonts w:ascii="Verdana" w:hAnsi="Verdana"/>
          <w:i/>
          <w:sz w:val="18"/>
          <w:szCs w:val="18"/>
        </w:rPr>
        <w:tab/>
      </w:r>
      <w:r>
        <w:rPr>
          <w:rFonts w:ascii="Verdana" w:hAnsi="Verdana"/>
          <w:i/>
          <w:sz w:val="18"/>
          <w:szCs w:val="18"/>
        </w:rPr>
        <w:tab/>
      </w:r>
      <w:r>
        <w:rPr>
          <w:rFonts w:ascii="Verdana" w:hAnsi="Verdana"/>
          <w:i/>
          <w:sz w:val="18"/>
          <w:szCs w:val="18"/>
        </w:rPr>
        <w:tab/>
      </w:r>
      <w:r>
        <w:rPr>
          <w:rFonts w:ascii="Verdana" w:hAnsi="Verdana"/>
          <w:i/>
          <w:sz w:val="18"/>
          <w:szCs w:val="18"/>
        </w:rPr>
        <w:tab/>
      </w:r>
      <w:r>
        <w:rPr>
          <w:rFonts w:ascii="Verdana" w:hAnsi="Verdana"/>
          <w:i/>
          <w:sz w:val="18"/>
          <w:szCs w:val="18"/>
        </w:rPr>
        <w:tab/>
      </w:r>
      <w:r>
        <w:rPr>
          <w:rFonts w:ascii="Verdana" w:hAnsi="Verdana"/>
          <w:sz w:val="18"/>
          <w:szCs w:val="18"/>
        </w:rPr>
        <w:t>p.</w:t>
      </w:r>
      <w:r w:rsidR="00232585">
        <w:rPr>
          <w:rFonts w:ascii="Verdana" w:hAnsi="Verdana"/>
          <w:sz w:val="18"/>
          <w:szCs w:val="18"/>
        </w:rPr>
        <w:t xml:space="preserve"> 32</w:t>
      </w:r>
    </w:p>
    <w:p w14:paraId="69643B53" w14:textId="5DE55F4A" w:rsidR="00974981" w:rsidRDefault="00974981" w:rsidP="00805F89">
      <w:pPr>
        <w:spacing w:after="0" w:line="360" w:lineRule="auto"/>
        <w:jc w:val="both"/>
        <w:rPr>
          <w:rFonts w:ascii="Verdana" w:hAnsi="Verdana"/>
          <w:sz w:val="18"/>
          <w:szCs w:val="18"/>
        </w:rPr>
      </w:pPr>
      <w:r>
        <w:rPr>
          <w:rFonts w:ascii="Verdana" w:hAnsi="Verdana"/>
          <w:sz w:val="18"/>
          <w:szCs w:val="18"/>
        </w:rPr>
        <w:tab/>
      </w:r>
      <w:r>
        <w:rPr>
          <w:rFonts w:ascii="Verdana" w:hAnsi="Verdana"/>
          <w:sz w:val="18"/>
          <w:szCs w:val="18"/>
        </w:rPr>
        <w:tab/>
      </w:r>
      <w:r w:rsidR="004628BD">
        <w:rPr>
          <w:rFonts w:ascii="Verdana" w:hAnsi="Verdana"/>
          <w:i/>
          <w:sz w:val="18"/>
          <w:szCs w:val="18"/>
        </w:rPr>
        <w:t>2.4.4</w:t>
      </w:r>
      <w:r>
        <w:rPr>
          <w:rFonts w:ascii="Verdana" w:hAnsi="Verdana"/>
          <w:i/>
          <w:sz w:val="18"/>
          <w:szCs w:val="18"/>
        </w:rPr>
        <w:t xml:space="preserve"> Deelconclusie derde deelvraag</w:t>
      </w:r>
      <w:r>
        <w:rPr>
          <w:rFonts w:ascii="Verdana" w:hAnsi="Verdana"/>
          <w:i/>
          <w:sz w:val="18"/>
          <w:szCs w:val="18"/>
        </w:rPr>
        <w:tab/>
      </w:r>
      <w:r>
        <w:rPr>
          <w:rFonts w:ascii="Verdana" w:hAnsi="Verdana"/>
          <w:i/>
          <w:sz w:val="18"/>
          <w:szCs w:val="18"/>
        </w:rPr>
        <w:tab/>
      </w:r>
      <w:r>
        <w:rPr>
          <w:rFonts w:ascii="Verdana" w:hAnsi="Verdana"/>
          <w:i/>
          <w:sz w:val="18"/>
          <w:szCs w:val="18"/>
        </w:rPr>
        <w:tab/>
      </w:r>
      <w:r>
        <w:rPr>
          <w:rFonts w:ascii="Verdana" w:hAnsi="Verdana"/>
          <w:i/>
          <w:sz w:val="18"/>
          <w:szCs w:val="18"/>
        </w:rPr>
        <w:tab/>
      </w:r>
      <w:r>
        <w:rPr>
          <w:rFonts w:ascii="Verdana" w:hAnsi="Verdana"/>
          <w:i/>
          <w:sz w:val="18"/>
          <w:szCs w:val="18"/>
        </w:rPr>
        <w:tab/>
      </w:r>
      <w:r>
        <w:rPr>
          <w:rFonts w:ascii="Verdana" w:hAnsi="Verdana"/>
          <w:sz w:val="18"/>
          <w:szCs w:val="18"/>
        </w:rPr>
        <w:t>p.</w:t>
      </w:r>
      <w:r w:rsidR="00232585">
        <w:rPr>
          <w:rFonts w:ascii="Verdana" w:hAnsi="Verdana"/>
          <w:sz w:val="18"/>
          <w:szCs w:val="18"/>
        </w:rPr>
        <w:t xml:space="preserve"> 34</w:t>
      </w:r>
    </w:p>
    <w:p w14:paraId="5099A57F" w14:textId="77777777" w:rsidR="00575637" w:rsidRDefault="001D291B" w:rsidP="00805F89">
      <w:pPr>
        <w:spacing w:after="0" w:line="360" w:lineRule="auto"/>
        <w:jc w:val="both"/>
        <w:rPr>
          <w:rFonts w:ascii="Verdana" w:hAnsi="Verdana"/>
          <w:sz w:val="18"/>
          <w:szCs w:val="18"/>
        </w:rPr>
      </w:pPr>
      <w:r>
        <w:rPr>
          <w:rFonts w:ascii="Verdana" w:hAnsi="Verdana"/>
          <w:sz w:val="18"/>
          <w:szCs w:val="18"/>
        </w:rPr>
        <w:tab/>
      </w:r>
    </w:p>
    <w:p w14:paraId="0216C437" w14:textId="77777777" w:rsidR="00575637" w:rsidRDefault="00575637" w:rsidP="00805F89">
      <w:pPr>
        <w:spacing w:after="0" w:line="360" w:lineRule="auto"/>
        <w:jc w:val="both"/>
        <w:rPr>
          <w:rFonts w:ascii="Verdana" w:hAnsi="Verdana"/>
          <w:sz w:val="18"/>
          <w:szCs w:val="18"/>
        </w:rPr>
      </w:pPr>
    </w:p>
    <w:p w14:paraId="418C5B1F" w14:textId="741C7633" w:rsidR="001D291B" w:rsidRDefault="001D291B" w:rsidP="00575637">
      <w:pPr>
        <w:spacing w:after="0" w:line="360" w:lineRule="auto"/>
        <w:ind w:firstLine="708"/>
        <w:jc w:val="both"/>
        <w:rPr>
          <w:rFonts w:ascii="Verdana" w:hAnsi="Verdana"/>
          <w:sz w:val="18"/>
          <w:szCs w:val="18"/>
        </w:rPr>
      </w:pPr>
      <w:r>
        <w:rPr>
          <w:rFonts w:ascii="Verdana" w:hAnsi="Verdana"/>
          <w:i/>
          <w:sz w:val="18"/>
          <w:szCs w:val="18"/>
        </w:rPr>
        <w:lastRenderedPageBreak/>
        <w:t>2.5 De strafrechtelijke vervolging voor onrechtmatig verblijf</w:t>
      </w:r>
      <w:r>
        <w:rPr>
          <w:rFonts w:ascii="Verdana" w:hAnsi="Verdana"/>
          <w:i/>
          <w:sz w:val="18"/>
          <w:szCs w:val="18"/>
        </w:rPr>
        <w:tab/>
      </w:r>
      <w:r>
        <w:rPr>
          <w:rFonts w:ascii="Verdana" w:hAnsi="Verdana"/>
          <w:i/>
          <w:sz w:val="18"/>
          <w:szCs w:val="18"/>
        </w:rPr>
        <w:tab/>
      </w:r>
      <w:r>
        <w:rPr>
          <w:rFonts w:ascii="Verdana" w:hAnsi="Verdana"/>
          <w:i/>
          <w:sz w:val="18"/>
          <w:szCs w:val="18"/>
        </w:rPr>
        <w:tab/>
      </w:r>
      <w:r>
        <w:rPr>
          <w:rFonts w:ascii="Verdana" w:hAnsi="Verdana"/>
          <w:sz w:val="18"/>
          <w:szCs w:val="18"/>
        </w:rPr>
        <w:t>p.</w:t>
      </w:r>
      <w:r w:rsidR="00232585">
        <w:rPr>
          <w:rFonts w:ascii="Verdana" w:hAnsi="Verdana"/>
          <w:sz w:val="18"/>
          <w:szCs w:val="18"/>
        </w:rPr>
        <w:t xml:space="preserve"> 35</w:t>
      </w:r>
    </w:p>
    <w:p w14:paraId="5C9B8F9B" w14:textId="397711AE" w:rsidR="00FF12E9" w:rsidRDefault="00FF12E9" w:rsidP="00805F89">
      <w:pPr>
        <w:spacing w:after="0" w:line="360" w:lineRule="auto"/>
        <w:jc w:val="both"/>
        <w:rPr>
          <w:rFonts w:ascii="Verdana" w:hAnsi="Verdana"/>
          <w:sz w:val="18"/>
          <w:szCs w:val="18"/>
        </w:rPr>
      </w:pPr>
      <w:r>
        <w:rPr>
          <w:rFonts w:ascii="Verdana" w:hAnsi="Verdana"/>
          <w:sz w:val="18"/>
          <w:szCs w:val="18"/>
        </w:rPr>
        <w:tab/>
      </w:r>
      <w:r>
        <w:rPr>
          <w:rFonts w:ascii="Verdana" w:hAnsi="Verdana"/>
          <w:sz w:val="18"/>
          <w:szCs w:val="18"/>
        </w:rPr>
        <w:tab/>
      </w:r>
      <w:r>
        <w:rPr>
          <w:rFonts w:ascii="Verdana" w:hAnsi="Verdana"/>
          <w:i/>
          <w:sz w:val="18"/>
          <w:szCs w:val="18"/>
        </w:rPr>
        <w:t>2.5.1 De huidige strafbepalingen</w:t>
      </w:r>
      <w:r>
        <w:rPr>
          <w:rFonts w:ascii="Verdana" w:hAnsi="Verdana"/>
          <w:i/>
          <w:sz w:val="18"/>
          <w:szCs w:val="18"/>
        </w:rPr>
        <w:tab/>
      </w:r>
      <w:r>
        <w:rPr>
          <w:rFonts w:ascii="Verdana" w:hAnsi="Verdana"/>
          <w:i/>
          <w:sz w:val="18"/>
          <w:szCs w:val="18"/>
        </w:rPr>
        <w:tab/>
      </w:r>
      <w:r>
        <w:rPr>
          <w:rFonts w:ascii="Verdana" w:hAnsi="Verdana"/>
          <w:i/>
          <w:sz w:val="18"/>
          <w:szCs w:val="18"/>
        </w:rPr>
        <w:tab/>
      </w:r>
      <w:r>
        <w:rPr>
          <w:rFonts w:ascii="Verdana" w:hAnsi="Verdana"/>
          <w:i/>
          <w:sz w:val="18"/>
          <w:szCs w:val="18"/>
        </w:rPr>
        <w:tab/>
      </w:r>
      <w:r>
        <w:rPr>
          <w:rFonts w:ascii="Verdana" w:hAnsi="Verdana"/>
          <w:i/>
          <w:sz w:val="18"/>
          <w:szCs w:val="18"/>
        </w:rPr>
        <w:tab/>
      </w:r>
      <w:r>
        <w:rPr>
          <w:rFonts w:ascii="Verdana" w:hAnsi="Verdana"/>
          <w:sz w:val="18"/>
          <w:szCs w:val="18"/>
        </w:rPr>
        <w:t>p.</w:t>
      </w:r>
      <w:r w:rsidR="00232585">
        <w:rPr>
          <w:rFonts w:ascii="Verdana" w:hAnsi="Verdana"/>
          <w:sz w:val="18"/>
          <w:szCs w:val="18"/>
        </w:rPr>
        <w:t xml:space="preserve"> 35</w:t>
      </w:r>
    </w:p>
    <w:p w14:paraId="4F79AD7B" w14:textId="75646225" w:rsidR="00575637" w:rsidRDefault="00575637" w:rsidP="00805F89">
      <w:pPr>
        <w:spacing w:after="0" w:line="360" w:lineRule="auto"/>
        <w:jc w:val="both"/>
        <w:rPr>
          <w:rFonts w:ascii="Verdana" w:hAnsi="Verdana"/>
          <w:sz w:val="18"/>
          <w:szCs w:val="18"/>
        </w:rPr>
      </w:pPr>
      <w:r>
        <w:rPr>
          <w:rFonts w:ascii="Verdana" w:hAnsi="Verdana"/>
          <w:sz w:val="18"/>
          <w:szCs w:val="18"/>
        </w:rPr>
        <w:tab/>
      </w:r>
      <w:r>
        <w:rPr>
          <w:rFonts w:ascii="Verdana" w:hAnsi="Verdana"/>
          <w:sz w:val="18"/>
          <w:szCs w:val="18"/>
        </w:rPr>
        <w:tab/>
      </w:r>
      <w:r>
        <w:rPr>
          <w:rFonts w:ascii="Verdana" w:hAnsi="Verdana"/>
          <w:i/>
          <w:sz w:val="18"/>
          <w:szCs w:val="18"/>
        </w:rPr>
        <w:t>2.5.2 Toepassing</w:t>
      </w:r>
      <w:r>
        <w:rPr>
          <w:rFonts w:ascii="Verdana" w:hAnsi="Verdana"/>
          <w:i/>
          <w:sz w:val="18"/>
          <w:szCs w:val="18"/>
        </w:rPr>
        <w:tab/>
      </w:r>
      <w:r>
        <w:rPr>
          <w:rFonts w:ascii="Verdana" w:hAnsi="Verdana"/>
          <w:i/>
          <w:sz w:val="18"/>
          <w:szCs w:val="18"/>
        </w:rPr>
        <w:tab/>
      </w:r>
      <w:r>
        <w:rPr>
          <w:rFonts w:ascii="Verdana" w:hAnsi="Verdana"/>
          <w:i/>
          <w:sz w:val="18"/>
          <w:szCs w:val="18"/>
        </w:rPr>
        <w:tab/>
      </w:r>
      <w:r>
        <w:rPr>
          <w:rFonts w:ascii="Verdana" w:hAnsi="Verdana"/>
          <w:i/>
          <w:sz w:val="18"/>
          <w:szCs w:val="18"/>
        </w:rPr>
        <w:tab/>
      </w:r>
      <w:r>
        <w:rPr>
          <w:rFonts w:ascii="Verdana" w:hAnsi="Verdana"/>
          <w:i/>
          <w:sz w:val="18"/>
          <w:szCs w:val="18"/>
        </w:rPr>
        <w:tab/>
      </w:r>
      <w:r>
        <w:rPr>
          <w:rFonts w:ascii="Verdana" w:hAnsi="Verdana"/>
          <w:i/>
          <w:sz w:val="18"/>
          <w:szCs w:val="18"/>
        </w:rPr>
        <w:tab/>
      </w:r>
      <w:r>
        <w:rPr>
          <w:rFonts w:ascii="Verdana" w:hAnsi="Verdana"/>
          <w:i/>
          <w:sz w:val="18"/>
          <w:szCs w:val="18"/>
        </w:rPr>
        <w:tab/>
      </w:r>
      <w:r>
        <w:rPr>
          <w:rFonts w:ascii="Verdana" w:hAnsi="Verdana"/>
          <w:sz w:val="18"/>
          <w:szCs w:val="18"/>
        </w:rPr>
        <w:t>p.</w:t>
      </w:r>
      <w:r w:rsidR="00232585">
        <w:rPr>
          <w:rFonts w:ascii="Verdana" w:hAnsi="Verdana"/>
          <w:sz w:val="18"/>
          <w:szCs w:val="18"/>
        </w:rPr>
        <w:t xml:space="preserve"> 35</w:t>
      </w:r>
    </w:p>
    <w:p w14:paraId="3A61BEB5" w14:textId="14452402" w:rsidR="00575637" w:rsidRDefault="00575637" w:rsidP="00805F89">
      <w:pPr>
        <w:spacing w:after="0" w:line="360" w:lineRule="auto"/>
        <w:jc w:val="both"/>
        <w:rPr>
          <w:rFonts w:ascii="Verdana" w:hAnsi="Verdana"/>
          <w:sz w:val="18"/>
          <w:szCs w:val="18"/>
        </w:rPr>
      </w:pPr>
      <w:r>
        <w:rPr>
          <w:rFonts w:ascii="Verdana" w:hAnsi="Verdana"/>
          <w:sz w:val="18"/>
          <w:szCs w:val="18"/>
        </w:rPr>
        <w:tab/>
      </w:r>
      <w:r>
        <w:rPr>
          <w:rFonts w:ascii="Verdana" w:hAnsi="Verdana"/>
          <w:sz w:val="18"/>
          <w:szCs w:val="18"/>
        </w:rPr>
        <w:tab/>
      </w:r>
      <w:r>
        <w:rPr>
          <w:rFonts w:ascii="Verdana" w:hAnsi="Verdana"/>
          <w:i/>
          <w:sz w:val="18"/>
          <w:szCs w:val="18"/>
        </w:rPr>
        <w:t>2.5.3 Deelconclusie vierde deelvraag</w:t>
      </w:r>
      <w:r>
        <w:rPr>
          <w:rFonts w:ascii="Verdana" w:hAnsi="Verdana"/>
          <w:i/>
          <w:sz w:val="18"/>
          <w:szCs w:val="18"/>
        </w:rPr>
        <w:tab/>
      </w:r>
      <w:r>
        <w:rPr>
          <w:rFonts w:ascii="Verdana" w:hAnsi="Verdana"/>
          <w:i/>
          <w:sz w:val="18"/>
          <w:szCs w:val="18"/>
        </w:rPr>
        <w:tab/>
      </w:r>
      <w:r>
        <w:rPr>
          <w:rFonts w:ascii="Verdana" w:hAnsi="Verdana"/>
          <w:i/>
          <w:sz w:val="18"/>
          <w:szCs w:val="18"/>
        </w:rPr>
        <w:tab/>
      </w:r>
      <w:r>
        <w:rPr>
          <w:rFonts w:ascii="Verdana" w:hAnsi="Verdana"/>
          <w:i/>
          <w:sz w:val="18"/>
          <w:szCs w:val="18"/>
        </w:rPr>
        <w:tab/>
      </w:r>
      <w:r>
        <w:rPr>
          <w:rFonts w:ascii="Verdana" w:hAnsi="Verdana"/>
          <w:i/>
          <w:sz w:val="18"/>
          <w:szCs w:val="18"/>
        </w:rPr>
        <w:tab/>
      </w:r>
      <w:r>
        <w:rPr>
          <w:rFonts w:ascii="Verdana" w:hAnsi="Verdana"/>
          <w:sz w:val="18"/>
          <w:szCs w:val="18"/>
        </w:rPr>
        <w:t>p.</w:t>
      </w:r>
      <w:r w:rsidR="0029248F">
        <w:rPr>
          <w:rFonts w:ascii="Verdana" w:hAnsi="Verdana"/>
          <w:sz w:val="18"/>
          <w:szCs w:val="18"/>
        </w:rPr>
        <w:t xml:space="preserve"> </w:t>
      </w:r>
      <w:r w:rsidR="00232585">
        <w:rPr>
          <w:rFonts w:ascii="Verdana" w:hAnsi="Verdana"/>
          <w:sz w:val="18"/>
          <w:szCs w:val="18"/>
        </w:rPr>
        <w:t>36</w:t>
      </w:r>
    </w:p>
    <w:p w14:paraId="557D4FAE" w14:textId="2DAB0C13" w:rsidR="009F68C9" w:rsidRDefault="009F68C9" w:rsidP="00805F89">
      <w:pPr>
        <w:spacing w:after="0" w:line="360" w:lineRule="auto"/>
        <w:jc w:val="both"/>
        <w:rPr>
          <w:rFonts w:ascii="Verdana" w:hAnsi="Verdana"/>
          <w:sz w:val="18"/>
          <w:szCs w:val="18"/>
        </w:rPr>
      </w:pPr>
      <w:r>
        <w:rPr>
          <w:rFonts w:ascii="Verdana" w:hAnsi="Verdana"/>
          <w:sz w:val="18"/>
          <w:szCs w:val="18"/>
        </w:rPr>
        <w:tab/>
      </w:r>
      <w:r w:rsidR="00AF6418">
        <w:rPr>
          <w:rFonts w:ascii="Verdana" w:hAnsi="Verdana"/>
          <w:i/>
          <w:sz w:val="18"/>
          <w:szCs w:val="18"/>
        </w:rPr>
        <w:t>2.6</w:t>
      </w:r>
      <w:r>
        <w:rPr>
          <w:rFonts w:ascii="Verdana" w:hAnsi="Verdana"/>
          <w:i/>
          <w:sz w:val="18"/>
          <w:szCs w:val="18"/>
        </w:rPr>
        <w:t xml:space="preserve"> Het arrest Ouhrami</w:t>
      </w:r>
      <w:r>
        <w:rPr>
          <w:rFonts w:ascii="Verdana" w:hAnsi="Verdana"/>
          <w:i/>
          <w:sz w:val="18"/>
          <w:szCs w:val="18"/>
        </w:rPr>
        <w:tab/>
      </w:r>
      <w:r>
        <w:rPr>
          <w:rFonts w:ascii="Verdana" w:hAnsi="Verdana"/>
          <w:i/>
          <w:sz w:val="18"/>
          <w:szCs w:val="18"/>
        </w:rPr>
        <w:tab/>
      </w:r>
      <w:r>
        <w:rPr>
          <w:rFonts w:ascii="Verdana" w:hAnsi="Verdana"/>
          <w:i/>
          <w:sz w:val="18"/>
          <w:szCs w:val="18"/>
        </w:rPr>
        <w:tab/>
      </w:r>
      <w:r>
        <w:rPr>
          <w:rFonts w:ascii="Verdana" w:hAnsi="Verdana"/>
          <w:i/>
          <w:sz w:val="18"/>
          <w:szCs w:val="18"/>
        </w:rPr>
        <w:tab/>
      </w:r>
      <w:r>
        <w:rPr>
          <w:rFonts w:ascii="Verdana" w:hAnsi="Verdana"/>
          <w:i/>
          <w:sz w:val="18"/>
          <w:szCs w:val="18"/>
        </w:rPr>
        <w:tab/>
      </w:r>
      <w:r>
        <w:rPr>
          <w:rFonts w:ascii="Verdana" w:hAnsi="Verdana"/>
          <w:i/>
          <w:sz w:val="18"/>
          <w:szCs w:val="18"/>
        </w:rPr>
        <w:tab/>
      </w:r>
      <w:r>
        <w:rPr>
          <w:rFonts w:ascii="Verdana" w:hAnsi="Verdana"/>
          <w:i/>
          <w:sz w:val="18"/>
          <w:szCs w:val="18"/>
        </w:rPr>
        <w:tab/>
      </w:r>
      <w:r>
        <w:rPr>
          <w:rFonts w:ascii="Verdana" w:hAnsi="Verdana"/>
          <w:i/>
          <w:sz w:val="18"/>
          <w:szCs w:val="18"/>
        </w:rPr>
        <w:tab/>
      </w:r>
      <w:r>
        <w:rPr>
          <w:rFonts w:ascii="Verdana" w:hAnsi="Verdana"/>
          <w:sz w:val="18"/>
          <w:szCs w:val="18"/>
        </w:rPr>
        <w:t>p.</w:t>
      </w:r>
      <w:r w:rsidR="00232585">
        <w:rPr>
          <w:rFonts w:ascii="Verdana" w:hAnsi="Verdana"/>
          <w:sz w:val="18"/>
          <w:szCs w:val="18"/>
        </w:rPr>
        <w:t xml:space="preserve"> 36</w:t>
      </w:r>
    </w:p>
    <w:p w14:paraId="4194940E" w14:textId="58D95E92" w:rsidR="00AF6418" w:rsidRDefault="00AF6418" w:rsidP="00805F89">
      <w:pPr>
        <w:spacing w:after="0" w:line="360" w:lineRule="auto"/>
        <w:jc w:val="both"/>
        <w:rPr>
          <w:rFonts w:ascii="Verdana" w:hAnsi="Verdana"/>
          <w:sz w:val="18"/>
          <w:szCs w:val="18"/>
        </w:rPr>
      </w:pPr>
      <w:r>
        <w:rPr>
          <w:rFonts w:ascii="Verdana" w:hAnsi="Verdana"/>
          <w:sz w:val="18"/>
          <w:szCs w:val="18"/>
        </w:rPr>
        <w:tab/>
      </w:r>
      <w:r>
        <w:rPr>
          <w:rFonts w:ascii="Verdana" w:hAnsi="Verdana"/>
          <w:sz w:val="18"/>
          <w:szCs w:val="18"/>
        </w:rPr>
        <w:tab/>
      </w:r>
      <w:r>
        <w:rPr>
          <w:rFonts w:ascii="Verdana" w:hAnsi="Verdana"/>
          <w:i/>
          <w:sz w:val="18"/>
          <w:szCs w:val="18"/>
        </w:rPr>
        <w:t>2.6.1 De prejudiciële antwoorden</w:t>
      </w:r>
      <w:r>
        <w:rPr>
          <w:rFonts w:ascii="Verdana" w:hAnsi="Verdana"/>
          <w:i/>
          <w:sz w:val="18"/>
          <w:szCs w:val="18"/>
        </w:rPr>
        <w:tab/>
      </w:r>
      <w:r>
        <w:rPr>
          <w:rFonts w:ascii="Verdana" w:hAnsi="Verdana"/>
          <w:i/>
          <w:sz w:val="18"/>
          <w:szCs w:val="18"/>
        </w:rPr>
        <w:tab/>
      </w:r>
      <w:r>
        <w:rPr>
          <w:rFonts w:ascii="Verdana" w:hAnsi="Verdana"/>
          <w:i/>
          <w:sz w:val="18"/>
          <w:szCs w:val="18"/>
        </w:rPr>
        <w:tab/>
      </w:r>
      <w:r>
        <w:rPr>
          <w:rFonts w:ascii="Verdana" w:hAnsi="Verdana"/>
          <w:i/>
          <w:sz w:val="18"/>
          <w:szCs w:val="18"/>
        </w:rPr>
        <w:tab/>
      </w:r>
      <w:r>
        <w:rPr>
          <w:rFonts w:ascii="Verdana" w:hAnsi="Verdana"/>
          <w:i/>
          <w:sz w:val="18"/>
          <w:szCs w:val="18"/>
        </w:rPr>
        <w:tab/>
      </w:r>
      <w:r>
        <w:rPr>
          <w:rFonts w:ascii="Verdana" w:hAnsi="Verdana"/>
          <w:sz w:val="18"/>
          <w:szCs w:val="18"/>
        </w:rPr>
        <w:t>p.</w:t>
      </w:r>
      <w:r w:rsidR="008C1C44">
        <w:rPr>
          <w:rFonts w:ascii="Verdana" w:hAnsi="Verdana"/>
          <w:sz w:val="18"/>
          <w:szCs w:val="18"/>
        </w:rPr>
        <w:t xml:space="preserve"> </w:t>
      </w:r>
      <w:r w:rsidR="00232585">
        <w:rPr>
          <w:rFonts w:ascii="Verdana" w:hAnsi="Verdana"/>
          <w:sz w:val="18"/>
          <w:szCs w:val="18"/>
        </w:rPr>
        <w:t>37</w:t>
      </w:r>
    </w:p>
    <w:p w14:paraId="4916DADE" w14:textId="7C569678" w:rsidR="00AF6418" w:rsidRDefault="00AF6418" w:rsidP="00A541A0">
      <w:pPr>
        <w:spacing w:after="0" w:line="360" w:lineRule="auto"/>
        <w:jc w:val="both"/>
        <w:rPr>
          <w:rFonts w:ascii="Verdana" w:hAnsi="Verdana"/>
          <w:sz w:val="18"/>
          <w:szCs w:val="18"/>
        </w:rPr>
      </w:pPr>
      <w:r>
        <w:rPr>
          <w:rFonts w:ascii="Verdana" w:hAnsi="Verdana"/>
          <w:sz w:val="18"/>
          <w:szCs w:val="18"/>
        </w:rPr>
        <w:tab/>
      </w:r>
      <w:r>
        <w:rPr>
          <w:rFonts w:ascii="Verdana" w:hAnsi="Verdana"/>
          <w:sz w:val="18"/>
          <w:szCs w:val="18"/>
        </w:rPr>
        <w:tab/>
      </w:r>
      <w:r>
        <w:rPr>
          <w:rFonts w:ascii="Verdana" w:hAnsi="Verdana"/>
          <w:i/>
          <w:sz w:val="18"/>
          <w:szCs w:val="18"/>
        </w:rPr>
        <w:t>2.6.2 De gevolgen</w:t>
      </w:r>
      <w:r>
        <w:rPr>
          <w:rFonts w:ascii="Verdana" w:hAnsi="Verdana"/>
          <w:i/>
          <w:sz w:val="18"/>
          <w:szCs w:val="18"/>
        </w:rPr>
        <w:tab/>
      </w:r>
      <w:r>
        <w:rPr>
          <w:rFonts w:ascii="Verdana" w:hAnsi="Verdana"/>
          <w:i/>
          <w:sz w:val="18"/>
          <w:szCs w:val="18"/>
        </w:rPr>
        <w:tab/>
      </w:r>
      <w:r>
        <w:rPr>
          <w:rFonts w:ascii="Verdana" w:hAnsi="Verdana"/>
          <w:i/>
          <w:sz w:val="18"/>
          <w:szCs w:val="18"/>
        </w:rPr>
        <w:tab/>
      </w:r>
      <w:r>
        <w:rPr>
          <w:rFonts w:ascii="Verdana" w:hAnsi="Verdana"/>
          <w:i/>
          <w:sz w:val="18"/>
          <w:szCs w:val="18"/>
        </w:rPr>
        <w:tab/>
      </w:r>
      <w:r>
        <w:rPr>
          <w:rFonts w:ascii="Verdana" w:hAnsi="Verdana"/>
          <w:i/>
          <w:sz w:val="18"/>
          <w:szCs w:val="18"/>
        </w:rPr>
        <w:tab/>
      </w:r>
      <w:r>
        <w:rPr>
          <w:rFonts w:ascii="Verdana" w:hAnsi="Verdana"/>
          <w:i/>
          <w:sz w:val="18"/>
          <w:szCs w:val="18"/>
        </w:rPr>
        <w:tab/>
      </w:r>
      <w:r>
        <w:rPr>
          <w:rFonts w:ascii="Verdana" w:hAnsi="Verdana"/>
          <w:i/>
          <w:sz w:val="18"/>
          <w:szCs w:val="18"/>
        </w:rPr>
        <w:tab/>
      </w:r>
      <w:r>
        <w:rPr>
          <w:rFonts w:ascii="Verdana" w:hAnsi="Verdana"/>
          <w:sz w:val="18"/>
          <w:szCs w:val="18"/>
        </w:rPr>
        <w:t>p.</w:t>
      </w:r>
      <w:r w:rsidR="00232585">
        <w:rPr>
          <w:rFonts w:ascii="Verdana" w:hAnsi="Verdana"/>
          <w:sz w:val="18"/>
          <w:szCs w:val="18"/>
        </w:rPr>
        <w:t xml:space="preserve"> 38</w:t>
      </w:r>
    </w:p>
    <w:p w14:paraId="28C0D08C" w14:textId="0479C385" w:rsidR="003C0372" w:rsidRDefault="00AF6418" w:rsidP="00A541A0">
      <w:pPr>
        <w:spacing w:after="0" w:line="360" w:lineRule="auto"/>
        <w:jc w:val="both"/>
        <w:rPr>
          <w:rFonts w:ascii="Verdana" w:hAnsi="Verdana"/>
          <w:sz w:val="18"/>
          <w:szCs w:val="18"/>
        </w:rPr>
      </w:pPr>
      <w:r>
        <w:rPr>
          <w:rFonts w:ascii="Verdana" w:hAnsi="Verdana"/>
          <w:sz w:val="18"/>
          <w:szCs w:val="18"/>
        </w:rPr>
        <w:tab/>
      </w:r>
      <w:r>
        <w:rPr>
          <w:rFonts w:ascii="Verdana" w:hAnsi="Verdana"/>
          <w:sz w:val="18"/>
          <w:szCs w:val="18"/>
        </w:rPr>
        <w:tab/>
      </w:r>
      <w:r>
        <w:rPr>
          <w:rFonts w:ascii="Verdana" w:hAnsi="Verdana"/>
          <w:i/>
          <w:sz w:val="18"/>
          <w:szCs w:val="18"/>
        </w:rPr>
        <w:t>2.6.3 Deelconclusie vijfde deelvraag</w:t>
      </w:r>
      <w:r>
        <w:rPr>
          <w:rFonts w:ascii="Verdana" w:hAnsi="Verdana"/>
          <w:i/>
          <w:sz w:val="18"/>
          <w:szCs w:val="18"/>
        </w:rPr>
        <w:tab/>
      </w:r>
      <w:r>
        <w:rPr>
          <w:rFonts w:ascii="Verdana" w:hAnsi="Verdana"/>
          <w:i/>
          <w:sz w:val="18"/>
          <w:szCs w:val="18"/>
        </w:rPr>
        <w:tab/>
      </w:r>
      <w:r>
        <w:rPr>
          <w:rFonts w:ascii="Verdana" w:hAnsi="Verdana"/>
          <w:i/>
          <w:sz w:val="18"/>
          <w:szCs w:val="18"/>
        </w:rPr>
        <w:tab/>
      </w:r>
      <w:r>
        <w:rPr>
          <w:rFonts w:ascii="Verdana" w:hAnsi="Verdana"/>
          <w:i/>
          <w:sz w:val="18"/>
          <w:szCs w:val="18"/>
        </w:rPr>
        <w:tab/>
      </w:r>
      <w:r>
        <w:rPr>
          <w:rFonts w:ascii="Verdana" w:hAnsi="Verdana"/>
          <w:i/>
          <w:sz w:val="18"/>
          <w:szCs w:val="18"/>
        </w:rPr>
        <w:tab/>
      </w:r>
      <w:r>
        <w:rPr>
          <w:rFonts w:ascii="Verdana" w:hAnsi="Verdana"/>
          <w:sz w:val="18"/>
          <w:szCs w:val="18"/>
        </w:rPr>
        <w:t>p.</w:t>
      </w:r>
      <w:r w:rsidR="00232585">
        <w:rPr>
          <w:rFonts w:ascii="Verdana" w:hAnsi="Verdana"/>
          <w:sz w:val="18"/>
          <w:szCs w:val="18"/>
        </w:rPr>
        <w:t xml:space="preserve"> 38</w:t>
      </w:r>
    </w:p>
    <w:p w14:paraId="03280C5C" w14:textId="77777777" w:rsidR="003C0372" w:rsidRDefault="003C0372" w:rsidP="00A541A0">
      <w:pPr>
        <w:spacing w:after="0" w:line="360" w:lineRule="auto"/>
        <w:jc w:val="both"/>
        <w:rPr>
          <w:rFonts w:ascii="Verdana" w:hAnsi="Verdana"/>
          <w:sz w:val="18"/>
          <w:szCs w:val="18"/>
        </w:rPr>
      </w:pPr>
    </w:p>
    <w:p w14:paraId="28D457F7" w14:textId="1DC9D5A2" w:rsidR="00AF6418" w:rsidRPr="003C0372" w:rsidRDefault="003C0372" w:rsidP="00A541A0">
      <w:pPr>
        <w:spacing w:after="0" w:line="360" w:lineRule="auto"/>
        <w:jc w:val="both"/>
        <w:rPr>
          <w:rFonts w:ascii="Verdana" w:hAnsi="Verdana"/>
          <w:sz w:val="18"/>
          <w:szCs w:val="18"/>
        </w:rPr>
      </w:pPr>
      <w:r>
        <w:rPr>
          <w:rFonts w:ascii="Verdana" w:hAnsi="Verdana"/>
          <w:sz w:val="18"/>
          <w:szCs w:val="18"/>
        </w:rPr>
        <w:t>Hoofdstuk 3: resultaten</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p.</w:t>
      </w:r>
      <w:r w:rsidR="00367A90">
        <w:rPr>
          <w:rFonts w:ascii="Verdana" w:hAnsi="Verdana"/>
          <w:sz w:val="18"/>
          <w:szCs w:val="18"/>
        </w:rPr>
        <w:t xml:space="preserve"> </w:t>
      </w:r>
      <w:r w:rsidR="00232585">
        <w:rPr>
          <w:rFonts w:ascii="Verdana" w:hAnsi="Verdana"/>
          <w:sz w:val="18"/>
          <w:szCs w:val="18"/>
        </w:rPr>
        <w:t>39</w:t>
      </w:r>
      <w:r w:rsidR="00AF6418">
        <w:rPr>
          <w:rFonts w:ascii="Verdana" w:hAnsi="Verdana"/>
          <w:sz w:val="18"/>
          <w:szCs w:val="18"/>
        </w:rPr>
        <w:tab/>
      </w:r>
    </w:p>
    <w:p w14:paraId="25D9A7D7" w14:textId="461E0E86" w:rsidR="00DB7F37" w:rsidRDefault="006549E8" w:rsidP="00A541A0">
      <w:pPr>
        <w:spacing w:after="0" w:line="360" w:lineRule="auto"/>
        <w:rPr>
          <w:rFonts w:ascii="Verdana" w:hAnsi="Verdana"/>
          <w:sz w:val="18"/>
          <w:szCs w:val="18"/>
        </w:rPr>
      </w:pPr>
      <w:r>
        <w:rPr>
          <w:rFonts w:ascii="Verdana" w:hAnsi="Verdana"/>
          <w:sz w:val="18"/>
          <w:szCs w:val="18"/>
        </w:rPr>
        <w:tab/>
      </w:r>
      <w:r w:rsidR="00561D74">
        <w:rPr>
          <w:rFonts w:ascii="Verdana" w:hAnsi="Verdana"/>
          <w:i/>
          <w:sz w:val="18"/>
          <w:szCs w:val="18"/>
        </w:rPr>
        <w:t>3.1 Resultaten</w:t>
      </w:r>
      <w:r>
        <w:rPr>
          <w:rFonts w:ascii="Verdana" w:hAnsi="Verdana"/>
          <w:i/>
          <w:sz w:val="18"/>
          <w:szCs w:val="18"/>
        </w:rPr>
        <w:t xml:space="preserve"> dossieronder</w:t>
      </w:r>
      <w:r w:rsidR="00561D74">
        <w:rPr>
          <w:rFonts w:ascii="Verdana" w:hAnsi="Verdana"/>
          <w:i/>
          <w:sz w:val="18"/>
          <w:szCs w:val="18"/>
        </w:rPr>
        <w:t>zoek</w:t>
      </w:r>
      <w:r w:rsidR="00561D74">
        <w:rPr>
          <w:rFonts w:ascii="Verdana" w:hAnsi="Verdana"/>
          <w:i/>
          <w:sz w:val="18"/>
          <w:szCs w:val="18"/>
        </w:rPr>
        <w:tab/>
      </w:r>
      <w:r>
        <w:rPr>
          <w:rFonts w:ascii="Verdana" w:hAnsi="Verdana"/>
          <w:i/>
          <w:sz w:val="18"/>
          <w:szCs w:val="18"/>
        </w:rPr>
        <w:tab/>
      </w:r>
      <w:r>
        <w:rPr>
          <w:rFonts w:ascii="Verdana" w:hAnsi="Verdana"/>
          <w:i/>
          <w:sz w:val="18"/>
          <w:szCs w:val="18"/>
        </w:rPr>
        <w:tab/>
      </w:r>
      <w:r>
        <w:rPr>
          <w:rFonts w:ascii="Verdana" w:hAnsi="Verdana"/>
          <w:i/>
          <w:sz w:val="18"/>
          <w:szCs w:val="18"/>
        </w:rPr>
        <w:tab/>
      </w:r>
      <w:r>
        <w:rPr>
          <w:rFonts w:ascii="Verdana" w:hAnsi="Verdana"/>
          <w:i/>
          <w:sz w:val="18"/>
          <w:szCs w:val="18"/>
        </w:rPr>
        <w:tab/>
      </w:r>
      <w:r>
        <w:rPr>
          <w:rFonts w:ascii="Verdana" w:hAnsi="Verdana"/>
          <w:i/>
          <w:sz w:val="18"/>
          <w:szCs w:val="18"/>
        </w:rPr>
        <w:tab/>
      </w:r>
      <w:r>
        <w:rPr>
          <w:rFonts w:ascii="Verdana" w:hAnsi="Verdana"/>
          <w:sz w:val="18"/>
          <w:szCs w:val="18"/>
        </w:rPr>
        <w:t>p.</w:t>
      </w:r>
      <w:r w:rsidR="00232585">
        <w:rPr>
          <w:rFonts w:ascii="Verdana" w:hAnsi="Verdana"/>
          <w:sz w:val="18"/>
          <w:szCs w:val="18"/>
        </w:rPr>
        <w:t xml:space="preserve"> 39</w:t>
      </w:r>
    </w:p>
    <w:p w14:paraId="22F0CAC0" w14:textId="0826A1D4" w:rsidR="00DC310E" w:rsidRPr="00DC310E" w:rsidRDefault="00DC310E" w:rsidP="00A541A0">
      <w:pPr>
        <w:spacing w:after="0" w:line="360" w:lineRule="auto"/>
        <w:rPr>
          <w:rFonts w:ascii="Verdana" w:hAnsi="Verdana"/>
          <w:sz w:val="18"/>
          <w:szCs w:val="18"/>
        </w:rPr>
      </w:pPr>
      <w:r>
        <w:rPr>
          <w:rFonts w:ascii="Verdana" w:hAnsi="Verdana"/>
          <w:sz w:val="18"/>
          <w:szCs w:val="18"/>
        </w:rPr>
        <w:tab/>
      </w:r>
      <w:r w:rsidR="00AE6709">
        <w:rPr>
          <w:rFonts w:ascii="Verdana" w:hAnsi="Verdana"/>
          <w:sz w:val="18"/>
          <w:szCs w:val="18"/>
        </w:rPr>
        <w:tab/>
      </w:r>
      <w:r w:rsidR="00AE6709">
        <w:rPr>
          <w:rFonts w:ascii="Verdana" w:hAnsi="Verdana"/>
          <w:i/>
          <w:sz w:val="18"/>
          <w:szCs w:val="18"/>
        </w:rPr>
        <w:t>3.1.1</w:t>
      </w:r>
      <w:r>
        <w:rPr>
          <w:rFonts w:ascii="Verdana" w:hAnsi="Verdana"/>
          <w:i/>
          <w:sz w:val="18"/>
          <w:szCs w:val="18"/>
        </w:rPr>
        <w:t xml:space="preserve"> </w:t>
      </w:r>
      <w:r w:rsidR="00EB7FC9">
        <w:rPr>
          <w:rFonts w:ascii="Verdana" w:hAnsi="Verdana"/>
          <w:i/>
          <w:sz w:val="18"/>
          <w:szCs w:val="18"/>
        </w:rPr>
        <w:t>Conclusie</w:t>
      </w:r>
      <w:r w:rsidR="00EB7FC9">
        <w:rPr>
          <w:rFonts w:ascii="Verdana" w:hAnsi="Verdana"/>
          <w:i/>
          <w:sz w:val="18"/>
          <w:szCs w:val="18"/>
        </w:rPr>
        <w:tab/>
      </w:r>
      <w:r w:rsidR="00AE6709">
        <w:rPr>
          <w:rFonts w:ascii="Verdana" w:hAnsi="Verdana"/>
          <w:i/>
          <w:sz w:val="18"/>
          <w:szCs w:val="18"/>
        </w:rPr>
        <w:tab/>
      </w:r>
      <w:r w:rsidR="00AE6709">
        <w:rPr>
          <w:rFonts w:ascii="Verdana" w:hAnsi="Verdana"/>
          <w:i/>
          <w:sz w:val="18"/>
          <w:szCs w:val="18"/>
        </w:rPr>
        <w:tab/>
      </w:r>
      <w:r w:rsidR="00AE6709">
        <w:rPr>
          <w:rFonts w:ascii="Verdana" w:hAnsi="Verdana"/>
          <w:i/>
          <w:sz w:val="18"/>
          <w:szCs w:val="18"/>
        </w:rPr>
        <w:tab/>
      </w:r>
      <w:r w:rsidR="00AE6709">
        <w:rPr>
          <w:rFonts w:ascii="Verdana" w:hAnsi="Verdana"/>
          <w:i/>
          <w:sz w:val="18"/>
          <w:szCs w:val="18"/>
        </w:rPr>
        <w:tab/>
      </w:r>
      <w:r w:rsidR="00AE6709">
        <w:rPr>
          <w:rFonts w:ascii="Verdana" w:hAnsi="Verdana"/>
          <w:i/>
          <w:sz w:val="18"/>
          <w:szCs w:val="18"/>
        </w:rPr>
        <w:tab/>
      </w:r>
      <w:r w:rsidR="00AE6709">
        <w:rPr>
          <w:rFonts w:ascii="Verdana" w:hAnsi="Verdana"/>
          <w:i/>
          <w:sz w:val="18"/>
          <w:szCs w:val="18"/>
        </w:rPr>
        <w:tab/>
      </w:r>
      <w:r>
        <w:rPr>
          <w:rFonts w:ascii="Verdana" w:hAnsi="Verdana"/>
          <w:i/>
          <w:sz w:val="18"/>
          <w:szCs w:val="18"/>
        </w:rPr>
        <w:tab/>
      </w:r>
      <w:r>
        <w:rPr>
          <w:rFonts w:ascii="Verdana" w:hAnsi="Verdana"/>
          <w:sz w:val="18"/>
          <w:szCs w:val="18"/>
        </w:rPr>
        <w:t>p.</w:t>
      </w:r>
      <w:r w:rsidR="00232585">
        <w:rPr>
          <w:rFonts w:ascii="Verdana" w:hAnsi="Verdana"/>
          <w:sz w:val="18"/>
          <w:szCs w:val="18"/>
        </w:rPr>
        <w:t xml:space="preserve"> 41</w:t>
      </w:r>
    </w:p>
    <w:p w14:paraId="4A4397EB" w14:textId="210EB481" w:rsidR="00DC310E" w:rsidRDefault="00DB7F37" w:rsidP="00A541A0">
      <w:pPr>
        <w:spacing w:after="0" w:line="360" w:lineRule="auto"/>
        <w:rPr>
          <w:rFonts w:ascii="Verdana" w:hAnsi="Verdana"/>
          <w:sz w:val="18"/>
          <w:szCs w:val="18"/>
        </w:rPr>
      </w:pPr>
      <w:r>
        <w:rPr>
          <w:rFonts w:ascii="Verdana" w:hAnsi="Verdana"/>
          <w:sz w:val="18"/>
          <w:szCs w:val="18"/>
        </w:rPr>
        <w:tab/>
      </w:r>
      <w:r>
        <w:rPr>
          <w:rFonts w:ascii="Verdana" w:hAnsi="Verdana"/>
          <w:i/>
          <w:sz w:val="18"/>
          <w:szCs w:val="18"/>
        </w:rPr>
        <w:t>3</w:t>
      </w:r>
      <w:r w:rsidR="00AE6709">
        <w:rPr>
          <w:rFonts w:ascii="Verdana" w:hAnsi="Verdana"/>
          <w:i/>
          <w:sz w:val="18"/>
          <w:szCs w:val="18"/>
        </w:rPr>
        <w:t>.2</w:t>
      </w:r>
      <w:r w:rsidR="00561D74">
        <w:rPr>
          <w:rFonts w:ascii="Verdana" w:hAnsi="Verdana"/>
          <w:i/>
          <w:sz w:val="18"/>
          <w:szCs w:val="18"/>
        </w:rPr>
        <w:t xml:space="preserve"> Resultaten</w:t>
      </w:r>
      <w:r>
        <w:rPr>
          <w:rFonts w:ascii="Verdana" w:hAnsi="Verdana"/>
          <w:i/>
          <w:sz w:val="18"/>
          <w:szCs w:val="18"/>
        </w:rPr>
        <w:t xml:space="preserve"> j</w:t>
      </w:r>
      <w:r w:rsidR="00561D74">
        <w:rPr>
          <w:rFonts w:ascii="Verdana" w:hAnsi="Verdana"/>
          <w:i/>
          <w:sz w:val="18"/>
          <w:szCs w:val="18"/>
        </w:rPr>
        <w:t>urisprudentieonderzoek</w:t>
      </w:r>
      <w:r w:rsidR="00561D74">
        <w:rPr>
          <w:rFonts w:ascii="Verdana" w:hAnsi="Verdana"/>
          <w:i/>
          <w:sz w:val="18"/>
          <w:szCs w:val="18"/>
        </w:rPr>
        <w:tab/>
      </w:r>
      <w:r w:rsidR="00561D74">
        <w:rPr>
          <w:rFonts w:ascii="Verdana" w:hAnsi="Verdana"/>
          <w:i/>
          <w:sz w:val="18"/>
          <w:szCs w:val="18"/>
        </w:rPr>
        <w:tab/>
      </w:r>
      <w:r w:rsidR="00561D74">
        <w:rPr>
          <w:rFonts w:ascii="Verdana" w:hAnsi="Verdana"/>
          <w:i/>
          <w:sz w:val="18"/>
          <w:szCs w:val="18"/>
        </w:rPr>
        <w:tab/>
      </w:r>
      <w:r>
        <w:rPr>
          <w:rFonts w:ascii="Verdana" w:hAnsi="Verdana"/>
          <w:i/>
          <w:sz w:val="18"/>
          <w:szCs w:val="18"/>
        </w:rPr>
        <w:tab/>
      </w:r>
      <w:r>
        <w:rPr>
          <w:rFonts w:ascii="Verdana" w:hAnsi="Verdana"/>
          <w:i/>
          <w:sz w:val="18"/>
          <w:szCs w:val="18"/>
        </w:rPr>
        <w:tab/>
      </w:r>
      <w:r>
        <w:rPr>
          <w:rFonts w:ascii="Verdana" w:hAnsi="Verdana"/>
          <w:sz w:val="18"/>
          <w:szCs w:val="18"/>
        </w:rPr>
        <w:t>p.</w:t>
      </w:r>
      <w:r w:rsidR="00232585">
        <w:rPr>
          <w:rFonts w:ascii="Verdana" w:hAnsi="Verdana"/>
          <w:sz w:val="18"/>
          <w:szCs w:val="18"/>
        </w:rPr>
        <w:t xml:space="preserve"> 42</w:t>
      </w:r>
    </w:p>
    <w:p w14:paraId="31361853" w14:textId="54F9D925" w:rsidR="001D6B3C" w:rsidRDefault="00DC310E" w:rsidP="00A541A0">
      <w:pPr>
        <w:spacing w:after="0" w:line="360" w:lineRule="auto"/>
        <w:rPr>
          <w:rFonts w:ascii="Verdana" w:hAnsi="Verdana"/>
          <w:sz w:val="18"/>
          <w:szCs w:val="18"/>
        </w:rPr>
      </w:pPr>
      <w:r>
        <w:rPr>
          <w:rFonts w:ascii="Verdana" w:hAnsi="Verdana"/>
          <w:sz w:val="18"/>
          <w:szCs w:val="18"/>
        </w:rPr>
        <w:tab/>
      </w:r>
      <w:r w:rsidR="00EB7FC9">
        <w:rPr>
          <w:rFonts w:ascii="Verdana" w:hAnsi="Verdana"/>
          <w:i/>
          <w:sz w:val="18"/>
          <w:szCs w:val="18"/>
        </w:rPr>
        <w:tab/>
        <w:t>3.2.1 Conclusie</w:t>
      </w:r>
      <w:r w:rsidR="00EB7FC9">
        <w:rPr>
          <w:rFonts w:ascii="Verdana" w:hAnsi="Verdana"/>
          <w:i/>
          <w:sz w:val="18"/>
          <w:szCs w:val="18"/>
        </w:rPr>
        <w:tab/>
      </w:r>
      <w:r w:rsidR="00AE6709">
        <w:rPr>
          <w:rFonts w:ascii="Verdana" w:hAnsi="Verdana"/>
          <w:i/>
          <w:sz w:val="18"/>
          <w:szCs w:val="18"/>
        </w:rPr>
        <w:tab/>
      </w:r>
      <w:r w:rsidR="00AE6709">
        <w:rPr>
          <w:rFonts w:ascii="Verdana" w:hAnsi="Verdana"/>
          <w:i/>
          <w:sz w:val="18"/>
          <w:szCs w:val="18"/>
        </w:rPr>
        <w:tab/>
      </w:r>
      <w:r w:rsidR="00AE6709">
        <w:rPr>
          <w:rFonts w:ascii="Verdana" w:hAnsi="Verdana"/>
          <w:i/>
          <w:sz w:val="18"/>
          <w:szCs w:val="18"/>
        </w:rPr>
        <w:tab/>
      </w:r>
      <w:r w:rsidR="00AE6709">
        <w:rPr>
          <w:rFonts w:ascii="Verdana" w:hAnsi="Verdana"/>
          <w:i/>
          <w:sz w:val="18"/>
          <w:szCs w:val="18"/>
        </w:rPr>
        <w:tab/>
      </w:r>
      <w:r w:rsidR="00AE6709">
        <w:rPr>
          <w:rFonts w:ascii="Verdana" w:hAnsi="Verdana"/>
          <w:i/>
          <w:sz w:val="18"/>
          <w:szCs w:val="18"/>
        </w:rPr>
        <w:tab/>
      </w:r>
      <w:r w:rsidR="00AE6709">
        <w:rPr>
          <w:rFonts w:ascii="Verdana" w:hAnsi="Verdana"/>
          <w:i/>
          <w:sz w:val="18"/>
          <w:szCs w:val="18"/>
        </w:rPr>
        <w:tab/>
      </w:r>
      <w:r w:rsidR="00AE6709">
        <w:rPr>
          <w:rFonts w:ascii="Verdana" w:hAnsi="Verdana"/>
          <w:i/>
          <w:sz w:val="18"/>
          <w:szCs w:val="18"/>
        </w:rPr>
        <w:tab/>
      </w:r>
      <w:r w:rsidR="00AE6709">
        <w:rPr>
          <w:rFonts w:ascii="Verdana" w:hAnsi="Verdana"/>
          <w:sz w:val="18"/>
          <w:szCs w:val="18"/>
        </w:rPr>
        <w:t>p.</w:t>
      </w:r>
      <w:r w:rsidR="00232585">
        <w:rPr>
          <w:rFonts w:ascii="Verdana" w:hAnsi="Verdana"/>
          <w:sz w:val="18"/>
          <w:szCs w:val="18"/>
        </w:rPr>
        <w:t xml:space="preserve"> 43</w:t>
      </w:r>
    </w:p>
    <w:p w14:paraId="3310E37E" w14:textId="77777777" w:rsidR="001D6B3C" w:rsidRDefault="001D6B3C" w:rsidP="00A541A0">
      <w:pPr>
        <w:spacing w:after="0" w:line="360" w:lineRule="auto"/>
        <w:rPr>
          <w:rFonts w:ascii="Verdana" w:hAnsi="Verdana"/>
          <w:sz w:val="18"/>
          <w:szCs w:val="18"/>
        </w:rPr>
      </w:pPr>
    </w:p>
    <w:p w14:paraId="2AC4CAA8" w14:textId="3FE8508B" w:rsidR="00A14EE7" w:rsidRDefault="001D6B3C" w:rsidP="00A541A0">
      <w:pPr>
        <w:spacing w:after="0" w:line="360" w:lineRule="auto"/>
        <w:rPr>
          <w:rFonts w:ascii="Verdana" w:hAnsi="Verdana"/>
          <w:sz w:val="18"/>
          <w:szCs w:val="18"/>
        </w:rPr>
      </w:pPr>
      <w:r>
        <w:rPr>
          <w:rFonts w:ascii="Verdana" w:hAnsi="Verdana"/>
          <w:sz w:val="18"/>
          <w:szCs w:val="18"/>
        </w:rPr>
        <w:t>Hoofdstuk 4: conclusies en aanbevelingen</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p.</w:t>
      </w:r>
      <w:r w:rsidR="00232585">
        <w:rPr>
          <w:rFonts w:ascii="Verdana" w:hAnsi="Verdana"/>
          <w:sz w:val="18"/>
          <w:szCs w:val="18"/>
        </w:rPr>
        <w:t xml:space="preserve"> 44</w:t>
      </w:r>
    </w:p>
    <w:p w14:paraId="351282FA" w14:textId="58080ABF" w:rsidR="00F65622" w:rsidRDefault="00A14EE7" w:rsidP="00A541A0">
      <w:pPr>
        <w:spacing w:after="0" w:line="360" w:lineRule="auto"/>
        <w:rPr>
          <w:rFonts w:ascii="Verdana" w:hAnsi="Verdana"/>
          <w:sz w:val="18"/>
          <w:szCs w:val="18"/>
        </w:rPr>
      </w:pPr>
      <w:r>
        <w:rPr>
          <w:rFonts w:ascii="Verdana" w:hAnsi="Verdana"/>
          <w:sz w:val="18"/>
          <w:szCs w:val="18"/>
        </w:rPr>
        <w:tab/>
      </w:r>
      <w:r w:rsidR="00F47148">
        <w:rPr>
          <w:rFonts w:ascii="Verdana" w:hAnsi="Verdana"/>
          <w:i/>
          <w:sz w:val="18"/>
          <w:szCs w:val="18"/>
        </w:rPr>
        <w:t xml:space="preserve">4.1 </w:t>
      </w:r>
      <w:r w:rsidR="00E90ED3">
        <w:rPr>
          <w:rFonts w:ascii="Verdana" w:hAnsi="Verdana"/>
          <w:i/>
          <w:sz w:val="18"/>
          <w:szCs w:val="18"/>
        </w:rPr>
        <w:t>Conclusies</w:t>
      </w:r>
      <w:r w:rsidR="00E90ED3">
        <w:rPr>
          <w:rFonts w:ascii="Verdana" w:hAnsi="Verdana"/>
          <w:i/>
          <w:sz w:val="18"/>
          <w:szCs w:val="18"/>
        </w:rPr>
        <w:tab/>
      </w:r>
      <w:r w:rsidR="00E90ED3">
        <w:rPr>
          <w:rFonts w:ascii="Verdana" w:hAnsi="Verdana"/>
          <w:i/>
          <w:sz w:val="18"/>
          <w:szCs w:val="18"/>
        </w:rPr>
        <w:tab/>
      </w:r>
      <w:r>
        <w:rPr>
          <w:rFonts w:ascii="Verdana" w:hAnsi="Verdana"/>
          <w:i/>
          <w:sz w:val="18"/>
          <w:szCs w:val="18"/>
        </w:rPr>
        <w:tab/>
      </w:r>
      <w:r w:rsidR="00F47148">
        <w:rPr>
          <w:rFonts w:ascii="Verdana" w:hAnsi="Verdana"/>
          <w:i/>
          <w:sz w:val="18"/>
          <w:szCs w:val="18"/>
        </w:rPr>
        <w:tab/>
      </w:r>
      <w:r>
        <w:rPr>
          <w:rFonts w:ascii="Verdana" w:hAnsi="Verdana"/>
          <w:i/>
          <w:sz w:val="18"/>
          <w:szCs w:val="18"/>
        </w:rPr>
        <w:tab/>
      </w:r>
      <w:r>
        <w:rPr>
          <w:rFonts w:ascii="Verdana" w:hAnsi="Verdana"/>
          <w:i/>
          <w:sz w:val="18"/>
          <w:szCs w:val="18"/>
        </w:rPr>
        <w:tab/>
      </w:r>
      <w:r>
        <w:rPr>
          <w:rFonts w:ascii="Verdana" w:hAnsi="Verdana"/>
          <w:i/>
          <w:sz w:val="18"/>
          <w:szCs w:val="18"/>
        </w:rPr>
        <w:tab/>
      </w:r>
      <w:r>
        <w:rPr>
          <w:rFonts w:ascii="Verdana" w:hAnsi="Verdana"/>
          <w:i/>
          <w:sz w:val="18"/>
          <w:szCs w:val="18"/>
        </w:rPr>
        <w:tab/>
      </w:r>
      <w:r>
        <w:rPr>
          <w:rFonts w:ascii="Verdana" w:hAnsi="Verdana"/>
          <w:i/>
          <w:sz w:val="18"/>
          <w:szCs w:val="18"/>
        </w:rPr>
        <w:tab/>
      </w:r>
      <w:r>
        <w:rPr>
          <w:rFonts w:ascii="Verdana" w:hAnsi="Verdana"/>
          <w:sz w:val="18"/>
          <w:szCs w:val="18"/>
        </w:rPr>
        <w:t>p.</w:t>
      </w:r>
      <w:r w:rsidR="00232585">
        <w:rPr>
          <w:rFonts w:ascii="Verdana" w:hAnsi="Verdana"/>
          <w:sz w:val="18"/>
          <w:szCs w:val="18"/>
        </w:rPr>
        <w:t xml:space="preserve"> 44</w:t>
      </w:r>
    </w:p>
    <w:p w14:paraId="260AEA60" w14:textId="28074CA1" w:rsidR="00F65622" w:rsidRDefault="00F65622" w:rsidP="00A541A0">
      <w:pPr>
        <w:spacing w:after="0" w:line="360" w:lineRule="auto"/>
        <w:rPr>
          <w:rFonts w:ascii="Verdana" w:hAnsi="Verdana"/>
          <w:sz w:val="18"/>
          <w:szCs w:val="18"/>
        </w:rPr>
      </w:pPr>
      <w:r>
        <w:rPr>
          <w:rFonts w:ascii="Verdana" w:hAnsi="Verdana"/>
          <w:sz w:val="18"/>
          <w:szCs w:val="18"/>
        </w:rPr>
        <w:tab/>
      </w:r>
      <w:r>
        <w:rPr>
          <w:rFonts w:ascii="Verdana" w:hAnsi="Verdana"/>
          <w:sz w:val="18"/>
          <w:szCs w:val="18"/>
        </w:rPr>
        <w:tab/>
      </w:r>
      <w:r>
        <w:rPr>
          <w:rFonts w:ascii="Verdana" w:hAnsi="Verdana"/>
          <w:i/>
          <w:sz w:val="18"/>
          <w:szCs w:val="18"/>
        </w:rPr>
        <w:t xml:space="preserve">4.1.1 </w:t>
      </w:r>
      <w:r w:rsidR="00E90ED3">
        <w:rPr>
          <w:rFonts w:ascii="Verdana" w:hAnsi="Verdana"/>
          <w:i/>
          <w:sz w:val="18"/>
          <w:szCs w:val="18"/>
        </w:rPr>
        <w:t>Advies vreemdelingenzaken</w:t>
      </w:r>
      <w:r w:rsidR="00E90ED3">
        <w:rPr>
          <w:rFonts w:ascii="Verdana" w:hAnsi="Verdana"/>
          <w:i/>
          <w:sz w:val="18"/>
          <w:szCs w:val="18"/>
        </w:rPr>
        <w:tab/>
      </w:r>
      <w:r>
        <w:rPr>
          <w:rFonts w:ascii="Verdana" w:hAnsi="Verdana"/>
          <w:i/>
          <w:sz w:val="18"/>
          <w:szCs w:val="18"/>
        </w:rPr>
        <w:tab/>
      </w:r>
      <w:r>
        <w:rPr>
          <w:rFonts w:ascii="Verdana" w:hAnsi="Verdana"/>
          <w:i/>
          <w:sz w:val="18"/>
          <w:szCs w:val="18"/>
        </w:rPr>
        <w:tab/>
      </w:r>
      <w:r>
        <w:rPr>
          <w:rFonts w:ascii="Verdana" w:hAnsi="Verdana"/>
          <w:i/>
          <w:sz w:val="18"/>
          <w:szCs w:val="18"/>
        </w:rPr>
        <w:tab/>
      </w:r>
      <w:r>
        <w:rPr>
          <w:rFonts w:ascii="Verdana" w:hAnsi="Verdana"/>
          <w:i/>
          <w:sz w:val="18"/>
          <w:szCs w:val="18"/>
        </w:rPr>
        <w:tab/>
      </w:r>
      <w:r>
        <w:rPr>
          <w:rFonts w:ascii="Verdana" w:hAnsi="Verdana"/>
          <w:sz w:val="18"/>
          <w:szCs w:val="18"/>
        </w:rPr>
        <w:t>p.</w:t>
      </w:r>
      <w:r w:rsidR="00232585">
        <w:rPr>
          <w:rFonts w:ascii="Verdana" w:hAnsi="Verdana"/>
          <w:sz w:val="18"/>
          <w:szCs w:val="18"/>
        </w:rPr>
        <w:t xml:space="preserve"> 44</w:t>
      </w:r>
    </w:p>
    <w:p w14:paraId="0BB578DC" w14:textId="74A3FDED" w:rsidR="00D80071" w:rsidRDefault="00F65622" w:rsidP="00A541A0">
      <w:pPr>
        <w:spacing w:after="0" w:line="360" w:lineRule="auto"/>
        <w:rPr>
          <w:rFonts w:ascii="Verdana" w:hAnsi="Verdana"/>
          <w:sz w:val="18"/>
          <w:szCs w:val="18"/>
        </w:rPr>
      </w:pPr>
      <w:r>
        <w:rPr>
          <w:rFonts w:ascii="Verdana" w:hAnsi="Verdana"/>
          <w:sz w:val="18"/>
          <w:szCs w:val="18"/>
        </w:rPr>
        <w:tab/>
      </w:r>
      <w:r>
        <w:rPr>
          <w:rFonts w:ascii="Verdana" w:hAnsi="Verdana"/>
          <w:sz w:val="18"/>
          <w:szCs w:val="18"/>
        </w:rPr>
        <w:tab/>
      </w:r>
      <w:r>
        <w:rPr>
          <w:rFonts w:ascii="Verdana" w:hAnsi="Verdana"/>
          <w:i/>
          <w:sz w:val="18"/>
          <w:szCs w:val="18"/>
        </w:rPr>
        <w:t xml:space="preserve">4.1.2 </w:t>
      </w:r>
      <w:r w:rsidR="00E90ED3">
        <w:rPr>
          <w:rFonts w:ascii="Verdana" w:hAnsi="Verdana"/>
          <w:i/>
          <w:sz w:val="18"/>
          <w:szCs w:val="18"/>
        </w:rPr>
        <w:t>Advies strafzaken</w:t>
      </w:r>
      <w:r w:rsidR="00E90ED3">
        <w:rPr>
          <w:rFonts w:ascii="Verdana" w:hAnsi="Verdana"/>
          <w:i/>
          <w:sz w:val="18"/>
          <w:szCs w:val="18"/>
        </w:rPr>
        <w:tab/>
      </w:r>
      <w:r w:rsidR="00E90ED3">
        <w:rPr>
          <w:rFonts w:ascii="Verdana" w:hAnsi="Verdana"/>
          <w:i/>
          <w:sz w:val="18"/>
          <w:szCs w:val="18"/>
        </w:rPr>
        <w:tab/>
      </w:r>
      <w:r w:rsidR="00E90ED3">
        <w:rPr>
          <w:rFonts w:ascii="Verdana" w:hAnsi="Verdana"/>
          <w:i/>
          <w:sz w:val="18"/>
          <w:szCs w:val="18"/>
        </w:rPr>
        <w:tab/>
      </w:r>
      <w:r w:rsidR="00E90ED3">
        <w:rPr>
          <w:rFonts w:ascii="Verdana" w:hAnsi="Verdana"/>
          <w:i/>
          <w:sz w:val="18"/>
          <w:szCs w:val="18"/>
        </w:rPr>
        <w:tab/>
      </w:r>
      <w:r>
        <w:rPr>
          <w:rFonts w:ascii="Verdana" w:hAnsi="Verdana"/>
          <w:i/>
          <w:sz w:val="18"/>
          <w:szCs w:val="18"/>
        </w:rPr>
        <w:tab/>
      </w:r>
      <w:r>
        <w:rPr>
          <w:rFonts w:ascii="Verdana" w:hAnsi="Verdana"/>
          <w:i/>
          <w:sz w:val="18"/>
          <w:szCs w:val="18"/>
        </w:rPr>
        <w:tab/>
      </w:r>
      <w:r>
        <w:rPr>
          <w:rFonts w:ascii="Verdana" w:hAnsi="Verdana"/>
          <w:sz w:val="18"/>
          <w:szCs w:val="18"/>
        </w:rPr>
        <w:t>p.</w:t>
      </w:r>
      <w:r w:rsidR="00232585">
        <w:rPr>
          <w:rFonts w:ascii="Verdana" w:hAnsi="Verdana"/>
          <w:sz w:val="18"/>
          <w:szCs w:val="18"/>
        </w:rPr>
        <w:t xml:space="preserve"> 48</w:t>
      </w:r>
    </w:p>
    <w:p w14:paraId="6CEC8A30" w14:textId="14C1C400" w:rsidR="00EC3D00" w:rsidRPr="00EC3D00" w:rsidRDefault="00EC3D00" w:rsidP="00A541A0">
      <w:pPr>
        <w:spacing w:after="0" w:line="360" w:lineRule="auto"/>
        <w:rPr>
          <w:rFonts w:ascii="Verdana" w:hAnsi="Verdana"/>
          <w:sz w:val="18"/>
          <w:szCs w:val="18"/>
        </w:rPr>
      </w:pPr>
      <w:r>
        <w:rPr>
          <w:rFonts w:ascii="Verdana" w:hAnsi="Verdana"/>
          <w:sz w:val="18"/>
          <w:szCs w:val="18"/>
        </w:rPr>
        <w:tab/>
      </w:r>
      <w:r>
        <w:rPr>
          <w:rFonts w:ascii="Verdana" w:hAnsi="Verdana"/>
          <w:i/>
          <w:sz w:val="18"/>
          <w:szCs w:val="18"/>
        </w:rPr>
        <w:t>4.2 Aanbevelingen</w:t>
      </w:r>
      <w:r>
        <w:rPr>
          <w:rFonts w:ascii="Verdana" w:hAnsi="Verdana"/>
          <w:i/>
          <w:sz w:val="18"/>
          <w:szCs w:val="18"/>
        </w:rPr>
        <w:tab/>
      </w:r>
      <w:r>
        <w:rPr>
          <w:rFonts w:ascii="Verdana" w:hAnsi="Verdana"/>
          <w:i/>
          <w:sz w:val="18"/>
          <w:szCs w:val="18"/>
        </w:rPr>
        <w:tab/>
      </w:r>
      <w:r>
        <w:rPr>
          <w:rFonts w:ascii="Verdana" w:hAnsi="Verdana"/>
          <w:i/>
          <w:sz w:val="18"/>
          <w:szCs w:val="18"/>
        </w:rPr>
        <w:tab/>
      </w:r>
      <w:r>
        <w:rPr>
          <w:rFonts w:ascii="Verdana" w:hAnsi="Verdana"/>
          <w:i/>
          <w:sz w:val="18"/>
          <w:szCs w:val="18"/>
        </w:rPr>
        <w:tab/>
      </w:r>
      <w:r>
        <w:rPr>
          <w:rFonts w:ascii="Verdana" w:hAnsi="Verdana"/>
          <w:i/>
          <w:sz w:val="18"/>
          <w:szCs w:val="18"/>
        </w:rPr>
        <w:tab/>
      </w:r>
      <w:r>
        <w:rPr>
          <w:rFonts w:ascii="Verdana" w:hAnsi="Verdana"/>
          <w:i/>
          <w:sz w:val="18"/>
          <w:szCs w:val="18"/>
        </w:rPr>
        <w:tab/>
      </w:r>
      <w:r>
        <w:rPr>
          <w:rFonts w:ascii="Verdana" w:hAnsi="Verdana"/>
          <w:i/>
          <w:sz w:val="18"/>
          <w:szCs w:val="18"/>
        </w:rPr>
        <w:tab/>
      </w:r>
      <w:r>
        <w:rPr>
          <w:rFonts w:ascii="Verdana" w:hAnsi="Verdana"/>
          <w:i/>
          <w:sz w:val="18"/>
          <w:szCs w:val="18"/>
        </w:rPr>
        <w:tab/>
      </w:r>
      <w:r>
        <w:rPr>
          <w:rFonts w:ascii="Verdana" w:hAnsi="Verdana"/>
          <w:sz w:val="18"/>
          <w:szCs w:val="18"/>
        </w:rPr>
        <w:t>p.</w:t>
      </w:r>
      <w:r w:rsidR="00232585">
        <w:rPr>
          <w:rFonts w:ascii="Verdana" w:hAnsi="Verdana"/>
          <w:sz w:val="18"/>
          <w:szCs w:val="18"/>
        </w:rPr>
        <w:t xml:space="preserve"> 49</w:t>
      </w:r>
    </w:p>
    <w:p w14:paraId="762571D8" w14:textId="77777777" w:rsidR="00D80071" w:rsidRDefault="00D80071" w:rsidP="00A541A0">
      <w:pPr>
        <w:spacing w:after="0" w:line="360" w:lineRule="auto"/>
        <w:rPr>
          <w:rFonts w:ascii="Verdana" w:hAnsi="Verdana"/>
          <w:sz w:val="18"/>
          <w:szCs w:val="18"/>
        </w:rPr>
      </w:pPr>
    </w:p>
    <w:p w14:paraId="057DE363" w14:textId="4983D2A3" w:rsidR="00FC487C" w:rsidRDefault="00FC487C" w:rsidP="00A541A0">
      <w:pPr>
        <w:spacing w:after="0" w:line="360" w:lineRule="auto"/>
        <w:rPr>
          <w:rFonts w:ascii="Verdana" w:hAnsi="Verdana"/>
          <w:sz w:val="18"/>
          <w:szCs w:val="18"/>
        </w:rPr>
      </w:pPr>
      <w:r>
        <w:rPr>
          <w:rFonts w:ascii="Verdana" w:hAnsi="Verdana"/>
          <w:sz w:val="18"/>
          <w:szCs w:val="18"/>
        </w:rPr>
        <w:t>Bronnenlijst</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p.</w:t>
      </w:r>
      <w:r w:rsidR="00232585">
        <w:rPr>
          <w:rFonts w:ascii="Verdana" w:hAnsi="Verdana"/>
          <w:sz w:val="18"/>
          <w:szCs w:val="18"/>
        </w:rPr>
        <w:t xml:space="preserve"> 50</w:t>
      </w:r>
    </w:p>
    <w:p w14:paraId="62BE415E" w14:textId="3AEC7DE5" w:rsidR="00185C8F" w:rsidRDefault="00A106B8" w:rsidP="00A541A0">
      <w:pPr>
        <w:spacing w:after="0" w:line="360" w:lineRule="auto"/>
        <w:rPr>
          <w:rFonts w:ascii="Verdana" w:hAnsi="Verdana"/>
          <w:sz w:val="18"/>
          <w:szCs w:val="18"/>
        </w:rPr>
      </w:pPr>
      <w:r>
        <w:rPr>
          <w:rFonts w:ascii="Verdana" w:hAnsi="Verdana"/>
          <w:sz w:val="18"/>
          <w:szCs w:val="18"/>
        </w:rPr>
        <w:t>Bijlage 1</w:t>
      </w:r>
      <w:r w:rsidR="008A539A">
        <w:rPr>
          <w:rFonts w:ascii="Verdana" w:hAnsi="Verdana"/>
          <w:sz w:val="18"/>
          <w:szCs w:val="18"/>
        </w:rPr>
        <w:tab/>
      </w:r>
      <w:r w:rsidR="008A539A">
        <w:rPr>
          <w:rFonts w:ascii="Verdana" w:hAnsi="Verdana"/>
          <w:sz w:val="18"/>
          <w:szCs w:val="18"/>
        </w:rPr>
        <w:tab/>
      </w:r>
      <w:r w:rsidR="008A539A">
        <w:rPr>
          <w:rFonts w:ascii="Verdana" w:hAnsi="Verdana"/>
          <w:sz w:val="18"/>
          <w:szCs w:val="18"/>
        </w:rPr>
        <w:tab/>
      </w:r>
      <w:r w:rsidR="008A539A">
        <w:rPr>
          <w:rFonts w:ascii="Verdana" w:hAnsi="Verdana"/>
          <w:sz w:val="18"/>
          <w:szCs w:val="18"/>
        </w:rPr>
        <w:tab/>
      </w:r>
      <w:r w:rsidR="008A539A">
        <w:rPr>
          <w:rFonts w:ascii="Verdana" w:hAnsi="Verdana"/>
          <w:sz w:val="18"/>
          <w:szCs w:val="18"/>
        </w:rPr>
        <w:tab/>
      </w:r>
      <w:r w:rsidR="008A539A">
        <w:rPr>
          <w:rFonts w:ascii="Verdana" w:hAnsi="Verdana"/>
          <w:sz w:val="18"/>
          <w:szCs w:val="18"/>
        </w:rPr>
        <w:tab/>
      </w:r>
      <w:r w:rsidR="008A539A">
        <w:rPr>
          <w:rFonts w:ascii="Verdana" w:hAnsi="Verdana"/>
          <w:sz w:val="18"/>
          <w:szCs w:val="18"/>
        </w:rPr>
        <w:tab/>
      </w:r>
      <w:r w:rsidR="008A539A">
        <w:rPr>
          <w:rFonts w:ascii="Verdana" w:hAnsi="Verdana"/>
          <w:sz w:val="18"/>
          <w:szCs w:val="18"/>
        </w:rPr>
        <w:tab/>
      </w:r>
      <w:r w:rsidR="008A539A">
        <w:rPr>
          <w:rFonts w:ascii="Verdana" w:hAnsi="Verdana"/>
          <w:sz w:val="18"/>
          <w:szCs w:val="18"/>
        </w:rPr>
        <w:tab/>
      </w:r>
      <w:r w:rsidR="008A539A">
        <w:rPr>
          <w:rFonts w:ascii="Verdana" w:hAnsi="Verdana"/>
          <w:sz w:val="18"/>
          <w:szCs w:val="18"/>
        </w:rPr>
        <w:tab/>
        <w:t>p.</w:t>
      </w:r>
      <w:r w:rsidR="00232585">
        <w:rPr>
          <w:rFonts w:ascii="Verdana" w:hAnsi="Verdana"/>
          <w:sz w:val="18"/>
          <w:szCs w:val="18"/>
        </w:rPr>
        <w:t xml:space="preserve"> 55</w:t>
      </w:r>
    </w:p>
    <w:p w14:paraId="70D616A3" w14:textId="17AFA96E" w:rsidR="00A106B8" w:rsidRDefault="00A106B8" w:rsidP="00A541A0">
      <w:pPr>
        <w:spacing w:after="0" w:line="360" w:lineRule="auto"/>
        <w:rPr>
          <w:rFonts w:ascii="Verdana" w:hAnsi="Verdana"/>
          <w:sz w:val="18"/>
          <w:szCs w:val="18"/>
        </w:rPr>
      </w:pPr>
      <w:r>
        <w:rPr>
          <w:rFonts w:ascii="Verdana" w:hAnsi="Verdana"/>
          <w:sz w:val="18"/>
          <w:szCs w:val="18"/>
        </w:rPr>
        <w:t>Bijlag</w:t>
      </w:r>
      <w:r w:rsidR="00232585">
        <w:rPr>
          <w:rFonts w:ascii="Verdana" w:hAnsi="Verdana"/>
          <w:sz w:val="18"/>
          <w:szCs w:val="18"/>
        </w:rPr>
        <w:t>e 2</w:t>
      </w:r>
      <w:r w:rsidR="00232585">
        <w:rPr>
          <w:rFonts w:ascii="Verdana" w:hAnsi="Verdana"/>
          <w:sz w:val="18"/>
          <w:szCs w:val="18"/>
        </w:rPr>
        <w:tab/>
      </w:r>
      <w:r w:rsidR="00232585">
        <w:rPr>
          <w:rFonts w:ascii="Verdana" w:hAnsi="Verdana"/>
          <w:sz w:val="18"/>
          <w:szCs w:val="18"/>
        </w:rPr>
        <w:tab/>
      </w:r>
      <w:r w:rsidR="00232585">
        <w:rPr>
          <w:rFonts w:ascii="Verdana" w:hAnsi="Verdana"/>
          <w:sz w:val="18"/>
          <w:szCs w:val="18"/>
        </w:rPr>
        <w:tab/>
      </w:r>
      <w:r w:rsidR="00232585">
        <w:rPr>
          <w:rFonts w:ascii="Verdana" w:hAnsi="Verdana"/>
          <w:sz w:val="18"/>
          <w:szCs w:val="18"/>
        </w:rPr>
        <w:tab/>
      </w:r>
      <w:r w:rsidR="00232585">
        <w:rPr>
          <w:rFonts w:ascii="Verdana" w:hAnsi="Verdana"/>
          <w:sz w:val="18"/>
          <w:szCs w:val="18"/>
        </w:rPr>
        <w:tab/>
      </w:r>
      <w:r w:rsidR="00232585">
        <w:rPr>
          <w:rFonts w:ascii="Verdana" w:hAnsi="Verdana"/>
          <w:sz w:val="18"/>
          <w:szCs w:val="18"/>
        </w:rPr>
        <w:tab/>
      </w:r>
      <w:r w:rsidR="00232585">
        <w:rPr>
          <w:rFonts w:ascii="Verdana" w:hAnsi="Verdana"/>
          <w:sz w:val="18"/>
          <w:szCs w:val="18"/>
        </w:rPr>
        <w:tab/>
      </w:r>
      <w:r w:rsidR="00232585">
        <w:rPr>
          <w:rFonts w:ascii="Verdana" w:hAnsi="Verdana"/>
          <w:sz w:val="18"/>
          <w:szCs w:val="18"/>
        </w:rPr>
        <w:tab/>
      </w:r>
      <w:r w:rsidR="00232585">
        <w:rPr>
          <w:rFonts w:ascii="Verdana" w:hAnsi="Verdana"/>
          <w:sz w:val="18"/>
          <w:szCs w:val="18"/>
        </w:rPr>
        <w:tab/>
      </w:r>
      <w:r w:rsidR="00232585">
        <w:rPr>
          <w:rFonts w:ascii="Verdana" w:hAnsi="Verdana"/>
          <w:sz w:val="18"/>
          <w:szCs w:val="18"/>
        </w:rPr>
        <w:tab/>
        <w:t>p. 57</w:t>
      </w:r>
    </w:p>
    <w:p w14:paraId="602F5251" w14:textId="2AF4CC41" w:rsidR="00A106B8" w:rsidRDefault="00232585" w:rsidP="00A541A0">
      <w:pPr>
        <w:spacing w:after="0" w:line="360" w:lineRule="auto"/>
        <w:rPr>
          <w:rFonts w:ascii="Verdana" w:hAnsi="Verdana"/>
          <w:sz w:val="18"/>
          <w:szCs w:val="18"/>
        </w:rPr>
      </w:pPr>
      <w:r>
        <w:rPr>
          <w:rFonts w:ascii="Verdana" w:hAnsi="Verdana"/>
          <w:sz w:val="18"/>
          <w:szCs w:val="18"/>
        </w:rPr>
        <w:t>Bijlage 3</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p. 59</w:t>
      </w:r>
    </w:p>
    <w:p w14:paraId="39A93971" w14:textId="75427E2C" w:rsidR="00A106B8" w:rsidRDefault="00232585" w:rsidP="00A541A0">
      <w:pPr>
        <w:spacing w:after="0" w:line="360" w:lineRule="auto"/>
        <w:rPr>
          <w:rFonts w:ascii="Verdana" w:hAnsi="Verdana"/>
          <w:sz w:val="18"/>
          <w:szCs w:val="18"/>
        </w:rPr>
      </w:pPr>
      <w:r>
        <w:rPr>
          <w:rFonts w:ascii="Verdana" w:hAnsi="Verdana"/>
          <w:sz w:val="18"/>
          <w:szCs w:val="18"/>
        </w:rPr>
        <w:t>Bijlage 4</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p. 63</w:t>
      </w:r>
    </w:p>
    <w:p w14:paraId="5A21E472" w14:textId="02BB37AC" w:rsidR="00A106B8" w:rsidRDefault="00232585" w:rsidP="00A541A0">
      <w:pPr>
        <w:spacing w:after="0" w:line="360" w:lineRule="auto"/>
        <w:rPr>
          <w:rFonts w:ascii="Verdana" w:hAnsi="Verdana"/>
          <w:sz w:val="18"/>
          <w:szCs w:val="18"/>
        </w:rPr>
      </w:pPr>
      <w:r>
        <w:rPr>
          <w:rFonts w:ascii="Verdana" w:hAnsi="Verdana"/>
          <w:sz w:val="18"/>
          <w:szCs w:val="18"/>
        </w:rPr>
        <w:t>Bijlage 5.</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P. 65</w:t>
      </w:r>
    </w:p>
    <w:p w14:paraId="7FA999C3" w14:textId="3376FCCC" w:rsidR="00805F89" w:rsidRDefault="00805F89" w:rsidP="00A541A0">
      <w:pPr>
        <w:spacing w:after="0" w:line="360" w:lineRule="auto"/>
        <w:rPr>
          <w:rFonts w:ascii="Verdana" w:hAnsi="Verdana"/>
          <w:sz w:val="18"/>
          <w:szCs w:val="18"/>
        </w:rPr>
      </w:pPr>
      <w:r>
        <w:rPr>
          <w:rFonts w:ascii="Verdana" w:hAnsi="Verdana"/>
          <w:sz w:val="18"/>
          <w:szCs w:val="18"/>
        </w:rPr>
        <w:br w:type="page"/>
      </w:r>
    </w:p>
    <w:p w14:paraId="7CAFF945" w14:textId="287CBDA2" w:rsidR="00805F89" w:rsidRDefault="00805F89" w:rsidP="002957BB">
      <w:pPr>
        <w:spacing w:after="0" w:line="360" w:lineRule="auto"/>
        <w:jc w:val="both"/>
        <w:rPr>
          <w:rFonts w:ascii="Verdana" w:hAnsi="Verdana"/>
          <w:b/>
          <w:sz w:val="18"/>
          <w:szCs w:val="18"/>
        </w:rPr>
      </w:pPr>
      <w:r>
        <w:rPr>
          <w:rFonts w:ascii="Verdana" w:hAnsi="Verdana"/>
          <w:b/>
          <w:sz w:val="18"/>
          <w:szCs w:val="18"/>
        </w:rPr>
        <w:lastRenderedPageBreak/>
        <w:t>Hoofdstuk 1</w:t>
      </w:r>
    </w:p>
    <w:p w14:paraId="2ED49B84" w14:textId="77777777" w:rsidR="00F457A5" w:rsidRDefault="00F457A5" w:rsidP="00805F89">
      <w:pPr>
        <w:spacing w:after="0" w:line="360" w:lineRule="auto"/>
        <w:jc w:val="both"/>
        <w:rPr>
          <w:rFonts w:ascii="Verdana" w:hAnsi="Verdana"/>
          <w:b/>
          <w:sz w:val="18"/>
          <w:szCs w:val="18"/>
        </w:rPr>
      </w:pPr>
    </w:p>
    <w:p w14:paraId="2D5EF42A" w14:textId="16FD4437" w:rsidR="00F457A5" w:rsidRDefault="00F457A5" w:rsidP="00990DE4">
      <w:pPr>
        <w:spacing w:after="0" w:line="360" w:lineRule="auto"/>
        <w:jc w:val="both"/>
        <w:rPr>
          <w:rFonts w:ascii="Verdana" w:hAnsi="Verdana"/>
          <w:sz w:val="18"/>
          <w:szCs w:val="18"/>
        </w:rPr>
      </w:pPr>
      <w:r>
        <w:rPr>
          <w:rFonts w:ascii="Verdana" w:hAnsi="Verdana"/>
          <w:sz w:val="18"/>
          <w:szCs w:val="18"/>
        </w:rPr>
        <w:t xml:space="preserve">Het eerste hoofdstuk zal bestaan </w:t>
      </w:r>
      <w:r w:rsidR="00651293">
        <w:rPr>
          <w:rFonts w:ascii="Verdana" w:hAnsi="Verdana"/>
          <w:sz w:val="18"/>
          <w:szCs w:val="18"/>
        </w:rPr>
        <w:t>uit een toelichting van de probleemanalyse, alsmede uit de doelstelling, de centrale vraag en de deelvragen van dit onderzoek.</w:t>
      </w:r>
      <w:r w:rsidR="005C0273">
        <w:rPr>
          <w:rFonts w:ascii="Verdana" w:hAnsi="Verdana"/>
          <w:sz w:val="18"/>
          <w:szCs w:val="18"/>
        </w:rPr>
        <w:t xml:space="preserve"> Voorts zullen in dit hoofdstuk een aantal begrippen meetbaar worden gemaakt door middel van het </w:t>
      </w:r>
      <w:r w:rsidR="00DF47B3">
        <w:rPr>
          <w:rFonts w:ascii="Verdana" w:hAnsi="Verdana"/>
          <w:sz w:val="18"/>
          <w:szCs w:val="18"/>
        </w:rPr>
        <w:t xml:space="preserve">operationaliseren van </w:t>
      </w:r>
      <w:r w:rsidR="00990DE4">
        <w:rPr>
          <w:rFonts w:ascii="Verdana" w:hAnsi="Verdana"/>
          <w:sz w:val="18"/>
          <w:szCs w:val="18"/>
        </w:rPr>
        <w:t xml:space="preserve">de </w:t>
      </w:r>
      <w:r w:rsidR="00DF47B3">
        <w:rPr>
          <w:rFonts w:ascii="Verdana" w:hAnsi="Verdana"/>
          <w:sz w:val="18"/>
          <w:szCs w:val="18"/>
        </w:rPr>
        <w:t>begrippen en zullen de onderzoeksmethoden per deelvraag worden verantwoord.</w:t>
      </w:r>
    </w:p>
    <w:p w14:paraId="0D2EAF5A" w14:textId="77777777" w:rsidR="00990DE4" w:rsidRDefault="00990DE4" w:rsidP="00990DE4">
      <w:pPr>
        <w:spacing w:after="0" w:line="360" w:lineRule="auto"/>
        <w:jc w:val="both"/>
        <w:rPr>
          <w:rFonts w:ascii="Verdana" w:hAnsi="Verdana"/>
          <w:sz w:val="18"/>
          <w:szCs w:val="18"/>
        </w:rPr>
      </w:pPr>
    </w:p>
    <w:p w14:paraId="509E1A93" w14:textId="049F8A49" w:rsidR="00990DE4" w:rsidRDefault="00990DE4" w:rsidP="00CF326A">
      <w:pPr>
        <w:pBdr>
          <w:bottom w:val="single" w:sz="4" w:space="1" w:color="auto"/>
        </w:pBdr>
        <w:spacing w:after="0" w:line="360" w:lineRule="auto"/>
        <w:rPr>
          <w:rFonts w:ascii="Verdana" w:hAnsi="Verdana"/>
          <w:i/>
          <w:sz w:val="18"/>
          <w:szCs w:val="18"/>
        </w:rPr>
      </w:pPr>
      <w:r>
        <w:rPr>
          <w:rFonts w:ascii="Verdana" w:hAnsi="Verdana"/>
          <w:i/>
          <w:sz w:val="18"/>
          <w:szCs w:val="18"/>
        </w:rPr>
        <w:t xml:space="preserve">1.1 Probleemanalyse </w:t>
      </w:r>
    </w:p>
    <w:p w14:paraId="7788CA43" w14:textId="77777777" w:rsidR="00CF326A" w:rsidRDefault="00CF326A" w:rsidP="00990DE4">
      <w:pPr>
        <w:spacing w:after="0" w:line="360" w:lineRule="auto"/>
        <w:rPr>
          <w:rFonts w:ascii="Verdana" w:hAnsi="Verdana"/>
          <w:sz w:val="18"/>
        </w:rPr>
      </w:pPr>
    </w:p>
    <w:p w14:paraId="6512D22C" w14:textId="5C6E655F" w:rsidR="00990DE4" w:rsidRPr="00990DE4" w:rsidRDefault="00990DE4" w:rsidP="00990DE4">
      <w:pPr>
        <w:spacing w:after="0" w:line="360" w:lineRule="auto"/>
        <w:rPr>
          <w:rFonts w:ascii="Verdana" w:hAnsi="Verdana"/>
          <w:i/>
          <w:sz w:val="18"/>
          <w:szCs w:val="18"/>
        </w:rPr>
      </w:pPr>
      <w:r>
        <w:rPr>
          <w:rFonts w:ascii="Verdana" w:hAnsi="Verdana"/>
          <w:sz w:val="18"/>
        </w:rPr>
        <w:t>Het Hof van Justitie van de Europese Unie (hierna: HvJEU) heeft op 26 juli 2017 uitspraak gedaan over een tweetal prejudiciële vragen in de zaak Ouhrami.</w:t>
      </w:r>
      <w:r>
        <w:rPr>
          <w:rStyle w:val="Voetnootmarkering"/>
          <w:rFonts w:ascii="Verdana" w:hAnsi="Verdana"/>
          <w:sz w:val="18"/>
        </w:rPr>
        <w:footnoteReference w:id="1"/>
      </w:r>
      <w:r>
        <w:rPr>
          <w:rFonts w:ascii="Verdana" w:hAnsi="Verdana"/>
          <w:sz w:val="18"/>
        </w:rPr>
        <w:t xml:space="preserve"> De Hoge Raad heeft vervolgens met inachtneming van deze uitspraak zijn arrest gewezen op 14 november 2017.</w:t>
      </w:r>
      <w:r>
        <w:rPr>
          <w:rStyle w:val="Voetnootmarkering"/>
          <w:rFonts w:ascii="Verdana" w:hAnsi="Verdana"/>
          <w:sz w:val="18"/>
        </w:rPr>
        <w:footnoteReference w:id="2"/>
      </w:r>
      <w:r>
        <w:rPr>
          <w:rFonts w:ascii="Verdana" w:hAnsi="Verdana"/>
          <w:sz w:val="18"/>
        </w:rPr>
        <w:t xml:space="preserve"> Het Ouhrami arrest heeft zowel binnen de vreemdelingenrechtelijke praktijk als de strafrechtelijke praktijk voor vele implicaties en onduidelijkheden gezorgd. Voornoemde zal hieronder stapsgewijs worden toegelicht. </w:t>
      </w:r>
    </w:p>
    <w:p w14:paraId="1E15CAD0" w14:textId="04A1C5CA" w:rsidR="00990DE4" w:rsidRDefault="00990DE4" w:rsidP="00990DE4">
      <w:pPr>
        <w:spacing w:line="360" w:lineRule="auto"/>
        <w:jc w:val="both"/>
        <w:rPr>
          <w:rFonts w:ascii="Verdana" w:hAnsi="Verdana"/>
          <w:sz w:val="18"/>
        </w:rPr>
      </w:pPr>
      <w:r>
        <w:rPr>
          <w:rFonts w:ascii="Verdana" w:hAnsi="Verdana"/>
          <w:sz w:val="18"/>
        </w:rPr>
        <w:t xml:space="preserve">Ouhrami is een vermoedelijk Algerijnse staatsburger die bij besluit van 22 oktober 2002 tot ongewenst vreemdeling is verklaard wegens het meermaals plegen van strafbare feiten. Hij vormde volgens de Immigratie- en Naturalisatiedienst (hierna: </w:t>
      </w:r>
      <w:r w:rsidR="00C93850">
        <w:rPr>
          <w:rFonts w:ascii="Verdana" w:hAnsi="Verdana"/>
          <w:sz w:val="18"/>
        </w:rPr>
        <w:t xml:space="preserve">de </w:t>
      </w:r>
      <w:r>
        <w:rPr>
          <w:rFonts w:ascii="Verdana" w:hAnsi="Verdana"/>
          <w:sz w:val="18"/>
        </w:rPr>
        <w:t xml:space="preserve">IND) een gevaar voor de openbare orde. De ongewenstverklaring had twee rechtsgevolgen. Ten eerste diende Ouhrami direct zelfstandig Nederland te verlaten – terugkeerbesluit – en ten tweede diende Ouhrami tien jaren buiten Nederland te blijven – inreisverbod – vanaf het moment dat hij Nederland daadwerkelijk </w:t>
      </w:r>
      <w:r w:rsidR="00556600">
        <w:rPr>
          <w:rFonts w:ascii="Verdana" w:hAnsi="Verdana"/>
          <w:sz w:val="18"/>
        </w:rPr>
        <w:t>had</w:t>
      </w:r>
      <w:r>
        <w:rPr>
          <w:rFonts w:ascii="Verdana" w:hAnsi="Verdana"/>
          <w:sz w:val="18"/>
        </w:rPr>
        <w:t xml:space="preserve"> verlaten.</w:t>
      </w:r>
    </w:p>
    <w:p w14:paraId="45124576" w14:textId="384BC6E9" w:rsidR="00990DE4" w:rsidRDefault="00990DE4" w:rsidP="00990DE4">
      <w:pPr>
        <w:spacing w:line="360" w:lineRule="auto"/>
        <w:jc w:val="both"/>
        <w:rPr>
          <w:rFonts w:ascii="Verdana" w:hAnsi="Verdana"/>
          <w:sz w:val="18"/>
        </w:rPr>
      </w:pPr>
      <w:r>
        <w:rPr>
          <w:rFonts w:ascii="Verdana" w:hAnsi="Verdana"/>
          <w:sz w:val="18"/>
        </w:rPr>
        <w:t xml:space="preserve">Tussen 2011 en 2012 werd vervolgens in totaal zeven keren vastgesteld dat Ouhrami in strijd met voornoemd besluit in Nederland </w:t>
      </w:r>
      <w:r w:rsidR="006D13BB">
        <w:rPr>
          <w:rFonts w:ascii="Verdana" w:hAnsi="Verdana"/>
          <w:sz w:val="18"/>
        </w:rPr>
        <w:t>verbleef</w:t>
      </w:r>
      <w:r>
        <w:rPr>
          <w:rFonts w:ascii="Verdana" w:hAnsi="Verdana"/>
          <w:sz w:val="18"/>
        </w:rPr>
        <w:t>, hetgeen strafbaar is gesteld in artikel 197 van het Wetboek van Strafrecht (hierna: Sr) en artikel 108 van de Vreemdelingenwet 2000 (hierna: Vw 2000). De rechtbank veroordeelde Ouhrami tot een gevangenisstraf. Hiertegen ging O</w:t>
      </w:r>
      <w:r w:rsidR="00B70883">
        <w:rPr>
          <w:rFonts w:ascii="Verdana" w:hAnsi="Verdana"/>
          <w:sz w:val="18"/>
        </w:rPr>
        <w:t>uhrami in hoger beroep bij het g</w:t>
      </w:r>
      <w:r>
        <w:rPr>
          <w:rFonts w:ascii="Verdana" w:hAnsi="Verdana"/>
          <w:sz w:val="18"/>
        </w:rPr>
        <w:t xml:space="preserve">erechtshof en vervolgens in cassatieberoep bij de Hoge Raad. Volgens Ouhrami had de ongewenstverklaring in 2011 en 2012 geen rechtgevolgen meer, daar de ongewenstverklaring gelijk moet worden gesteld met een inreisverbod dat van kracht was gegaan op het moment dat deze werd uitgevaardigd, dan wel op het moment dat hij daarvan kennis </w:t>
      </w:r>
      <w:r w:rsidR="006819B6">
        <w:rPr>
          <w:rFonts w:ascii="Verdana" w:hAnsi="Verdana"/>
          <w:sz w:val="18"/>
        </w:rPr>
        <w:t>had</w:t>
      </w:r>
      <w:r>
        <w:rPr>
          <w:rFonts w:ascii="Verdana" w:hAnsi="Verdana"/>
          <w:sz w:val="18"/>
        </w:rPr>
        <w:t xml:space="preserve"> genomen.</w:t>
      </w:r>
    </w:p>
    <w:p w14:paraId="68FF86AC" w14:textId="2B413DBA" w:rsidR="00990DE4" w:rsidRDefault="00A848FB" w:rsidP="00990DE4">
      <w:pPr>
        <w:spacing w:line="360" w:lineRule="auto"/>
        <w:jc w:val="both"/>
        <w:rPr>
          <w:rFonts w:ascii="Verdana" w:hAnsi="Verdana"/>
          <w:sz w:val="18"/>
        </w:rPr>
      </w:pPr>
      <w:r>
        <w:rPr>
          <w:rFonts w:ascii="Verdana" w:hAnsi="Verdana"/>
          <w:sz w:val="18"/>
        </w:rPr>
        <w:t>Blijkens artikel 11 lid 2 van R</w:t>
      </w:r>
      <w:r w:rsidR="00990DE4">
        <w:rPr>
          <w:rFonts w:ascii="Verdana" w:hAnsi="Verdana"/>
          <w:sz w:val="18"/>
        </w:rPr>
        <w:t>ichtlijn 2008/115/EG van het Europees Parlement en de Raad van 16 december 2008 over gemeenschappelijke normen en procedures in de lidstaten voor de terugkeer van onderdanen van derde landen die illegaal op hun grondgebied verblijven (hierna: de Terugkeerrichtlijn) kan de geldigheidsduur van een inreisverbod in beginsel inderdaad niet meer dan vijf jaren bedragen. De vraag die echter beantwoord diende te word</w:t>
      </w:r>
      <w:r w:rsidR="008A4E6F">
        <w:rPr>
          <w:rFonts w:ascii="Verdana" w:hAnsi="Verdana"/>
          <w:sz w:val="18"/>
        </w:rPr>
        <w:t xml:space="preserve">en om tot een oordeel te komen </w:t>
      </w:r>
      <w:r w:rsidR="00990DE4">
        <w:rPr>
          <w:rFonts w:ascii="Verdana" w:hAnsi="Verdana"/>
          <w:sz w:val="18"/>
        </w:rPr>
        <w:t>was: wanneer heeft de termijn waarvoor het inreisverbod van toepassing is aanvang genomen?</w:t>
      </w:r>
    </w:p>
    <w:p w14:paraId="2DDE6747" w14:textId="0A8968D1" w:rsidR="00990DE4" w:rsidRDefault="00990DE4" w:rsidP="00990DE4">
      <w:pPr>
        <w:spacing w:line="360" w:lineRule="auto"/>
        <w:jc w:val="both"/>
        <w:rPr>
          <w:rFonts w:ascii="Verdana" w:hAnsi="Verdana"/>
          <w:sz w:val="18"/>
        </w:rPr>
      </w:pPr>
      <w:r>
        <w:rPr>
          <w:rFonts w:ascii="Verdana" w:hAnsi="Verdana"/>
          <w:sz w:val="18"/>
        </w:rPr>
        <w:t>Het HvJEU heeft vervolgens bij wijze van prejudiciële beslissing antwoord gegeven op voornoemde vraag, waarbij twee onderdelen in het bijzonder van belang zijn voor dit onderzoek. Ten eerste is van belang dat door het HvJEU een duidelijk onderscheid is gemaakt tussen een terugkeerbesluit enerzijds en een inreisverbod anderzijds.</w:t>
      </w:r>
      <w:r w:rsidR="00D3516E">
        <w:rPr>
          <w:rStyle w:val="Voetnootmarkering"/>
          <w:rFonts w:ascii="Verdana" w:hAnsi="Verdana"/>
          <w:sz w:val="18"/>
        </w:rPr>
        <w:footnoteReference w:id="3"/>
      </w:r>
      <w:r>
        <w:rPr>
          <w:rFonts w:ascii="Verdana" w:hAnsi="Verdana"/>
          <w:sz w:val="18"/>
        </w:rPr>
        <w:t xml:space="preserve"> Ten tweede is van belang dat het HvJEU heeft vastgesteld</w:t>
      </w:r>
      <w:r w:rsidR="006C0601">
        <w:rPr>
          <w:rFonts w:ascii="Verdana" w:hAnsi="Verdana"/>
          <w:sz w:val="18"/>
        </w:rPr>
        <w:t xml:space="preserve"> </w:t>
      </w:r>
      <w:r>
        <w:rPr>
          <w:rFonts w:ascii="Verdana" w:hAnsi="Verdana"/>
          <w:sz w:val="18"/>
        </w:rPr>
        <w:lastRenderedPageBreak/>
        <w:t>dat het inreisverbod pas ingaat vanaf de datum dat de illegaal op het grondgebied verblijvende onderdaan van een derde land (hierna: derdelander) het grondgebied van de lidstaten van de Europese Unie</w:t>
      </w:r>
      <w:r w:rsidR="00E60EA0">
        <w:rPr>
          <w:rStyle w:val="Voetnootmarkering"/>
          <w:rFonts w:ascii="Verdana" w:hAnsi="Verdana"/>
          <w:sz w:val="18"/>
        </w:rPr>
        <w:footnoteReference w:id="4"/>
      </w:r>
      <w:r w:rsidR="00E60EA0">
        <w:rPr>
          <w:rFonts w:ascii="Verdana" w:hAnsi="Verdana"/>
          <w:sz w:val="18"/>
        </w:rPr>
        <w:t xml:space="preserve"> </w:t>
      </w:r>
      <w:r>
        <w:rPr>
          <w:rFonts w:ascii="Verdana" w:hAnsi="Verdana"/>
          <w:sz w:val="18"/>
        </w:rPr>
        <w:t xml:space="preserve">(hierna: de lidstaten) heeft verlaten. </w:t>
      </w:r>
    </w:p>
    <w:p w14:paraId="482CCCC2" w14:textId="748419C7" w:rsidR="00990DE4" w:rsidRDefault="00990DE4" w:rsidP="00990DE4">
      <w:pPr>
        <w:spacing w:line="360" w:lineRule="auto"/>
        <w:jc w:val="both"/>
        <w:rPr>
          <w:rFonts w:ascii="Verdana" w:hAnsi="Verdana"/>
          <w:sz w:val="18"/>
        </w:rPr>
      </w:pPr>
      <w:r>
        <w:rPr>
          <w:rFonts w:ascii="Verdana" w:hAnsi="Verdana"/>
          <w:sz w:val="18"/>
        </w:rPr>
        <w:t>Voornoemde bindende uitspra</w:t>
      </w:r>
      <w:r w:rsidR="00846CB0">
        <w:rPr>
          <w:rFonts w:ascii="Verdana" w:hAnsi="Verdana"/>
          <w:sz w:val="18"/>
        </w:rPr>
        <w:t>ak is van groot belang voor de</w:t>
      </w:r>
      <w:r>
        <w:rPr>
          <w:rFonts w:ascii="Verdana" w:hAnsi="Verdana"/>
          <w:sz w:val="18"/>
        </w:rPr>
        <w:t xml:space="preserve"> opdrachtgever</w:t>
      </w:r>
      <w:r w:rsidR="00846CB0">
        <w:rPr>
          <w:rFonts w:ascii="Verdana" w:hAnsi="Verdana"/>
          <w:sz w:val="18"/>
        </w:rPr>
        <w:t xml:space="preserve"> van dit onderzoek</w:t>
      </w:r>
      <w:r>
        <w:rPr>
          <w:rFonts w:ascii="Verdana" w:hAnsi="Verdana"/>
          <w:sz w:val="18"/>
        </w:rPr>
        <w:t>, Schoneveld Vennik Van der Klaauw advocaten (hierna: SVK-advocaten), nu de uitspraak grote veranderingen teweeg kan brengen voor zowel de vreemdelingenrechtelijke praktijk als de strafrechtelijke praktijk. Binnen SVK-advocaten houden mw. mr. M.I. Vennik</w:t>
      </w:r>
      <w:r w:rsidR="00B5791B">
        <w:rPr>
          <w:rFonts w:ascii="Verdana" w:hAnsi="Verdana"/>
          <w:sz w:val="18"/>
        </w:rPr>
        <w:t xml:space="preserve"> </w:t>
      </w:r>
      <w:r>
        <w:rPr>
          <w:rFonts w:ascii="Verdana" w:hAnsi="Verdana"/>
          <w:sz w:val="18"/>
        </w:rPr>
        <w:t>en mw. mr. E. Schoneveld</w:t>
      </w:r>
      <w:r w:rsidR="00B5791B">
        <w:rPr>
          <w:rFonts w:ascii="Verdana" w:hAnsi="Verdana"/>
          <w:sz w:val="18"/>
        </w:rPr>
        <w:t xml:space="preserve"> </w:t>
      </w:r>
      <w:r>
        <w:rPr>
          <w:rFonts w:ascii="Verdana" w:hAnsi="Verdana"/>
          <w:sz w:val="18"/>
        </w:rPr>
        <w:t>zich hoofdzakelijk bezig met dergelijke zaken. Zij zijn beiden gespecialiseerd in zowel het vreemdelingen- als het strafrecht. Daarbij is dhr. mr. M.A.J. van der Klaauw</w:t>
      </w:r>
      <w:r w:rsidR="00B5791B">
        <w:rPr>
          <w:rFonts w:ascii="Verdana" w:hAnsi="Verdana"/>
          <w:sz w:val="18"/>
        </w:rPr>
        <w:t xml:space="preserve"> </w:t>
      </w:r>
      <w:r>
        <w:rPr>
          <w:rFonts w:ascii="Verdana" w:hAnsi="Verdana"/>
          <w:sz w:val="18"/>
        </w:rPr>
        <w:t xml:space="preserve">gespecialiseerd in het strafrecht, waardoor dit onderzoek ook voor hem van belang </w:t>
      </w:r>
      <w:r w:rsidR="00A844FD">
        <w:rPr>
          <w:rFonts w:ascii="Verdana" w:hAnsi="Verdana"/>
          <w:sz w:val="18"/>
        </w:rPr>
        <w:t>zal</w:t>
      </w:r>
      <w:r>
        <w:rPr>
          <w:rFonts w:ascii="Verdana" w:hAnsi="Verdana"/>
          <w:sz w:val="18"/>
        </w:rPr>
        <w:t xml:space="preserve"> zijn. De uitleg van het HvJEU is de advocaten logischerwijs niet onopgemerkt gebleven. Zij lopen momenteel tegen het probleem aan dat alle </w:t>
      </w:r>
      <w:r w:rsidR="00A844FD">
        <w:rPr>
          <w:rFonts w:ascii="Verdana" w:hAnsi="Verdana"/>
          <w:sz w:val="18"/>
        </w:rPr>
        <w:t>beroeps</w:t>
      </w:r>
      <w:r>
        <w:rPr>
          <w:rFonts w:ascii="Verdana" w:hAnsi="Verdana"/>
          <w:sz w:val="18"/>
        </w:rPr>
        <w:t>zaken die betrekking hebben op terugkeerbesluiten en inreisverboden al lange tijd</w:t>
      </w:r>
      <w:r w:rsidR="00A844FD">
        <w:rPr>
          <w:rFonts w:ascii="Verdana" w:hAnsi="Verdana"/>
          <w:sz w:val="18"/>
        </w:rPr>
        <w:t xml:space="preserve"> door de rechtbank</w:t>
      </w:r>
      <w:r>
        <w:rPr>
          <w:rFonts w:ascii="Verdana" w:hAnsi="Verdana"/>
          <w:sz w:val="18"/>
        </w:rPr>
        <w:t xml:space="preserve"> zijn aangehouden in afwachting van het Ouhrami arrest. </w:t>
      </w:r>
    </w:p>
    <w:p w14:paraId="79B810A1" w14:textId="1AE75C55" w:rsidR="00990DE4" w:rsidRDefault="00990DE4" w:rsidP="00990DE4">
      <w:pPr>
        <w:spacing w:line="360" w:lineRule="auto"/>
        <w:jc w:val="both"/>
        <w:rPr>
          <w:rFonts w:ascii="Verdana" w:hAnsi="Verdana"/>
          <w:sz w:val="18"/>
        </w:rPr>
      </w:pPr>
      <w:r>
        <w:rPr>
          <w:rFonts w:ascii="Verdana" w:hAnsi="Verdana"/>
          <w:sz w:val="18"/>
        </w:rPr>
        <w:t xml:space="preserve">De aangehouden zaken zullen naar alle waarschijnlijkheid de komende maanden weer ter zitting verschijnen. Door de uitleg van het HvJEU is echter veel veranderd in deze zaken. </w:t>
      </w:r>
      <w:r w:rsidR="005B7439">
        <w:rPr>
          <w:rFonts w:ascii="Verdana" w:hAnsi="Verdana"/>
          <w:sz w:val="18"/>
        </w:rPr>
        <w:t>SVK-advocaten</w:t>
      </w:r>
      <w:r>
        <w:rPr>
          <w:rFonts w:ascii="Verdana" w:hAnsi="Verdana"/>
          <w:sz w:val="18"/>
        </w:rPr>
        <w:t xml:space="preserve"> wenst een advies te ontvangen omtrent de (nie</w:t>
      </w:r>
      <w:r w:rsidR="005B7439">
        <w:rPr>
          <w:rFonts w:ascii="Verdana" w:hAnsi="Verdana"/>
          <w:sz w:val="18"/>
        </w:rPr>
        <w:t xml:space="preserve">uwe) gronden die zij </w:t>
      </w:r>
      <w:r w:rsidR="00846CB0">
        <w:rPr>
          <w:rFonts w:ascii="Verdana" w:hAnsi="Verdana"/>
          <w:sz w:val="18"/>
        </w:rPr>
        <w:t xml:space="preserve">aan </w:t>
      </w:r>
      <w:r>
        <w:rPr>
          <w:rFonts w:ascii="Verdana" w:hAnsi="Verdana"/>
          <w:sz w:val="18"/>
        </w:rPr>
        <w:t xml:space="preserve">kunnen voeren in </w:t>
      </w:r>
      <w:r w:rsidR="005B7439">
        <w:rPr>
          <w:rFonts w:ascii="Verdana" w:hAnsi="Verdana"/>
          <w:sz w:val="18"/>
        </w:rPr>
        <w:t>hun lopende of nieuwe</w:t>
      </w:r>
      <w:r>
        <w:rPr>
          <w:rFonts w:ascii="Verdana" w:hAnsi="Verdana"/>
          <w:sz w:val="18"/>
        </w:rPr>
        <w:t xml:space="preserve"> vre</w:t>
      </w:r>
      <w:r w:rsidR="005B7439">
        <w:rPr>
          <w:rFonts w:ascii="Verdana" w:hAnsi="Verdana"/>
          <w:sz w:val="18"/>
        </w:rPr>
        <w:t>emdelingen- en</w:t>
      </w:r>
      <w:r>
        <w:rPr>
          <w:rFonts w:ascii="Verdana" w:hAnsi="Verdana"/>
          <w:sz w:val="18"/>
        </w:rPr>
        <w:t xml:space="preserve"> strafzaken, zodat zij deze verschillen en de daarbij behorende </w:t>
      </w:r>
      <w:r w:rsidR="00A0172F">
        <w:rPr>
          <w:rFonts w:ascii="Verdana" w:hAnsi="Verdana"/>
          <w:sz w:val="18"/>
        </w:rPr>
        <w:t xml:space="preserve">nieuwe </w:t>
      </w:r>
      <w:r>
        <w:rPr>
          <w:rFonts w:ascii="Verdana" w:hAnsi="Verdana"/>
          <w:sz w:val="18"/>
        </w:rPr>
        <w:t xml:space="preserve">uitkomsten duidelijk kunnen toelichten aan </w:t>
      </w:r>
      <w:r w:rsidR="00A0172F">
        <w:rPr>
          <w:rFonts w:ascii="Verdana" w:hAnsi="Verdana"/>
          <w:sz w:val="18"/>
        </w:rPr>
        <w:t xml:space="preserve">zowel hun cliënten als aan </w:t>
      </w:r>
      <w:r>
        <w:rPr>
          <w:rFonts w:ascii="Verdana" w:hAnsi="Verdana"/>
          <w:sz w:val="18"/>
        </w:rPr>
        <w:t>rechter</w:t>
      </w:r>
      <w:r w:rsidR="00A0172F">
        <w:rPr>
          <w:rFonts w:ascii="Verdana" w:hAnsi="Verdana"/>
          <w:sz w:val="18"/>
        </w:rPr>
        <w:t>s,</w:t>
      </w:r>
      <w:r>
        <w:rPr>
          <w:rFonts w:ascii="Verdana" w:hAnsi="Verdana"/>
          <w:sz w:val="18"/>
        </w:rPr>
        <w:t xml:space="preserve"> en derhalve uiteindelijk een positieve uitkomst in deze zaken kunnen bewerkstelligen. </w:t>
      </w:r>
    </w:p>
    <w:p w14:paraId="14DDAC83" w14:textId="0EF81FC2" w:rsidR="00881C97" w:rsidRDefault="00990DE4" w:rsidP="00990DE4">
      <w:pPr>
        <w:spacing w:line="360" w:lineRule="auto"/>
        <w:jc w:val="both"/>
        <w:rPr>
          <w:rFonts w:ascii="Verdana" w:hAnsi="Verdana"/>
          <w:sz w:val="18"/>
        </w:rPr>
      </w:pPr>
      <w:r>
        <w:rPr>
          <w:rFonts w:ascii="Verdana" w:hAnsi="Verdana"/>
          <w:sz w:val="18"/>
        </w:rPr>
        <w:t xml:space="preserve">In de vreemdelingenpraktijk kan het Ouhrami arrest vele – positieve – invloeden hebben voor </w:t>
      </w:r>
      <w:r w:rsidR="005B7439">
        <w:rPr>
          <w:rFonts w:ascii="Verdana" w:hAnsi="Verdana"/>
          <w:sz w:val="18"/>
        </w:rPr>
        <w:t>SVK-advocaten</w:t>
      </w:r>
      <w:r>
        <w:rPr>
          <w:rFonts w:ascii="Verdana" w:hAnsi="Verdana"/>
          <w:sz w:val="18"/>
        </w:rPr>
        <w:t xml:space="preserve">. In de praktijk komt de rechtbank momenteel standaard tot de conclusie dat er geen sprake </w:t>
      </w:r>
      <w:r w:rsidR="00715A91">
        <w:rPr>
          <w:rFonts w:ascii="Verdana" w:hAnsi="Verdana"/>
          <w:sz w:val="18"/>
        </w:rPr>
        <w:t>is</w:t>
      </w:r>
      <w:r>
        <w:rPr>
          <w:rFonts w:ascii="Verdana" w:hAnsi="Verdana"/>
          <w:sz w:val="18"/>
        </w:rPr>
        <w:t xml:space="preserve"> van procesbelang, aangezien de derdelander die tot ongewenst vreemdeling is verklaard en/of een </w:t>
      </w:r>
      <w:r w:rsidR="00715A91">
        <w:rPr>
          <w:rFonts w:ascii="Verdana" w:hAnsi="Verdana"/>
          <w:sz w:val="18"/>
        </w:rPr>
        <w:t xml:space="preserve">zwaar </w:t>
      </w:r>
      <w:r>
        <w:rPr>
          <w:rFonts w:ascii="Verdana" w:hAnsi="Verdana"/>
          <w:sz w:val="18"/>
        </w:rPr>
        <w:t xml:space="preserve">inreisverbod </w:t>
      </w:r>
      <w:r w:rsidR="00715A91">
        <w:rPr>
          <w:rFonts w:ascii="Verdana" w:hAnsi="Verdana"/>
          <w:sz w:val="18"/>
        </w:rPr>
        <w:t xml:space="preserve">opgelegd </w:t>
      </w:r>
      <w:r>
        <w:rPr>
          <w:rFonts w:ascii="Verdana" w:hAnsi="Verdana"/>
          <w:sz w:val="18"/>
        </w:rPr>
        <w:t xml:space="preserve">heeft gekregen geen rechtmatig verblijf in Nederland kan </w:t>
      </w:r>
      <w:r w:rsidR="00FF6DD8">
        <w:rPr>
          <w:rFonts w:ascii="Verdana" w:hAnsi="Verdana"/>
          <w:sz w:val="18"/>
        </w:rPr>
        <w:t>hebben. Het</w:t>
      </w:r>
      <w:r>
        <w:rPr>
          <w:rFonts w:ascii="Verdana" w:hAnsi="Verdana"/>
          <w:sz w:val="18"/>
        </w:rPr>
        <w:t xml:space="preserve"> opnieuw aanvragen van verblijfsrecht zou voor deze personen leiden tot niet-ontvankelijkverklaring</w:t>
      </w:r>
      <w:r w:rsidR="00940334">
        <w:rPr>
          <w:rFonts w:ascii="Verdana" w:hAnsi="Verdana"/>
          <w:sz w:val="18"/>
        </w:rPr>
        <w:t>, waardoor slechts belang zou zijn bij de beoordeling van het beroep gericht tegen het inreisverbod.</w:t>
      </w:r>
      <w:r w:rsidR="00A0172F">
        <w:rPr>
          <w:rStyle w:val="Voetnootmarkering"/>
          <w:rFonts w:ascii="Verdana" w:hAnsi="Verdana"/>
          <w:sz w:val="18"/>
        </w:rPr>
        <w:footnoteReference w:id="5"/>
      </w:r>
      <w:r w:rsidR="00940334">
        <w:rPr>
          <w:rFonts w:ascii="Verdana" w:hAnsi="Verdana"/>
          <w:sz w:val="18"/>
        </w:rPr>
        <w:t xml:space="preserve"> </w:t>
      </w:r>
      <w:r>
        <w:rPr>
          <w:rFonts w:ascii="Verdana" w:hAnsi="Verdana"/>
          <w:sz w:val="18"/>
        </w:rPr>
        <w:t xml:space="preserve">De </w:t>
      </w:r>
      <w:r w:rsidR="00940334">
        <w:rPr>
          <w:rFonts w:ascii="Verdana" w:hAnsi="Verdana"/>
          <w:sz w:val="18"/>
        </w:rPr>
        <w:t>verblijfsaanspraken</w:t>
      </w:r>
      <w:r>
        <w:rPr>
          <w:rFonts w:ascii="Verdana" w:hAnsi="Verdana"/>
          <w:sz w:val="18"/>
        </w:rPr>
        <w:t xml:space="preserve"> </w:t>
      </w:r>
      <w:r w:rsidR="00940334">
        <w:rPr>
          <w:rFonts w:ascii="Verdana" w:hAnsi="Verdana"/>
          <w:sz w:val="18"/>
        </w:rPr>
        <w:t xml:space="preserve">worden samen met het terugkeerbesluit </w:t>
      </w:r>
      <w:r>
        <w:rPr>
          <w:rFonts w:ascii="Verdana" w:hAnsi="Verdana"/>
          <w:sz w:val="18"/>
        </w:rPr>
        <w:t>echter nimmer getoetst, doordat hier</w:t>
      </w:r>
      <w:r w:rsidR="00940334">
        <w:rPr>
          <w:rFonts w:ascii="Verdana" w:hAnsi="Verdana"/>
          <w:sz w:val="18"/>
        </w:rPr>
        <w:t xml:space="preserve"> dus</w:t>
      </w:r>
      <w:r>
        <w:rPr>
          <w:rFonts w:ascii="Verdana" w:hAnsi="Verdana"/>
          <w:sz w:val="18"/>
        </w:rPr>
        <w:t xml:space="preserve"> geen procesbelang voor zou zijn. In dit onderzoek </w:t>
      </w:r>
      <w:r w:rsidR="00715A91">
        <w:rPr>
          <w:rFonts w:ascii="Verdana" w:hAnsi="Verdana"/>
          <w:sz w:val="18"/>
        </w:rPr>
        <w:t>is</w:t>
      </w:r>
      <w:r>
        <w:rPr>
          <w:rFonts w:ascii="Verdana" w:hAnsi="Verdana"/>
          <w:sz w:val="18"/>
        </w:rPr>
        <w:t xml:space="preserve"> onderzocht </w:t>
      </w:r>
      <w:r w:rsidR="004D721E">
        <w:rPr>
          <w:rFonts w:ascii="Verdana" w:hAnsi="Verdana"/>
          <w:sz w:val="18"/>
        </w:rPr>
        <w:t>of deze motivering aan de hand van het Ouhrami arrest klopt.</w:t>
      </w:r>
    </w:p>
    <w:p w14:paraId="3E6B9F53" w14:textId="27D77033" w:rsidR="00FC2F91" w:rsidRDefault="00990DE4" w:rsidP="00474502">
      <w:pPr>
        <w:spacing w:line="360" w:lineRule="auto"/>
        <w:jc w:val="both"/>
        <w:rPr>
          <w:rFonts w:ascii="Verdana" w:hAnsi="Verdana"/>
          <w:sz w:val="18"/>
          <w:szCs w:val="18"/>
        </w:rPr>
      </w:pPr>
      <w:r>
        <w:rPr>
          <w:rFonts w:ascii="Verdana" w:hAnsi="Verdana"/>
          <w:sz w:val="18"/>
        </w:rPr>
        <w:t xml:space="preserve">Daarbij kan het Ouhrami arrest ook in de strafpraktijk – positieve – consequenties hebben voor de zaken van </w:t>
      </w:r>
      <w:r w:rsidR="00715A91">
        <w:rPr>
          <w:rFonts w:ascii="Verdana" w:hAnsi="Verdana"/>
          <w:sz w:val="18"/>
        </w:rPr>
        <w:t>SVK-advocaten</w:t>
      </w:r>
      <w:r>
        <w:rPr>
          <w:rFonts w:ascii="Verdana" w:hAnsi="Verdana"/>
          <w:sz w:val="18"/>
        </w:rPr>
        <w:t>. Dit betreft het in artikel 197 Sr juncto artikel 108 Vw 2000 strafbaar gestelde ‘verblijf in weerwil van de ongewenstverklaring of het Europees inreisverbod’. De strafrechtelijke</w:t>
      </w:r>
      <w:r w:rsidR="00D279E8">
        <w:rPr>
          <w:rFonts w:ascii="Verdana" w:hAnsi="Verdana"/>
          <w:sz w:val="18"/>
        </w:rPr>
        <w:t xml:space="preserve"> vervolging hiervan stuit</w:t>
      </w:r>
      <w:r>
        <w:rPr>
          <w:rFonts w:ascii="Verdana" w:hAnsi="Verdana"/>
          <w:sz w:val="18"/>
        </w:rPr>
        <w:t xml:space="preserve"> – in het licht van de uitleg van het HvJEU – op ernstige bezwaren in het geval dat de derdelander de lidstaten nog niet heeft verlaten na het uitvaardigen van het inreisverbod.</w:t>
      </w:r>
      <w:r>
        <w:rPr>
          <w:rStyle w:val="Voetnootmarkering"/>
          <w:rFonts w:ascii="Verdana" w:hAnsi="Verdana"/>
          <w:sz w:val="18"/>
        </w:rPr>
        <w:footnoteReference w:id="6"/>
      </w:r>
      <w:r>
        <w:rPr>
          <w:rFonts w:ascii="Verdana" w:hAnsi="Verdana"/>
          <w:sz w:val="18"/>
        </w:rPr>
        <w:t xml:space="preserve"> In dit verband </w:t>
      </w:r>
      <w:r w:rsidR="00D279E8">
        <w:rPr>
          <w:rFonts w:ascii="Verdana" w:hAnsi="Verdana"/>
          <w:sz w:val="18"/>
        </w:rPr>
        <w:t>is dan ook onderzocht</w:t>
      </w:r>
      <w:r>
        <w:rPr>
          <w:rFonts w:ascii="Verdana" w:hAnsi="Verdana"/>
          <w:sz w:val="18"/>
        </w:rPr>
        <w:t xml:space="preserve"> </w:t>
      </w:r>
      <w:r w:rsidR="00D279E8">
        <w:rPr>
          <w:rFonts w:ascii="Verdana" w:hAnsi="Verdana"/>
          <w:sz w:val="18"/>
        </w:rPr>
        <w:t>of</w:t>
      </w:r>
      <w:r>
        <w:rPr>
          <w:rFonts w:ascii="Verdana" w:hAnsi="Verdana"/>
          <w:sz w:val="18"/>
        </w:rPr>
        <w:t xml:space="preserve"> er </w:t>
      </w:r>
      <w:r w:rsidR="00D279E8">
        <w:rPr>
          <w:rFonts w:ascii="Verdana" w:hAnsi="Verdana"/>
          <w:sz w:val="18"/>
        </w:rPr>
        <w:t>nog een</w:t>
      </w:r>
      <w:r>
        <w:rPr>
          <w:rFonts w:ascii="Verdana" w:hAnsi="Verdana"/>
          <w:sz w:val="18"/>
        </w:rPr>
        <w:t xml:space="preserve"> adequate wettelijke grondslag bestaat voor de vervolging van een derdelan</w:t>
      </w:r>
      <w:r w:rsidR="00940334">
        <w:rPr>
          <w:rFonts w:ascii="Verdana" w:hAnsi="Verdana"/>
          <w:sz w:val="18"/>
        </w:rPr>
        <w:t>der op grond van artikel 197 Sr</w:t>
      </w:r>
      <w:r w:rsidR="00A0172F">
        <w:rPr>
          <w:rFonts w:ascii="Verdana" w:hAnsi="Verdana"/>
          <w:sz w:val="18"/>
          <w:szCs w:val="18"/>
        </w:rPr>
        <w:t xml:space="preserve">, op het </w:t>
      </w:r>
      <w:r w:rsidRPr="00342467">
        <w:rPr>
          <w:rFonts w:ascii="Verdana" w:hAnsi="Verdana"/>
          <w:sz w:val="18"/>
          <w:szCs w:val="18"/>
        </w:rPr>
        <w:t>moment dat de derdelander Nederland nog niet heeft verlaten.</w:t>
      </w:r>
    </w:p>
    <w:p w14:paraId="3CC3A409" w14:textId="7AECB3C5" w:rsidR="00CF326A" w:rsidRDefault="002B4DBD" w:rsidP="00CF326A">
      <w:pPr>
        <w:pBdr>
          <w:bottom w:val="single" w:sz="4" w:space="1" w:color="auto"/>
        </w:pBdr>
        <w:spacing w:after="0" w:line="360" w:lineRule="auto"/>
        <w:jc w:val="both"/>
        <w:rPr>
          <w:rFonts w:ascii="Verdana" w:hAnsi="Verdana"/>
          <w:i/>
          <w:sz w:val="18"/>
          <w:szCs w:val="18"/>
        </w:rPr>
      </w:pPr>
      <w:r>
        <w:rPr>
          <w:rFonts w:ascii="Verdana" w:hAnsi="Verdana"/>
          <w:i/>
          <w:sz w:val="18"/>
          <w:szCs w:val="18"/>
        </w:rPr>
        <w:lastRenderedPageBreak/>
        <w:t>1.2 Doelstelling, centrale vraag en deelvrage</w:t>
      </w:r>
      <w:r w:rsidR="00CF326A">
        <w:rPr>
          <w:rFonts w:ascii="Verdana" w:hAnsi="Verdana"/>
          <w:i/>
          <w:sz w:val="18"/>
          <w:szCs w:val="18"/>
        </w:rPr>
        <w:t>n</w:t>
      </w:r>
    </w:p>
    <w:p w14:paraId="1A7F918F" w14:textId="77777777" w:rsidR="00CF326A" w:rsidRDefault="00CF326A" w:rsidP="00CF326A">
      <w:pPr>
        <w:spacing w:after="0" w:line="360" w:lineRule="auto"/>
        <w:jc w:val="both"/>
        <w:rPr>
          <w:rFonts w:ascii="Verdana" w:hAnsi="Verdana"/>
          <w:i/>
          <w:sz w:val="18"/>
          <w:szCs w:val="18"/>
        </w:rPr>
      </w:pPr>
    </w:p>
    <w:p w14:paraId="2AFFE521" w14:textId="1DBE6E54" w:rsidR="00CF326A" w:rsidRDefault="00CF326A" w:rsidP="00CF326A">
      <w:pPr>
        <w:spacing w:after="0" w:line="360" w:lineRule="auto"/>
        <w:jc w:val="both"/>
        <w:rPr>
          <w:rFonts w:ascii="Verdana" w:hAnsi="Verdana"/>
          <w:i/>
          <w:sz w:val="18"/>
          <w:szCs w:val="18"/>
        </w:rPr>
      </w:pPr>
      <w:r>
        <w:rPr>
          <w:rFonts w:ascii="Verdana" w:hAnsi="Verdana"/>
          <w:i/>
          <w:sz w:val="18"/>
          <w:szCs w:val="18"/>
        </w:rPr>
        <w:t>1.2.1 Doelstelling</w:t>
      </w:r>
    </w:p>
    <w:p w14:paraId="3605F616" w14:textId="77777777" w:rsidR="00CF326A" w:rsidRDefault="00CF326A" w:rsidP="00CF326A">
      <w:pPr>
        <w:spacing w:after="0" w:line="360" w:lineRule="auto"/>
        <w:jc w:val="both"/>
        <w:rPr>
          <w:rFonts w:ascii="Verdana" w:hAnsi="Verdana"/>
          <w:i/>
          <w:sz w:val="18"/>
          <w:szCs w:val="18"/>
        </w:rPr>
      </w:pPr>
    </w:p>
    <w:p w14:paraId="7EB72FB0" w14:textId="2AA0AF62" w:rsidR="00CF326A" w:rsidRDefault="00CF326A" w:rsidP="00CF326A">
      <w:pPr>
        <w:spacing w:line="360" w:lineRule="auto"/>
        <w:jc w:val="both"/>
        <w:rPr>
          <w:rFonts w:ascii="Verdana" w:hAnsi="Verdana"/>
          <w:sz w:val="18"/>
          <w:szCs w:val="18"/>
        </w:rPr>
      </w:pPr>
      <w:r>
        <w:rPr>
          <w:rFonts w:ascii="Verdana" w:hAnsi="Verdana"/>
          <w:sz w:val="18"/>
          <w:szCs w:val="18"/>
        </w:rPr>
        <w:t>H</w:t>
      </w:r>
      <w:r w:rsidR="00AB35C5">
        <w:rPr>
          <w:rFonts w:ascii="Verdana" w:hAnsi="Verdana"/>
          <w:sz w:val="18"/>
          <w:szCs w:val="18"/>
        </w:rPr>
        <w:t>et doel van dit onderzoek is om,</w:t>
      </w:r>
      <w:r>
        <w:rPr>
          <w:rFonts w:ascii="Verdana" w:hAnsi="Verdana"/>
          <w:sz w:val="18"/>
          <w:szCs w:val="18"/>
        </w:rPr>
        <w:t xml:space="preserve"> door middel van wetsanalyse, dossier-, jurisprudentie- en literatuuronderzoek, een advies te formuleren voor SVK-advocaten waarin de gronden zijn verwerkt die zij naar aanleiding van het Ouhrami arre</w:t>
      </w:r>
      <w:r w:rsidR="0061598A">
        <w:rPr>
          <w:rFonts w:ascii="Verdana" w:hAnsi="Verdana"/>
          <w:sz w:val="18"/>
          <w:szCs w:val="18"/>
        </w:rPr>
        <w:t xml:space="preserve">st kunnen aanvoeren </w:t>
      </w:r>
      <w:r w:rsidR="00890624">
        <w:rPr>
          <w:rFonts w:ascii="Verdana" w:hAnsi="Verdana"/>
          <w:sz w:val="18"/>
          <w:szCs w:val="18"/>
        </w:rPr>
        <w:t>procedures</w:t>
      </w:r>
      <w:r>
        <w:rPr>
          <w:rFonts w:ascii="Verdana" w:hAnsi="Verdana"/>
          <w:sz w:val="18"/>
          <w:szCs w:val="18"/>
        </w:rPr>
        <w:t xml:space="preserve"> teneinde een positieve uitkomst te bewerkstelligen, namelijk dat </w:t>
      </w:r>
      <w:r w:rsidR="00664956">
        <w:rPr>
          <w:rFonts w:ascii="Verdana" w:hAnsi="Verdana"/>
          <w:sz w:val="18"/>
          <w:szCs w:val="18"/>
        </w:rPr>
        <w:t>de weigering, niet-</w:t>
      </w:r>
      <w:r w:rsidR="00775003">
        <w:rPr>
          <w:rFonts w:ascii="Verdana" w:hAnsi="Verdana"/>
          <w:sz w:val="18"/>
          <w:szCs w:val="18"/>
        </w:rPr>
        <w:t>verlenging of intrekking van de verblijfsvergunning en het daarbij behorende terugkeerbesluit</w:t>
      </w:r>
      <w:r w:rsidR="00E26321">
        <w:rPr>
          <w:rFonts w:ascii="Verdana" w:hAnsi="Verdana"/>
          <w:sz w:val="18"/>
          <w:szCs w:val="18"/>
        </w:rPr>
        <w:t>,</w:t>
      </w:r>
      <w:r w:rsidR="00775003">
        <w:rPr>
          <w:rFonts w:ascii="Verdana" w:hAnsi="Verdana"/>
          <w:sz w:val="18"/>
          <w:szCs w:val="18"/>
        </w:rPr>
        <w:t xml:space="preserve"> </w:t>
      </w:r>
      <w:r w:rsidR="00E26321">
        <w:rPr>
          <w:rFonts w:ascii="Verdana" w:hAnsi="Verdana"/>
          <w:sz w:val="18"/>
          <w:szCs w:val="18"/>
        </w:rPr>
        <w:t xml:space="preserve">samen met het inreisverbod, </w:t>
      </w:r>
      <w:r>
        <w:rPr>
          <w:rFonts w:ascii="Verdana" w:hAnsi="Verdana"/>
          <w:sz w:val="18"/>
          <w:szCs w:val="18"/>
        </w:rPr>
        <w:t xml:space="preserve">vol wordt getoetst, alsmede dat de strafrechtelijke vervolging van artikel 197 Sr achterwege blijft indien er geen adequate grondslag is voor </w:t>
      </w:r>
      <w:r w:rsidR="00E230BC">
        <w:rPr>
          <w:rFonts w:ascii="Verdana" w:hAnsi="Verdana"/>
          <w:sz w:val="18"/>
          <w:szCs w:val="18"/>
        </w:rPr>
        <w:t xml:space="preserve">de </w:t>
      </w:r>
      <w:r>
        <w:rPr>
          <w:rFonts w:ascii="Verdana" w:hAnsi="Verdana"/>
          <w:sz w:val="18"/>
          <w:szCs w:val="18"/>
        </w:rPr>
        <w:t xml:space="preserve">vervolging. </w:t>
      </w:r>
      <w:r w:rsidR="00A26575">
        <w:rPr>
          <w:rFonts w:ascii="Verdana" w:hAnsi="Verdana"/>
          <w:sz w:val="18"/>
          <w:szCs w:val="18"/>
        </w:rPr>
        <w:t>Het onderzoek ziet derhalve op</w:t>
      </w:r>
      <w:r w:rsidR="00E26321">
        <w:rPr>
          <w:rFonts w:ascii="Verdana" w:hAnsi="Verdana"/>
          <w:sz w:val="18"/>
          <w:szCs w:val="18"/>
        </w:rPr>
        <w:t xml:space="preserve"> zowel</w:t>
      </w:r>
      <w:r w:rsidR="00A26575">
        <w:rPr>
          <w:rFonts w:ascii="Verdana" w:hAnsi="Verdana"/>
          <w:sz w:val="18"/>
          <w:szCs w:val="18"/>
        </w:rPr>
        <w:t xml:space="preserve"> de vreemdelingenrechtprakt</w:t>
      </w:r>
      <w:r w:rsidR="00024908">
        <w:rPr>
          <w:rFonts w:ascii="Verdana" w:hAnsi="Verdana"/>
          <w:sz w:val="18"/>
          <w:szCs w:val="18"/>
        </w:rPr>
        <w:t xml:space="preserve">ijk als op de strafpraktijk. </w:t>
      </w:r>
      <w:r w:rsidR="00805F1C">
        <w:rPr>
          <w:rFonts w:ascii="Verdana" w:hAnsi="Verdana"/>
          <w:sz w:val="18"/>
          <w:szCs w:val="18"/>
        </w:rPr>
        <w:t>Het advies</w:t>
      </w:r>
      <w:r w:rsidR="00024908">
        <w:rPr>
          <w:rFonts w:ascii="Verdana" w:hAnsi="Verdana"/>
          <w:sz w:val="18"/>
          <w:szCs w:val="18"/>
        </w:rPr>
        <w:t xml:space="preserve"> zullen zij logischerwijs ook kunnen gebruiken ter advisering van hun cliënten.</w:t>
      </w:r>
    </w:p>
    <w:p w14:paraId="244A705C" w14:textId="2F44E097" w:rsidR="00FF0F6A" w:rsidRDefault="00943C27" w:rsidP="00FF0F6A">
      <w:pPr>
        <w:spacing w:line="360" w:lineRule="auto"/>
        <w:jc w:val="both"/>
        <w:rPr>
          <w:rFonts w:ascii="Verdana" w:hAnsi="Verdana"/>
          <w:sz w:val="18"/>
          <w:szCs w:val="18"/>
        </w:rPr>
      </w:pPr>
      <w:r>
        <w:rPr>
          <w:rFonts w:ascii="Verdana" w:hAnsi="Verdana"/>
          <w:sz w:val="18"/>
          <w:szCs w:val="18"/>
        </w:rPr>
        <w:t xml:space="preserve">Het </w:t>
      </w:r>
      <w:r w:rsidR="00FF0F6A">
        <w:rPr>
          <w:rFonts w:ascii="Verdana" w:hAnsi="Verdana"/>
          <w:sz w:val="18"/>
          <w:szCs w:val="18"/>
        </w:rPr>
        <w:t xml:space="preserve">advies kan </w:t>
      </w:r>
      <w:r w:rsidR="00ED4788">
        <w:rPr>
          <w:rFonts w:ascii="Verdana" w:hAnsi="Verdana"/>
          <w:sz w:val="18"/>
          <w:szCs w:val="18"/>
        </w:rPr>
        <w:t>direct door SVK-advocaten</w:t>
      </w:r>
      <w:r w:rsidR="00FF0F6A">
        <w:rPr>
          <w:rFonts w:ascii="Verdana" w:hAnsi="Verdana"/>
          <w:sz w:val="18"/>
          <w:szCs w:val="18"/>
        </w:rPr>
        <w:t xml:space="preserve"> worden gebruikt in de praktijk. </w:t>
      </w:r>
      <w:r w:rsidR="00ED4788">
        <w:rPr>
          <w:rFonts w:ascii="Verdana" w:hAnsi="Verdana"/>
          <w:sz w:val="18"/>
          <w:szCs w:val="18"/>
        </w:rPr>
        <w:t>Daarnaast</w:t>
      </w:r>
      <w:r w:rsidR="00FF0F6A">
        <w:rPr>
          <w:rFonts w:ascii="Verdana" w:hAnsi="Verdana"/>
          <w:sz w:val="18"/>
          <w:szCs w:val="18"/>
        </w:rPr>
        <w:t xml:space="preserve"> zijn er verscheidene andere </w:t>
      </w:r>
      <w:r w:rsidR="00A26575">
        <w:rPr>
          <w:rFonts w:ascii="Verdana" w:hAnsi="Verdana"/>
          <w:sz w:val="18"/>
          <w:szCs w:val="18"/>
        </w:rPr>
        <w:t>(</w:t>
      </w:r>
      <w:r w:rsidR="00FF0F6A">
        <w:rPr>
          <w:rFonts w:ascii="Verdana" w:hAnsi="Verdana"/>
          <w:sz w:val="18"/>
          <w:szCs w:val="18"/>
        </w:rPr>
        <w:t xml:space="preserve">straf- en </w:t>
      </w:r>
      <w:r w:rsidR="00A26575">
        <w:rPr>
          <w:rFonts w:ascii="Verdana" w:hAnsi="Verdana"/>
          <w:sz w:val="18"/>
          <w:szCs w:val="18"/>
        </w:rPr>
        <w:t>vreemdelingenrecht) advocaten</w:t>
      </w:r>
      <w:r w:rsidR="00FF0F6A">
        <w:rPr>
          <w:rFonts w:ascii="Verdana" w:hAnsi="Verdana"/>
          <w:sz w:val="18"/>
          <w:szCs w:val="18"/>
        </w:rPr>
        <w:t xml:space="preserve"> in Nederland die </w:t>
      </w:r>
      <w:r w:rsidR="00BB2732">
        <w:rPr>
          <w:rFonts w:ascii="Verdana" w:hAnsi="Verdana"/>
          <w:sz w:val="18"/>
          <w:szCs w:val="18"/>
        </w:rPr>
        <w:t xml:space="preserve">te maken hebben met soortgelijke zaken en </w:t>
      </w:r>
      <w:r w:rsidR="001679D0">
        <w:rPr>
          <w:rFonts w:ascii="Verdana" w:hAnsi="Verdana"/>
          <w:sz w:val="18"/>
          <w:szCs w:val="18"/>
        </w:rPr>
        <w:t>die derhalve belang hebben bij de uitkomsten van dit onderzoek</w:t>
      </w:r>
      <w:r w:rsidR="005028F2">
        <w:rPr>
          <w:rFonts w:ascii="Verdana" w:hAnsi="Verdana"/>
          <w:sz w:val="18"/>
          <w:szCs w:val="18"/>
        </w:rPr>
        <w:t xml:space="preserve">. </w:t>
      </w:r>
      <w:r w:rsidR="006D3CB8">
        <w:rPr>
          <w:rFonts w:ascii="Verdana" w:hAnsi="Verdana"/>
          <w:sz w:val="18"/>
          <w:szCs w:val="18"/>
        </w:rPr>
        <w:t xml:space="preserve">Het belang van dit onderzoek </w:t>
      </w:r>
      <w:r w:rsidR="00A26575">
        <w:rPr>
          <w:rFonts w:ascii="Verdana" w:hAnsi="Verdana"/>
          <w:sz w:val="18"/>
          <w:szCs w:val="18"/>
        </w:rPr>
        <w:t>is voorts</w:t>
      </w:r>
      <w:r w:rsidR="006D3CB8">
        <w:rPr>
          <w:rFonts w:ascii="Verdana" w:hAnsi="Verdana"/>
          <w:sz w:val="18"/>
          <w:szCs w:val="18"/>
        </w:rPr>
        <w:t xml:space="preserve"> gelegen in het feit dat het Ouhrami arrest relatief nieuw is en dat het </w:t>
      </w:r>
      <w:r w:rsidR="005028F2">
        <w:rPr>
          <w:rFonts w:ascii="Verdana" w:hAnsi="Verdana"/>
          <w:sz w:val="18"/>
          <w:szCs w:val="18"/>
        </w:rPr>
        <w:t xml:space="preserve">hierdoor </w:t>
      </w:r>
      <w:r w:rsidR="006D3CB8">
        <w:rPr>
          <w:rFonts w:ascii="Verdana" w:hAnsi="Verdana"/>
          <w:sz w:val="18"/>
          <w:szCs w:val="18"/>
        </w:rPr>
        <w:t xml:space="preserve">ook </w:t>
      </w:r>
      <w:r w:rsidR="00742EE7">
        <w:rPr>
          <w:rFonts w:ascii="Verdana" w:hAnsi="Verdana"/>
          <w:sz w:val="18"/>
          <w:szCs w:val="18"/>
        </w:rPr>
        <w:t>voor</w:t>
      </w:r>
      <w:r w:rsidR="005028F2">
        <w:rPr>
          <w:rFonts w:ascii="Verdana" w:hAnsi="Verdana"/>
          <w:sz w:val="18"/>
          <w:szCs w:val="18"/>
        </w:rPr>
        <w:t xml:space="preserve"> rechtbanken en m</w:t>
      </w:r>
      <w:r w:rsidR="006D3CB8">
        <w:rPr>
          <w:rFonts w:ascii="Verdana" w:hAnsi="Verdana"/>
          <w:sz w:val="18"/>
          <w:szCs w:val="18"/>
        </w:rPr>
        <w:t xml:space="preserve">inisteries – waaronder het Openbaar Ministerie – van belang is om </w:t>
      </w:r>
      <w:r w:rsidR="005028F2">
        <w:rPr>
          <w:rFonts w:ascii="Verdana" w:hAnsi="Verdana"/>
          <w:sz w:val="18"/>
          <w:szCs w:val="18"/>
        </w:rPr>
        <w:t xml:space="preserve">inzichten te verkrijgen in de </w:t>
      </w:r>
      <w:r w:rsidR="00A43DC7">
        <w:rPr>
          <w:rFonts w:ascii="Verdana" w:hAnsi="Verdana"/>
          <w:sz w:val="18"/>
          <w:szCs w:val="18"/>
        </w:rPr>
        <w:t xml:space="preserve">uiteenlopende </w:t>
      </w:r>
      <w:r w:rsidR="005028F2">
        <w:rPr>
          <w:rFonts w:ascii="Verdana" w:hAnsi="Verdana"/>
          <w:sz w:val="18"/>
          <w:szCs w:val="18"/>
        </w:rPr>
        <w:t>gevolgen van het arrest.</w:t>
      </w:r>
      <w:r w:rsidR="005661C4">
        <w:rPr>
          <w:rFonts w:ascii="Verdana" w:hAnsi="Verdana"/>
          <w:sz w:val="18"/>
          <w:szCs w:val="18"/>
        </w:rPr>
        <w:t xml:space="preserve"> Mede doordat dit arrest naar alle waarschijnlijkheid zal leiden tot vele </w:t>
      </w:r>
      <w:r w:rsidR="001C0AAA">
        <w:rPr>
          <w:rFonts w:ascii="Verdana" w:hAnsi="Verdana"/>
          <w:sz w:val="18"/>
          <w:szCs w:val="18"/>
        </w:rPr>
        <w:t xml:space="preserve">nieuwe </w:t>
      </w:r>
      <w:r w:rsidR="00A26575">
        <w:rPr>
          <w:rFonts w:ascii="Verdana" w:hAnsi="Verdana"/>
          <w:sz w:val="18"/>
          <w:szCs w:val="18"/>
        </w:rPr>
        <w:t xml:space="preserve">procedures, kan dit onderzoek ook </w:t>
      </w:r>
      <w:r w:rsidR="00CF5DD4">
        <w:rPr>
          <w:rFonts w:ascii="Verdana" w:hAnsi="Verdana"/>
          <w:sz w:val="18"/>
          <w:szCs w:val="18"/>
        </w:rPr>
        <w:t>nuttig zijn voor hen.</w:t>
      </w:r>
    </w:p>
    <w:p w14:paraId="57CF93C7" w14:textId="3CE8B046" w:rsidR="002F7983" w:rsidRDefault="002F7983" w:rsidP="002F7983">
      <w:pPr>
        <w:spacing w:after="0" w:line="360" w:lineRule="auto"/>
        <w:jc w:val="both"/>
        <w:rPr>
          <w:rFonts w:ascii="Verdana" w:hAnsi="Verdana"/>
          <w:i/>
          <w:sz w:val="18"/>
          <w:szCs w:val="18"/>
        </w:rPr>
      </w:pPr>
      <w:r>
        <w:rPr>
          <w:rFonts w:ascii="Verdana" w:hAnsi="Verdana"/>
          <w:i/>
          <w:sz w:val="18"/>
          <w:szCs w:val="18"/>
        </w:rPr>
        <w:br/>
        <w:t>1.2.2 Centrale vraag en deelvragen</w:t>
      </w:r>
    </w:p>
    <w:p w14:paraId="45BF32D0" w14:textId="77777777" w:rsidR="0098556D" w:rsidRDefault="0098556D" w:rsidP="002F7983">
      <w:pPr>
        <w:spacing w:after="0" w:line="360" w:lineRule="auto"/>
        <w:jc w:val="both"/>
        <w:rPr>
          <w:rFonts w:ascii="Verdana" w:hAnsi="Verdana"/>
          <w:i/>
          <w:sz w:val="18"/>
          <w:szCs w:val="18"/>
        </w:rPr>
      </w:pPr>
    </w:p>
    <w:p w14:paraId="7A2C1103" w14:textId="5902C107" w:rsidR="00CF5DD4" w:rsidRDefault="003A3613" w:rsidP="003A3613">
      <w:pPr>
        <w:spacing w:after="0" w:line="360" w:lineRule="auto"/>
        <w:jc w:val="both"/>
        <w:rPr>
          <w:rFonts w:ascii="Verdana" w:hAnsi="Verdana"/>
          <w:sz w:val="18"/>
          <w:szCs w:val="18"/>
        </w:rPr>
      </w:pPr>
      <w:r w:rsidRPr="003A3613">
        <w:rPr>
          <w:rFonts w:ascii="Verdana" w:hAnsi="Verdana"/>
          <w:sz w:val="18"/>
          <w:szCs w:val="18"/>
        </w:rPr>
        <w:t xml:space="preserve">Door middel van het onderzoek </w:t>
      </w:r>
      <w:r w:rsidR="00337AA3">
        <w:rPr>
          <w:rFonts w:ascii="Verdana" w:hAnsi="Verdana"/>
          <w:sz w:val="18"/>
          <w:szCs w:val="18"/>
        </w:rPr>
        <w:t xml:space="preserve">wordt </w:t>
      </w:r>
      <w:r w:rsidRPr="003A3613">
        <w:rPr>
          <w:rFonts w:ascii="Verdana" w:hAnsi="Verdana"/>
          <w:sz w:val="18"/>
          <w:szCs w:val="18"/>
        </w:rPr>
        <w:t>uiteindelijk een antwoord gegeven op de volgende centrale vraag:</w:t>
      </w:r>
    </w:p>
    <w:p w14:paraId="288EA1F6" w14:textId="77777777" w:rsidR="00B4476E" w:rsidRDefault="00B4476E" w:rsidP="003A3613">
      <w:pPr>
        <w:spacing w:after="0" w:line="360" w:lineRule="auto"/>
        <w:jc w:val="both"/>
        <w:rPr>
          <w:rFonts w:ascii="Verdana" w:hAnsi="Verdana"/>
          <w:sz w:val="18"/>
          <w:szCs w:val="18"/>
        </w:rPr>
      </w:pPr>
    </w:p>
    <w:p w14:paraId="5562DDBB" w14:textId="261AA1A0" w:rsidR="003A3613" w:rsidRPr="00DA540E" w:rsidRDefault="003A3613" w:rsidP="00B4476E">
      <w:pPr>
        <w:spacing w:after="0" w:line="360" w:lineRule="auto"/>
        <w:jc w:val="both"/>
        <w:rPr>
          <w:rFonts w:ascii="Verdana" w:hAnsi="Verdana"/>
          <w:i/>
          <w:sz w:val="18"/>
          <w:szCs w:val="18"/>
        </w:rPr>
      </w:pPr>
      <w:r w:rsidRPr="0098556D">
        <w:rPr>
          <w:rFonts w:ascii="Verdana" w:hAnsi="Verdana"/>
          <w:i/>
          <w:sz w:val="18"/>
          <w:szCs w:val="18"/>
        </w:rPr>
        <w:t>‘‘Welk advies kan aan SVK-advocaten worden verschaft, middels wetsanalyse, dossier-, jurisprudentie- en literatuuronderzoek, met betrekking tot de gronden die naar aanleiding van het Ouhrami arrest aangevoerd kunnen worden in zowel vreemdelingen- als strafzaken, teneinde een positieve uitkomst te bewerkstelligen, namelijk dat</w:t>
      </w:r>
      <w:r w:rsidR="00664956">
        <w:rPr>
          <w:rFonts w:ascii="Verdana" w:hAnsi="Verdana"/>
          <w:i/>
          <w:sz w:val="18"/>
          <w:szCs w:val="18"/>
        </w:rPr>
        <w:t xml:space="preserve"> de intrekking, niet-</w:t>
      </w:r>
      <w:r w:rsidR="00DA540E">
        <w:rPr>
          <w:rFonts w:ascii="Verdana" w:hAnsi="Verdana"/>
          <w:i/>
          <w:sz w:val="18"/>
          <w:szCs w:val="18"/>
        </w:rPr>
        <w:t xml:space="preserve">verlenging of weigering van de verblijfsvergunning </w:t>
      </w:r>
      <w:r w:rsidR="0095014A">
        <w:rPr>
          <w:rFonts w:ascii="Verdana" w:hAnsi="Verdana"/>
          <w:i/>
          <w:sz w:val="18"/>
          <w:szCs w:val="18"/>
        </w:rPr>
        <w:t xml:space="preserve">in openbare-orde zaken </w:t>
      </w:r>
      <w:r w:rsidR="00DA540E">
        <w:rPr>
          <w:rFonts w:ascii="Verdana" w:hAnsi="Verdana"/>
          <w:i/>
          <w:sz w:val="18"/>
          <w:szCs w:val="18"/>
        </w:rPr>
        <w:t>samen met</w:t>
      </w:r>
      <w:r w:rsidRPr="0098556D">
        <w:rPr>
          <w:rFonts w:ascii="Verdana" w:hAnsi="Verdana"/>
          <w:i/>
          <w:sz w:val="18"/>
          <w:szCs w:val="18"/>
        </w:rPr>
        <w:t xml:space="preserve"> het</w:t>
      </w:r>
      <w:r w:rsidR="00DA540E">
        <w:rPr>
          <w:rFonts w:ascii="Verdana" w:hAnsi="Verdana"/>
          <w:i/>
          <w:sz w:val="18"/>
          <w:szCs w:val="18"/>
        </w:rPr>
        <w:t xml:space="preserve"> </w:t>
      </w:r>
      <w:r w:rsidRPr="0098556D">
        <w:rPr>
          <w:rFonts w:ascii="Verdana" w:hAnsi="Verdana"/>
          <w:i/>
          <w:sz w:val="18"/>
          <w:szCs w:val="18"/>
        </w:rPr>
        <w:t>terugkeerbesluit</w:t>
      </w:r>
      <w:r w:rsidR="006A788F">
        <w:rPr>
          <w:rFonts w:ascii="Verdana" w:hAnsi="Verdana"/>
          <w:i/>
          <w:sz w:val="18"/>
          <w:szCs w:val="18"/>
        </w:rPr>
        <w:t xml:space="preserve"> in beroep</w:t>
      </w:r>
      <w:r w:rsidRPr="0098556D">
        <w:rPr>
          <w:rFonts w:ascii="Verdana" w:hAnsi="Verdana"/>
          <w:i/>
          <w:sz w:val="18"/>
          <w:szCs w:val="18"/>
        </w:rPr>
        <w:t xml:space="preserve"> vol </w:t>
      </w:r>
      <w:r w:rsidR="006A788F">
        <w:rPr>
          <w:rFonts w:ascii="Verdana" w:hAnsi="Verdana"/>
          <w:i/>
          <w:sz w:val="18"/>
          <w:szCs w:val="18"/>
        </w:rPr>
        <w:t>wordt getoetst en dat</w:t>
      </w:r>
      <w:r w:rsidR="00B4476E">
        <w:rPr>
          <w:rFonts w:ascii="Verdana" w:hAnsi="Verdana"/>
          <w:i/>
          <w:sz w:val="18"/>
          <w:szCs w:val="18"/>
        </w:rPr>
        <w:t xml:space="preserve"> in strafzaken</w:t>
      </w:r>
      <w:r w:rsidR="006A788F">
        <w:rPr>
          <w:rFonts w:ascii="Verdana" w:hAnsi="Verdana"/>
          <w:i/>
          <w:sz w:val="18"/>
          <w:szCs w:val="18"/>
        </w:rPr>
        <w:t xml:space="preserve"> een veroordeling voor</w:t>
      </w:r>
      <w:r w:rsidRPr="0098556D">
        <w:rPr>
          <w:rFonts w:ascii="Verdana" w:hAnsi="Verdana"/>
          <w:i/>
          <w:sz w:val="18"/>
          <w:szCs w:val="18"/>
        </w:rPr>
        <w:t xml:space="preserve"> artikel 197 Sr achterwege blijft?’’</w:t>
      </w:r>
    </w:p>
    <w:p w14:paraId="2D9B592B" w14:textId="77777777" w:rsidR="00CF326A" w:rsidRDefault="00CF326A" w:rsidP="00CF326A">
      <w:pPr>
        <w:spacing w:after="0" w:line="360" w:lineRule="auto"/>
        <w:jc w:val="both"/>
        <w:rPr>
          <w:rFonts w:ascii="Verdana" w:hAnsi="Verdana"/>
          <w:sz w:val="18"/>
          <w:szCs w:val="18"/>
        </w:rPr>
      </w:pPr>
    </w:p>
    <w:p w14:paraId="1FD3F471" w14:textId="4C915B69" w:rsidR="00E0241A" w:rsidRDefault="002B2B19" w:rsidP="002B2B19">
      <w:pPr>
        <w:spacing w:after="0" w:line="360" w:lineRule="auto"/>
        <w:jc w:val="both"/>
        <w:rPr>
          <w:rFonts w:ascii="Verdana" w:hAnsi="Verdana"/>
          <w:sz w:val="18"/>
          <w:szCs w:val="18"/>
        </w:rPr>
      </w:pPr>
      <w:r w:rsidRPr="002B2B19">
        <w:rPr>
          <w:rFonts w:ascii="Verdana" w:hAnsi="Verdana"/>
          <w:sz w:val="18"/>
          <w:szCs w:val="18"/>
        </w:rPr>
        <w:t xml:space="preserve">Om tot beantwoording van de centrale vraag te </w:t>
      </w:r>
      <w:r w:rsidR="00A560D0">
        <w:rPr>
          <w:rFonts w:ascii="Verdana" w:hAnsi="Verdana"/>
          <w:sz w:val="18"/>
          <w:szCs w:val="18"/>
        </w:rPr>
        <w:t xml:space="preserve">komen, worden </w:t>
      </w:r>
      <w:r w:rsidRPr="002B2B19">
        <w:rPr>
          <w:rFonts w:ascii="Verdana" w:hAnsi="Verdana"/>
          <w:sz w:val="18"/>
          <w:szCs w:val="18"/>
        </w:rPr>
        <w:t>er eerst deelvragen beantwoord. De deelvragen</w:t>
      </w:r>
      <w:r w:rsidR="00E0241A">
        <w:rPr>
          <w:rFonts w:ascii="Verdana" w:hAnsi="Verdana"/>
          <w:sz w:val="18"/>
          <w:szCs w:val="18"/>
        </w:rPr>
        <w:t xml:space="preserve"> in dit onderzoek</w:t>
      </w:r>
      <w:r w:rsidRPr="002B2B19">
        <w:rPr>
          <w:rFonts w:ascii="Verdana" w:hAnsi="Verdana"/>
          <w:sz w:val="18"/>
          <w:szCs w:val="18"/>
        </w:rPr>
        <w:t xml:space="preserve"> luiden als volgt:</w:t>
      </w:r>
    </w:p>
    <w:p w14:paraId="7AD6232F" w14:textId="77777777" w:rsidR="00FE09FB" w:rsidRDefault="00FE09FB" w:rsidP="002B2B19">
      <w:pPr>
        <w:spacing w:after="0" w:line="360" w:lineRule="auto"/>
        <w:jc w:val="both"/>
        <w:rPr>
          <w:rFonts w:ascii="Verdana" w:hAnsi="Verdana"/>
          <w:sz w:val="18"/>
          <w:szCs w:val="18"/>
        </w:rPr>
      </w:pPr>
    </w:p>
    <w:p w14:paraId="61CCC034" w14:textId="77777777" w:rsidR="00E0241A" w:rsidRPr="00342467" w:rsidRDefault="00E0241A" w:rsidP="00E0241A">
      <w:pPr>
        <w:spacing w:line="360" w:lineRule="auto"/>
        <w:jc w:val="both"/>
        <w:rPr>
          <w:rFonts w:ascii="Verdana" w:eastAsia="Times New Roman" w:hAnsi="Verdana"/>
          <w:sz w:val="18"/>
          <w:szCs w:val="18"/>
          <w:lang w:eastAsia="nl-NL"/>
        </w:rPr>
      </w:pPr>
      <w:r>
        <w:rPr>
          <w:rFonts w:ascii="Verdana" w:eastAsia="Times New Roman" w:hAnsi="Verdana"/>
          <w:sz w:val="18"/>
          <w:szCs w:val="18"/>
          <w:lang w:eastAsia="nl-NL"/>
        </w:rPr>
        <w:t>Theorievragen</w:t>
      </w:r>
    </w:p>
    <w:p w14:paraId="7E844E41" w14:textId="49AD9E78" w:rsidR="00CC29A6" w:rsidRPr="00CC29A6" w:rsidRDefault="00E0241A" w:rsidP="00CC29A6">
      <w:pPr>
        <w:pStyle w:val="Lijstalinea"/>
        <w:numPr>
          <w:ilvl w:val="0"/>
          <w:numId w:val="1"/>
        </w:numPr>
        <w:spacing w:line="360" w:lineRule="auto"/>
        <w:jc w:val="both"/>
        <w:rPr>
          <w:rFonts w:ascii="Verdana" w:hAnsi="Verdana"/>
          <w:i/>
          <w:sz w:val="18"/>
          <w:szCs w:val="18"/>
        </w:rPr>
      </w:pPr>
      <w:r>
        <w:rPr>
          <w:rFonts w:ascii="Verdana" w:hAnsi="Verdana"/>
          <w:i/>
          <w:sz w:val="18"/>
          <w:szCs w:val="18"/>
        </w:rPr>
        <w:t>Hoe verhouden zich de nationale ongewenstverklaring en het Unierechtelijke terugkeerbesluit en inreisverbod tot elkaar blijkens zowel Europese als nationale wet- en regelgeving en vakliteratuur?</w:t>
      </w:r>
    </w:p>
    <w:p w14:paraId="35524DCE" w14:textId="77777777" w:rsidR="00E0241A" w:rsidRPr="003C239A" w:rsidRDefault="00E0241A" w:rsidP="00E0241A">
      <w:pPr>
        <w:pStyle w:val="Lijstalinea"/>
        <w:spacing w:line="360" w:lineRule="auto"/>
        <w:jc w:val="both"/>
        <w:rPr>
          <w:rFonts w:ascii="Verdana" w:hAnsi="Verdana"/>
          <w:i/>
          <w:sz w:val="18"/>
          <w:szCs w:val="18"/>
        </w:rPr>
      </w:pPr>
    </w:p>
    <w:p w14:paraId="05BBB4FE" w14:textId="002C7163" w:rsidR="00CF5DD4" w:rsidRDefault="00E0241A" w:rsidP="00DA540E">
      <w:pPr>
        <w:pStyle w:val="Lijstalinea"/>
        <w:numPr>
          <w:ilvl w:val="0"/>
          <w:numId w:val="1"/>
        </w:numPr>
        <w:spacing w:line="360" w:lineRule="auto"/>
        <w:jc w:val="both"/>
        <w:rPr>
          <w:rFonts w:ascii="Verdana" w:hAnsi="Verdana"/>
          <w:i/>
          <w:sz w:val="18"/>
          <w:szCs w:val="18"/>
        </w:rPr>
      </w:pPr>
      <w:r>
        <w:rPr>
          <w:rFonts w:ascii="Verdana" w:hAnsi="Verdana"/>
          <w:i/>
          <w:sz w:val="18"/>
          <w:szCs w:val="18"/>
        </w:rPr>
        <w:t>Is de nationale wet- en regelgeving omtrent</w:t>
      </w:r>
      <w:r w:rsidR="00664956">
        <w:rPr>
          <w:rFonts w:ascii="Verdana" w:hAnsi="Verdana"/>
          <w:i/>
          <w:sz w:val="18"/>
          <w:szCs w:val="18"/>
        </w:rPr>
        <w:t xml:space="preserve"> de weigering, niet-</w:t>
      </w:r>
      <w:r w:rsidR="00775003">
        <w:rPr>
          <w:rFonts w:ascii="Verdana" w:hAnsi="Verdana"/>
          <w:i/>
          <w:sz w:val="18"/>
          <w:szCs w:val="18"/>
        </w:rPr>
        <w:t>verlenging of intrekking van het verblijfsrecht van migranten en</w:t>
      </w:r>
      <w:r w:rsidR="00DA540E">
        <w:rPr>
          <w:rFonts w:ascii="Verdana" w:hAnsi="Verdana"/>
          <w:i/>
          <w:sz w:val="18"/>
          <w:szCs w:val="18"/>
        </w:rPr>
        <w:t xml:space="preserve"> de oplegging van</w:t>
      </w:r>
      <w:r w:rsidR="00775003">
        <w:rPr>
          <w:rFonts w:ascii="Verdana" w:hAnsi="Verdana"/>
          <w:i/>
          <w:sz w:val="18"/>
          <w:szCs w:val="18"/>
        </w:rPr>
        <w:t xml:space="preserve"> het daarbij behorende terugkeerbesluit</w:t>
      </w:r>
      <w:r w:rsidR="00DA540E">
        <w:rPr>
          <w:rFonts w:ascii="Verdana" w:hAnsi="Verdana"/>
          <w:i/>
          <w:sz w:val="18"/>
          <w:szCs w:val="18"/>
        </w:rPr>
        <w:t xml:space="preserve"> </w:t>
      </w:r>
      <w:r w:rsidRPr="00DA540E">
        <w:rPr>
          <w:rFonts w:ascii="Verdana" w:hAnsi="Verdana"/>
          <w:i/>
          <w:sz w:val="18"/>
          <w:szCs w:val="18"/>
        </w:rPr>
        <w:t>blijkens vakliteratuur en rechtspraak in lijn met Europese wet- en regelgeving, voor zover deze hieronder vallen?</w:t>
      </w:r>
    </w:p>
    <w:p w14:paraId="2DCB368C" w14:textId="77777777" w:rsidR="00DA540E" w:rsidRPr="00DA540E" w:rsidRDefault="00DA540E" w:rsidP="00DA540E">
      <w:pPr>
        <w:pStyle w:val="Lijstalinea"/>
        <w:spacing w:line="360" w:lineRule="auto"/>
        <w:jc w:val="both"/>
        <w:rPr>
          <w:rFonts w:ascii="Verdana" w:hAnsi="Verdana"/>
          <w:i/>
          <w:sz w:val="18"/>
          <w:szCs w:val="18"/>
        </w:rPr>
      </w:pPr>
    </w:p>
    <w:p w14:paraId="7E357B17" w14:textId="77777777" w:rsidR="00E0241A" w:rsidRPr="000D1073" w:rsidRDefault="00E0241A" w:rsidP="00E0241A">
      <w:pPr>
        <w:pStyle w:val="Lijstalinea"/>
        <w:numPr>
          <w:ilvl w:val="0"/>
          <w:numId w:val="1"/>
        </w:numPr>
        <w:spacing w:line="360" w:lineRule="auto"/>
        <w:jc w:val="both"/>
        <w:rPr>
          <w:rFonts w:ascii="Verdana" w:hAnsi="Verdana"/>
          <w:i/>
          <w:sz w:val="18"/>
          <w:szCs w:val="18"/>
        </w:rPr>
      </w:pPr>
      <w:r>
        <w:rPr>
          <w:rFonts w:ascii="Verdana" w:hAnsi="Verdana"/>
          <w:i/>
          <w:sz w:val="18"/>
          <w:szCs w:val="18"/>
        </w:rPr>
        <w:t xml:space="preserve">Wat zijn blijkens zowel Europese als nationale wet- en regelgeving, vakliteratuur en rechtspraak de effectieve rechtsmiddelen tegen het opleggen van een terugkeerbesluit en een inreisverbod en welke regels worden hierbij gehanteerd? </w:t>
      </w:r>
    </w:p>
    <w:p w14:paraId="64C018B7" w14:textId="77777777" w:rsidR="00E0241A" w:rsidRPr="00424D5D" w:rsidRDefault="00E0241A" w:rsidP="00E0241A">
      <w:pPr>
        <w:pStyle w:val="Lijstalinea"/>
        <w:spacing w:line="360" w:lineRule="auto"/>
        <w:jc w:val="both"/>
        <w:rPr>
          <w:rFonts w:ascii="Verdana" w:hAnsi="Verdana"/>
          <w:i/>
          <w:sz w:val="18"/>
          <w:szCs w:val="18"/>
        </w:rPr>
      </w:pPr>
    </w:p>
    <w:p w14:paraId="38810BF5" w14:textId="77777777" w:rsidR="00E0241A" w:rsidRPr="0022284A" w:rsidRDefault="00E0241A" w:rsidP="00E0241A">
      <w:pPr>
        <w:pStyle w:val="Lijstalinea"/>
        <w:numPr>
          <w:ilvl w:val="0"/>
          <w:numId w:val="1"/>
        </w:numPr>
        <w:spacing w:line="360" w:lineRule="auto"/>
        <w:jc w:val="both"/>
        <w:rPr>
          <w:rFonts w:ascii="Verdana" w:hAnsi="Verdana"/>
          <w:i/>
          <w:sz w:val="18"/>
          <w:szCs w:val="18"/>
        </w:rPr>
      </w:pPr>
      <w:r w:rsidRPr="0022284A">
        <w:rPr>
          <w:rFonts w:ascii="Verdana" w:hAnsi="Verdana"/>
          <w:i/>
          <w:sz w:val="18"/>
          <w:szCs w:val="18"/>
        </w:rPr>
        <w:t xml:space="preserve">Wat zijn blijkens wet- en regelgeving de voorwaarden in Nederland om een derdelander die in weerwil van het inreisverbod of een </w:t>
      </w:r>
      <w:r>
        <w:rPr>
          <w:rFonts w:ascii="Verdana" w:hAnsi="Verdana"/>
          <w:i/>
          <w:sz w:val="18"/>
          <w:szCs w:val="18"/>
        </w:rPr>
        <w:t xml:space="preserve">nationale </w:t>
      </w:r>
      <w:r w:rsidRPr="0022284A">
        <w:rPr>
          <w:rFonts w:ascii="Verdana" w:hAnsi="Verdana"/>
          <w:i/>
          <w:sz w:val="18"/>
          <w:szCs w:val="18"/>
        </w:rPr>
        <w:t>ongewenstverklaring op het grondgebied van de lidstaten verblijft hiervoor te vervolgen?</w:t>
      </w:r>
    </w:p>
    <w:p w14:paraId="49B489EC" w14:textId="77777777" w:rsidR="00E0241A" w:rsidRPr="0022284A" w:rsidRDefault="00E0241A" w:rsidP="00E0241A">
      <w:pPr>
        <w:pStyle w:val="Lijstalinea"/>
        <w:spacing w:line="360" w:lineRule="auto"/>
        <w:jc w:val="both"/>
        <w:rPr>
          <w:rFonts w:ascii="Verdana" w:hAnsi="Verdana"/>
          <w:i/>
          <w:sz w:val="18"/>
          <w:szCs w:val="18"/>
        </w:rPr>
      </w:pPr>
    </w:p>
    <w:p w14:paraId="2E1C0D5C" w14:textId="77777777" w:rsidR="00E0241A" w:rsidRPr="00672A11" w:rsidRDefault="00E0241A" w:rsidP="00E0241A">
      <w:pPr>
        <w:pStyle w:val="Lijstalinea"/>
        <w:numPr>
          <w:ilvl w:val="0"/>
          <w:numId w:val="1"/>
        </w:numPr>
        <w:spacing w:line="360" w:lineRule="auto"/>
        <w:jc w:val="both"/>
        <w:rPr>
          <w:rFonts w:ascii="Verdana" w:hAnsi="Verdana"/>
          <w:i/>
          <w:sz w:val="18"/>
          <w:szCs w:val="18"/>
        </w:rPr>
      </w:pPr>
      <w:r>
        <w:rPr>
          <w:rFonts w:ascii="Verdana" w:hAnsi="Verdana"/>
          <w:i/>
          <w:sz w:val="18"/>
          <w:szCs w:val="18"/>
        </w:rPr>
        <w:t>Wat zijn de voor SVK-advocaten belangrijkste gevolgen van het Ouhrami a</w:t>
      </w:r>
      <w:r w:rsidRPr="002039F6">
        <w:rPr>
          <w:rFonts w:ascii="Verdana" w:hAnsi="Verdana"/>
          <w:i/>
          <w:sz w:val="18"/>
          <w:szCs w:val="18"/>
        </w:rPr>
        <w:t>rrest, zowel voor straf- als voor vreemdelingenzaken?</w:t>
      </w:r>
    </w:p>
    <w:p w14:paraId="0539481C" w14:textId="77777777" w:rsidR="00E0241A" w:rsidRDefault="00E0241A" w:rsidP="00E0241A">
      <w:pPr>
        <w:spacing w:line="360" w:lineRule="auto"/>
        <w:jc w:val="both"/>
        <w:rPr>
          <w:rFonts w:ascii="Verdana" w:hAnsi="Verdana"/>
          <w:sz w:val="18"/>
          <w:szCs w:val="18"/>
        </w:rPr>
      </w:pPr>
      <w:r>
        <w:rPr>
          <w:rFonts w:ascii="Verdana" w:eastAsia="Times New Roman" w:hAnsi="Verdana"/>
          <w:sz w:val="18"/>
          <w:szCs w:val="18"/>
          <w:lang w:eastAsia="nl-NL"/>
        </w:rPr>
        <w:br/>
      </w:r>
      <w:r>
        <w:rPr>
          <w:rFonts w:ascii="Verdana" w:hAnsi="Verdana"/>
          <w:sz w:val="18"/>
          <w:szCs w:val="18"/>
        </w:rPr>
        <w:t>Praktijkvragen</w:t>
      </w:r>
    </w:p>
    <w:p w14:paraId="2ECE0801" w14:textId="5A19577D" w:rsidR="008708B9" w:rsidRDefault="00E0241A" w:rsidP="00E0241A">
      <w:pPr>
        <w:pStyle w:val="Lijstalinea"/>
        <w:numPr>
          <w:ilvl w:val="0"/>
          <w:numId w:val="2"/>
        </w:numPr>
        <w:spacing w:line="360" w:lineRule="auto"/>
        <w:jc w:val="both"/>
        <w:rPr>
          <w:rFonts w:ascii="Verdana" w:hAnsi="Verdana"/>
          <w:i/>
          <w:sz w:val="18"/>
          <w:szCs w:val="18"/>
        </w:rPr>
      </w:pPr>
      <w:r w:rsidRPr="00704064">
        <w:rPr>
          <w:rFonts w:ascii="Verdana" w:hAnsi="Verdana"/>
          <w:i/>
          <w:sz w:val="18"/>
          <w:szCs w:val="18"/>
        </w:rPr>
        <w:t>Wat zijn blijkens dossieronderzoek in vreemdelingenzaken met betrekking tot</w:t>
      </w:r>
      <w:r w:rsidR="00566640">
        <w:rPr>
          <w:rFonts w:ascii="Verdana" w:hAnsi="Verdana"/>
          <w:i/>
          <w:sz w:val="18"/>
          <w:szCs w:val="18"/>
        </w:rPr>
        <w:t xml:space="preserve"> de weigering, niet-verlenging of intrekking </w:t>
      </w:r>
      <w:r w:rsidR="00765D0F">
        <w:rPr>
          <w:rFonts w:ascii="Verdana" w:hAnsi="Verdana"/>
          <w:i/>
          <w:sz w:val="18"/>
          <w:szCs w:val="18"/>
        </w:rPr>
        <w:t>de onderdelen de aan de hand van het Ouhrami arrest anders (hadden) moeten worden getoetst?</w:t>
      </w:r>
    </w:p>
    <w:p w14:paraId="0DFB2FE5" w14:textId="77777777" w:rsidR="00E0241A" w:rsidRPr="001F10BC" w:rsidRDefault="00E0241A" w:rsidP="00E0241A">
      <w:pPr>
        <w:pStyle w:val="Lijstalinea"/>
        <w:spacing w:line="360" w:lineRule="auto"/>
        <w:jc w:val="both"/>
        <w:rPr>
          <w:rFonts w:ascii="Verdana" w:hAnsi="Verdana"/>
          <w:i/>
          <w:sz w:val="18"/>
          <w:szCs w:val="18"/>
        </w:rPr>
      </w:pPr>
    </w:p>
    <w:p w14:paraId="2E59A841" w14:textId="5AB9EF90" w:rsidR="00654B41" w:rsidRPr="007C4A71" w:rsidRDefault="00E0241A" w:rsidP="00654B41">
      <w:pPr>
        <w:pStyle w:val="Lijstalinea"/>
        <w:numPr>
          <w:ilvl w:val="0"/>
          <w:numId w:val="2"/>
        </w:numPr>
        <w:spacing w:line="360" w:lineRule="auto"/>
        <w:jc w:val="both"/>
        <w:rPr>
          <w:rFonts w:ascii="Verdana" w:hAnsi="Verdana"/>
          <w:i/>
          <w:sz w:val="18"/>
          <w:szCs w:val="18"/>
        </w:rPr>
      </w:pPr>
      <w:r>
        <w:rPr>
          <w:rFonts w:ascii="Verdana" w:hAnsi="Verdana"/>
          <w:i/>
          <w:sz w:val="18"/>
          <w:szCs w:val="18"/>
        </w:rPr>
        <w:t xml:space="preserve">In hoeverre zijn </w:t>
      </w:r>
      <w:r w:rsidR="00625FD1">
        <w:rPr>
          <w:rFonts w:ascii="Verdana" w:hAnsi="Verdana"/>
          <w:i/>
          <w:sz w:val="18"/>
          <w:szCs w:val="18"/>
        </w:rPr>
        <w:t xml:space="preserve">blijkens jurisprudentieonderzoek de </w:t>
      </w:r>
      <w:r>
        <w:rPr>
          <w:rFonts w:ascii="Verdana" w:hAnsi="Verdana"/>
          <w:i/>
          <w:sz w:val="18"/>
          <w:szCs w:val="18"/>
        </w:rPr>
        <w:t xml:space="preserve">veroordelingen </w:t>
      </w:r>
      <w:r w:rsidR="00654B41">
        <w:rPr>
          <w:rFonts w:ascii="Verdana" w:hAnsi="Verdana"/>
          <w:i/>
          <w:sz w:val="18"/>
          <w:szCs w:val="18"/>
        </w:rPr>
        <w:t xml:space="preserve">op basis van Nederlandse wet- en regelgeving </w:t>
      </w:r>
      <w:r>
        <w:rPr>
          <w:rFonts w:ascii="Verdana" w:hAnsi="Verdana"/>
          <w:i/>
          <w:sz w:val="18"/>
          <w:szCs w:val="18"/>
        </w:rPr>
        <w:t>in strafzaken met betrekking</w:t>
      </w:r>
      <w:r w:rsidR="00625FD1">
        <w:rPr>
          <w:rFonts w:ascii="Verdana" w:hAnsi="Verdana"/>
          <w:i/>
          <w:sz w:val="18"/>
          <w:szCs w:val="18"/>
        </w:rPr>
        <w:t xml:space="preserve"> tot</w:t>
      </w:r>
      <w:r w:rsidR="00104955">
        <w:rPr>
          <w:rFonts w:ascii="Verdana" w:hAnsi="Verdana"/>
          <w:i/>
          <w:sz w:val="18"/>
          <w:szCs w:val="18"/>
        </w:rPr>
        <w:t xml:space="preserve"> het verblijf in weerwil van een inreisverbod</w:t>
      </w:r>
      <w:r>
        <w:rPr>
          <w:rFonts w:ascii="Verdana" w:hAnsi="Verdana"/>
          <w:i/>
          <w:sz w:val="18"/>
          <w:szCs w:val="18"/>
        </w:rPr>
        <w:t xml:space="preserve"> in lijn met </w:t>
      </w:r>
      <w:r w:rsidR="00654B41">
        <w:rPr>
          <w:rFonts w:ascii="Verdana" w:hAnsi="Verdana"/>
          <w:i/>
          <w:sz w:val="18"/>
          <w:szCs w:val="18"/>
        </w:rPr>
        <w:t xml:space="preserve">het </w:t>
      </w:r>
      <w:r w:rsidR="00625FD1">
        <w:rPr>
          <w:rFonts w:ascii="Verdana" w:hAnsi="Verdana"/>
          <w:i/>
          <w:sz w:val="18"/>
          <w:szCs w:val="18"/>
        </w:rPr>
        <w:t>Ouhrami arrest</w:t>
      </w:r>
      <w:r>
        <w:rPr>
          <w:rFonts w:ascii="Verdana" w:hAnsi="Verdana"/>
          <w:i/>
          <w:sz w:val="18"/>
          <w:szCs w:val="18"/>
        </w:rPr>
        <w:t>?</w:t>
      </w:r>
    </w:p>
    <w:p w14:paraId="20C32C85" w14:textId="760CE207" w:rsidR="008B4994" w:rsidRDefault="00CF5DD4" w:rsidP="008B4994">
      <w:pPr>
        <w:pBdr>
          <w:bottom w:val="single" w:sz="4" w:space="1" w:color="auto"/>
        </w:pBdr>
        <w:spacing w:line="360" w:lineRule="auto"/>
        <w:jc w:val="both"/>
        <w:rPr>
          <w:rFonts w:ascii="Verdana" w:hAnsi="Verdana"/>
          <w:i/>
          <w:sz w:val="18"/>
          <w:szCs w:val="18"/>
        </w:rPr>
      </w:pPr>
      <w:r>
        <w:rPr>
          <w:rFonts w:ascii="Verdana" w:hAnsi="Verdana"/>
          <w:i/>
          <w:sz w:val="18"/>
          <w:szCs w:val="18"/>
        </w:rPr>
        <w:br/>
      </w:r>
      <w:r w:rsidR="00034C89" w:rsidRPr="006C55D5">
        <w:rPr>
          <w:rFonts w:ascii="Verdana" w:hAnsi="Verdana"/>
          <w:i/>
          <w:sz w:val="18"/>
          <w:szCs w:val="18"/>
        </w:rPr>
        <w:t>1.3</w:t>
      </w:r>
      <w:r w:rsidR="008B4994">
        <w:rPr>
          <w:rFonts w:ascii="Verdana" w:hAnsi="Verdana"/>
          <w:i/>
          <w:sz w:val="18"/>
          <w:szCs w:val="18"/>
        </w:rPr>
        <w:t xml:space="preserve"> Operationaliseren van begrippen</w:t>
      </w:r>
    </w:p>
    <w:p w14:paraId="40081715" w14:textId="47DAED6E" w:rsidR="00F4219B" w:rsidRPr="008B4994" w:rsidRDefault="008B4994" w:rsidP="008B4994">
      <w:pPr>
        <w:spacing w:line="360" w:lineRule="auto"/>
        <w:jc w:val="both"/>
        <w:rPr>
          <w:rFonts w:ascii="Verdana" w:hAnsi="Verdana"/>
          <w:i/>
          <w:sz w:val="18"/>
          <w:szCs w:val="18"/>
        </w:rPr>
      </w:pPr>
      <w:r>
        <w:rPr>
          <w:rFonts w:ascii="Verdana" w:hAnsi="Verdana"/>
          <w:sz w:val="18"/>
          <w:szCs w:val="18"/>
        </w:rPr>
        <w:br/>
      </w:r>
      <w:r w:rsidR="00F4219B">
        <w:rPr>
          <w:rFonts w:ascii="Verdana" w:hAnsi="Verdana"/>
          <w:sz w:val="18"/>
          <w:szCs w:val="18"/>
        </w:rPr>
        <w:t>In dit onderzoek komen een aantal begrippen voor</w:t>
      </w:r>
      <w:r w:rsidR="00F37AC6">
        <w:rPr>
          <w:rFonts w:ascii="Verdana" w:hAnsi="Verdana"/>
          <w:sz w:val="18"/>
          <w:szCs w:val="18"/>
        </w:rPr>
        <w:t xml:space="preserve"> die een centrale plaats innemen. Het meetbaar maken van deze begrippen </w:t>
      </w:r>
      <w:r w:rsidR="00D10950">
        <w:rPr>
          <w:rFonts w:ascii="Verdana" w:hAnsi="Verdana"/>
          <w:sz w:val="18"/>
          <w:szCs w:val="18"/>
        </w:rPr>
        <w:t xml:space="preserve">is derhalve </w:t>
      </w:r>
      <w:r w:rsidR="00C0601A">
        <w:rPr>
          <w:rFonts w:ascii="Verdana" w:hAnsi="Verdana"/>
          <w:sz w:val="18"/>
          <w:szCs w:val="18"/>
        </w:rPr>
        <w:t>van belang.</w:t>
      </w:r>
      <w:r w:rsidR="001B64AB">
        <w:rPr>
          <w:rFonts w:ascii="Verdana" w:hAnsi="Verdana"/>
          <w:sz w:val="18"/>
          <w:szCs w:val="18"/>
        </w:rPr>
        <w:t xml:space="preserve"> Bij het operationaliseren is </w:t>
      </w:r>
      <w:r w:rsidR="00480C11">
        <w:rPr>
          <w:rFonts w:ascii="Verdana" w:hAnsi="Verdana"/>
          <w:sz w:val="18"/>
          <w:szCs w:val="18"/>
        </w:rPr>
        <w:t xml:space="preserve">onder meer </w:t>
      </w:r>
      <w:r w:rsidR="001B64AB">
        <w:rPr>
          <w:rFonts w:ascii="Verdana" w:hAnsi="Verdana"/>
          <w:sz w:val="18"/>
          <w:szCs w:val="18"/>
        </w:rPr>
        <w:t>gebruik gemaakt van</w:t>
      </w:r>
      <w:r w:rsidR="001A16D2">
        <w:rPr>
          <w:rFonts w:ascii="Verdana" w:hAnsi="Verdana"/>
          <w:sz w:val="18"/>
          <w:szCs w:val="18"/>
        </w:rPr>
        <w:t xml:space="preserve"> de definities </w:t>
      </w:r>
      <w:r w:rsidR="00CF735E">
        <w:rPr>
          <w:rFonts w:ascii="Verdana" w:hAnsi="Verdana"/>
          <w:sz w:val="18"/>
          <w:szCs w:val="18"/>
        </w:rPr>
        <w:t xml:space="preserve">zoals opgenomen </w:t>
      </w:r>
      <w:r w:rsidR="001A16D2">
        <w:rPr>
          <w:rFonts w:ascii="Verdana" w:hAnsi="Verdana"/>
          <w:sz w:val="18"/>
          <w:szCs w:val="18"/>
        </w:rPr>
        <w:t>in</w:t>
      </w:r>
      <w:r w:rsidR="001B64AB">
        <w:rPr>
          <w:rFonts w:ascii="Verdana" w:hAnsi="Verdana"/>
          <w:sz w:val="18"/>
          <w:szCs w:val="18"/>
        </w:rPr>
        <w:t xml:space="preserve"> artikel 3 van de Terugkeerrichtlijn.</w:t>
      </w:r>
    </w:p>
    <w:p w14:paraId="3CE1542D" w14:textId="2B671897" w:rsidR="00CF735E" w:rsidRDefault="00A272C4" w:rsidP="00034C89">
      <w:pPr>
        <w:spacing w:line="360" w:lineRule="auto"/>
        <w:jc w:val="both"/>
        <w:rPr>
          <w:rFonts w:ascii="Verdana" w:hAnsi="Verdana"/>
          <w:i/>
          <w:sz w:val="18"/>
          <w:szCs w:val="18"/>
        </w:rPr>
      </w:pPr>
      <w:r>
        <w:rPr>
          <w:rFonts w:ascii="Verdana" w:hAnsi="Verdana"/>
          <w:i/>
          <w:sz w:val="18"/>
          <w:szCs w:val="18"/>
        </w:rPr>
        <w:t>Derdelander</w:t>
      </w:r>
    </w:p>
    <w:p w14:paraId="2D273552" w14:textId="30A88381" w:rsidR="00CF735E" w:rsidRDefault="00CF735E" w:rsidP="00034C89">
      <w:pPr>
        <w:spacing w:line="360" w:lineRule="auto"/>
        <w:jc w:val="both"/>
        <w:rPr>
          <w:rFonts w:ascii="Verdana" w:hAnsi="Verdana"/>
          <w:sz w:val="18"/>
        </w:rPr>
      </w:pPr>
      <w:r>
        <w:rPr>
          <w:rFonts w:ascii="Verdana" w:hAnsi="Verdana"/>
          <w:sz w:val="18"/>
          <w:szCs w:val="18"/>
        </w:rPr>
        <w:t xml:space="preserve">Dit is eenieder die geen burger is van de Europese Unie in de zin van artikel </w:t>
      </w:r>
      <w:r w:rsidR="0077174A">
        <w:rPr>
          <w:rFonts w:ascii="Verdana" w:hAnsi="Verdana"/>
          <w:sz w:val="18"/>
          <w:szCs w:val="18"/>
        </w:rPr>
        <w:t xml:space="preserve">17 lid 1 van het Verdrag tot oprichting van de </w:t>
      </w:r>
      <w:r w:rsidR="0077174A">
        <w:rPr>
          <w:rFonts w:ascii="Verdana" w:hAnsi="Verdana"/>
          <w:sz w:val="18"/>
        </w:rPr>
        <w:t>Europese Gemeenschap en die niet onder het Gemeenschapsrecht inzake</w:t>
      </w:r>
      <w:r w:rsidR="001550F5">
        <w:rPr>
          <w:rFonts w:ascii="Verdana" w:hAnsi="Verdana"/>
          <w:sz w:val="18"/>
        </w:rPr>
        <w:t xml:space="preserve"> vrij verkeer valt zoals opgenomen</w:t>
      </w:r>
      <w:r w:rsidR="0077174A">
        <w:rPr>
          <w:rFonts w:ascii="Verdana" w:hAnsi="Verdana"/>
          <w:sz w:val="18"/>
        </w:rPr>
        <w:t xml:space="preserve"> in artikel 2 punt 5 van de Schengensgrenscode.</w:t>
      </w:r>
    </w:p>
    <w:p w14:paraId="6FD9001A" w14:textId="780CAA08" w:rsidR="00641699" w:rsidRDefault="00641699" w:rsidP="00034C89">
      <w:pPr>
        <w:spacing w:line="360" w:lineRule="auto"/>
        <w:jc w:val="both"/>
        <w:rPr>
          <w:rFonts w:ascii="Verdana" w:hAnsi="Verdana"/>
          <w:i/>
          <w:sz w:val="18"/>
        </w:rPr>
      </w:pPr>
      <w:r>
        <w:rPr>
          <w:rFonts w:ascii="Verdana" w:hAnsi="Verdana"/>
          <w:i/>
          <w:sz w:val="18"/>
        </w:rPr>
        <w:t>Illegaal verblijf</w:t>
      </w:r>
    </w:p>
    <w:p w14:paraId="64AF6640" w14:textId="77777777" w:rsidR="005A1079" w:rsidRDefault="00641699" w:rsidP="00034C89">
      <w:pPr>
        <w:spacing w:line="360" w:lineRule="auto"/>
        <w:jc w:val="both"/>
        <w:rPr>
          <w:rFonts w:ascii="Verdana" w:hAnsi="Verdana"/>
          <w:sz w:val="18"/>
        </w:rPr>
      </w:pPr>
      <w:r>
        <w:rPr>
          <w:rFonts w:ascii="Verdana" w:hAnsi="Verdana"/>
          <w:sz w:val="18"/>
        </w:rPr>
        <w:t>Dit is wanneer een derdelander op het grondgebied van een lidstaat verblijft, terwijl niet (meer) wordt voldaan aan de toegangsvoorwaarden zoals opgenomen in artikel 5 van de Schengengrenscode, dan wel aan een andere toegangsvoorwaarde.</w:t>
      </w:r>
    </w:p>
    <w:p w14:paraId="379D1D09" w14:textId="19A71A4C" w:rsidR="00480C11" w:rsidRDefault="00480C11" w:rsidP="00034C89">
      <w:pPr>
        <w:spacing w:line="360" w:lineRule="auto"/>
        <w:jc w:val="both"/>
        <w:rPr>
          <w:rFonts w:ascii="Verdana" w:hAnsi="Verdana"/>
          <w:i/>
          <w:sz w:val="18"/>
          <w:szCs w:val="18"/>
        </w:rPr>
      </w:pPr>
      <w:r>
        <w:rPr>
          <w:rFonts w:ascii="Verdana" w:hAnsi="Verdana"/>
          <w:i/>
          <w:sz w:val="18"/>
          <w:szCs w:val="18"/>
        </w:rPr>
        <w:lastRenderedPageBreak/>
        <w:t>Terugkeer</w:t>
      </w:r>
    </w:p>
    <w:p w14:paraId="55C24A3E" w14:textId="3AA88D0F" w:rsidR="00480C11" w:rsidRDefault="00480C11" w:rsidP="00034C89">
      <w:pPr>
        <w:spacing w:line="360" w:lineRule="auto"/>
        <w:jc w:val="both"/>
        <w:rPr>
          <w:rFonts w:ascii="Verdana" w:hAnsi="Verdana"/>
          <w:sz w:val="18"/>
          <w:szCs w:val="18"/>
        </w:rPr>
      </w:pPr>
      <w:r>
        <w:rPr>
          <w:rFonts w:ascii="Verdana" w:hAnsi="Verdana"/>
          <w:sz w:val="18"/>
          <w:szCs w:val="18"/>
        </w:rPr>
        <w:t>Dit is het proces waarbij een derdelander vrijwillig dan wel gedwongen terugkeert naar zijn land van herkomst, een land van doorreis of een ander derde land waar de derdelander wordt toegelaten.</w:t>
      </w:r>
    </w:p>
    <w:p w14:paraId="0807A167" w14:textId="1B006B96" w:rsidR="00034C89" w:rsidRDefault="00CF5DD4" w:rsidP="00944F3A">
      <w:pPr>
        <w:pBdr>
          <w:bottom w:val="single" w:sz="4" w:space="1" w:color="auto"/>
        </w:pBdr>
        <w:spacing w:line="360" w:lineRule="auto"/>
        <w:jc w:val="both"/>
        <w:rPr>
          <w:rFonts w:ascii="Verdana" w:hAnsi="Verdana"/>
          <w:i/>
          <w:sz w:val="18"/>
          <w:szCs w:val="18"/>
        </w:rPr>
      </w:pPr>
      <w:r>
        <w:rPr>
          <w:rFonts w:ascii="Verdana" w:hAnsi="Verdana"/>
          <w:i/>
          <w:sz w:val="18"/>
          <w:szCs w:val="18"/>
        </w:rPr>
        <w:br/>
      </w:r>
      <w:r w:rsidR="00C06F37">
        <w:rPr>
          <w:rFonts w:ascii="Verdana" w:hAnsi="Verdana"/>
          <w:i/>
          <w:sz w:val="18"/>
          <w:szCs w:val="18"/>
        </w:rPr>
        <w:t>1.4 Onderzoeksmethoden en verantwoording</w:t>
      </w:r>
    </w:p>
    <w:p w14:paraId="740739BD" w14:textId="543EFBA6" w:rsidR="008B4994" w:rsidRDefault="006F1B43" w:rsidP="00944F3A">
      <w:pPr>
        <w:spacing w:line="360" w:lineRule="auto"/>
        <w:jc w:val="both"/>
        <w:rPr>
          <w:rFonts w:ascii="Verdana" w:hAnsi="Verdana"/>
          <w:sz w:val="18"/>
        </w:rPr>
      </w:pPr>
      <w:r>
        <w:rPr>
          <w:rFonts w:ascii="Verdana" w:hAnsi="Verdana"/>
          <w:sz w:val="18"/>
        </w:rPr>
        <w:br/>
      </w:r>
      <w:r w:rsidR="00CC000D">
        <w:rPr>
          <w:rFonts w:ascii="Verdana" w:hAnsi="Verdana"/>
          <w:sz w:val="18"/>
        </w:rPr>
        <w:t xml:space="preserve">In dit onderzoek is </w:t>
      </w:r>
      <w:r>
        <w:rPr>
          <w:rFonts w:ascii="Verdana" w:hAnsi="Verdana"/>
          <w:sz w:val="18"/>
        </w:rPr>
        <w:t>voor de beantwoording van de deelvragen g</w:t>
      </w:r>
      <w:r w:rsidR="00CC000D">
        <w:rPr>
          <w:rFonts w:ascii="Verdana" w:hAnsi="Verdana"/>
          <w:sz w:val="18"/>
        </w:rPr>
        <w:t>ebruik</w:t>
      </w:r>
      <w:r>
        <w:rPr>
          <w:rFonts w:ascii="Verdana" w:hAnsi="Verdana"/>
          <w:sz w:val="18"/>
        </w:rPr>
        <w:t xml:space="preserve"> gemaakt van dossieronderzoek, jurisprudentieonderzoek, literatuuronderzoek en wetsanalyse.</w:t>
      </w:r>
    </w:p>
    <w:p w14:paraId="25D5ED4D" w14:textId="6C14DD72" w:rsidR="006F1B43" w:rsidRDefault="006F1B43" w:rsidP="00944F3A">
      <w:pPr>
        <w:spacing w:line="360" w:lineRule="auto"/>
        <w:jc w:val="both"/>
        <w:rPr>
          <w:rFonts w:ascii="Verdana" w:hAnsi="Verdana"/>
          <w:sz w:val="18"/>
        </w:rPr>
      </w:pPr>
      <w:r>
        <w:rPr>
          <w:rFonts w:ascii="Verdana" w:hAnsi="Verdana"/>
          <w:sz w:val="18"/>
        </w:rPr>
        <w:t xml:space="preserve">Met het literatuuronderzoek en de wetsanalyse is het theoretisch kader omtrent de uitvaardiging van inreisverboden en terugkeerbesluiten en de oplegging </w:t>
      </w:r>
      <w:r w:rsidR="00C17204">
        <w:rPr>
          <w:rFonts w:ascii="Verdana" w:hAnsi="Verdana"/>
          <w:sz w:val="18"/>
        </w:rPr>
        <w:t xml:space="preserve">van </w:t>
      </w:r>
      <w:r w:rsidR="00B820CC">
        <w:rPr>
          <w:rFonts w:ascii="Verdana" w:hAnsi="Verdana"/>
          <w:sz w:val="18"/>
        </w:rPr>
        <w:t>ongewenstverklaring</w:t>
      </w:r>
      <w:r w:rsidR="00C17204">
        <w:rPr>
          <w:rFonts w:ascii="Verdana" w:hAnsi="Verdana"/>
          <w:sz w:val="18"/>
        </w:rPr>
        <w:t>en</w:t>
      </w:r>
      <w:r>
        <w:rPr>
          <w:rFonts w:ascii="Verdana" w:hAnsi="Verdana"/>
          <w:sz w:val="18"/>
        </w:rPr>
        <w:t xml:space="preserve"> uiteengezet, alsmede de strafrechtelijke ve</w:t>
      </w:r>
      <w:r w:rsidR="00C17204">
        <w:rPr>
          <w:rFonts w:ascii="Verdana" w:hAnsi="Verdana"/>
          <w:sz w:val="18"/>
        </w:rPr>
        <w:t>rvolgingsmogelijkheden hier</w:t>
      </w:r>
      <w:r>
        <w:rPr>
          <w:rFonts w:ascii="Verdana" w:hAnsi="Verdana"/>
          <w:sz w:val="18"/>
        </w:rPr>
        <w:t xml:space="preserve">van. Voorts is </w:t>
      </w:r>
      <w:r w:rsidR="00C17204">
        <w:rPr>
          <w:rFonts w:ascii="Verdana" w:hAnsi="Verdana"/>
          <w:sz w:val="18"/>
        </w:rPr>
        <w:t xml:space="preserve">in dit kader </w:t>
      </w:r>
      <w:r>
        <w:rPr>
          <w:rFonts w:ascii="Verdana" w:hAnsi="Verdana"/>
          <w:sz w:val="18"/>
        </w:rPr>
        <w:t>de benodig</w:t>
      </w:r>
      <w:r w:rsidR="00C17204">
        <w:rPr>
          <w:rFonts w:ascii="Verdana" w:hAnsi="Verdana"/>
          <w:sz w:val="18"/>
        </w:rPr>
        <w:t xml:space="preserve">de wet- en regelgeving </w:t>
      </w:r>
      <w:r>
        <w:rPr>
          <w:rFonts w:ascii="Verdana" w:hAnsi="Verdana"/>
          <w:sz w:val="18"/>
        </w:rPr>
        <w:t>geanalyseerd. Met het literatuuronderzoek is tevens naar voren gebracht wat de gevolgen van het Ouhram</w:t>
      </w:r>
      <w:r w:rsidR="00AA7F7A">
        <w:rPr>
          <w:rFonts w:ascii="Verdana" w:hAnsi="Verdana"/>
          <w:sz w:val="18"/>
        </w:rPr>
        <w:t>i arrest zijn voor de praktijk.</w:t>
      </w:r>
    </w:p>
    <w:p w14:paraId="1AFD6E47" w14:textId="6BE28D3A" w:rsidR="006F1B43" w:rsidRDefault="006F1B43" w:rsidP="00920A26">
      <w:pPr>
        <w:spacing w:line="360" w:lineRule="auto"/>
        <w:jc w:val="both"/>
        <w:rPr>
          <w:rFonts w:ascii="Verdana" w:hAnsi="Verdana"/>
          <w:sz w:val="18"/>
        </w:rPr>
      </w:pPr>
      <w:r>
        <w:rPr>
          <w:rFonts w:ascii="Verdana" w:hAnsi="Verdana"/>
          <w:sz w:val="18"/>
        </w:rPr>
        <w:t xml:space="preserve">Voor het dossieronderzoek </w:t>
      </w:r>
      <w:r w:rsidR="00B5791B">
        <w:rPr>
          <w:rFonts w:ascii="Verdana" w:hAnsi="Verdana"/>
          <w:sz w:val="18"/>
        </w:rPr>
        <w:t>is gebruik gemaakt</w:t>
      </w:r>
      <w:r w:rsidR="0061598A">
        <w:rPr>
          <w:rFonts w:ascii="Verdana" w:hAnsi="Verdana"/>
          <w:sz w:val="18"/>
        </w:rPr>
        <w:t xml:space="preserve"> van dertien </w:t>
      </w:r>
      <w:r>
        <w:rPr>
          <w:rFonts w:ascii="Verdana" w:hAnsi="Verdana"/>
          <w:sz w:val="18"/>
        </w:rPr>
        <w:t xml:space="preserve">dossiers die hiertoe beschikbaar </w:t>
      </w:r>
      <w:r w:rsidR="00B5791B">
        <w:rPr>
          <w:rFonts w:ascii="Verdana" w:hAnsi="Verdana"/>
          <w:sz w:val="18"/>
        </w:rPr>
        <w:t xml:space="preserve">zijn </w:t>
      </w:r>
      <w:r>
        <w:rPr>
          <w:rFonts w:ascii="Verdana" w:hAnsi="Verdana"/>
          <w:sz w:val="18"/>
        </w:rPr>
        <w:t>gesteld door SVK-advocaten. Tijdens</w:t>
      </w:r>
      <w:r w:rsidR="00B5791B">
        <w:rPr>
          <w:rFonts w:ascii="Verdana" w:hAnsi="Verdana"/>
          <w:sz w:val="18"/>
        </w:rPr>
        <w:t xml:space="preserve"> het analyseren van de dossiers is met name bestudeerd of zowel de IND als – indien van toepassing – de bestuursrechter het Unierecht en de daarbij behorende regels naar behoren heeft toegepast. </w:t>
      </w:r>
      <w:r w:rsidR="00AA7F7A">
        <w:rPr>
          <w:rFonts w:ascii="Verdana" w:hAnsi="Verdana"/>
          <w:sz w:val="18"/>
        </w:rPr>
        <w:t xml:space="preserve">Hierbij is </w:t>
      </w:r>
      <w:r w:rsidR="00144F49">
        <w:rPr>
          <w:rFonts w:ascii="Verdana" w:hAnsi="Verdana"/>
          <w:sz w:val="18"/>
        </w:rPr>
        <w:t>aansluiting gezocht</w:t>
      </w:r>
      <w:r w:rsidR="00F3397A">
        <w:rPr>
          <w:rFonts w:ascii="Verdana" w:hAnsi="Verdana"/>
          <w:sz w:val="18"/>
        </w:rPr>
        <w:t xml:space="preserve"> bij de gevolgen van het Ouhrami arrest. Dit geldt tevens voor het jurisprudentieonderzoek</w:t>
      </w:r>
      <w:r w:rsidR="00AA7F7A">
        <w:rPr>
          <w:rFonts w:ascii="Verdana" w:hAnsi="Verdana"/>
          <w:sz w:val="18"/>
        </w:rPr>
        <w:t>.</w:t>
      </w:r>
      <w:r>
        <w:rPr>
          <w:rFonts w:ascii="Verdana" w:hAnsi="Verdana"/>
          <w:sz w:val="18"/>
        </w:rPr>
        <w:t xml:space="preserve"> </w:t>
      </w:r>
      <w:r w:rsidR="00AA7F7A">
        <w:rPr>
          <w:rFonts w:ascii="Verdana" w:hAnsi="Verdana"/>
          <w:sz w:val="18"/>
        </w:rPr>
        <w:t xml:space="preserve">In </w:t>
      </w:r>
      <w:r w:rsidR="008747EE">
        <w:rPr>
          <w:rFonts w:ascii="Verdana" w:hAnsi="Verdana"/>
          <w:sz w:val="18"/>
        </w:rPr>
        <w:t>dit kader z</w:t>
      </w:r>
      <w:r w:rsidR="002C5821">
        <w:rPr>
          <w:rFonts w:ascii="Verdana" w:hAnsi="Verdana"/>
          <w:sz w:val="18"/>
        </w:rPr>
        <w:t>ijn</w:t>
      </w:r>
      <w:r w:rsidR="00920A26">
        <w:rPr>
          <w:rFonts w:ascii="Verdana" w:hAnsi="Verdana"/>
          <w:sz w:val="18"/>
        </w:rPr>
        <w:t xml:space="preserve"> </w:t>
      </w:r>
      <w:r w:rsidR="00AA7F7A">
        <w:rPr>
          <w:rFonts w:ascii="Verdana" w:hAnsi="Verdana"/>
          <w:sz w:val="18"/>
        </w:rPr>
        <w:t xml:space="preserve">twintig uitspraken </w:t>
      </w:r>
      <w:r>
        <w:rPr>
          <w:rFonts w:ascii="Verdana" w:hAnsi="Verdana"/>
          <w:sz w:val="18"/>
        </w:rPr>
        <w:t>bestudeerd</w:t>
      </w:r>
      <w:r w:rsidR="00920A26">
        <w:rPr>
          <w:rFonts w:ascii="Verdana" w:hAnsi="Verdana"/>
          <w:sz w:val="18"/>
        </w:rPr>
        <w:t xml:space="preserve">, waarbij onderzocht </w:t>
      </w:r>
      <w:r w:rsidR="002C5821">
        <w:rPr>
          <w:rFonts w:ascii="Verdana" w:hAnsi="Verdana"/>
          <w:sz w:val="18"/>
        </w:rPr>
        <w:t>is</w:t>
      </w:r>
      <w:r w:rsidR="00920A26">
        <w:rPr>
          <w:rFonts w:ascii="Verdana" w:hAnsi="Verdana"/>
          <w:sz w:val="18"/>
        </w:rPr>
        <w:t xml:space="preserve"> of de uitkomst in lijn is met het Ouhrami arrest.</w:t>
      </w:r>
    </w:p>
    <w:p w14:paraId="34012A11" w14:textId="2BB78FE4" w:rsidR="00BE74B8" w:rsidRPr="00BE74B8" w:rsidRDefault="000428EB" w:rsidP="00944F3A">
      <w:pPr>
        <w:spacing w:line="360" w:lineRule="auto"/>
        <w:jc w:val="both"/>
        <w:rPr>
          <w:rFonts w:ascii="Verdana" w:hAnsi="Verdana"/>
          <w:sz w:val="18"/>
          <w:szCs w:val="18"/>
        </w:rPr>
      </w:pPr>
      <w:r>
        <w:rPr>
          <w:rFonts w:ascii="Verdana" w:hAnsi="Verdana"/>
          <w:sz w:val="18"/>
        </w:rPr>
        <w:t xml:space="preserve">Hieronder zullen </w:t>
      </w:r>
      <w:r w:rsidR="006F1B43">
        <w:rPr>
          <w:rFonts w:ascii="Verdana" w:hAnsi="Verdana"/>
          <w:sz w:val="18"/>
        </w:rPr>
        <w:t xml:space="preserve">per deelvraag </w:t>
      </w:r>
      <w:r w:rsidR="00182C22">
        <w:rPr>
          <w:rFonts w:ascii="Verdana" w:hAnsi="Verdana"/>
          <w:sz w:val="18"/>
        </w:rPr>
        <w:t>de onderzoeksmethode</w:t>
      </w:r>
      <w:r>
        <w:rPr>
          <w:rFonts w:ascii="Verdana" w:hAnsi="Verdana"/>
          <w:sz w:val="18"/>
        </w:rPr>
        <w:t>n</w:t>
      </w:r>
      <w:r w:rsidR="00182C22">
        <w:rPr>
          <w:rFonts w:ascii="Verdana" w:hAnsi="Verdana"/>
          <w:sz w:val="18"/>
        </w:rPr>
        <w:t xml:space="preserve"> worden verantwoord.</w:t>
      </w:r>
    </w:p>
    <w:p w14:paraId="49D4DD66" w14:textId="3C17DCC5" w:rsidR="006F1B43" w:rsidRPr="00CF5DD4" w:rsidRDefault="00BE74B8" w:rsidP="00944F3A">
      <w:pPr>
        <w:spacing w:line="360" w:lineRule="auto"/>
        <w:jc w:val="both"/>
        <w:rPr>
          <w:rFonts w:ascii="Verdana" w:hAnsi="Verdana"/>
          <w:sz w:val="18"/>
          <w:szCs w:val="18"/>
        </w:rPr>
      </w:pPr>
      <w:r>
        <w:rPr>
          <w:rFonts w:ascii="Verdana" w:eastAsia="Times New Roman" w:hAnsi="Verdana"/>
          <w:i/>
          <w:sz w:val="18"/>
          <w:szCs w:val="18"/>
          <w:lang w:eastAsia="nl-NL"/>
        </w:rPr>
        <w:br/>
      </w:r>
      <w:r w:rsidR="006F1B43" w:rsidRPr="00E73D1A">
        <w:rPr>
          <w:rFonts w:ascii="Verdana" w:eastAsia="Times New Roman" w:hAnsi="Verdana"/>
          <w:i/>
          <w:sz w:val="18"/>
          <w:szCs w:val="18"/>
          <w:lang w:eastAsia="nl-NL"/>
        </w:rPr>
        <w:t>Theorievragen</w:t>
      </w:r>
    </w:p>
    <w:p w14:paraId="229BAEED" w14:textId="75F65A78" w:rsidR="006F1B43" w:rsidRDefault="0045168D" w:rsidP="00944F3A">
      <w:pPr>
        <w:spacing w:line="360" w:lineRule="auto"/>
        <w:jc w:val="both"/>
        <w:rPr>
          <w:rFonts w:ascii="Verdana" w:hAnsi="Verdana"/>
          <w:sz w:val="18"/>
          <w:szCs w:val="18"/>
        </w:rPr>
      </w:pPr>
      <w:r>
        <w:rPr>
          <w:rFonts w:ascii="Verdana" w:hAnsi="Verdana"/>
          <w:sz w:val="18"/>
          <w:szCs w:val="18"/>
        </w:rPr>
        <w:t>1) Voor de beantwoording van de eerste</w:t>
      </w:r>
      <w:r w:rsidR="006F1B43">
        <w:rPr>
          <w:rFonts w:ascii="Verdana" w:hAnsi="Verdana"/>
          <w:sz w:val="18"/>
          <w:szCs w:val="18"/>
        </w:rPr>
        <w:t xml:space="preserve"> deelvraag is in dit onderzoek gekozen voor literatuuronderzoek en wetsanalyse, aangezien het voor de beantwoording noodzakelijk is om de nodige (algemene) kennis te vergaren omtrent de Europese wet- en regelgeving en de doorwerking daarvan in de Nederlandse wet- en regelgeving. Door relevante wetten en andere regelgevingen te analyseren en daarbij deugdelijke vakliteratuur te gebruiken, </w:t>
      </w:r>
      <w:r w:rsidR="00C5367E">
        <w:rPr>
          <w:rFonts w:ascii="Verdana" w:hAnsi="Verdana"/>
          <w:sz w:val="18"/>
          <w:szCs w:val="18"/>
        </w:rPr>
        <w:t>is het uiteindelijke antwoord betrouwbaar.</w:t>
      </w:r>
    </w:p>
    <w:p w14:paraId="4D6CFF01" w14:textId="12D7C64D" w:rsidR="0045168D" w:rsidRDefault="00696080" w:rsidP="00944F3A">
      <w:pPr>
        <w:spacing w:line="360" w:lineRule="auto"/>
        <w:jc w:val="both"/>
        <w:rPr>
          <w:rFonts w:ascii="Verdana" w:hAnsi="Verdana"/>
          <w:sz w:val="18"/>
          <w:szCs w:val="18"/>
        </w:rPr>
      </w:pPr>
      <w:r>
        <w:rPr>
          <w:rFonts w:ascii="Verdana" w:hAnsi="Verdana"/>
          <w:sz w:val="18"/>
          <w:szCs w:val="18"/>
        </w:rPr>
        <w:t>Wat de bronnen betreft</w:t>
      </w:r>
      <w:r w:rsidR="006F1B43">
        <w:rPr>
          <w:rFonts w:ascii="Verdana" w:hAnsi="Verdana"/>
          <w:sz w:val="18"/>
          <w:szCs w:val="18"/>
        </w:rPr>
        <w:t xml:space="preserve"> is gekozen voor zowel gebruik van vakliteratuur (C.A. Groenendijk en M.L. van Riel 2017, P. Boeles 2010</w:t>
      </w:r>
      <w:r w:rsidR="00B759BB">
        <w:rPr>
          <w:rFonts w:ascii="Verdana" w:hAnsi="Verdana"/>
          <w:sz w:val="18"/>
          <w:szCs w:val="18"/>
        </w:rPr>
        <w:t xml:space="preserve">, </w:t>
      </w:r>
      <w:r w:rsidR="006F1B43">
        <w:rPr>
          <w:rFonts w:ascii="Verdana" w:hAnsi="Verdana"/>
          <w:sz w:val="18"/>
          <w:szCs w:val="18"/>
        </w:rPr>
        <w:t>ACVZ 2018</w:t>
      </w:r>
      <w:r w:rsidR="00B759BB">
        <w:rPr>
          <w:rFonts w:ascii="Verdana" w:hAnsi="Verdana"/>
          <w:sz w:val="18"/>
          <w:szCs w:val="18"/>
        </w:rPr>
        <w:t xml:space="preserve"> en J.R.K.A.M. Waasdorp en A. Pahladsingh 2018</w:t>
      </w:r>
      <w:r w:rsidR="006F1B43">
        <w:rPr>
          <w:rFonts w:ascii="Verdana" w:hAnsi="Verdana"/>
          <w:sz w:val="18"/>
          <w:szCs w:val="18"/>
        </w:rPr>
        <w:t>) als van vaste jurisprudentie van de Afdeling, het HvJEU en de Hoge Raad. Voor</w:t>
      </w:r>
      <w:r w:rsidR="00A81AEC">
        <w:rPr>
          <w:rFonts w:ascii="Verdana" w:hAnsi="Verdana"/>
          <w:sz w:val="18"/>
          <w:szCs w:val="18"/>
        </w:rPr>
        <w:t>ts zijn verscheidene Europese r</w:t>
      </w:r>
      <w:r w:rsidR="00D46D08">
        <w:rPr>
          <w:rFonts w:ascii="Verdana" w:hAnsi="Verdana"/>
          <w:sz w:val="18"/>
          <w:szCs w:val="18"/>
        </w:rPr>
        <w:t>i</w:t>
      </w:r>
      <w:r w:rsidR="006F1B43">
        <w:rPr>
          <w:rFonts w:ascii="Verdana" w:hAnsi="Verdana"/>
          <w:sz w:val="18"/>
          <w:szCs w:val="18"/>
        </w:rPr>
        <w:t>chtlijnen bestudeerd en is het doel van de wetgever in kaart gebracht middels het bestuderen van Kamerstukken.</w:t>
      </w:r>
    </w:p>
    <w:p w14:paraId="205E8F63" w14:textId="0873F3C7" w:rsidR="006F1B43" w:rsidRDefault="0045168D" w:rsidP="00944F3A">
      <w:pPr>
        <w:spacing w:line="360" w:lineRule="auto"/>
        <w:jc w:val="both"/>
        <w:rPr>
          <w:rFonts w:ascii="Verdana" w:hAnsi="Verdana"/>
          <w:sz w:val="18"/>
          <w:szCs w:val="18"/>
        </w:rPr>
      </w:pPr>
      <w:r>
        <w:rPr>
          <w:rFonts w:ascii="Verdana" w:hAnsi="Verdana"/>
          <w:sz w:val="18"/>
          <w:szCs w:val="18"/>
        </w:rPr>
        <w:br/>
        <w:t>2) Voor de beantwoording van de tweede</w:t>
      </w:r>
      <w:r w:rsidR="006F1B43">
        <w:rPr>
          <w:rFonts w:ascii="Verdana" w:hAnsi="Verdana"/>
          <w:sz w:val="18"/>
          <w:szCs w:val="18"/>
        </w:rPr>
        <w:t xml:space="preserve"> deelvraag is in dit onderzoek gekozen voor literatuuronderzoek en wetsanalyse, aangezien het noodzakelijk is om de nodige (algemene) kennis te vergaren omtrent de Europese wet- en regelgeving en de doorwerking daarvan in de Nederlandse </w:t>
      </w:r>
      <w:r w:rsidR="006F1B43">
        <w:rPr>
          <w:rFonts w:ascii="Verdana" w:hAnsi="Verdana"/>
          <w:sz w:val="18"/>
          <w:szCs w:val="18"/>
        </w:rPr>
        <w:lastRenderedPageBreak/>
        <w:t xml:space="preserve">wet- en regelgeving. Door relevante wetten en andere regelgevingen te analyseren en daarbij deugdelijke vakliteratuur te gebruiken, </w:t>
      </w:r>
      <w:r w:rsidR="00696080">
        <w:rPr>
          <w:rFonts w:ascii="Verdana" w:hAnsi="Verdana"/>
          <w:sz w:val="18"/>
          <w:szCs w:val="18"/>
        </w:rPr>
        <w:t xml:space="preserve">is het uiteindelijke antwoord betrouwbaar. </w:t>
      </w:r>
    </w:p>
    <w:p w14:paraId="7A5ED201" w14:textId="605E97C1" w:rsidR="006F1B43" w:rsidRDefault="00696080" w:rsidP="00944F3A">
      <w:pPr>
        <w:spacing w:line="360" w:lineRule="auto"/>
        <w:jc w:val="both"/>
        <w:rPr>
          <w:rFonts w:ascii="Verdana" w:hAnsi="Verdana"/>
          <w:sz w:val="18"/>
          <w:szCs w:val="18"/>
        </w:rPr>
      </w:pPr>
      <w:r>
        <w:rPr>
          <w:rFonts w:ascii="Verdana" w:hAnsi="Verdana"/>
          <w:sz w:val="18"/>
          <w:szCs w:val="18"/>
        </w:rPr>
        <w:t>Wat de bronnen betreft is</w:t>
      </w:r>
      <w:r w:rsidR="006F1B43">
        <w:rPr>
          <w:rFonts w:ascii="Verdana" w:hAnsi="Verdana"/>
          <w:sz w:val="18"/>
          <w:szCs w:val="18"/>
        </w:rPr>
        <w:t xml:space="preserve"> eveneens gekozen voor zowel gebruik van vakliteratuur (C.A. Groenendijk en M.L. van Riel 2017, P. Boeles 2018 en ACVZ 2018) als van vaste jurisprudentie van de Afdeling en het HvJEU. Voort</w:t>
      </w:r>
      <w:r w:rsidR="00A81AEC">
        <w:rPr>
          <w:rFonts w:ascii="Verdana" w:hAnsi="Verdana"/>
          <w:sz w:val="18"/>
          <w:szCs w:val="18"/>
        </w:rPr>
        <w:t>s zijn verschillende Europese r</w:t>
      </w:r>
      <w:r>
        <w:rPr>
          <w:rFonts w:ascii="Verdana" w:hAnsi="Verdana"/>
          <w:sz w:val="18"/>
          <w:szCs w:val="18"/>
        </w:rPr>
        <w:t>i</w:t>
      </w:r>
      <w:r w:rsidR="006F1B43">
        <w:rPr>
          <w:rFonts w:ascii="Verdana" w:hAnsi="Verdana"/>
          <w:sz w:val="18"/>
          <w:szCs w:val="18"/>
        </w:rPr>
        <w:t>chtlijnen bestudeerd en is het doel van de wetgever in kaart gebracht middels het bestuderen van de memorie van toelichting van de Vw 2000</w:t>
      </w:r>
      <w:r w:rsidR="00652278">
        <w:rPr>
          <w:rFonts w:ascii="Verdana" w:hAnsi="Verdana"/>
          <w:sz w:val="18"/>
          <w:szCs w:val="18"/>
        </w:rPr>
        <w:t>. Ook is een recente brief van de Staatssecretar</w:t>
      </w:r>
      <w:r>
        <w:rPr>
          <w:rFonts w:ascii="Verdana" w:hAnsi="Verdana"/>
          <w:sz w:val="18"/>
          <w:szCs w:val="18"/>
        </w:rPr>
        <w:t>is betrokken bij het onderzoek.</w:t>
      </w:r>
    </w:p>
    <w:p w14:paraId="22AB78F6" w14:textId="3BC73067" w:rsidR="006F1B43" w:rsidRDefault="0045168D" w:rsidP="00944F3A">
      <w:pPr>
        <w:spacing w:line="360" w:lineRule="auto"/>
        <w:jc w:val="both"/>
        <w:rPr>
          <w:rFonts w:ascii="Verdana" w:hAnsi="Verdana"/>
          <w:sz w:val="18"/>
          <w:szCs w:val="18"/>
        </w:rPr>
      </w:pPr>
      <w:r>
        <w:rPr>
          <w:rFonts w:ascii="Verdana" w:hAnsi="Verdana"/>
          <w:sz w:val="18"/>
          <w:szCs w:val="18"/>
        </w:rPr>
        <w:br/>
        <w:t>3) Voor de beantwoording van de derde</w:t>
      </w:r>
      <w:r w:rsidR="006F1B43">
        <w:rPr>
          <w:rFonts w:ascii="Verdana" w:hAnsi="Verdana"/>
          <w:sz w:val="18"/>
          <w:szCs w:val="18"/>
        </w:rPr>
        <w:t xml:space="preserve"> deelvraag is in dit onderzoek gekozen voor literatuuronderzoek en wetsanalyse, aangezien het noodzakelijk is om de nodige (algemene) kennis te vergaren omtrent de Europese wet- en regelgeving en de doorwerking daarvan in de Nederlandse wet- en regelgeving. Door relevante wetten en andere regelgevingen te analyseren en daarbij deugdelijke vakliteratuur te gebruiken, </w:t>
      </w:r>
      <w:r w:rsidR="00696080">
        <w:rPr>
          <w:rFonts w:ascii="Verdana" w:hAnsi="Verdana"/>
          <w:sz w:val="18"/>
          <w:szCs w:val="18"/>
        </w:rPr>
        <w:t xml:space="preserve">is het </w:t>
      </w:r>
      <w:r w:rsidR="003F3C6F">
        <w:rPr>
          <w:rFonts w:ascii="Verdana" w:hAnsi="Verdana"/>
          <w:sz w:val="18"/>
          <w:szCs w:val="18"/>
        </w:rPr>
        <w:t>uiteindelijke</w:t>
      </w:r>
      <w:r w:rsidR="00696080">
        <w:rPr>
          <w:rFonts w:ascii="Verdana" w:hAnsi="Verdana"/>
          <w:sz w:val="18"/>
          <w:szCs w:val="18"/>
        </w:rPr>
        <w:t xml:space="preserve"> antwoord betrouwbaar.</w:t>
      </w:r>
    </w:p>
    <w:p w14:paraId="308B2F59" w14:textId="59FBCD07" w:rsidR="006F1B43" w:rsidRDefault="006F1B43" w:rsidP="00944F3A">
      <w:pPr>
        <w:spacing w:line="360" w:lineRule="auto"/>
        <w:jc w:val="both"/>
        <w:rPr>
          <w:rFonts w:ascii="Verdana" w:hAnsi="Verdana"/>
          <w:sz w:val="18"/>
          <w:szCs w:val="18"/>
        </w:rPr>
      </w:pPr>
      <w:r>
        <w:rPr>
          <w:rFonts w:ascii="Verdana" w:hAnsi="Verdana"/>
          <w:sz w:val="18"/>
          <w:szCs w:val="18"/>
        </w:rPr>
        <w:t xml:space="preserve">Ter beantwoording van deze deelvraag is gebruik gemaakt van uiteenlopende bronnen. Hierbij is wederom gekozen voor zowel gebruik van vakliteratuur (C.L.G.F.H. Albert 2017, J.C.A. de Poorter en B.W.N. de Waardt 2003, P. Boeles 2018, C.A. Groenendijk en M.L. van Riel 2017 en M. Eliantonio en A. Wiesbrock 2011) als van vaste jurisprudentie van de Afdeling, de Hoge Raad en </w:t>
      </w:r>
      <w:r w:rsidR="00A81AEC">
        <w:rPr>
          <w:rFonts w:ascii="Verdana" w:hAnsi="Verdana"/>
          <w:sz w:val="18"/>
          <w:szCs w:val="18"/>
        </w:rPr>
        <w:t>het EHRM. Voorts zijn Europese r</w:t>
      </w:r>
      <w:r>
        <w:rPr>
          <w:rFonts w:ascii="Verdana" w:hAnsi="Verdana"/>
          <w:sz w:val="18"/>
          <w:szCs w:val="18"/>
        </w:rPr>
        <w:t>ichtlijnen bestudeerd en is het doel van de wetgever in kaart gebracht middels het bestuderen van de memorie van toelichting van de Vw 2000.</w:t>
      </w:r>
    </w:p>
    <w:p w14:paraId="66A43708" w14:textId="76A0D3C6" w:rsidR="006F1B43" w:rsidRDefault="0045168D" w:rsidP="00944F3A">
      <w:pPr>
        <w:spacing w:line="360" w:lineRule="auto"/>
        <w:jc w:val="both"/>
        <w:rPr>
          <w:rFonts w:ascii="Verdana" w:hAnsi="Verdana"/>
          <w:sz w:val="18"/>
          <w:szCs w:val="18"/>
        </w:rPr>
      </w:pPr>
      <w:r>
        <w:rPr>
          <w:rFonts w:ascii="Verdana" w:hAnsi="Verdana"/>
          <w:sz w:val="18"/>
          <w:szCs w:val="18"/>
        </w:rPr>
        <w:br/>
        <w:t>4) Voor de beantwoording van de vierde</w:t>
      </w:r>
      <w:r w:rsidR="006F1B43">
        <w:rPr>
          <w:rFonts w:ascii="Verdana" w:hAnsi="Verdana"/>
          <w:sz w:val="18"/>
          <w:szCs w:val="18"/>
        </w:rPr>
        <w:t xml:space="preserve"> deelvraag is in dit onderzoek gekozen voor literatuuronderzoek en wetsanalyse, aangezien het voor de beantwoording noodzakelijk is om de nodige (algemene) kennis te vergaren omtrent de relevante wetsartikelen in het Sr en in de Vw 2000. Door relevante wetten en andere regelgevingen te analyseren en daarbij deugdelijke vakliteratuur te gebruiken, kan uiteindelijk een betrouwbaar antwoord worden gegeven. </w:t>
      </w:r>
    </w:p>
    <w:p w14:paraId="63A9C422" w14:textId="1A295604" w:rsidR="006F1B43" w:rsidRDefault="00D46D08" w:rsidP="00944F3A">
      <w:pPr>
        <w:spacing w:line="360" w:lineRule="auto"/>
        <w:jc w:val="both"/>
        <w:rPr>
          <w:rFonts w:ascii="Verdana" w:hAnsi="Verdana"/>
          <w:sz w:val="18"/>
          <w:szCs w:val="18"/>
        </w:rPr>
      </w:pPr>
      <w:r>
        <w:rPr>
          <w:rFonts w:ascii="Verdana" w:hAnsi="Verdana"/>
          <w:sz w:val="18"/>
          <w:szCs w:val="18"/>
        </w:rPr>
        <w:t>Er is</w:t>
      </w:r>
      <w:r w:rsidR="006F1B43">
        <w:rPr>
          <w:rFonts w:ascii="Verdana" w:hAnsi="Verdana"/>
          <w:sz w:val="18"/>
          <w:szCs w:val="18"/>
        </w:rPr>
        <w:t xml:space="preserve"> gebruik gemaakt van uiteenlopende bronnen. Hierbij is gekozen voor zowel gebruik van vakliteratuur (J. Waasdorp 2018, A. Leerkes en E. Boersema 2014, N. Ros 2015 en G. Cornelisse 2017) als van vaste jurisprudentie van het HvJEU en de Hoge Raad. Voorts zijn aanbevelingen van de Europese Commissie bestudeerd en is het doel van de wetgever in kaart gebracht middels het bestuderen van de memorie van toelichting van de Vw 2000.</w:t>
      </w:r>
    </w:p>
    <w:p w14:paraId="02D62A9E" w14:textId="0319FF2F" w:rsidR="006F1B43" w:rsidRDefault="00804160" w:rsidP="00944F3A">
      <w:pPr>
        <w:spacing w:line="360" w:lineRule="auto"/>
        <w:jc w:val="both"/>
        <w:rPr>
          <w:rFonts w:ascii="Verdana" w:hAnsi="Verdana"/>
          <w:sz w:val="18"/>
          <w:szCs w:val="18"/>
        </w:rPr>
      </w:pPr>
      <w:r>
        <w:rPr>
          <w:rFonts w:ascii="Verdana" w:hAnsi="Verdana"/>
          <w:sz w:val="18"/>
          <w:szCs w:val="18"/>
        </w:rPr>
        <w:br/>
        <w:t xml:space="preserve">5) </w:t>
      </w:r>
      <w:r w:rsidR="006F1B43">
        <w:rPr>
          <w:rFonts w:ascii="Verdana" w:hAnsi="Verdana"/>
          <w:sz w:val="18"/>
          <w:szCs w:val="18"/>
        </w:rPr>
        <w:t xml:space="preserve">Voor de beantwoording van </w:t>
      </w:r>
      <w:r>
        <w:rPr>
          <w:rFonts w:ascii="Verdana" w:hAnsi="Verdana"/>
          <w:sz w:val="18"/>
          <w:szCs w:val="18"/>
        </w:rPr>
        <w:t>de vijfde deelvraag</w:t>
      </w:r>
      <w:r w:rsidR="006F1B43">
        <w:rPr>
          <w:rFonts w:ascii="Verdana" w:hAnsi="Verdana"/>
          <w:sz w:val="18"/>
          <w:szCs w:val="18"/>
        </w:rPr>
        <w:t xml:space="preserve"> is in dit onderzoek gekozen voor grondig literatuuronderzoek, aangezien het voor de beantwoording noodzakelijk is om de gevolgen middels zowel het </w:t>
      </w:r>
      <w:r w:rsidR="00A05EAB">
        <w:rPr>
          <w:rFonts w:ascii="Verdana" w:hAnsi="Verdana"/>
          <w:sz w:val="18"/>
          <w:szCs w:val="18"/>
        </w:rPr>
        <w:t xml:space="preserve">Ouhrami </w:t>
      </w:r>
      <w:r w:rsidR="006F1B43">
        <w:rPr>
          <w:rFonts w:ascii="Verdana" w:hAnsi="Verdana"/>
          <w:sz w:val="18"/>
          <w:szCs w:val="18"/>
        </w:rPr>
        <w:t>arrest als middels vakliteratuur te achterhalen. In de vakliteratuur is hier in een vrij korte periode al veel over geschreven, waardoor het uiteindelijke antwoord betrouwbaar zal zijn.</w:t>
      </w:r>
    </w:p>
    <w:p w14:paraId="644DEC2E" w14:textId="07E9AB11" w:rsidR="00C55D0B" w:rsidRPr="00406D4F" w:rsidRDefault="006F1B43" w:rsidP="00944F3A">
      <w:pPr>
        <w:spacing w:line="360" w:lineRule="auto"/>
        <w:jc w:val="both"/>
        <w:rPr>
          <w:rFonts w:ascii="Verdana" w:hAnsi="Verdana"/>
          <w:sz w:val="18"/>
          <w:szCs w:val="18"/>
        </w:rPr>
      </w:pPr>
      <w:r>
        <w:rPr>
          <w:rFonts w:ascii="Verdana" w:hAnsi="Verdana"/>
          <w:sz w:val="18"/>
          <w:szCs w:val="18"/>
        </w:rPr>
        <w:t xml:space="preserve">Ter beantwoording van deze deelvraag is uiteraard gebruik gemaakt van (de conclusies inzake) het Ouhrami arrest van het HvJEU en het daarbij behorende arrest van de Hoge Raad. Voorts zijn de </w:t>
      </w:r>
      <w:r w:rsidRPr="00406D4F">
        <w:rPr>
          <w:rFonts w:ascii="Verdana" w:hAnsi="Verdana"/>
          <w:sz w:val="18"/>
          <w:szCs w:val="18"/>
        </w:rPr>
        <w:t xml:space="preserve">gevolgen in kaart gebracht middels vakliteratuur (D. Baldinger 2013, G. Cornelisse 2017, M. Stronks 2017 P. Boeles 2018 en ACVZ 2018). Daarbij is </w:t>
      </w:r>
      <w:r w:rsidR="00937A34">
        <w:rPr>
          <w:rFonts w:ascii="Verdana" w:hAnsi="Verdana"/>
          <w:sz w:val="18"/>
          <w:szCs w:val="18"/>
        </w:rPr>
        <w:t xml:space="preserve">eveneens gebruik gemaakt van de verkregen </w:t>
      </w:r>
      <w:r w:rsidR="00937A34">
        <w:rPr>
          <w:rFonts w:ascii="Verdana" w:hAnsi="Verdana"/>
          <w:sz w:val="18"/>
          <w:szCs w:val="18"/>
        </w:rPr>
        <w:lastRenderedPageBreak/>
        <w:t>informatie tijdens het</w:t>
      </w:r>
      <w:r w:rsidRPr="00406D4F">
        <w:rPr>
          <w:rFonts w:ascii="Verdana" w:hAnsi="Verdana"/>
          <w:sz w:val="18"/>
          <w:szCs w:val="18"/>
        </w:rPr>
        <w:t xml:space="preserve"> verkennend interview met </w:t>
      </w:r>
      <w:r w:rsidR="00937A34">
        <w:rPr>
          <w:rFonts w:ascii="Verdana" w:hAnsi="Verdana"/>
          <w:sz w:val="18"/>
          <w:szCs w:val="18"/>
        </w:rPr>
        <w:t xml:space="preserve">M.I. </w:t>
      </w:r>
      <w:r w:rsidR="00426C41">
        <w:rPr>
          <w:rFonts w:ascii="Verdana" w:hAnsi="Verdana"/>
          <w:sz w:val="18"/>
          <w:szCs w:val="18"/>
        </w:rPr>
        <w:t>Vennik en tijdens het</w:t>
      </w:r>
      <w:r w:rsidR="003442F0">
        <w:rPr>
          <w:rFonts w:ascii="Verdana" w:hAnsi="Verdana"/>
          <w:sz w:val="18"/>
          <w:szCs w:val="18"/>
        </w:rPr>
        <w:t xml:space="preserve"> bijgewoonde Symposium inzake het Inreisverbod.</w:t>
      </w:r>
    </w:p>
    <w:p w14:paraId="07F41DE7" w14:textId="326A1868" w:rsidR="006F1B43" w:rsidRPr="00E73D1A" w:rsidRDefault="004A7AB1" w:rsidP="00944F3A">
      <w:pPr>
        <w:spacing w:line="360" w:lineRule="auto"/>
        <w:jc w:val="both"/>
        <w:rPr>
          <w:rFonts w:ascii="Verdana" w:hAnsi="Verdana"/>
          <w:i/>
          <w:sz w:val="18"/>
          <w:szCs w:val="18"/>
        </w:rPr>
      </w:pPr>
      <w:r>
        <w:rPr>
          <w:rFonts w:ascii="Verdana" w:hAnsi="Verdana"/>
          <w:i/>
          <w:sz w:val="18"/>
          <w:szCs w:val="18"/>
        </w:rPr>
        <w:br/>
      </w:r>
      <w:r w:rsidR="006F1B43" w:rsidRPr="00E73D1A">
        <w:rPr>
          <w:rFonts w:ascii="Verdana" w:hAnsi="Verdana"/>
          <w:i/>
          <w:sz w:val="18"/>
          <w:szCs w:val="18"/>
        </w:rPr>
        <w:t>Praktijkvragen</w:t>
      </w:r>
    </w:p>
    <w:p w14:paraId="19CA6730" w14:textId="061E6CDD" w:rsidR="00366DE5" w:rsidRPr="00544081" w:rsidRDefault="00770CA1" w:rsidP="00366DE5">
      <w:pPr>
        <w:spacing w:after="0" w:line="360" w:lineRule="auto"/>
        <w:jc w:val="both"/>
        <w:rPr>
          <w:rFonts w:ascii="Verdana" w:hAnsi="Verdana"/>
          <w:sz w:val="18"/>
          <w:szCs w:val="18"/>
        </w:rPr>
      </w:pPr>
      <w:r>
        <w:rPr>
          <w:rFonts w:ascii="Verdana" w:hAnsi="Verdana"/>
          <w:sz w:val="18"/>
          <w:szCs w:val="18"/>
        </w:rPr>
        <w:t xml:space="preserve">1) </w:t>
      </w:r>
      <w:r w:rsidR="006F1B43" w:rsidRPr="00406D4F">
        <w:rPr>
          <w:rFonts w:ascii="Verdana" w:hAnsi="Verdana"/>
          <w:sz w:val="18"/>
          <w:szCs w:val="18"/>
        </w:rPr>
        <w:t xml:space="preserve">Voor de beantwoording van </w:t>
      </w:r>
      <w:r>
        <w:rPr>
          <w:rFonts w:ascii="Verdana" w:hAnsi="Verdana"/>
          <w:sz w:val="18"/>
          <w:szCs w:val="18"/>
        </w:rPr>
        <w:t>de eerste praktijkdeelvraag</w:t>
      </w:r>
      <w:r w:rsidR="006F1B43">
        <w:rPr>
          <w:rFonts w:ascii="Verdana" w:hAnsi="Verdana"/>
          <w:sz w:val="18"/>
          <w:szCs w:val="18"/>
        </w:rPr>
        <w:t xml:space="preserve"> is in dit onderzoek gekozen voor dossieronderzoek, aangezien hieruit </w:t>
      </w:r>
      <w:r w:rsidR="00D53162">
        <w:rPr>
          <w:rFonts w:ascii="Verdana" w:hAnsi="Verdana"/>
          <w:sz w:val="18"/>
          <w:szCs w:val="18"/>
        </w:rPr>
        <w:t>concreet</w:t>
      </w:r>
      <w:r w:rsidR="006F1B43">
        <w:rPr>
          <w:rFonts w:ascii="Verdana" w:hAnsi="Verdana"/>
          <w:sz w:val="18"/>
          <w:szCs w:val="18"/>
        </w:rPr>
        <w:t xml:space="preserve"> </w:t>
      </w:r>
      <w:r w:rsidR="00E665F9">
        <w:rPr>
          <w:rFonts w:ascii="Verdana" w:hAnsi="Verdana"/>
          <w:sz w:val="18"/>
          <w:szCs w:val="18"/>
        </w:rPr>
        <w:t xml:space="preserve">zal </w:t>
      </w:r>
      <w:r w:rsidR="006F1B43">
        <w:rPr>
          <w:rFonts w:ascii="Verdana" w:hAnsi="Verdana"/>
          <w:sz w:val="18"/>
          <w:szCs w:val="18"/>
        </w:rPr>
        <w:t>blijken waaraan de Staatssecretaris momenteel toets</w:t>
      </w:r>
      <w:r w:rsidR="006F3418">
        <w:rPr>
          <w:rFonts w:ascii="Verdana" w:hAnsi="Verdana"/>
          <w:sz w:val="18"/>
          <w:szCs w:val="18"/>
        </w:rPr>
        <w:t>t</w:t>
      </w:r>
      <w:r w:rsidR="006F1B43">
        <w:rPr>
          <w:rFonts w:ascii="Verdana" w:hAnsi="Verdana"/>
          <w:sz w:val="18"/>
          <w:szCs w:val="18"/>
        </w:rPr>
        <w:t xml:space="preserve"> bij </w:t>
      </w:r>
      <w:r w:rsidR="00426C41">
        <w:rPr>
          <w:rFonts w:ascii="Verdana" w:hAnsi="Verdana"/>
          <w:sz w:val="18"/>
          <w:szCs w:val="18"/>
        </w:rPr>
        <w:t>de intrekking van een verblijfsvergunning en bij de oplegging van een terugkeerbesluit. Ook zal hier</w:t>
      </w:r>
      <w:r w:rsidR="00E665F9">
        <w:rPr>
          <w:rFonts w:ascii="Verdana" w:hAnsi="Verdana"/>
          <w:sz w:val="18"/>
          <w:szCs w:val="18"/>
        </w:rPr>
        <w:t>uit</w:t>
      </w:r>
      <w:r w:rsidR="00426C41">
        <w:rPr>
          <w:rFonts w:ascii="Verdana" w:hAnsi="Verdana"/>
          <w:sz w:val="18"/>
          <w:szCs w:val="18"/>
        </w:rPr>
        <w:t xml:space="preserve"> </w:t>
      </w:r>
      <w:r w:rsidR="006F1B43">
        <w:rPr>
          <w:rFonts w:ascii="Verdana" w:hAnsi="Verdana"/>
          <w:sz w:val="18"/>
          <w:szCs w:val="18"/>
        </w:rPr>
        <w:t xml:space="preserve">de toets die de </w:t>
      </w:r>
      <w:r w:rsidR="00D53162">
        <w:rPr>
          <w:rFonts w:ascii="Verdana" w:hAnsi="Verdana"/>
          <w:sz w:val="18"/>
          <w:szCs w:val="18"/>
        </w:rPr>
        <w:t>bestuursrechter</w:t>
      </w:r>
      <w:r w:rsidR="00E665F9">
        <w:rPr>
          <w:rFonts w:ascii="Verdana" w:hAnsi="Verdana"/>
          <w:sz w:val="18"/>
          <w:szCs w:val="18"/>
        </w:rPr>
        <w:t xml:space="preserve"> momenteel hanteert </w:t>
      </w:r>
      <w:r w:rsidR="00426C41">
        <w:rPr>
          <w:rFonts w:ascii="Verdana" w:hAnsi="Verdana"/>
          <w:sz w:val="18"/>
          <w:szCs w:val="18"/>
        </w:rPr>
        <w:t>blijken, alsmede wanneer de bestuursrechter</w:t>
      </w:r>
      <w:r w:rsidR="00366DE5">
        <w:rPr>
          <w:rFonts w:ascii="Verdana" w:hAnsi="Verdana"/>
          <w:sz w:val="18"/>
          <w:szCs w:val="18"/>
        </w:rPr>
        <w:t xml:space="preserve"> procesbelang aanneemt. Hiervoor zijn in totaal dertien dossiers </w:t>
      </w:r>
      <w:r w:rsidR="00366DE5">
        <w:rPr>
          <w:rFonts w:ascii="Verdana" w:eastAsia="Times New Roman" w:hAnsi="Verdana"/>
          <w:sz w:val="18"/>
          <w:szCs w:val="18"/>
          <w:lang w:eastAsia="nl-NL"/>
        </w:rPr>
        <w:t>gebruikt die allen zien op (het voornemen tot) intrekking van een verblijfsvergunning en het daarbij behorende terugkeerbesluit, alsmede op de uitvaardiging van een inreisverbod. Opgemerkt dient te worden dat zes dossiers enkel zien op de zienswijze- en/of bezwaarprocedure, terwijl de andere zeven dossiers (ook) zien ook op de beroepsprocedure bij de bestuursrechter.</w:t>
      </w:r>
    </w:p>
    <w:p w14:paraId="1EA1EF72" w14:textId="08948FB1" w:rsidR="00126DAA" w:rsidRPr="00974402" w:rsidRDefault="00126DAA" w:rsidP="00944F3A">
      <w:pPr>
        <w:spacing w:line="360" w:lineRule="auto"/>
        <w:jc w:val="both"/>
        <w:rPr>
          <w:rFonts w:ascii="Verdana" w:hAnsi="Verdana"/>
          <w:sz w:val="18"/>
          <w:szCs w:val="18"/>
        </w:rPr>
      </w:pPr>
    </w:p>
    <w:p w14:paraId="40E04D26" w14:textId="1BF897F8" w:rsidR="007C5C9E" w:rsidRDefault="00770CA1" w:rsidP="00944F3A">
      <w:pPr>
        <w:spacing w:line="360" w:lineRule="auto"/>
        <w:jc w:val="both"/>
        <w:rPr>
          <w:rFonts w:ascii="Verdana" w:hAnsi="Verdana"/>
          <w:sz w:val="18"/>
          <w:szCs w:val="18"/>
        </w:rPr>
      </w:pPr>
      <w:r>
        <w:rPr>
          <w:rFonts w:ascii="Verdana" w:hAnsi="Verdana"/>
          <w:sz w:val="18"/>
          <w:szCs w:val="18"/>
        </w:rPr>
        <w:t xml:space="preserve">2) </w:t>
      </w:r>
      <w:r w:rsidR="006F1B43">
        <w:rPr>
          <w:rFonts w:ascii="Verdana" w:hAnsi="Verdana"/>
          <w:sz w:val="18"/>
          <w:szCs w:val="18"/>
        </w:rPr>
        <w:t xml:space="preserve">Voor de beantwoording van </w:t>
      </w:r>
      <w:r>
        <w:rPr>
          <w:rFonts w:ascii="Verdana" w:hAnsi="Verdana"/>
          <w:sz w:val="18"/>
          <w:szCs w:val="18"/>
        </w:rPr>
        <w:t>de tweede praktijk</w:t>
      </w:r>
      <w:r w:rsidR="006F1B43">
        <w:rPr>
          <w:rFonts w:ascii="Verdana" w:hAnsi="Verdana"/>
          <w:sz w:val="18"/>
          <w:szCs w:val="18"/>
        </w:rPr>
        <w:t>deelvraag is in dit onderzoek gekozen voor jurisprudentieonderzoek, aang</w:t>
      </w:r>
      <w:r w:rsidR="00CF4D71">
        <w:rPr>
          <w:rFonts w:ascii="Verdana" w:hAnsi="Verdana"/>
          <w:sz w:val="18"/>
          <w:szCs w:val="18"/>
        </w:rPr>
        <w:t xml:space="preserve">ezien het voor de beantwoording </w:t>
      </w:r>
      <w:r w:rsidR="006F1B43">
        <w:rPr>
          <w:rFonts w:ascii="Verdana" w:hAnsi="Verdana"/>
          <w:sz w:val="18"/>
          <w:szCs w:val="18"/>
        </w:rPr>
        <w:t xml:space="preserve">noodzakelijk is om de nodige inzichten te </w:t>
      </w:r>
      <w:r w:rsidR="00CF4D71">
        <w:rPr>
          <w:rFonts w:ascii="Verdana" w:hAnsi="Verdana"/>
          <w:sz w:val="18"/>
          <w:szCs w:val="18"/>
        </w:rPr>
        <w:t>ver</w:t>
      </w:r>
      <w:r w:rsidR="006F1B43">
        <w:rPr>
          <w:rFonts w:ascii="Verdana" w:hAnsi="Verdana"/>
          <w:sz w:val="18"/>
          <w:szCs w:val="18"/>
        </w:rPr>
        <w:t xml:space="preserve">krijgen in de rechtsoverwegingen die </w:t>
      </w:r>
      <w:r w:rsidR="00CF4D71">
        <w:rPr>
          <w:rFonts w:ascii="Verdana" w:hAnsi="Verdana"/>
          <w:sz w:val="18"/>
          <w:szCs w:val="18"/>
        </w:rPr>
        <w:t>zijn</w:t>
      </w:r>
      <w:r w:rsidR="006F1B43">
        <w:rPr>
          <w:rFonts w:ascii="Verdana" w:hAnsi="Verdana"/>
          <w:sz w:val="18"/>
          <w:szCs w:val="18"/>
        </w:rPr>
        <w:t xml:space="preserve"> genomen door de Nederlandse rechters en raadsheren, voorafgaande aan het Ouhrami arrest. Op deze manier </w:t>
      </w:r>
      <w:r w:rsidR="00CF4D71">
        <w:rPr>
          <w:rFonts w:ascii="Verdana" w:hAnsi="Verdana"/>
          <w:sz w:val="18"/>
          <w:szCs w:val="18"/>
        </w:rPr>
        <w:t>was</w:t>
      </w:r>
      <w:r w:rsidR="007C5C9E">
        <w:rPr>
          <w:rFonts w:ascii="Verdana" w:hAnsi="Verdana"/>
          <w:sz w:val="18"/>
          <w:szCs w:val="18"/>
        </w:rPr>
        <w:t xml:space="preserve"> het mogelijk om te beoordelen </w:t>
      </w:r>
      <w:r w:rsidR="006F1B43">
        <w:rPr>
          <w:rFonts w:ascii="Verdana" w:hAnsi="Verdana"/>
          <w:sz w:val="18"/>
          <w:szCs w:val="18"/>
        </w:rPr>
        <w:t xml:space="preserve">of de eventuele veroordeling van de vreemdeling rechtmatig </w:t>
      </w:r>
      <w:r w:rsidR="00CF4D71">
        <w:rPr>
          <w:rFonts w:ascii="Verdana" w:hAnsi="Verdana"/>
          <w:sz w:val="18"/>
          <w:szCs w:val="18"/>
        </w:rPr>
        <w:t>was</w:t>
      </w:r>
      <w:r w:rsidR="00DA72A8">
        <w:rPr>
          <w:rFonts w:ascii="Verdana" w:hAnsi="Verdana"/>
          <w:sz w:val="18"/>
          <w:szCs w:val="18"/>
        </w:rPr>
        <w:t xml:space="preserve"> (lees: was er </w:t>
      </w:r>
      <w:r w:rsidR="00CF4D71">
        <w:rPr>
          <w:rFonts w:ascii="Verdana" w:hAnsi="Verdana"/>
          <w:sz w:val="18"/>
          <w:szCs w:val="18"/>
        </w:rPr>
        <w:t>een adequate</w:t>
      </w:r>
      <w:r w:rsidR="00DA72A8">
        <w:rPr>
          <w:rFonts w:ascii="Verdana" w:hAnsi="Verdana"/>
          <w:sz w:val="18"/>
          <w:szCs w:val="18"/>
        </w:rPr>
        <w:t xml:space="preserve"> wettelijke grondslag?)</w:t>
      </w:r>
      <w:r w:rsidR="007C5C9E">
        <w:rPr>
          <w:rFonts w:ascii="Verdana" w:hAnsi="Verdana"/>
          <w:sz w:val="18"/>
          <w:szCs w:val="18"/>
        </w:rPr>
        <w:t>.</w:t>
      </w:r>
      <w:r w:rsidR="00891F8C">
        <w:rPr>
          <w:rFonts w:ascii="Verdana" w:hAnsi="Verdana"/>
          <w:sz w:val="18"/>
          <w:szCs w:val="18"/>
        </w:rPr>
        <w:t xml:space="preserve"> </w:t>
      </w:r>
    </w:p>
    <w:p w14:paraId="0BCB52C2" w14:textId="74D29E92" w:rsidR="007E151A" w:rsidRDefault="006F1B43" w:rsidP="00DA72A8">
      <w:pPr>
        <w:spacing w:line="360" w:lineRule="auto"/>
        <w:jc w:val="both"/>
        <w:rPr>
          <w:rFonts w:ascii="Verdana" w:hAnsi="Verdana"/>
          <w:sz w:val="18"/>
          <w:szCs w:val="18"/>
        </w:rPr>
      </w:pPr>
      <w:r>
        <w:rPr>
          <w:rFonts w:ascii="Verdana" w:hAnsi="Verdana"/>
          <w:sz w:val="18"/>
          <w:szCs w:val="18"/>
        </w:rPr>
        <w:t>Ter beantwoording van deze deelv</w:t>
      </w:r>
      <w:r w:rsidR="00891F8C">
        <w:rPr>
          <w:rFonts w:ascii="Verdana" w:hAnsi="Verdana"/>
          <w:sz w:val="18"/>
          <w:szCs w:val="18"/>
        </w:rPr>
        <w:t>raag zijn</w:t>
      </w:r>
      <w:r>
        <w:rPr>
          <w:rFonts w:ascii="Verdana" w:hAnsi="Verdana"/>
          <w:sz w:val="18"/>
          <w:szCs w:val="18"/>
        </w:rPr>
        <w:t xml:space="preserve"> </w:t>
      </w:r>
      <w:r w:rsidR="00891F8C">
        <w:rPr>
          <w:rFonts w:ascii="Verdana" w:hAnsi="Verdana"/>
          <w:sz w:val="18"/>
          <w:szCs w:val="18"/>
        </w:rPr>
        <w:t>twintig</w:t>
      </w:r>
      <w:r>
        <w:rPr>
          <w:rFonts w:ascii="Verdana" w:hAnsi="Verdana"/>
          <w:sz w:val="18"/>
          <w:szCs w:val="18"/>
        </w:rPr>
        <w:t xml:space="preserve"> gepublic</w:t>
      </w:r>
      <w:r w:rsidR="00B85862">
        <w:rPr>
          <w:rFonts w:ascii="Verdana" w:hAnsi="Verdana"/>
          <w:sz w:val="18"/>
          <w:szCs w:val="18"/>
        </w:rPr>
        <w:t>eerde uitspraken onderzocht. Vijf</w:t>
      </w:r>
      <w:r>
        <w:rPr>
          <w:rFonts w:ascii="Verdana" w:hAnsi="Verdana"/>
          <w:sz w:val="18"/>
          <w:szCs w:val="18"/>
        </w:rPr>
        <w:t xml:space="preserve"> uitspraken zijn van de rechtbank en vijftien uitspraken zijn van het gerechtshof. In alle uitspraken gaat het om overtreding van artikel 197 Sr. Naast de vraag of de eventue</w:t>
      </w:r>
      <w:r w:rsidR="00CF4D71">
        <w:rPr>
          <w:rFonts w:ascii="Verdana" w:hAnsi="Verdana"/>
          <w:sz w:val="18"/>
          <w:szCs w:val="18"/>
        </w:rPr>
        <w:t>le vervolging rechtmatig was</w:t>
      </w:r>
      <w:r>
        <w:rPr>
          <w:rFonts w:ascii="Verdana" w:hAnsi="Verdana"/>
          <w:sz w:val="18"/>
          <w:szCs w:val="18"/>
        </w:rPr>
        <w:t xml:space="preserve">, </w:t>
      </w:r>
      <w:r w:rsidR="00891F8C">
        <w:rPr>
          <w:rFonts w:ascii="Verdana" w:hAnsi="Verdana"/>
          <w:sz w:val="18"/>
          <w:szCs w:val="18"/>
        </w:rPr>
        <w:t>is voor het onderzoek</w:t>
      </w:r>
      <w:r>
        <w:rPr>
          <w:rFonts w:ascii="Verdana" w:hAnsi="Verdana"/>
          <w:sz w:val="18"/>
          <w:szCs w:val="18"/>
        </w:rPr>
        <w:t xml:space="preserve"> </w:t>
      </w:r>
      <w:r w:rsidR="00333441">
        <w:rPr>
          <w:rFonts w:ascii="Verdana" w:hAnsi="Verdana"/>
          <w:sz w:val="18"/>
          <w:szCs w:val="18"/>
        </w:rPr>
        <w:t xml:space="preserve">enigszins </w:t>
      </w:r>
      <w:r>
        <w:rPr>
          <w:rFonts w:ascii="Verdana" w:hAnsi="Verdana"/>
          <w:sz w:val="18"/>
          <w:szCs w:val="18"/>
        </w:rPr>
        <w:t>nagegaan of de overwegingen van het gerechtshof afwijken van de rechtsoverwegingen van de rechtbank.</w:t>
      </w:r>
      <w:r w:rsidR="00333441">
        <w:rPr>
          <w:rFonts w:ascii="Verdana" w:hAnsi="Verdana"/>
          <w:sz w:val="18"/>
          <w:szCs w:val="18"/>
        </w:rPr>
        <w:t xml:space="preserve"> Uiteindelijk is </w:t>
      </w:r>
      <w:r w:rsidR="00AC6C12">
        <w:rPr>
          <w:rFonts w:ascii="Verdana" w:hAnsi="Verdana"/>
          <w:sz w:val="18"/>
          <w:szCs w:val="18"/>
        </w:rPr>
        <w:t xml:space="preserve">weloverwogen </w:t>
      </w:r>
      <w:r w:rsidR="00333441">
        <w:rPr>
          <w:rFonts w:ascii="Verdana" w:hAnsi="Verdana"/>
          <w:sz w:val="18"/>
          <w:szCs w:val="18"/>
        </w:rPr>
        <w:t xml:space="preserve">gekozen voor aanzienlijk meer </w:t>
      </w:r>
      <w:r w:rsidR="00E73C8D">
        <w:rPr>
          <w:rFonts w:ascii="Verdana" w:hAnsi="Verdana"/>
          <w:sz w:val="18"/>
          <w:szCs w:val="18"/>
        </w:rPr>
        <w:t xml:space="preserve">uitspraken van het gerechtshof. Reden hiervoor is dat meer uitspraken van het gerechtshof waren gepubliceerd, maar ook dat het gerechtshof een hogere rechterlijke instantie is en het oordeel uiteindelijk relevanter is voor dit onderzoek. </w:t>
      </w:r>
      <w:r w:rsidR="00891F8C">
        <w:rPr>
          <w:rFonts w:ascii="Verdana" w:hAnsi="Verdana"/>
          <w:sz w:val="18"/>
          <w:szCs w:val="18"/>
        </w:rPr>
        <w:t>De topics waarnaar is gekeken zijn verwerkt in een schema en deze zijn opgenomen in dit onderzoek.</w:t>
      </w:r>
    </w:p>
    <w:p w14:paraId="73A24296" w14:textId="77777777" w:rsidR="00DA72A8" w:rsidRPr="00DA72A8" w:rsidRDefault="00DA72A8" w:rsidP="00DA72A8">
      <w:pPr>
        <w:spacing w:line="360" w:lineRule="auto"/>
        <w:jc w:val="both"/>
        <w:rPr>
          <w:rFonts w:ascii="Verdana" w:hAnsi="Verdana"/>
          <w:sz w:val="18"/>
          <w:szCs w:val="18"/>
        </w:rPr>
      </w:pPr>
    </w:p>
    <w:p w14:paraId="060E7EBE" w14:textId="7520F618" w:rsidR="001D2D41" w:rsidRPr="001D2D41" w:rsidRDefault="001D2D41" w:rsidP="001D2D41">
      <w:pPr>
        <w:pBdr>
          <w:bottom w:val="single" w:sz="4" w:space="1" w:color="auto"/>
        </w:pBdr>
        <w:spacing w:line="360" w:lineRule="auto"/>
        <w:jc w:val="both"/>
        <w:rPr>
          <w:rFonts w:ascii="Verdana" w:hAnsi="Verdana"/>
          <w:i/>
          <w:sz w:val="18"/>
          <w:szCs w:val="18"/>
        </w:rPr>
      </w:pPr>
      <w:r>
        <w:rPr>
          <w:rFonts w:ascii="Verdana" w:hAnsi="Verdana"/>
          <w:i/>
          <w:sz w:val="18"/>
          <w:szCs w:val="18"/>
        </w:rPr>
        <w:t>1.5 Leeswijzer</w:t>
      </w:r>
    </w:p>
    <w:p w14:paraId="544A4A2D" w14:textId="77777777" w:rsidR="002B2B19" w:rsidRDefault="002B2B19" w:rsidP="00944F3A">
      <w:pPr>
        <w:spacing w:after="0" w:line="360" w:lineRule="auto"/>
        <w:jc w:val="both"/>
        <w:rPr>
          <w:rFonts w:ascii="Verdana" w:hAnsi="Verdana"/>
          <w:sz w:val="18"/>
          <w:szCs w:val="18"/>
        </w:rPr>
      </w:pPr>
    </w:p>
    <w:p w14:paraId="41AB5AD8" w14:textId="64BE3473" w:rsidR="00A621D6" w:rsidRDefault="008361F6" w:rsidP="00944F3A">
      <w:pPr>
        <w:spacing w:after="0" w:line="360" w:lineRule="auto"/>
        <w:jc w:val="both"/>
        <w:rPr>
          <w:rFonts w:ascii="Verdana" w:hAnsi="Verdana"/>
          <w:sz w:val="18"/>
          <w:szCs w:val="18"/>
        </w:rPr>
      </w:pPr>
      <w:r>
        <w:rPr>
          <w:rFonts w:ascii="Verdana" w:hAnsi="Verdana"/>
          <w:sz w:val="18"/>
          <w:szCs w:val="18"/>
        </w:rPr>
        <w:t>In hoofdstuk 2 van dit onderzoe</w:t>
      </w:r>
      <w:r w:rsidR="009A3E4F">
        <w:rPr>
          <w:rFonts w:ascii="Verdana" w:hAnsi="Verdana"/>
          <w:sz w:val="18"/>
          <w:szCs w:val="18"/>
        </w:rPr>
        <w:t>k zal het juridisch kader uiteengezet worden</w:t>
      </w:r>
      <w:r>
        <w:rPr>
          <w:rFonts w:ascii="Verdana" w:hAnsi="Verdana"/>
          <w:sz w:val="18"/>
          <w:szCs w:val="18"/>
        </w:rPr>
        <w:t>. Hiermee zullen de theoretische deelvragen worden beantwoord.</w:t>
      </w:r>
      <w:r w:rsidR="008F5577">
        <w:rPr>
          <w:rFonts w:ascii="Verdana" w:hAnsi="Verdana"/>
          <w:sz w:val="18"/>
          <w:szCs w:val="18"/>
        </w:rPr>
        <w:t xml:space="preserve"> In hoofdstuk 3 worden vervolgens de resultaten van het praktijkonderzoek besproken, waarna </w:t>
      </w:r>
      <w:r w:rsidR="008F5577" w:rsidRPr="00A621D6">
        <w:rPr>
          <w:rFonts w:ascii="Verdana" w:hAnsi="Verdana"/>
          <w:sz w:val="18"/>
          <w:szCs w:val="18"/>
        </w:rPr>
        <w:t>in hoofdstuk 4 antwoord geg</w:t>
      </w:r>
      <w:r w:rsidR="00A621D6">
        <w:rPr>
          <w:rFonts w:ascii="Verdana" w:hAnsi="Verdana"/>
          <w:sz w:val="18"/>
          <w:szCs w:val="18"/>
        </w:rPr>
        <w:t xml:space="preserve">even wordt op de centrale vraag middels een advies en aanbevelingen worden geformuleerd. </w:t>
      </w:r>
    </w:p>
    <w:p w14:paraId="6FEF0FF1" w14:textId="77777777" w:rsidR="00A621D6" w:rsidRDefault="00A621D6" w:rsidP="00A0087E">
      <w:pPr>
        <w:spacing w:after="0" w:line="360" w:lineRule="auto"/>
        <w:jc w:val="both"/>
        <w:rPr>
          <w:rFonts w:ascii="Verdana" w:hAnsi="Verdana"/>
          <w:sz w:val="18"/>
          <w:szCs w:val="18"/>
        </w:rPr>
      </w:pPr>
    </w:p>
    <w:p w14:paraId="57997358" w14:textId="77777777" w:rsidR="00A621D6" w:rsidRDefault="00A621D6">
      <w:pPr>
        <w:spacing w:after="0" w:line="240" w:lineRule="auto"/>
        <w:rPr>
          <w:rFonts w:ascii="Verdana" w:hAnsi="Verdana"/>
          <w:sz w:val="18"/>
          <w:szCs w:val="18"/>
        </w:rPr>
      </w:pPr>
      <w:r>
        <w:rPr>
          <w:rFonts w:ascii="Verdana" w:hAnsi="Verdana"/>
          <w:sz w:val="18"/>
          <w:szCs w:val="18"/>
        </w:rPr>
        <w:br w:type="page"/>
      </w:r>
    </w:p>
    <w:p w14:paraId="5C446BAD" w14:textId="41438D88" w:rsidR="00F47FD0" w:rsidRDefault="00F47FD0" w:rsidP="00A0087E">
      <w:pPr>
        <w:spacing w:after="0" w:line="360" w:lineRule="auto"/>
        <w:jc w:val="both"/>
        <w:rPr>
          <w:rFonts w:ascii="Verdana" w:hAnsi="Verdana"/>
          <w:b/>
          <w:sz w:val="18"/>
          <w:szCs w:val="18"/>
        </w:rPr>
      </w:pPr>
      <w:r>
        <w:rPr>
          <w:rFonts w:ascii="Verdana" w:hAnsi="Verdana"/>
          <w:b/>
          <w:sz w:val="18"/>
          <w:szCs w:val="18"/>
        </w:rPr>
        <w:lastRenderedPageBreak/>
        <w:t>Hoofdstuk 2</w:t>
      </w:r>
    </w:p>
    <w:p w14:paraId="2F25F8D8" w14:textId="77777777" w:rsidR="00032840" w:rsidRDefault="00032840" w:rsidP="00032840">
      <w:pPr>
        <w:spacing w:after="0" w:line="360" w:lineRule="auto"/>
        <w:jc w:val="both"/>
        <w:rPr>
          <w:rFonts w:ascii="Verdana" w:hAnsi="Verdana"/>
          <w:i/>
          <w:sz w:val="18"/>
          <w:szCs w:val="18"/>
        </w:rPr>
      </w:pPr>
    </w:p>
    <w:p w14:paraId="6FAB0255" w14:textId="30A0B91A" w:rsidR="006B67FF" w:rsidRDefault="006B67FF" w:rsidP="00A0087E">
      <w:pPr>
        <w:pBdr>
          <w:bottom w:val="single" w:sz="4" w:space="1" w:color="auto"/>
        </w:pBdr>
        <w:spacing w:after="0" w:line="360" w:lineRule="auto"/>
        <w:jc w:val="both"/>
        <w:rPr>
          <w:rFonts w:ascii="Verdana" w:hAnsi="Verdana"/>
          <w:i/>
          <w:sz w:val="18"/>
          <w:szCs w:val="18"/>
        </w:rPr>
      </w:pPr>
      <w:r>
        <w:rPr>
          <w:rFonts w:ascii="Verdana" w:hAnsi="Verdana"/>
          <w:i/>
          <w:sz w:val="18"/>
          <w:szCs w:val="18"/>
        </w:rPr>
        <w:t>2.1 Het Unierecht</w:t>
      </w:r>
    </w:p>
    <w:p w14:paraId="68EC92A3" w14:textId="77777777" w:rsidR="00032840" w:rsidRPr="006B67FF" w:rsidRDefault="00032840" w:rsidP="00944F3A">
      <w:pPr>
        <w:spacing w:after="0" w:line="360" w:lineRule="auto"/>
        <w:jc w:val="both"/>
        <w:rPr>
          <w:rFonts w:ascii="Verdana" w:hAnsi="Verdana"/>
          <w:i/>
          <w:sz w:val="18"/>
          <w:szCs w:val="18"/>
        </w:rPr>
      </w:pPr>
    </w:p>
    <w:p w14:paraId="5B2E9630" w14:textId="6DDB8C54" w:rsidR="00F47FD0" w:rsidRDefault="00F47FD0" w:rsidP="00F47FD0">
      <w:pPr>
        <w:spacing w:line="360" w:lineRule="auto"/>
        <w:jc w:val="both"/>
        <w:rPr>
          <w:rFonts w:ascii="Verdana" w:eastAsia="Times New Roman" w:hAnsi="Verdana"/>
          <w:sz w:val="18"/>
          <w:szCs w:val="18"/>
          <w:lang w:eastAsia="nl-NL"/>
        </w:rPr>
      </w:pPr>
      <w:r>
        <w:rPr>
          <w:rFonts w:ascii="Verdana" w:eastAsia="Times New Roman" w:hAnsi="Verdana"/>
          <w:sz w:val="18"/>
          <w:szCs w:val="18"/>
          <w:lang w:eastAsia="nl-NL"/>
        </w:rPr>
        <w:t xml:space="preserve">Doordat Nederland deel uitmaakt van de Europese Unie (hierna: de EU), is het gebonden aan het Recht van de Europese Unie (hierna: het Unierecht). Dit recht bestaat – voor wat betreft de migratierechtelijke normen – onder meer uit het Verdrag betreffende de werking van de Europese Unie (hierna: VwEU), verordeningen, richtlijnen en het Handvest van de grondrechten van de EU (hierna: </w:t>
      </w:r>
      <w:r w:rsidR="009460C2">
        <w:rPr>
          <w:rFonts w:ascii="Verdana" w:eastAsia="Times New Roman" w:hAnsi="Verdana"/>
          <w:sz w:val="18"/>
          <w:szCs w:val="18"/>
          <w:lang w:eastAsia="nl-NL"/>
        </w:rPr>
        <w:t xml:space="preserve">het </w:t>
      </w:r>
      <w:r>
        <w:rPr>
          <w:rFonts w:ascii="Verdana" w:eastAsia="Times New Roman" w:hAnsi="Verdana"/>
          <w:sz w:val="18"/>
          <w:szCs w:val="18"/>
          <w:lang w:eastAsia="nl-NL"/>
        </w:rPr>
        <w:t>Handvest).</w:t>
      </w:r>
      <w:r>
        <w:rPr>
          <w:rStyle w:val="Voetnootmarkering"/>
          <w:rFonts w:ascii="Verdana" w:eastAsia="Times New Roman" w:hAnsi="Verdana"/>
          <w:sz w:val="18"/>
          <w:szCs w:val="18"/>
          <w:lang w:eastAsia="nl-NL"/>
        </w:rPr>
        <w:footnoteReference w:id="7"/>
      </w:r>
      <w:r>
        <w:rPr>
          <w:rFonts w:ascii="Verdana" w:eastAsia="Times New Roman" w:hAnsi="Verdana"/>
          <w:sz w:val="18"/>
          <w:szCs w:val="18"/>
          <w:lang w:eastAsia="nl-NL"/>
        </w:rPr>
        <w:t xml:space="preserve"> De toepassing van het Unierecht heeft in Nederland zowel institutionele als procedurele en inhoudelijke gevolgen. Een institutioneel gevolg is bijvoorbeeld dat alle nationale rechters prejudiciële vragen kunnen stellen aan het HvJEU en dat de uitspraken die het HvJEU doet omtrent de toepassing van het Unierecht vervolgens bindend zijn voor de lidstaten.</w:t>
      </w:r>
      <w:r w:rsidR="00091E4C">
        <w:rPr>
          <w:rStyle w:val="Voetnootmarkering"/>
          <w:rFonts w:ascii="Verdana" w:eastAsia="Times New Roman" w:hAnsi="Verdana"/>
          <w:sz w:val="18"/>
          <w:szCs w:val="18"/>
          <w:lang w:eastAsia="nl-NL"/>
        </w:rPr>
        <w:footnoteReference w:id="8"/>
      </w:r>
      <w:r>
        <w:rPr>
          <w:rFonts w:ascii="Verdana" w:eastAsia="Times New Roman" w:hAnsi="Verdana"/>
          <w:sz w:val="18"/>
          <w:szCs w:val="18"/>
          <w:lang w:eastAsia="nl-NL"/>
        </w:rPr>
        <w:t xml:space="preserve"> Daarnaast is de wetgever verplicht om de bepalingen die voortvloeien uit Unierechtelijke richtlijnen om te zetten in nationale wetgeving. Procedurele en inhoudelijke gevolgen zijn onder meer dat de (nationale) bestuursrechter een beschikking vol dient te toetsen en </w:t>
      </w:r>
      <w:r w:rsidR="00A6762E">
        <w:rPr>
          <w:rFonts w:ascii="Verdana" w:eastAsia="Times New Roman" w:hAnsi="Verdana"/>
          <w:sz w:val="18"/>
          <w:szCs w:val="18"/>
          <w:lang w:eastAsia="nl-NL"/>
        </w:rPr>
        <w:t xml:space="preserve">dat het Unierecht </w:t>
      </w:r>
      <w:r>
        <w:rPr>
          <w:rFonts w:ascii="Verdana" w:eastAsia="Times New Roman" w:hAnsi="Verdana"/>
          <w:sz w:val="18"/>
          <w:szCs w:val="18"/>
          <w:lang w:eastAsia="nl-NL"/>
        </w:rPr>
        <w:t>vele instrumenten biedt.</w:t>
      </w:r>
      <w:r>
        <w:rPr>
          <w:rStyle w:val="Voetnootmarkering"/>
          <w:rFonts w:ascii="Verdana" w:eastAsia="Times New Roman" w:hAnsi="Verdana"/>
          <w:sz w:val="18"/>
          <w:szCs w:val="18"/>
          <w:lang w:eastAsia="nl-NL"/>
        </w:rPr>
        <w:footnoteReference w:id="9"/>
      </w:r>
    </w:p>
    <w:p w14:paraId="081B2D77" w14:textId="3EFACF54" w:rsidR="002C3D0B" w:rsidRPr="002C3D0B" w:rsidRDefault="00F47FD0" w:rsidP="000A5657">
      <w:pPr>
        <w:spacing w:line="360" w:lineRule="auto"/>
        <w:jc w:val="both"/>
        <w:rPr>
          <w:rFonts w:ascii="Verdana" w:eastAsia="Times New Roman" w:hAnsi="Verdana"/>
          <w:sz w:val="18"/>
          <w:szCs w:val="18"/>
          <w:lang w:eastAsia="nl-NL"/>
        </w:rPr>
      </w:pPr>
      <w:r>
        <w:rPr>
          <w:rFonts w:ascii="Verdana" w:eastAsia="Times New Roman" w:hAnsi="Verdana"/>
          <w:sz w:val="18"/>
          <w:szCs w:val="18"/>
          <w:lang w:eastAsia="nl-NL"/>
        </w:rPr>
        <w:t>Voornoemde gevolgen zullen in de loop van dit onderzoek terug te lezen zijn. De voor</w:t>
      </w:r>
      <w:r w:rsidR="00A81AEC">
        <w:rPr>
          <w:rFonts w:ascii="Verdana" w:eastAsia="Times New Roman" w:hAnsi="Verdana"/>
          <w:sz w:val="18"/>
          <w:szCs w:val="18"/>
          <w:lang w:eastAsia="nl-NL"/>
        </w:rPr>
        <w:t xml:space="preserve"> dit onderzoek meest relevante r</w:t>
      </w:r>
      <w:r>
        <w:rPr>
          <w:rFonts w:ascii="Verdana" w:eastAsia="Times New Roman" w:hAnsi="Verdana"/>
          <w:sz w:val="18"/>
          <w:szCs w:val="18"/>
          <w:lang w:eastAsia="nl-NL"/>
        </w:rPr>
        <w:t>ichtlijn, te weten de Terugkeerrichtlijn, en het daaruit voortvloeiende terugkeerbesluit en inreisverbod</w:t>
      </w:r>
      <w:r w:rsidR="006B67FF">
        <w:rPr>
          <w:rFonts w:ascii="Verdana" w:eastAsia="Times New Roman" w:hAnsi="Verdana"/>
          <w:sz w:val="18"/>
          <w:szCs w:val="18"/>
          <w:lang w:eastAsia="nl-NL"/>
        </w:rPr>
        <w:t>,</w:t>
      </w:r>
      <w:r>
        <w:rPr>
          <w:rFonts w:ascii="Verdana" w:eastAsia="Times New Roman" w:hAnsi="Verdana"/>
          <w:sz w:val="18"/>
          <w:szCs w:val="18"/>
          <w:lang w:eastAsia="nl-NL"/>
        </w:rPr>
        <w:t xml:space="preserve"> zal hieronder nader worden toegelicht. Voorts zal de verhouding tot de nationale ongewenstverklaring – die </w:t>
      </w:r>
      <w:r w:rsidR="00A81AEC">
        <w:rPr>
          <w:rFonts w:ascii="Verdana" w:eastAsia="Times New Roman" w:hAnsi="Verdana"/>
          <w:sz w:val="18"/>
          <w:szCs w:val="18"/>
          <w:lang w:eastAsia="nl-NL"/>
        </w:rPr>
        <w:t xml:space="preserve">reeds </w:t>
      </w:r>
      <w:r>
        <w:rPr>
          <w:rFonts w:ascii="Verdana" w:eastAsia="Times New Roman" w:hAnsi="Verdana"/>
          <w:sz w:val="18"/>
          <w:szCs w:val="18"/>
          <w:lang w:eastAsia="nl-NL"/>
        </w:rPr>
        <w:t xml:space="preserve">bestond voor de implementatie van de Terugkeerrichtlijn – </w:t>
      </w:r>
      <w:r w:rsidR="00A6762E">
        <w:rPr>
          <w:rFonts w:ascii="Verdana" w:eastAsia="Times New Roman" w:hAnsi="Verdana"/>
          <w:sz w:val="18"/>
          <w:szCs w:val="18"/>
          <w:lang w:eastAsia="nl-NL"/>
        </w:rPr>
        <w:t xml:space="preserve">uitgebreid </w:t>
      </w:r>
      <w:r>
        <w:rPr>
          <w:rFonts w:ascii="Verdana" w:eastAsia="Times New Roman" w:hAnsi="Verdana"/>
          <w:sz w:val="18"/>
          <w:szCs w:val="18"/>
          <w:lang w:eastAsia="nl-NL"/>
        </w:rPr>
        <w:t>worden besproken.</w:t>
      </w:r>
      <w:r w:rsidR="001220D3">
        <w:rPr>
          <w:rFonts w:ascii="Verdana" w:eastAsia="Times New Roman" w:hAnsi="Verdana"/>
          <w:sz w:val="18"/>
          <w:szCs w:val="18"/>
          <w:lang w:eastAsia="nl-NL"/>
        </w:rPr>
        <w:t xml:space="preserve"> Een kleine disclaimer is dat dit onderzoek ziet op een zeer omvangrijk onderwerp</w:t>
      </w:r>
      <w:r w:rsidR="00A66315">
        <w:rPr>
          <w:rFonts w:ascii="Verdana" w:eastAsia="Times New Roman" w:hAnsi="Verdana"/>
          <w:sz w:val="18"/>
          <w:szCs w:val="18"/>
          <w:lang w:eastAsia="nl-NL"/>
        </w:rPr>
        <w:t xml:space="preserve"> en dat door de beperkte omvang van dit onderzoek niet op ieder aspect </w:t>
      </w:r>
      <w:r w:rsidR="00A81AEC">
        <w:rPr>
          <w:rFonts w:ascii="Verdana" w:eastAsia="Times New Roman" w:hAnsi="Verdana"/>
          <w:sz w:val="18"/>
          <w:szCs w:val="18"/>
          <w:lang w:eastAsia="nl-NL"/>
        </w:rPr>
        <w:t>wordt ingegaan</w:t>
      </w:r>
      <w:r w:rsidR="00A66315">
        <w:rPr>
          <w:rFonts w:ascii="Verdana" w:eastAsia="Times New Roman" w:hAnsi="Verdana"/>
          <w:sz w:val="18"/>
          <w:szCs w:val="18"/>
          <w:lang w:eastAsia="nl-NL"/>
        </w:rPr>
        <w:t xml:space="preserve">. Voorts </w:t>
      </w:r>
      <w:r w:rsidR="00A81AEC">
        <w:rPr>
          <w:rFonts w:ascii="Verdana" w:eastAsia="Times New Roman" w:hAnsi="Verdana"/>
          <w:sz w:val="18"/>
          <w:szCs w:val="18"/>
          <w:lang w:eastAsia="nl-NL"/>
        </w:rPr>
        <w:t>zijn</w:t>
      </w:r>
      <w:r w:rsidR="00A66315">
        <w:rPr>
          <w:rFonts w:ascii="Verdana" w:eastAsia="Times New Roman" w:hAnsi="Verdana"/>
          <w:sz w:val="18"/>
          <w:szCs w:val="18"/>
          <w:lang w:eastAsia="nl-NL"/>
        </w:rPr>
        <w:t xml:space="preserve"> om d</w:t>
      </w:r>
      <w:r w:rsidR="00A81AEC">
        <w:rPr>
          <w:rFonts w:ascii="Verdana" w:eastAsia="Times New Roman" w:hAnsi="Verdana"/>
          <w:sz w:val="18"/>
          <w:szCs w:val="18"/>
          <w:lang w:eastAsia="nl-NL"/>
        </w:rPr>
        <w:t>eze reden bepaalde onderwerpen</w:t>
      </w:r>
      <w:r w:rsidR="00A66315">
        <w:rPr>
          <w:rFonts w:ascii="Verdana" w:eastAsia="Times New Roman" w:hAnsi="Verdana"/>
          <w:sz w:val="18"/>
          <w:szCs w:val="18"/>
          <w:lang w:eastAsia="nl-NL"/>
        </w:rPr>
        <w:t xml:space="preserve"> verwerkt in de bijlage of </w:t>
      </w:r>
      <w:r w:rsidR="00A81AEC">
        <w:rPr>
          <w:rFonts w:ascii="Verdana" w:eastAsia="Times New Roman" w:hAnsi="Verdana"/>
          <w:sz w:val="18"/>
          <w:szCs w:val="18"/>
          <w:lang w:eastAsia="nl-NL"/>
        </w:rPr>
        <w:t>is</w:t>
      </w:r>
      <w:r w:rsidR="00A66315">
        <w:rPr>
          <w:rFonts w:ascii="Verdana" w:eastAsia="Times New Roman" w:hAnsi="Verdana"/>
          <w:sz w:val="18"/>
          <w:szCs w:val="18"/>
          <w:lang w:eastAsia="nl-NL"/>
        </w:rPr>
        <w:t xml:space="preserve"> volstaan met een korte verwijzing in een voetnoot. </w:t>
      </w:r>
    </w:p>
    <w:p w14:paraId="2F69111B" w14:textId="183090C0" w:rsidR="000A5657" w:rsidRDefault="0099338A" w:rsidP="000A5657">
      <w:pPr>
        <w:spacing w:line="360" w:lineRule="auto"/>
        <w:jc w:val="both"/>
        <w:rPr>
          <w:rFonts w:ascii="Verdana" w:eastAsia="Times New Roman" w:hAnsi="Verdana"/>
          <w:sz w:val="18"/>
          <w:szCs w:val="18"/>
          <w:lang w:eastAsia="nl-NL"/>
        </w:rPr>
      </w:pPr>
      <w:r>
        <w:rPr>
          <w:rFonts w:ascii="Verdana" w:eastAsia="Times New Roman" w:hAnsi="Verdana"/>
          <w:i/>
          <w:sz w:val="18"/>
          <w:szCs w:val="18"/>
          <w:lang w:eastAsia="nl-NL"/>
        </w:rPr>
        <w:br/>
      </w:r>
      <w:r w:rsidR="000A5657">
        <w:rPr>
          <w:rFonts w:ascii="Verdana" w:eastAsia="Times New Roman" w:hAnsi="Verdana"/>
          <w:i/>
          <w:sz w:val="18"/>
          <w:szCs w:val="18"/>
          <w:lang w:eastAsia="nl-NL"/>
        </w:rPr>
        <w:t>2.1.1. De Terugkeerrichtlijn</w:t>
      </w:r>
    </w:p>
    <w:p w14:paraId="555CD2F0" w14:textId="0C9298F1" w:rsidR="00BB78F6" w:rsidRDefault="000A5657" w:rsidP="001B4526">
      <w:pPr>
        <w:spacing w:line="360" w:lineRule="auto"/>
        <w:jc w:val="both"/>
        <w:rPr>
          <w:rFonts w:ascii="Verdana" w:eastAsia="Times New Roman" w:hAnsi="Verdana"/>
          <w:sz w:val="18"/>
          <w:szCs w:val="18"/>
          <w:lang w:eastAsia="nl-NL"/>
        </w:rPr>
      </w:pPr>
      <w:r>
        <w:rPr>
          <w:rFonts w:ascii="Verdana" w:eastAsia="Times New Roman" w:hAnsi="Verdana"/>
          <w:sz w:val="18"/>
          <w:szCs w:val="18"/>
          <w:lang w:eastAsia="nl-NL"/>
        </w:rPr>
        <w:t>De EU</w:t>
      </w:r>
      <w:r>
        <w:rPr>
          <w:rFonts w:ascii="Verdana" w:hAnsi="Verdana"/>
          <w:b/>
          <w:sz w:val="18"/>
          <w:szCs w:val="18"/>
        </w:rPr>
        <w:t xml:space="preserve"> </w:t>
      </w:r>
      <w:r>
        <w:rPr>
          <w:rFonts w:ascii="Verdana" w:hAnsi="Verdana"/>
          <w:sz w:val="18"/>
          <w:szCs w:val="18"/>
        </w:rPr>
        <w:t>houdt</w:t>
      </w:r>
      <w:r w:rsidR="00027A84">
        <w:rPr>
          <w:rFonts w:ascii="Verdana" w:eastAsia="Times New Roman" w:hAnsi="Verdana"/>
          <w:sz w:val="18"/>
          <w:szCs w:val="18"/>
          <w:lang w:eastAsia="nl-NL"/>
        </w:rPr>
        <w:t xml:space="preserve"> zich sinds 1999 bezig met ontwikkelingen ten behoeve van een gezamenlijke en brede aanpak van migratie.</w:t>
      </w:r>
      <w:r w:rsidR="00027A84">
        <w:rPr>
          <w:rStyle w:val="Voetnootmarkering"/>
          <w:rFonts w:ascii="Verdana" w:eastAsia="Times New Roman" w:hAnsi="Verdana"/>
          <w:sz w:val="18"/>
          <w:szCs w:val="18"/>
          <w:lang w:eastAsia="nl-NL"/>
        </w:rPr>
        <w:footnoteReference w:id="10"/>
      </w:r>
      <w:r w:rsidR="00027A84">
        <w:rPr>
          <w:rFonts w:ascii="Verdana" w:eastAsia="Times New Roman" w:hAnsi="Verdana"/>
          <w:sz w:val="18"/>
          <w:szCs w:val="18"/>
          <w:lang w:eastAsia="nl-NL"/>
        </w:rPr>
        <w:t xml:space="preserve"> </w:t>
      </w:r>
      <w:r w:rsidR="00135506">
        <w:rPr>
          <w:rFonts w:ascii="Verdana" w:eastAsia="Times New Roman" w:hAnsi="Verdana"/>
          <w:sz w:val="18"/>
          <w:szCs w:val="18"/>
          <w:lang w:eastAsia="nl-NL"/>
        </w:rPr>
        <w:t xml:space="preserve">Doordat </w:t>
      </w:r>
      <w:r w:rsidR="00BD1704">
        <w:rPr>
          <w:rFonts w:ascii="Verdana" w:eastAsia="Times New Roman" w:hAnsi="Verdana"/>
          <w:sz w:val="18"/>
          <w:szCs w:val="18"/>
          <w:lang w:eastAsia="nl-NL"/>
        </w:rPr>
        <w:t xml:space="preserve">er vanuit de Europese lidstaten </w:t>
      </w:r>
      <w:r w:rsidR="00FC614D">
        <w:rPr>
          <w:rFonts w:ascii="Verdana" w:eastAsia="Times New Roman" w:hAnsi="Verdana"/>
          <w:sz w:val="18"/>
          <w:szCs w:val="18"/>
          <w:lang w:eastAsia="nl-NL"/>
        </w:rPr>
        <w:t>steeds meer</w:t>
      </w:r>
      <w:r w:rsidR="003A396F">
        <w:rPr>
          <w:rFonts w:ascii="Verdana" w:eastAsia="Times New Roman" w:hAnsi="Verdana"/>
          <w:sz w:val="18"/>
          <w:szCs w:val="18"/>
          <w:lang w:eastAsia="nl-NL"/>
        </w:rPr>
        <w:t xml:space="preserve"> behoefte was aan een gemeenschappelijk en doeltreffend verwijderings- en terugkeer</w:t>
      </w:r>
      <w:r w:rsidR="00C2291C">
        <w:rPr>
          <w:rFonts w:ascii="Verdana" w:eastAsia="Times New Roman" w:hAnsi="Verdana"/>
          <w:sz w:val="18"/>
          <w:szCs w:val="18"/>
          <w:lang w:eastAsia="nl-NL"/>
        </w:rPr>
        <w:t xml:space="preserve">beleid, die gebaseerd </w:t>
      </w:r>
      <w:r w:rsidR="006C0427">
        <w:rPr>
          <w:rFonts w:ascii="Verdana" w:eastAsia="Times New Roman" w:hAnsi="Verdana"/>
          <w:sz w:val="18"/>
          <w:szCs w:val="18"/>
          <w:lang w:eastAsia="nl-NL"/>
        </w:rPr>
        <w:t xml:space="preserve">zou zijn op gemeenschappelijke normen, is </w:t>
      </w:r>
      <w:r w:rsidR="0024485C">
        <w:rPr>
          <w:rFonts w:ascii="Verdana" w:eastAsia="Times New Roman" w:hAnsi="Verdana"/>
          <w:sz w:val="18"/>
          <w:szCs w:val="18"/>
          <w:lang w:eastAsia="nl-NL"/>
        </w:rPr>
        <w:t>in 2008 de Terugkeerrichtlijn tot stand gekomen.</w:t>
      </w:r>
      <w:r w:rsidR="00A26575">
        <w:rPr>
          <w:rStyle w:val="Voetnootmarkering"/>
          <w:rFonts w:ascii="Verdana" w:eastAsia="Times New Roman" w:hAnsi="Verdana"/>
          <w:sz w:val="18"/>
          <w:szCs w:val="18"/>
          <w:lang w:eastAsia="nl-NL"/>
        </w:rPr>
        <w:footnoteReference w:id="11"/>
      </w:r>
      <w:r w:rsidR="0024485C">
        <w:rPr>
          <w:rFonts w:ascii="Verdana" w:eastAsia="Times New Roman" w:hAnsi="Verdana"/>
          <w:sz w:val="18"/>
          <w:szCs w:val="18"/>
          <w:lang w:eastAsia="nl-NL"/>
        </w:rPr>
        <w:t xml:space="preserve"> De noodzaak voor deze gezamenlijke aanpak </w:t>
      </w:r>
      <w:r w:rsidR="001A6DA2">
        <w:rPr>
          <w:rFonts w:ascii="Verdana" w:eastAsia="Times New Roman" w:hAnsi="Verdana"/>
          <w:sz w:val="18"/>
          <w:szCs w:val="18"/>
          <w:lang w:eastAsia="nl-NL"/>
        </w:rPr>
        <w:t>is ontstaan</w:t>
      </w:r>
      <w:r w:rsidR="0024485C">
        <w:rPr>
          <w:rFonts w:ascii="Verdana" w:eastAsia="Times New Roman" w:hAnsi="Verdana"/>
          <w:sz w:val="18"/>
          <w:szCs w:val="18"/>
          <w:lang w:eastAsia="nl-NL"/>
        </w:rPr>
        <w:t xml:space="preserve"> door aanzienlijke verschillen in wetgeving, beleid en praktijk van de betrokken </w:t>
      </w:r>
      <w:r w:rsidR="00D5781F">
        <w:rPr>
          <w:rFonts w:ascii="Verdana" w:eastAsia="Times New Roman" w:hAnsi="Verdana"/>
          <w:sz w:val="18"/>
          <w:szCs w:val="18"/>
          <w:lang w:eastAsia="nl-NL"/>
        </w:rPr>
        <w:t>lidstaten.</w:t>
      </w:r>
      <w:r w:rsidR="00D5781F">
        <w:rPr>
          <w:rStyle w:val="Voetnootmarkering"/>
          <w:rFonts w:ascii="Verdana" w:eastAsia="Times New Roman" w:hAnsi="Verdana"/>
          <w:sz w:val="18"/>
          <w:szCs w:val="18"/>
          <w:lang w:eastAsia="nl-NL"/>
        </w:rPr>
        <w:footnoteReference w:id="12"/>
      </w:r>
      <w:r w:rsidR="00D5781F">
        <w:rPr>
          <w:rFonts w:ascii="Verdana" w:eastAsia="Times New Roman" w:hAnsi="Verdana"/>
          <w:sz w:val="18"/>
          <w:szCs w:val="18"/>
          <w:lang w:eastAsia="nl-NL"/>
        </w:rPr>
        <w:t xml:space="preserve"> </w:t>
      </w:r>
      <w:r w:rsidR="001C1577">
        <w:rPr>
          <w:rFonts w:ascii="Verdana" w:eastAsia="Times New Roman" w:hAnsi="Verdana"/>
          <w:sz w:val="18"/>
          <w:szCs w:val="18"/>
          <w:lang w:eastAsia="nl-NL"/>
        </w:rPr>
        <w:t>Zodra meerdere lidstaten betrokken raakte</w:t>
      </w:r>
      <w:r w:rsidR="00D4555E">
        <w:rPr>
          <w:rFonts w:ascii="Verdana" w:eastAsia="Times New Roman" w:hAnsi="Verdana"/>
          <w:sz w:val="18"/>
          <w:szCs w:val="18"/>
          <w:lang w:eastAsia="nl-NL"/>
        </w:rPr>
        <w:t>n</w:t>
      </w:r>
      <w:r w:rsidR="00045BAA">
        <w:rPr>
          <w:rFonts w:ascii="Verdana" w:eastAsia="Times New Roman" w:hAnsi="Verdana"/>
          <w:sz w:val="18"/>
          <w:szCs w:val="18"/>
          <w:lang w:eastAsia="nl-NL"/>
        </w:rPr>
        <w:t xml:space="preserve"> ontstonden er vele </w:t>
      </w:r>
      <w:r w:rsidR="001C1577">
        <w:rPr>
          <w:rFonts w:ascii="Verdana" w:eastAsia="Times New Roman" w:hAnsi="Verdana"/>
          <w:sz w:val="18"/>
          <w:szCs w:val="18"/>
          <w:lang w:eastAsia="nl-NL"/>
        </w:rPr>
        <w:t>complicaties</w:t>
      </w:r>
      <w:r w:rsidR="00045BAA">
        <w:rPr>
          <w:rFonts w:ascii="Verdana" w:eastAsia="Times New Roman" w:hAnsi="Verdana"/>
          <w:sz w:val="18"/>
          <w:szCs w:val="18"/>
          <w:lang w:eastAsia="nl-NL"/>
        </w:rPr>
        <w:t>, hetgeen een negatief effect had op de terugkeer en verwijdering</w:t>
      </w:r>
      <w:r w:rsidR="001C1577">
        <w:rPr>
          <w:rFonts w:ascii="Verdana" w:eastAsia="Times New Roman" w:hAnsi="Verdana"/>
          <w:sz w:val="18"/>
          <w:szCs w:val="18"/>
          <w:lang w:eastAsia="nl-NL"/>
        </w:rPr>
        <w:t>.</w:t>
      </w:r>
      <w:r w:rsidR="00045BAA">
        <w:rPr>
          <w:rFonts w:ascii="Verdana" w:eastAsia="Times New Roman" w:hAnsi="Verdana"/>
          <w:sz w:val="18"/>
          <w:szCs w:val="18"/>
          <w:lang w:eastAsia="nl-NL"/>
        </w:rPr>
        <w:t xml:space="preserve"> Daarnaast gaven </w:t>
      </w:r>
      <w:r w:rsidR="00045BAA">
        <w:rPr>
          <w:rFonts w:ascii="Verdana" w:eastAsia="Times New Roman" w:hAnsi="Verdana"/>
          <w:sz w:val="18"/>
          <w:szCs w:val="18"/>
          <w:lang w:eastAsia="nl-NL"/>
        </w:rPr>
        <w:lastRenderedPageBreak/>
        <w:t xml:space="preserve">de verschillen een verkeerd signaal af naar de buitenwereld </w:t>
      </w:r>
      <w:r w:rsidR="00B510FB">
        <w:rPr>
          <w:rFonts w:ascii="Verdana" w:eastAsia="Times New Roman" w:hAnsi="Verdana"/>
          <w:sz w:val="18"/>
          <w:szCs w:val="18"/>
          <w:lang w:eastAsia="nl-NL"/>
        </w:rPr>
        <w:t>betreffende de goedwilligheid</w:t>
      </w:r>
      <w:r w:rsidR="00F31B55">
        <w:rPr>
          <w:rFonts w:ascii="Verdana" w:eastAsia="Times New Roman" w:hAnsi="Verdana"/>
          <w:sz w:val="18"/>
          <w:szCs w:val="18"/>
          <w:lang w:eastAsia="nl-NL"/>
        </w:rPr>
        <w:t xml:space="preserve"> van de EU om illegale immigratie tegen te gaan.</w:t>
      </w:r>
      <w:r w:rsidR="001C1577">
        <w:rPr>
          <w:rStyle w:val="Voetnootmarkering"/>
          <w:rFonts w:ascii="Verdana" w:eastAsia="Times New Roman" w:hAnsi="Verdana"/>
          <w:sz w:val="18"/>
          <w:szCs w:val="18"/>
          <w:lang w:eastAsia="nl-NL"/>
        </w:rPr>
        <w:footnoteReference w:id="13"/>
      </w:r>
      <w:r w:rsidR="001B4526">
        <w:rPr>
          <w:rFonts w:ascii="Verdana" w:eastAsia="Times New Roman" w:hAnsi="Verdana"/>
          <w:sz w:val="18"/>
          <w:szCs w:val="18"/>
          <w:lang w:eastAsia="nl-NL"/>
        </w:rPr>
        <w:t xml:space="preserve"> </w:t>
      </w:r>
    </w:p>
    <w:p w14:paraId="283D70B5" w14:textId="2C568371" w:rsidR="00223A55" w:rsidRDefault="00735B8B" w:rsidP="001B4526">
      <w:pPr>
        <w:spacing w:after="0" w:line="360" w:lineRule="auto"/>
        <w:jc w:val="both"/>
        <w:rPr>
          <w:rFonts w:ascii="Verdana" w:eastAsia="Times New Roman" w:hAnsi="Verdana"/>
          <w:sz w:val="18"/>
          <w:szCs w:val="18"/>
          <w:lang w:eastAsia="nl-NL"/>
        </w:rPr>
      </w:pPr>
      <w:r>
        <w:rPr>
          <w:rFonts w:ascii="Verdana" w:eastAsia="Times New Roman" w:hAnsi="Verdana"/>
          <w:sz w:val="18"/>
          <w:szCs w:val="18"/>
          <w:lang w:eastAsia="nl-NL"/>
        </w:rPr>
        <w:t xml:space="preserve">De Terugkeerrichtlijn is </w:t>
      </w:r>
      <w:r w:rsidR="00C23807">
        <w:rPr>
          <w:rFonts w:ascii="Verdana" w:eastAsia="Times New Roman" w:hAnsi="Verdana"/>
          <w:sz w:val="18"/>
          <w:szCs w:val="18"/>
          <w:lang w:eastAsia="nl-NL"/>
        </w:rPr>
        <w:t xml:space="preserve">dus </w:t>
      </w:r>
      <w:r>
        <w:rPr>
          <w:rFonts w:ascii="Verdana" w:eastAsia="Times New Roman" w:hAnsi="Verdana"/>
          <w:sz w:val="18"/>
          <w:szCs w:val="18"/>
          <w:lang w:eastAsia="nl-NL"/>
        </w:rPr>
        <w:t xml:space="preserve">de eerste stap geweest in de richting van </w:t>
      </w:r>
      <w:r w:rsidR="009849B7">
        <w:rPr>
          <w:rFonts w:ascii="Verdana" w:eastAsia="Times New Roman" w:hAnsi="Verdana"/>
          <w:sz w:val="18"/>
          <w:szCs w:val="18"/>
          <w:lang w:eastAsia="nl-NL"/>
        </w:rPr>
        <w:t>een Europees immigratiebeleid.</w:t>
      </w:r>
      <w:r w:rsidR="009849B7">
        <w:rPr>
          <w:rStyle w:val="Voetnootmarkering"/>
          <w:rFonts w:ascii="Verdana" w:eastAsia="Times New Roman" w:hAnsi="Verdana"/>
          <w:sz w:val="18"/>
          <w:szCs w:val="18"/>
          <w:lang w:eastAsia="nl-NL"/>
        </w:rPr>
        <w:footnoteReference w:id="14"/>
      </w:r>
      <w:r w:rsidR="009849B7">
        <w:rPr>
          <w:rFonts w:ascii="Verdana" w:eastAsia="Times New Roman" w:hAnsi="Verdana"/>
          <w:sz w:val="18"/>
          <w:szCs w:val="18"/>
          <w:lang w:eastAsia="nl-NL"/>
        </w:rPr>
        <w:t xml:space="preserve"> </w:t>
      </w:r>
      <w:r w:rsidR="00D03BF9">
        <w:rPr>
          <w:rFonts w:ascii="Verdana" w:eastAsia="Times New Roman" w:hAnsi="Verdana"/>
          <w:sz w:val="18"/>
          <w:szCs w:val="18"/>
          <w:lang w:eastAsia="nl-NL"/>
        </w:rPr>
        <w:t>Derdelanders</w:t>
      </w:r>
      <w:r w:rsidR="00027A84">
        <w:rPr>
          <w:rFonts w:ascii="Verdana" w:eastAsia="Times New Roman" w:hAnsi="Verdana"/>
          <w:sz w:val="18"/>
          <w:szCs w:val="18"/>
          <w:lang w:eastAsia="nl-NL"/>
        </w:rPr>
        <w:t xml:space="preserve"> (let op: in dit onderzoek kan een derdelander ook worden aangeduid als vreemdeling, betrokkene</w:t>
      </w:r>
      <w:r w:rsidR="00752878">
        <w:rPr>
          <w:rFonts w:ascii="Verdana" w:eastAsia="Times New Roman" w:hAnsi="Verdana"/>
          <w:sz w:val="18"/>
          <w:szCs w:val="18"/>
          <w:lang w:eastAsia="nl-NL"/>
        </w:rPr>
        <w:t xml:space="preserve"> of migrant)</w:t>
      </w:r>
      <w:r w:rsidR="00D03BF9">
        <w:rPr>
          <w:rFonts w:ascii="Verdana" w:eastAsia="Times New Roman" w:hAnsi="Verdana"/>
          <w:sz w:val="18"/>
          <w:szCs w:val="18"/>
          <w:lang w:eastAsia="nl-NL"/>
        </w:rPr>
        <w:t xml:space="preserve"> kunnen hierdoor vanuit alle</w:t>
      </w:r>
      <w:r w:rsidR="00A831BD">
        <w:rPr>
          <w:rFonts w:ascii="Verdana" w:eastAsia="Times New Roman" w:hAnsi="Verdana"/>
          <w:sz w:val="18"/>
          <w:szCs w:val="18"/>
          <w:lang w:eastAsia="nl-NL"/>
        </w:rPr>
        <w:t xml:space="preserve"> lidstaten op een humane manier </w:t>
      </w:r>
      <w:r w:rsidR="00027A84">
        <w:rPr>
          <w:rFonts w:ascii="Verdana" w:eastAsia="Times New Roman" w:hAnsi="Verdana"/>
          <w:sz w:val="18"/>
          <w:szCs w:val="18"/>
          <w:lang w:eastAsia="nl-NL"/>
        </w:rPr>
        <w:t>en met volledige eerbiediging van hun grondrechten teruggezonden worden.</w:t>
      </w:r>
      <w:r w:rsidR="00027A84">
        <w:rPr>
          <w:rStyle w:val="Voetnootmarkering"/>
          <w:rFonts w:ascii="Verdana" w:eastAsia="Times New Roman" w:hAnsi="Verdana"/>
          <w:sz w:val="18"/>
          <w:szCs w:val="18"/>
          <w:lang w:eastAsia="nl-NL"/>
        </w:rPr>
        <w:footnoteReference w:id="15"/>
      </w:r>
      <w:r w:rsidR="00027A84">
        <w:rPr>
          <w:rFonts w:ascii="Verdana" w:eastAsia="Times New Roman" w:hAnsi="Verdana"/>
          <w:sz w:val="18"/>
          <w:szCs w:val="18"/>
          <w:lang w:eastAsia="nl-NL"/>
        </w:rPr>
        <w:t xml:space="preserve"> </w:t>
      </w:r>
      <w:r w:rsidR="00D17E92">
        <w:rPr>
          <w:rFonts w:ascii="Verdana" w:eastAsia="Times New Roman" w:hAnsi="Verdana"/>
          <w:sz w:val="18"/>
          <w:szCs w:val="18"/>
          <w:lang w:eastAsia="nl-NL"/>
        </w:rPr>
        <w:t xml:space="preserve">Kort gezegd heeft de Terugkeerrichtlijn ervoor gezorgd dat de lidstaten gebonden zijn aan </w:t>
      </w:r>
      <w:r w:rsidR="00027A84">
        <w:rPr>
          <w:rFonts w:ascii="Verdana" w:eastAsia="Times New Roman" w:hAnsi="Verdana"/>
          <w:sz w:val="18"/>
          <w:szCs w:val="18"/>
          <w:lang w:eastAsia="nl-NL"/>
        </w:rPr>
        <w:t>voorschriften ten aanzien van zowel het detineren als het verwijderen van derdelanders die illegaal op hun grondgebied verblijven.</w:t>
      </w:r>
      <w:r w:rsidR="00027A84">
        <w:rPr>
          <w:rStyle w:val="Voetnootmarkering"/>
          <w:rFonts w:ascii="Verdana" w:eastAsia="Times New Roman" w:hAnsi="Verdana"/>
          <w:sz w:val="18"/>
          <w:szCs w:val="18"/>
          <w:lang w:eastAsia="nl-NL"/>
        </w:rPr>
        <w:footnoteReference w:id="16"/>
      </w:r>
      <w:r w:rsidR="00027A84">
        <w:rPr>
          <w:rFonts w:ascii="Verdana" w:eastAsia="Times New Roman" w:hAnsi="Verdana"/>
          <w:sz w:val="18"/>
          <w:szCs w:val="18"/>
          <w:lang w:eastAsia="nl-NL"/>
        </w:rPr>
        <w:t xml:space="preserve"> Het toezicht op de naleving van de</w:t>
      </w:r>
      <w:r w:rsidR="00223A55">
        <w:rPr>
          <w:rFonts w:ascii="Verdana" w:eastAsia="Times New Roman" w:hAnsi="Verdana"/>
          <w:sz w:val="18"/>
          <w:szCs w:val="18"/>
          <w:lang w:eastAsia="nl-NL"/>
        </w:rPr>
        <w:t>ze</w:t>
      </w:r>
      <w:r w:rsidR="00027A84">
        <w:rPr>
          <w:rFonts w:ascii="Verdana" w:eastAsia="Times New Roman" w:hAnsi="Verdana"/>
          <w:sz w:val="18"/>
          <w:szCs w:val="18"/>
          <w:lang w:eastAsia="nl-NL"/>
        </w:rPr>
        <w:t xml:space="preserve"> voorschriften is </w:t>
      </w:r>
      <w:r w:rsidR="00223A55">
        <w:rPr>
          <w:rFonts w:ascii="Verdana" w:eastAsia="Times New Roman" w:hAnsi="Verdana"/>
          <w:sz w:val="18"/>
          <w:szCs w:val="18"/>
          <w:lang w:eastAsia="nl-NL"/>
        </w:rPr>
        <w:t xml:space="preserve">– onder controle van het </w:t>
      </w:r>
      <w:r w:rsidR="00027A84">
        <w:rPr>
          <w:rFonts w:ascii="Verdana" w:eastAsia="Times New Roman" w:hAnsi="Verdana"/>
          <w:sz w:val="18"/>
          <w:szCs w:val="18"/>
          <w:lang w:eastAsia="nl-NL"/>
        </w:rPr>
        <w:t>HvJEU – neergelegd bij de Europese Commissie.</w:t>
      </w:r>
    </w:p>
    <w:p w14:paraId="0D9E3C0C" w14:textId="26B4FAE9" w:rsidR="000A5657" w:rsidRDefault="0099338A" w:rsidP="00D0604E">
      <w:pPr>
        <w:spacing w:line="360" w:lineRule="auto"/>
        <w:jc w:val="both"/>
        <w:rPr>
          <w:rFonts w:ascii="Verdana" w:eastAsia="Times New Roman" w:hAnsi="Verdana"/>
          <w:sz w:val="18"/>
          <w:szCs w:val="18"/>
          <w:lang w:eastAsia="nl-NL"/>
        </w:rPr>
      </w:pPr>
      <w:r>
        <w:rPr>
          <w:rFonts w:ascii="Verdana" w:eastAsia="Times New Roman" w:hAnsi="Verdana"/>
          <w:i/>
          <w:sz w:val="18"/>
          <w:szCs w:val="18"/>
          <w:lang w:eastAsia="nl-NL"/>
        </w:rPr>
        <w:br/>
      </w:r>
      <w:r w:rsidR="00D0604E">
        <w:rPr>
          <w:rFonts w:ascii="Verdana" w:eastAsia="Times New Roman" w:hAnsi="Verdana"/>
          <w:i/>
          <w:sz w:val="18"/>
          <w:szCs w:val="18"/>
          <w:lang w:eastAsia="nl-NL"/>
        </w:rPr>
        <w:t>2.1.2</w:t>
      </w:r>
      <w:r w:rsidR="00223A55">
        <w:rPr>
          <w:rFonts w:ascii="Verdana" w:eastAsia="Times New Roman" w:hAnsi="Verdana"/>
          <w:i/>
          <w:sz w:val="18"/>
          <w:szCs w:val="18"/>
          <w:lang w:eastAsia="nl-NL"/>
        </w:rPr>
        <w:t xml:space="preserve"> Reikwijde Terugkeerrichtlijn</w:t>
      </w:r>
    </w:p>
    <w:p w14:paraId="300360F3" w14:textId="4804D721" w:rsidR="00D0604E" w:rsidRDefault="00D0604E" w:rsidP="00D0604E">
      <w:pPr>
        <w:spacing w:line="360" w:lineRule="auto"/>
        <w:jc w:val="both"/>
        <w:rPr>
          <w:rFonts w:ascii="Verdana" w:eastAsia="Times New Roman" w:hAnsi="Verdana"/>
          <w:sz w:val="18"/>
          <w:szCs w:val="18"/>
          <w:lang w:eastAsia="nl-NL"/>
        </w:rPr>
      </w:pPr>
      <w:r>
        <w:rPr>
          <w:rFonts w:ascii="Verdana" w:eastAsia="Times New Roman" w:hAnsi="Verdana"/>
          <w:sz w:val="18"/>
          <w:szCs w:val="18"/>
          <w:lang w:eastAsia="nl-NL"/>
        </w:rPr>
        <w:t>De Terugkeerrichtlijn is blijkens artikel 2 lid 1 Terugkeerrichtlijn</w:t>
      </w:r>
      <w:r w:rsidR="00BE4174">
        <w:rPr>
          <w:rFonts w:ascii="Verdana" w:eastAsia="Times New Roman" w:hAnsi="Verdana"/>
          <w:sz w:val="18"/>
          <w:szCs w:val="18"/>
          <w:lang w:eastAsia="nl-NL"/>
        </w:rPr>
        <w:t xml:space="preserve"> uitsluitend</w:t>
      </w:r>
      <w:r>
        <w:rPr>
          <w:rFonts w:ascii="Verdana" w:eastAsia="Times New Roman" w:hAnsi="Verdana"/>
          <w:sz w:val="18"/>
          <w:szCs w:val="18"/>
          <w:lang w:eastAsia="nl-NL"/>
        </w:rPr>
        <w:t xml:space="preserve"> van toepassing op illegaal op het grondgebied verblijvende onderdanen van derde landen. Dit illegale verblijf ontstaat doorgaans doordat een aanvraag voor een verblijfsvergunning in een lidsta</w:t>
      </w:r>
      <w:r w:rsidR="000A5657">
        <w:rPr>
          <w:rFonts w:ascii="Verdana" w:eastAsia="Times New Roman" w:hAnsi="Verdana"/>
          <w:sz w:val="18"/>
          <w:szCs w:val="18"/>
          <w:lang w:eastAsia="nl-NL"/>
        </w:rPr>
        <w:t>at wordt afgewezen of doordat een</w:t>
      </w:r>
      <w:r>
        <w:rPr>
          <w:rFonts w:ascii="Verdana" w:eastAsia="Times New Roman" w:hAnsi="Verdana"/>
          <w:sz w:val="18"/>
          <w:szCs w:val="18"/>
          <w:lang w:eastAsia="nl-NL"/>
        </w:rPr>
        <w:t xml:space="preserve"> verblijfsvergunning wordt ingetrokkene dan wel niet wordt verlengd, aangezien niet (meer) aan de voorwaarden die hieraan ten grondslag liggen wordt voldaan. Vreemdelingen die zijn uitgeprocedeerd – een reguliere- of asielprocedure volledig hebben doorlopen – en vervolgens op het grondgebied van de lidstaten verblijven zonder geldige verblijfsvergunning, vallen derhalve onder de definitie van ‘illegaal verblijf’ op grond van artikel 3 lid 2 Terugkeerrichtlijn. Onder deze definitie vallen eveneens vreemdelingen die de lidstaten bijvoorbeeld niet op rechtmatige wijze zijn binnen gereisd, dan wel de geldigheidsduur van hun reisdocument hebben </w:t>
      </w:r>
      <w:r w:rsidR="00945F43">
        <w:rPr>
          <w:rFonts w:ascii="Verdana" w:eastAsia="Times New Roman" w:hAnsi="Verdana"/>
          <w:sz w:val="18"/>
          <w:szCs w:val="18"/>
          <w:lang w:eastAsia="nl-NL"/>
        </w:rPr>
        <w:t>overschreden</w:t>
      </w:r>
      <w:r>
        <w:rPr>
          <w:rFonts w:ascii="Verdana" w:eastAsia="Times New Roman" w:hAnsi="Verdana"/>
          <w:sz w:val="18"/>
          <w:szCs w:val="18"/>
          <w:lang w:eastAsia="nl-NL"/>
        </w:rPr>
        <w:t>, waardoor zij op basis van artikel 5 van de Schengengrenscode</w:t>
      </w:r>
      <w:r>
        <w:rPr>
          <w:rStyle w:val="Voetnootmarkering"/>
          <w:rFonts w:ascii="Verdana" w:eastAsia="Times New Roman" w:hAnsi="Verdana"/>
          <w:sz w:val="18"/>
          <w:szCs w:val="18"/>
          <w:lang w:eastAsia="nl-NL"/>
        </w:rPr>
        <w:footnoteReference w:id="17"/>
      </w:r>
      <w:r>
        <w:rPr>
          <w:rFonts w:ascii="Verdana" w:eastAsia="Times New Roman" w:hAnsi="Verdana"/>
          <w:sz w:val="18"/>
          <w:szCs w:val="18"/>
          <w:lang w:eastAsia="nl-NL"/>
        </w:rPr>
        <w:t xml:space="preserve"> niet (meer) voldoen aan de toegangsvoorwaarden.</w:t>
      </w:r>
    </w:p>
    <w:p w14:paraId="7039E481" w14:textId="57FB408A" w:rsidR="00466EA5" w:rsidRPr="00466EA5" w:rsidRDefault="00D0604E" w:rsidP="000A5657">
      <w:pPr>
        <w:spacing w:line="360" w:lineRule="auto"/>
        <w:jc w:val="both"/>
        <w:rPr>
          <w:rFonts w:ascii="Verdana" w:eastAsia="Times New Roman" w:hAnsi="Verdana"/>
          <w:sz w:val="18"/>
          <w:szCs w:val="18"/>
          <w:lang w:eastAsia="nl-NL"/>
        </w:rPr>
      </w:pPr>
      <w:r>
        <w:rPr>
          <w:rFonts w:ascii="Verdana" w:eastAsia="Times New Roman" w:hAnsi="Verdana"/>
          <w:sz w:val="18"/>
          <w:szCs w:val="18"/>
          <w:lang w:eastAsia="nl-NL"/>
        </w:rPr>
        <w:t xml:space="preserve">Op grond van artikel 2 lid 3 Terugkeerrichtlijn is de richtlijn niet van toepassing op burgers van de </w:t>
      </w:r>
      <w:r w:rsidR="000A5657">
        <w:rPr>
          <w:rFonts w:ascii="Verdana" w:eastAsia="Times New Roman" w:hAnsi="Verdana"/>
          <w:sz w:val="18"/>
          <w:szCs w:val="18"/>
          <w:lang w:eastAsia="nl-NL"/>
        </w:rPr>
        <w:t>EU</w:t>
      </w:r>
      <w:r>
        <w:rPr>
          <w:rFonts w:ascii="Verdana" w:eastAsia="Times New Roman" w:hAnsi="Verdana"/>
          <w:sz w:val="18"/>
          <w:szCs w:val="18"/>
          <w:lang w:eastAsia="nl-NL"/>
        </w:rPr>
        <w:t xml:space="preserve"> en hun familieleden. Daarbij vallen ook de onderdanen en diens familieleden van derde landen die overeenkomsten hebben gesloten met de </w:t>
      </w:r>
      <w:r w:rsidR="000A5657">
        <w:rPr>
          <w:rFonts w:ascii="Verdana" w:eastAsia="Times New Roman" w:hAnsi="Verdana"/>
          <w:sz w:val="18"/>
          <w:szCs w:val="18"/>
          <w:lang w:eastAsia="nl-NL"/>
        </w:rPr>
        <w:t>EU</w:t>
      </w:r>
      <w:r>
        <w:rPr>
          <w:rFonts w:ascii="Verdana" w:eastAsia="Times New Roman" w:hAnsi="Verdana"/>
          <w:sz w:val="18"/>
          <w:szCs w:val="18"/>
          <w:lang w:eastAsia="nl-NL"/>
        </w:rPr>
        <w:t xml:space="preserve"> inzake het ‘vrij verkeer van personen’ niet onder het toepassingsbereik van de richtlijn.</w:t>
      </w:r>
      <w:r>
        <w:rPr>
          <w:rStyle w:val="Voetnootmarkering"/>
          <w:rFonts w:ascii="Verdana" w:eastAsia="Times New Roman" w:hAnsi="Verdana"/>
          <w:sz w:val="18"/>
          <w:szCs w:val="18"/>
          <w:lang w:eastAsia="nl-NL"/>
        </w:rPr>
        <w:footnoteReference w:id="18"/>
      </w:r>
      <w:r>
        <w:rPr>
          <w:rFonts w:ascii="Verdana" w:eastAsia="Times New Roman" w:hAnsi="Verdana"/>
          <w:sz w:val="18"/>
          <w:szCs w:val="18"/>
          <w:lang w:eastAsia="nl-NL"/>
        </w:rPr>
        <w:t xml:space="preserve"> Voorts is van belang om op te merken dat de lidstaten ingevolge artikel 2 lid 2 Terugkeerrichtlijn in bepaalde gevallen kunnen besluiten de richtlijn niet toe te passen op derdelanders.</w:t>
      </w:r>
    </w:p>
    <w:p w14:paraId="5CE7C187" w14:textId="77777777" w:rsidR="00922A04" w:rsidRDefault="00922A04" w:rsidP="000A5657">
      <w:pPr>
        <w:spacing w:line="360" w:lineRule="auto"/>
        <w:jc w:val="both"/>
        <w:rPr>
          <w:rFonts w:ascii="Verdana" w:eastAsia="Times New Roman" w:hAnsi="Verdana"/>
          <w:i/>
          <w:sz w:val="18"/>
          <w:szCs w:val="18"/>
          <w:lang w:eastAsia="nl-NL"/>
        </w:rPr>
      </w:pPr>
      <w:r>
        <w:rPr>
          <w:rFonts w:ascii="Verdana" w:eastAsia="Times New Roman" w:hAnsi="Verdana"/>
          <w:i/>
          <w:sz w:val="18"/>
          <w:szCs w:val="18"/>
          <w:lang w:eastAsia="nl-NL"/>
        </w:rPr>
        <w:br/>
      </w:r>
    </w:p>
    <w:p w14:paraId="6A92D1C7" w14:textId="77777777" w:rsidR="00922A04" w:rsidRDefault="00922A04" w:rsidP="000A5657">
      <w:pPr>
        <w:spacing w:line="360" w:lineRule="auto"/>
        <w:jc w:val="both"/>
        <w:rPr>
          <w:rFonts w:ascii="Verdana" w:eastAsia="Times New Roman" w:hAnsi="Verdana"/>
          <w:i/>
          <w:sz w:val="18"/>
          <w:szCs w:val="18"/>
          <w:lang w:eastAsia="nl-NL"/>
        </w:rPr>
      </w:pPr>
    </w:p>
    <w:p w14:paraId="583E97F9" w14:textId="41F83840" w:rsidR="000A5657" w:rsidRDefault="000A5657" w:rsidP="000A5657">
      <w:pPr>
        <w:spacing w:line="360" w:lineRule="auto"/>
        <w:jc w:val="both"/>
        <w:rPr>
          <w:rFonts w:ascii="Verdana" w:eastAsia="Times New Roman" w:hAnsi="Verdana"/>
          <w:i/>
          <w:sz w:val="18"/>
          <w:szCs w:val="18"/>
          <w:lang w:eastAsia="nl-NL"/>
        </w:rPr>
      </w:pPr>
      <w:r>
        <w:rPr>
          <w:rFonts w:ascii="Verdana" w:eastAsia="Times New Roman" w:hAnsi="Verdana"/>
          <w:i/>
          <w:sz w:val="18"/>
          <w:szCs w:val="18"/>
          <w:lang w:eastAsia="nl-NL"/>
        </w:rPr>
        <w:lastRenderedPageBreak/>
        <w:t>2.1.3 Terugkeerbesluit ex Terugkeerrichtlijn</w:t>
      </w:r>
    </w:p>
    <w:p w14:paraId="745904D8" w14:textId="77777777" w:rsidR="000A5657" w:rsidRDefault="000A5657" w:rsidP="000A5657">
      <w:pPr>
        <w:spacing w:line="360" w:lineRule="auto"/>
        <w:jc w:val="both"/>
        <w:rPr>
          <w:rFonts w:ascii="Verdana" w:eastAsia="Times New Roman" w:hAnsi="Verdana"/>
          <w:sz w:val="18"/>
          <w:szCs w:val="18"/>
          <w:lang w:eastAsia="nl-NL"/>
        </w:rPr>
      </w:pPr>
      <w:r>
        <w:rPr>
          <w:rFonts w:ascii="Verdana" w:eastAsia="Times New Roman" w:hAnsi="Verdana"/>
          <w:sz w:val="18"/>
          <w:szCs w:val="18"/>
          <w:lang w:eastAsia="nl-NL"/>
        </w:rPr>
        <w:t xml:space="preserve">Het terugkeerbesluit is opgenomen in artikel 6 Terugkeerrichtlijn. In het eerste lid van dit artikel is opgenomen dat een terugkeerbesluit slechts </w:t>
      </w:r>
      <w:r w:rsidRPr="006D18AE">
        <w:rPr>
          <w:rFonts w:ascii="Verdana" w:eastAsia="Times New Roman" w:hAnsi="Verdana"/>
          <w:sz w:val="18"/>
          <w:szCs w:val="18"/>
          <w:lang w:eastAsia="nl-NL"/>
        </w:rPr>
        <w:t>kan</w:t>
      </w:r>
      <w:r>
        <w:rPr>
          <w:rFonts w:ascii="Verdana" w:eastAsia="Times New Roman" w:hAnsi="Verdana"/>
          <w:sz w:val="18"/>
          <w:szCs w:val="18"/>
          <w:lang w:eastAsia="nl-NL"/>
        </w:rPr>
        <w:t xml:space="preserve"> worden uitgevaardigd aan derdelanders die illegaal op het grondgebied van de lidstaten verblijven. Het vierde lid schrijft voor dat de lidstaten te allen tijde af </w:t>
      </w:r>
      <w:r w:rsidRPr="006D18AE">
        <w:rPr>
          <w:rFonts w:ascii="Verdana" w:eastAsia="Times New Roman" w:hAnsi="Verdana"/>
          <w:sz w:val="18"/>
          <w:szCs w:val="18"/>
          <w:lang w:eastAsia="nl-NL"/>
        </w:rPr>
        <w:t>kunnen</w:t>
      </w:r>
      <w:r>
        <w:rPr>
          <w:rFonts w:ascii="Verdana" w:eastAsia="Times New Roman" w:hAnsi="Verdana"/>
          <w:sz w:val="18"/>
          <w:szCs w:val="18"/>
          <w:lang w:eastAsia="nl-NL"/>
        </w:rPr>
        <w:t xml:space="preserve"> zien van het opleggen van een terugkeerbesluit, middels het verlenen van een zelfstandige verblijfsvergunning of het geven van toestemming hiertoe. Voorts staat in het zesde lid opgenomen dat het terugkeerbesluit tezamen met een besluit tot de beëindiging van het legale verblijf</w:t>
      </w:r>
      <w:r w:rsidRPr="006D18AE">
        <w:rPr>
          <w:rFonts w:ascii="Verdana" w:eastAsia="Times New Roman" w:hAnsi="Verdana"/>
          <w:sz w:val="18"/>
          <w:szCs w:val="18"/>
          <w:lang w:eastAsia="nl-NL"/>
        </w:rPr>
        <w:t xml:space="preserve"> kan</w:t>
      </w:r>
      <w:r>
        <w:rPr>
          <w:rFonts w:ascii="Verdana" w:eastAsia="Times New Roman" w:hAnsi="Verdana"/>
          <w:sz w:val="18"/>
          <w:szCs w:val="18"/>
          <w:lang w:eastAsia="nl-NL"/>
        </w:rPr>
        <w:t xml:space="preserve"> worden opgelegd.</w:t>
      </w:r>
    </w:p>
    <w:p w14:paraId="15ABDBB7" w14:textId="37F23745" w:rsidR="002C3D0B" w:rsidRDefault="000A5657" w:rsidP="000A5657">
      <w:pPr>
        <w:spacing w:line="360" w:lineRule="auto"/>
        <w:jc w:val="both"/>
        <w:rPr>
          <w:rFonts w:ascii="Verdana" w:eastAsia="Times New Roman" w:hAnsi="Verdana"/>
          <w:sz w:val="18"/>
          <w:szCs w:val="18"/>
          <w:lang w:eastAsia="nl-NL"/>
        </w:rPr>
      </w:pPr>
      <w:r>
        <w:rPr>
          <w:rFonts w:ascii="Verdana" w:eastAsia="Times New Roman" w:hAnsi="Verdana"/>
          <w:sz w:val="18"/>
          <w:szCs w:val="18"/>
          <w:lang w:eastAsia="nl-NL"/>
        </w:rPr>
        <w:t>Uit overweging 10 van de considerans van de Terugkeerrichtlijn blijkt dat vrijwillige terugkeer altijd de voorkeur heeft.</w:t>
      </w:r>
      <w:r w:rsidR="00EB456F">
        <w:rPr>
          <w:rStyle w:val="Voetnootmarkering"/>
          <w:rFonts w:ascii="Verdana" w:eastAsia="Times New Roman" w:hAnsi="Verdana"/>
          <w:sz w:val="18"/>
          <w:szCs w:val="18"/>
          <w:lang w:eastAsia="nl-NL"/>
        </w:rPr>
        <w:footnoteReference w:id="19"/>
      </w:r>
      <w:r>
        <w:rPr>
          <w:rFonts w:ascii="Verdana" w:eastAsia="Times New Roman" w:hAnsi="Verdana"/>
          <w:sz w:val="18"/>
          <w:szCs w:val="18"/>
          <w:lang w:eastAsia="nl-NL"/>
        </w:rPr>
        <w:t xml:space="preserve"> In het terugkeerbesluit dient ingevolge het eerste lid van artikel 7 Terugkeer</w:t>
      </w:r>
      <w:r w:rsidR="004D6A52">
        <w:rPr>
          <w:rFonts w:ascii="Verdana" w:eastAsia="Times New Roman" w:hAnsi="Verdana"/>
          <w:sz w:val="18"/>
          <w:szCs w:val="18"/>
          <w:lang w:eastAsia="nl-NL"/>
        </w:rPr>
        <w:t>richtlijn dan ook te allen tijde</w:t>
      </w:r>
      <w:r>
        <w:rPr>
          <w:rFonts w:ascii="Verdana" w:eastAsia="Times New Roman" w:hAnsi="Verdana"/>
          <w:sz w:val="18"/>
          <w:szCs w:val="18"/>
          <w:lang w:eastAsia="nl-NL"/>
        </w:rPr>
        <w:t xml:space="preserve"> een passende termijn gegeven te worden voor vrijwillig vertrek.</w:t>
      </w:r>
      <w:r w:rsidR="00053C5C">
        <w:rPr>
          <w:rFonts w:ascii="Verdana" w:eastAsia="Times New Roman" w:hAnsi="Verdana"/>
          <w:sz w:val="18"/>
          <w:szCs w:val="18"/>
          <w:lang w:eastAsia="nl-NL"/>
        </w:rPr>
        <w:t xml:space="preserve"> Indien er </w:t>
      </w:r>
      <w:r>
        <w:rPr>
          <w:rFonts w:ascii="Verdana" w:eastAsia="Times New Roman" w:hAnsi="Verdana"/>
          <w:sz w:val="18"/>
          <w:szCs w:val="18"/>
          <w:lang w:eastAsia="nl-NL"/>
        </w:rPr>
        <w:t>een risico op onderduiken bestaat of indien de vreemdeling een gevaar vormt voor de openbare orde, de openbare veiligheid of de nationale veiligheid, hoeven de lidstaten de vreemdeling geen termijn voor vrijwillig vertrek te verschaffen.</w:t>
      </w:r>
    </w:p>
    <w:p w14:paraId="7273C327" w14:textId="696DE92A" w:rsidR="002C3D0B" w:rsidRPr="004F2201" w:rsidRDefault="0099338A" w:rsidP="002C3D0B">
      <w:pPr>
        <w:spacing w:line="360" w:lineRule="auto"/>
        <w:jc w:val="both"/>
        <w:rPr>
          <w:rFonts w:ascii="Verdana" w:eastAsia="Times New Roman" w:hAnsi="Verdana"/>
          <w:i/>
          <w:sz w:val="18"/>
          <w:szCs w:val="18"/>
          <w:lang w:eastAsia="nl-NL"/>
        </w:rPr>
      </w:pPr>
      <w:r>
        <w:rPr>
          <w:rFonts w:ascii="Verdana" w:eastAsia="Times New Roman" w:hAnsi="Verdana"/>
          <w:i/>
          <w:sz w:val="18"/>
          <w:szCs w:val="18"/>
          <w:lang w:eastAsia="nl-NL"/>
        </w:rPr>
        <w:br/>
      </w:r>
      <w:r w:rsidR="002C3D0B">
        <w:rPr>
          <w:rFonts w:ascii="Verdana" w:eastAsia="Times New Roman" w:hAnsi="Verdana"/>
          <w:i/>
          <w:sz w:val="18"/>
          <w:szCs w:val="18"/>
          <w:lang w:eastAsia="nl-NL"/>
        </w:rPr>
        <w:t>2.1.4 Inreisverbod ex Terugkeerrichtlijn</w:t>
      </w:r>
    </w:p>
    <w:p w14:paraId="668D23CA" w14:textId="7E676406" w:rsidR="005948A3" w:rsidRDefault="002C3D0B" w:rsidP="006D0FE3">
      <w:pPr>
        <w:spacing w:line="360" w:lineRule="auto"/>
        <w:jc w:val="both"/>
        <w:rPr>
          <w:rFonts w:ascii="Verdana" w:eastAsia="Times New Roman" w:hAnsi="Verdana"/>
          <w:sz w:val="18"/>
          <w:szCs w:val="18"/>
          <w:lang w:eastAsia="nl-NL"/>
        </w:rPr>
      </w:pPr>
      <w:r>
        <w:rPr>
          <w:rFonts w:ascii="Verdana" w:eastAsia="Times New Roman" w:hAnsi="Verdana"/>
          <w:sz w:val="18"/>
          <w:szCs w:val="18"/>
          <w:lang w:eastAsia="nl-NL"/>
        </w:rPr>
        <w:t xml:space="preserve">Het terugkeerbesluit gaat gepaard met een inreisverbod indien er geen termijn voor vrijwillig vertrek is toegekend of indien niet aan de terugkeerverplichting is voldaan. In alle overige gevallen </w:t>
      </w:r>
      <w:r w:rsidRPr="005D6F52">
        <w:rPr>
          <w:rFonts w:ascii="Verdana" w:eastAsia="Times New Roman" w:hAnsi="Verdana"/>
          <w:sz w:val="18"/>
          <w:szCs w:val="18"/>
          <w:lang w:eastAsia="nl-NL"/>
        </w:rPr>
        <w:t xml:space="preserve">kan </w:t>
      </w:r>
      <w:r>
        <w:rPr>
          <w:rFonts w:ascii="Verdana" w:eastAsia="Times New Roman" w:hAnsi="Verdana"/>
          <w:sz w:val="18"/>
          <w:szCs w:val="18"/>
          <w:lang w:eastAsia="nl-NL"/>
        </w:rPr>
        <w:t>h</w:t>
      </w:r>
      <w:r w:rsidR="0077529A">
        <w:rPr>
          <w:rFonts w:ascii="Verdana" w:eastAsia="Times New Roman" w:hAnsi="Verdana"/>
          <w:sz w:val="18"/>
          <w:szCs w:val="18"/>
          <w:lang w:eastAsia="nl-NL"/>
        </w:rPr>
        <w:t>et terugkeerbesluit eveneens het</w:t>
      </w:r>
      <w:r>
        <w:rPr>
          <w:rFonts w:ascii="Verdana" w:eastAsia="Times New Roman" w:hAnsi="Verdana"/>
          <w:sz w:val="18"/>
          <w:szCs w:val="18"/>
          <w:lang w:eastAsia="nl-NL"/>
        </w:rPr>
        <w:t xml:space="preserve"> inreisverbod omvatten. Voornoemde volgt uit artikel 11 lid 1 Terugkeerrichtlijn.</w:t>
      </w:r>
      <w:r>
        <w:rPr>
          <w:rStyle w:val="Voetnootmarkering"/>
          <w:rFonts w:ascii="Verdana" w:eastAsia="Times New Roman" w:hAnsi="Verdana"/>
          <w:sz w:val="18"/>
          <w:szCs w:val="18"/>
          <w:lang w:eastAsia="nl-NL"/>
        </w:rPr>
        <w:footnoteReference w:id="20"/>
      </w:r>
      <w:r>
        <w:rPr>
          <w:rFonts w:ascii="Verdana" w:eastAsia="Times New Roman" w:hAnsi="Verdana"/>
          <w:sz w:val="18"/>
          <w:szCs w:val="18"/>
          <w:lang w:eastAsia="nl-NL"/>
        </w:rPr>
        <w:t xml:space="preserve"> Het derde lid schrijft – net als voor het terugkeerbesluit – voor dat de lidstaten in individuele gevallen </w:t>
      </w:r>
      <w:r w:rsidRPr="005D6F52">
        <w:rPr>
          <w:rFonts w:ascii="Verdana" w:eastAsia="Times New Roman" w:hAnsi="Verdana"/>
          <w:sz w:val="18"/>
          <w:szCs w:val="18"/>
          <w:lang w:eastAsia="nl-NL"/>
        </w:rPr>
        <w:t xml:space="preserve">kunnen </w:t>
      </w:r>
      <w:r>
        <w:rPr>
          <w:rFonts w:ascii="Verdana" w:eastAsia="Times New Roman" w:hAnsi="Verdana"/>
          <w:sz w:val="18"/>
          <w:szCs w:val="18"/>
          <w:lang w:eastAsia="nl-NL"/>
        </w:rPr>
        <w:t xml:space="preserve">afzien van het opleggen van een inreisverbod. Dit maakt dat het inreisverbod, evenals het terugkeerbesluit, ingevolge de Terugkeerrichtlijn een ‘kan-bepaling’ is. </w:t>
      </w:r>
    </w:p>
    <w:p w14:paraId="7FBAC770" w14:textId="02662F27" w:rsidR="00A46063" w:rsidRDefault="002C3D0B" w:rsidP="006D0FE3">
      <w:pPr>
        <w:spacing w:line="360" w:lineRule="auto"/>
        <w:jc w:val="both"/>
        <w:rPr>
          <w:rFonts w:ascii="Verdana" w:eastAsia="Times New Roman" w:hAnsi="Verdana"/>
          <w:sz w:val="18"/>
          <w:szCs w:val="18"/>
          <w:lang w:eastAsia="nl-NL"/>
        </w:rPr>
      </w:pPr>
      <w:r>
        <w:rPr>
          <w:rFonts w:ascii="Verdana" w:eastAsia="Times New Roman" w:hAnsi="Verdana"/>
          <w:sz w:val="18"/>
          <w:szCs w:val="18"/>
          <w:lang w:eastAsia="nl-NL"/>
        </w:rPr>
        <w:t xml:space="preserve">Mocht toch een inreisverbod worden opgelegd, dan is in het tweede lid bepaald dat een belangenafweging moet plaatsvinden en dat de duur van het inreisverbod in beginsel niet meer </w:t>
      </w:r>
      <w:r w:rsidR="006D0FE3">
        <w:rPr>
          <w:rFonts w:ascii="Verdana" w:eastAsia="Times New Roman" w:hAnsi="Verdana"/>
          <w:sz w:val="18"/>
          <w:szCs w:val="18"/>
          <w:lang w:eastAsia="nl-NL"/>
        </w:rPr>
        <w:t xml:space="preserve">mag bedragen </w:t>
      </w:r>
      <w:r>
        <w:rPr>
          <w:rFonts w:ascii="Verdana" w:eastAsia="Times New Roman" w:hAnsi="Verdana"/>
          <w:sz w:val="18"/>
          <w:szCs w:val="18"/>
          <w:lang w:eastAsia="nl-NL"/>
        </w:rPr>
        <w:t>dan vijf jaren. Uitzondering hierop kan gemaakt worden wanneer de derdelander een ernstige bedreiging vormt voor de openbare orde, de openbare veiligheid of de nationale veiligheid</w:t>
      </w:r>
      <w:r w:rsidR="00B76F2D">
        <w:rPr>
          <w:rFonts w:ascii="Verdana" w:eastAsia="Times New Roman" w:hAnsi="Verdana"/>
          <w:sz w:val="18"/>
          <w:szCs w:val="18"/>
          <w:lang w:eastAsia="nl-NL"/>
        </w:rPr>
        <w:t>.</w:t>
      </w:r>
      <w:r w:rsidR="005948A3">
        <w:rPr>
          <w:rFonts w:ascii="Verdana" w:eastAsia="Times New Roman" w:hAnsi="Verdana"/>
          <w:sz w:val="18"/>
          <w:szCs w:val="18"/>
          <w:lang w:eastAsia="nl-NL"/>
        </w:rPr>
        <w:t xml:space="preserve"> </w:t>
      </w:r>
      <w:r w:rsidR="00B76F2D">
        <w:rPr>
          <w:rFonts w:ascii="Verdana" w:eastAsia="Times New Roman" w:hAnsi="Verdana"/>
          <w:sz w:val="18"/>
          <w:szCs w:val="18"/>
          <w:lang w:eastAsia="nl-NL"/>
        </w:rPr>
        <w:t>Voornoemde begrippen zijn niet nader gedefinieerd in de Terugkeerrichtlijn, maar het zijn wel Unierechtelijke begrippen. Derhalve is het aan het HvJEU om h</w:t>
      </w:r>
      <w:r w:rsidR="00833889">
        <w:rPr>
          <w:rFonts w:ascii="Verdana" w:eastAsia="Times New Roman" w:hAnsi="Verdana"/>
          <w:sz w:val="18"/>
          <w:szCs w:val="18"/>
          <w:lang w:eastAsia="nl-NL"/>
        </w:rPr>
        <w:t>ier een invulling aan te geven.</w:t>
      </w:r>
    </w:p>
    <w:p w14:paraId="086D7685" w14:textId="7B81C296" w:rsidR="00915E9B" w:rsidRDefault="00915E9B" w:rsidP="006D0FE3">
      <w:pPr>
        <w:spacing w:line="360" w:lineRule="auto"/>
        <w:jc w:val="both"/>
        <w:rPr>
          <w:rFonts w:ascii="Verdana" w:eastAsia="Times New Roman" w:hAnsi="Verdana"/>
          <w:sz w:val="18"/>
          <w:szCs w:val="18"/>
          <w:lang w:eastAsia="nl-NL"/>
        </w:rPr>
      </w:pPr>
      <w:r>
        <w:rPr>
          <w:rFonts w:ascii="Verdana" w:eastAsia="Times New Roman" w:hAnsi="Verdana"/>
          <w:sz w:val="18"/>
          <w:szCs w:val="18"/>
          <w:lang w:eastAsia="nl-NL"/>
        </w:rPr>
        <w:t>Het vijfde lid maakt vervolgens nog duidelijk dat het inreisverbod nimmer afbreuk mag doen aan het recht van de vreemdeling op internationale bescherming binnen de EU, hetgeen onder meer impliceert dat een uitgevaardigd inreisverbod op zichzelf geen rechtvaardigingsgrond vormt om een vreemdeling die bescherming wenst te weigeren aan de buitengrenzen.</w:t>
      </w:r>
      <w:r>
        <w:rPr>
          <w:rStyle w:val="Voetnootmarkering"/>
          <w:rFonts w:ascii="Verdana" w:eastAsia="Times New Roman" w:hAnsi="Verdana"/>
          <w:sz w:val="18"/>
          <w:szCs w:val="18"/>
          <w:lang w:eastAsia="nl-NL"/>
        </w:rPr>
        <w:footnoteReference w:id="21"/>
      </w:r>
    </w:p>
    <w:p w14:paraId="4376BB77" w14:textId="77777777" w:rsidR="000650BB" w:rsidRDefault="000650BB" w:rsidP="006D0FE3">
      <w:pPr>
        <w:spacing w:line="360" w:lineRule="auto"/>
        <w:jc w:val="both"/>
        <w:rPr>
          <w:rFonts w:ascii="Verdana" w:eastAsia="Times New Roman" w:hAnsi="Verdana"/>
          <w:sz w:val="18"/>
          <w:szCs w:val="18"/>
          <w:lang w:eastAsia="nl-NL"/>
        </w:rPr>
      </w:pPr>
    </w:p>
    <w:p w14:paraId="09882183" w14:textId="7EEF755F" w:rsidR="006D0FE3" w:rsidRPr="00915E9B" w:rsidRDefault="006D0FE3" w:rsidP="006D0FE3">
      <w:pPr>
        <w:spacing w:line="360" w:lineRule="auto"/>
        <w:jc w:val="both"/>
        <w:rPr>
          <w:rFonts w:ascii="Verdana" w:eastAsia="Times New Roman" w:hAnsi="Verdana"/>
          <w:i/>
          <w:sz w:val="18"/>
          <w:szCs w:val="18"/>
          <w:lang w:eastAsia="nl-NL"/>
        </w:rPr>
      </w:pPr>
      <w:r w:rsidRPr="00B66775">
        <w:rPr>
          <w:rFonts w:ascii="Verdana" w:eastAsia="Times New Roman" w:hAnsi="Verdana"/>
          <w:i/>
          <w:sz w:val="18"/>
          <w:szCs w:val="18"/>
          <w:lang w:eastAsia="nl-NL"/>
        </w:rPr>
        <w:lastRenderedPageBreak/>
        <w:t>2.1.5</w:t>
      </w:r>
      <w:r>
        <w:rPr>
          <w:rFonts w:ascii="Verdana" w:eastAsia="Times New Roman" w:hAnsi="Verdana"/>
          <w:sz w:val="18"/>
          <w:szCs w:val="18"/>
          <w:lang w:eastAsia="nl-NL"/>
        </w:rPr>
        <w:t xml:space="preserve"> </w:t>
      </w:r>
      <w:r>
        <w:rPr>
          <w:rFonts w:ascii="Verdana" w:eastAsia="Times New Roman" w:hAnsi="Verdana"/>
          <w:i/>
          <w:sz w:val="18"/>
          <w:szCs w:val="18"/>
          <w:lang w:eastAsia="nl-NL"/>
        </w:rPr>
        <w:t>Belangenafweging ex Terugkeerrichtlijn</w:t>
      </w:r>
    </w:p>
    <w:p w14:paraId="4F98BD8A" w14:textId="3160B999" w:rsidR="006955AF" w:rsidRDefault="006D0FE3" w:rsidP="00B66775">
      <w:pPr>
        <w:spacing w:after="0" w:line="360" w:lineRule="auto"/>
        <w:jc w:val="both"/>
        <w:rPr>
          <w:rFonts w:ascii="Verdana" w:eastAsia="Times New Roman" w:hAnsi="Verdana"/>
          <w:sz w:val="18"/>
          <w:szCs w:val="18"/>
          <w:lang w:eastAsia="nl-NL"/>
        </w:rPr>
      </w:pPr>
      <w:r>
        <w:rPr>
          <w:rFonts w:ascii="Verdana" w:eastAsia="Times New Roman" w:hAnsi="Verdana"/>
          <w:sz w:val="18"/>
          <w:szCs w:val="18"/>
          <w:lang w:eastAsia="nl-NL"/>
        </w:rPr>
        <w:t>Ingevolge overweging 6 van de considerans Terugkeerrichtlijn dient bij de oplegging van een terugkeerbesluit en een inreisverbod altijd een individuele toetsing – belangenafweging – plaats te vinden die ziet op objectieve criteria die zich niet beperken tot het loutere feit van illegaal verblijf. Hierbij verplicht artikel 5 Terugkeerrichtlijn de lidstaten bij de tenuitvoerlegging van de richtlijn in alle gevallen rekening te laten houden met het belang van het kind, het familie- en gezinsleven, de gezondheidstoestand van de derdelander en he</w:t>
      </w:r>
      <w:r w:rsidR="00A42DD4">
        <w:rPr>
          <w:rFonts w:ascii="Verdana" w:eastAsia="Times New Roman" w:hAnsi="Verdana"/>
          <w:sz w:val="18"/>
          <w:szCs w:val="18"/>
          <w:lang w:eastAsia="nl-NL"/>
        </w:rPr>
        <w:t>t beginsel van non-refoulement.</w:t>
      </w:r>
      <w:r w:rsidR="00A42DD4">
        <w:rPr>
          <w:rStyle w:val="Voetnootmarkering"/>
          <w:rFonts w:ascii="Verdana" w:eastAsia="Times New Roman" w:hAnsi="Verdana"/>
          <w:sz w:val="18"/>
          <w:szCs w:val="18"/>
          <w:lang w:eastAsia="nl-NL"/>
        </w:rPr>
        <w:footnoteReference w:id="22"/>
      </w:r>
    </w:p>
    <w:p w14:paraId="34FC7C59" w14:textId="77777777" w:rsidR="006955AF" w:rsidRDefault="006955AF" w:rsidP="00B66775">
      <w:pPr>
        <w:spacing w:after="0" w:line="360" w:lineRule="auto"/>
        <w:jc w:val="both"/>
        <w:rPr>
          <w:rFonts w:ascii="Verdana" w:eastAsia="Times New Roman" w:hAnsi="Verdana"/>
          <w:sz w:val="18"/>
          <w:szCs w:val="18"/>
          <w:lang w:eastAsia="nl-NL"/>
        </w:rPr>
      </w:pPr>
    </w:p>
    <w:p w14:paraId="5E149B82" w14:textId="716ED2BF" w:rsidR="00B66775" w:rsidRDefault="00CE0EB7" w:rsidP="00B66775">
      <w:pPr>
        <w:spacing w:after="0" w:line="360" w:lineRule="auto"/>
        <w:jc w:val="both"/>
        <w:rPr>
          <w:rFonts w:ascii="Verdana" w:eastAsia="Times New Roman" w:hAnsi="Verdana"/>
          <w:sz w:val="18"/>
          <w:szCs w:val="18"/>
          <w:lang w:eastAsia="nl-NL"/>
        </w:rPr>
      </w:pPr>
      <w:r>
        <w:rPr>
          <w:rFonts w:ascii="Verdana" w:eastAsia="Times New Roman" w:hAnsi="Verdana"/>
          <w:sz w:val="18"/>
          <w:szCs w:val="18"/>
          <w:lang w:eastAsia="nl-NL"/>
        </w:rPr>
        <w:t>Volledigheidshalve wordt opgemerkt dat d</w:t>
      </w:r>
      <w:r w:rsidR="006955AF">
        <w:rPr>
          <w:rFonts w:ascii="Verdana" w:eastAsia="Times New Roman" w:hAnsi="Verdana"/>
          <w:sz w:val="18"/>
          <w:szCs w:val="18"/>
          <w:lang w:eastAsia="nl-NL"/>
        </w:rPr>
        <w:t>oor verscheidene internationale organisaties, niet-gouvernementele organisaties</w:t>
      </w:r>
      <w:r>
        <w:rPr>
          <w:rFonts w:ascii="Verdana" w:eastAsia="Times New Roman" w:hAnsi="Verdana"/>
          <w:sz w:val="18"/>
          <w:szCs w:val="18"/>
          <w:lang w:eastAsia="nl-NL"/>
        </w:rPr>
        <w:t xml:space="preserve">, de </w:t>
      </w:r>
      <w:r w:rsidRPr="00CE0EB7">
        <w:rPr>
          <w:rFonts w:ascii="Verdana" w:eastAsia="Times New Roman" w:hAnsi="Verdana"/>
          <w:sz w:val="18"/>
          <w:szCs w:val="18"/>
          <w:lang w:eastAsia="nl-NL"/>
        </w:rPr>
        <w:t>United Nations High Commissioner for Refugees</w:t>
      </w:r>
      <w:r>
        <w:rPr>
          <w:rFonts w:ascii="Verdana" w:eastAsia="Times New Roman" w:hAnsi="Verdana"/>
          <w:sz w:val="18"/>
          <w:szCs w:val="18"/>
          <w:lang w:eastAsia="nl-NL"/>
        </w:rPr>
        <w:t xml:space="preserve"> en individuele landen kritieken en zorgen zijn geuit over voornamelijk de verhouding van de Terugkeerrichtlijn tot internationale mensenrechten.</w:t>
      </w:r>
      <w:r>
        <w:rPr>
          <w:rStyle w:val="Voetnootmarkering"/>
          <w:rFonts w:ascii="Verdana" w:eastAsia="Times New Roman" w:hAnsi="Verdana"/>
          <w:sz w:val="18"/>
          <w:szCs w:val="18"/>
          <w:lang w:eastAsia="nl-NL"/>
        </w:rPr>
        <w:footnoteReference w:id="23"/>
      </w:r>
      <w:r w:rsidR="00935CA9">
        <w:rPr>
          <w:rFonts w:ascii="Verdana" w:eastAsia="Times New Roman" w:hAnsi="Verdana"/>
          <w:sz w:val="18"/>
          <w:szCs w:val="18"/>
          <w:lang w:eastAsia="nl-NL"/>
        </w:rPr>
        <w:t xml:space="preserve"> Dit toont des te meer het belang van een goede belangenafweging.</w:t>
      </w:r>
    </w:p>
    <w:p w14:paraId="7DCF1D69" w14:textId="3D754FB8" w:rsidR="00B66775" w:rsidRDefault="00B66775" w:rsidP="00B66775">
      <w:pPr>
        <w:spacing w:after="0" w:line="360" w:lineRule="auto"/>
        <w:jc w:val="both"/>
        <w:rPr>
          <w:rFonts w:ascii="Verdana" w:eastAsia="Times New Roman" w:hAnsi="Verdana"/>
          <w:sz w:val="18"/>
          <w:szCs w:val="18"/>
          <w:lang w:eastAsia="nl-NL"/>
        </w:rPr>
      </w:pPr>
    </w:p>
    <w:p w14:paraId="70A38CB5" w14:textId="78F056B1" w:rsidR="00EE3B50" w:rsidRDefault="00577783" w:rsidP="00B66775">
      <w:pPr>
        <w:pBdr>
          <w:bottom w:val="single" w:sz="4" w:space="1" w:color="auto"/>
        </w:pBdr>
        <w:spacing w:after="0" w:line="360" w:lineRule="auto"/>
        <w:jc w:val="both"/>
        <w:rPr>
          <w:rFonts w:ascii="Verdana" w:eastAsia="Times New Roman" w:hAnsi="Verdana"/>
          <w:i/>
          <w:sz w:val="18"/>
          <w:szCs w:val="18"/>
          <w:lang w:eastAsia="nl-NL"/>
        </w:rPr>
      </w:pPr>
      <w:r>
        <w:rPr>
          <w:rFonts w:ascii="Verdana" w:eastAsia="Times New Roman" w:hAnsi="Verdana"/>
          <w:i/>
          <w:sz w:val="18"/>
          <w:szCs w:val="18"/>
          <w:lang w:eastAsia="nl-NL"/>
        </w:rPr>
        <w:t>2.2</w:t>
      </w:r>
      <w:r w:rsidR="00B66775">
        <w:rPr>
          <w:rFonts w:ascii="Verdana" w:eastAsia="Times New Roman" w:hAnsi="Verdana"/>
          <w:i/>
          <w:sz w:val="18"/>
          <w:szCs w:val="18"/>
          <w:lang w:eastAsia="nl-NL"/>
        </w:rPr>
        <w:t xml:space="preserve"> Het nationale recht</w:t>
      </w:r>
    </w:p>
    <w:p w14:paraId="7C70C3A8" w14:textId="61BA50A8" w:rsidR="0024781E" w:rsidRDefault="00EE3B50" w:rsidP="006A6B4E">
      <w:pPr>
        <w:spacing w:line="360" w:lineRule="auto"/>
        <w:jc w:val="both"/>
        <w:rPr>
          <w:rFonts w:ascii="Verdana" w:eastAsia="Times New Roman" w:hAnsi="Verdana"/>
          <w:sz w:val="18"/>
          <w:szCs w:val="18"/>
          <w:lang w:eastAsia="nl-NL"/>
        </w:rPr>
      </w:pPr>
      <w:r>
        <w:rPr>
          <w:rFonts w:ascii="Verdana" w:eastAsia="Times New Roman" w:hAnsi="Verdana"/>
          <w:sz w:val="18"/>
          <w:szCs w:val="18"/>
          <w:lang w:eastAsia="nl-NL"/>
        </w:rPr>
        <w:br/>
        <w:t>In Nederland is de Terugkeerrichtlijn in 2011 geïmplementeerd, hetgeen heeft geleid tot wijziging van de Vw 2000.</w:t>
      </w:r>
      <w:r>
        <w:rPr>
          <w:rStyle w:val="Voetnootmarkering"/>
          <w:rFonts w:ascii="Verdana" w:eastAsia="Times New Roman" w:hAnsi="Verdana"/>
          <w:sz w:val="18"/>
          <w:szCs w:val="18"/>
          <w:lang w:eastAsia="nl-NL"/>
        </w:rPr>
        <w:footnoteReference w:id="24"/>
      </w:r>
      <w:r>
        <w:rPr>
          <w:rFonts w:ascii="Verdana" w:eastAsia="Times New Roman" w:hAnsi="Verdana"/>
          <w:sz w:val="18"/>
          <w:szCs w:val="18"/>
          <w:lang w:eastAsia="nl-NL"/>
        </w:rPr>
        <w:t xml:space="preserve"> Hiermee zijn de Unierechtelijke bepalingen uit de Terugkeerrichtlijn omgezet in het nationale recht en is derhalve het terugkeerbesluit en het inreisverbod in Nederland geïntroduceerd. Naast de implementatie in de Vw 2000, zijn ook verscheidene procedures en maatregelen van de Terugkeerrichtlijn geïmplementeerd in het Vreemdelingenbesluit 2000 (hierna: Vb 2000) en in de Vreemdelingencir</w:t>
      </w:r>
      <w:r w:rsidR="0024781E">
        <w:rPr>
          <w:rFonts w:ascii="Verdana" w:eastAsia="Times New Roman" w:hAnsi="Verdana"/>
          <w:sz w:val="18"/>
          <w:szCs w:val="18"/>
          <w:lang w:eastAsia="nl-NL"/>
        </w:rPr>
        <w:t xml:space="preserve">culaire 2000 (hierna: Vc 2000). </w:t>
      </w:r>
      <w:r>
        <w:rPr>
          <w:rFonts w:ascii="Verdana" w:eastAsia="Times New Roman" w:hAnsi="Verdana"/>
          <w:sz w:val="18"/>
          <w:szCs w:val="18"/>
          <w:lang w:eastAsia="nl-NL"/>
        </w:rPr>
        <w:t xml:space="preserve">De </w:t>
      </w:r>
      <w:r w:rsidR="0024781E">
        <w:rPr>
          <w:rFonts w:ascii="Verdana" w:eastAsia="Times New Roman" w:hAnsi="Verdana"/>
          <w:sz w:val="18"/>
          <w:szCs w:val="18"/>
          <w:lang w:eastAsia="nl-NL"/>
        </w:rPr>
        <w:t xml:space="preserve">wijzigingen die voor onderhavig onderzoek het meest relevant zijn, zullen hieronder worden </w:t>
      </w:r>
      <w:r w:rsidR="00B70B47">
        <w:rPr>
          <w:rFonts w:ascii="Verdana" w:eastAsia="Times New Roman" w:hAnsi="Verdana"/>
          <w:sz w:val="18"/>
          <w:szCs w:val="18"/>
          <w:lang w:eastAsia="nl-NL"/>
        </w:rPr>
        <w:t>toegelicht.</w:t>
      </w:r>
    </w:p>
    <w:p w14:paraId="66232717" w14:textId="0D0EFCF8" w:rsidR="006A6B4E" w:rsidRPr="0024781E" w:rsidRDefault="006D6CF0" w:rsidP="006A6B4E">
      <w:pPr>
        <w:spacing w:line="360" w:lineRule="auto"/>
        <w:jc w:val="both"/>
        <w:rPr>
          <w:rFonts w:ascii="Verdana" w:eastAsia="Times New Roman" w:hAnsi="Verdana"/>
          <w:sz w:val="18"/>
          <w:szCs w:val="18"/>
          <w:lang w:eastAsia="nl-NL"/>
        </w:rPr>
      </w:pPr>
      <w:r>
        <w:rPr>
          <w:rFonts w:ascii="Verdana" w:eastAsia="Times New Roman" w:hAnsi="Verdana"/>
          <w:i/>
          <w:sz w:val="18"/>
          <w:szCs w:val="18"/>
          <w:lang w:eastAsia="nl-NL"/>
        </w:rPr>
        <w:br/>
      </w:r>
      <w:r w:rsidR="006A6B4E">
        <w:rPr>
          <w:rFonts w:ascii="Verdana" w:eastAsia="Times New Roman" w:hAnsi="Verdana"/>
          <w:i/>
          <w:sz w:val="18"/>
          <w:szCs w:val="18"/>
          <w:lang w:eastAsia="nl-NL"/>
        </w:rPr>
        <w:t>2.2.1 Onrechtmatig verblijf</w:t>
      </w:r>
    </w:p>
    <w:p w14:paraId="1CD09ABE" w14:textId="75A19127" w:rsidR="00984923" w:rsidRPr="001D4B24" w:rsidRDefault="006A6B4E" w:rsidP="006D387F">
      <w:pPr>
        <w:spacing w:line="360" w:lineRule="auto"/>
        <w:jc w:val="both"/>
        <w:rPr>
          <w:rFonts w:ascii="Verdana" w:eastAsia="Times New Roman" w:hAnsi="Verdana"/>
          <w:sz w:val="18"/>
          <w:szCs w:val="18"/>
          <w:lang w:eastAsia="nl-NL"/>
        </w:rPr>
      </w:pPr>
      <w:r>
        <w:rPr>
          <w:rFonts w:ascii="Verdana" w:eastAsia="Times New Roman" w:hAnsi="Verdana"/>
          <w:sz w:val="18"/>
          <w:szCs w:val="18"/>
          <w:lang w:eastAsia="nl-NL"/>
        </w:rPr>
        <w:t>In artikel 8 Vw 2000 staat opgesomd wanneer vreemdelingen rechtmatig verblijf hebben</w:t>
      </w:r>
      <w:r w:rsidR="002A29E6">
        <w:rPr>
          <w:rFonts w:ascii="Verdana" w:eastAsia="Times New Roman" w:hAnsi="Verdana"/>
          <w:sz w:val="18"/>
          <w:szCs w:val="18"/>
          <w:lang w:eastAsia="nl-NL"/>
        </w:rPr>
        <w:t xml:space="preserve"> in Nederland</w:t>
      </w:r>
      <w:r>
        <w:rPr>
          <w:rFonts w:ascii="Verdana" w:eastAsia="Times New Roman" w:hAnsi="Verdana"/>
          <w:sz w:val="18"/>
          <w:szCs w:val="18"/>
          <w:lang w:eastAsia="nl-NL"/>
        </w:rPr>
        <w:t>. Het uitgangspunt in de Vw 2000 is dat de vreemdeling die niet (langer) rechtmatig in Nederland verblijft, de lidstaat uit eigen beweging dient te verlaten.</w:t>
      </w:r>
      <w:r w:rsidR="00A66285">
        <w:rPr>
          <w:rStyle w:val="Voetnootmarkering"/>
          <w:rFonts w:ascii="Verdana" w:eastAsia="Times New Roman" w:hAnsi="Verdana"/>
          <w:sz w:val="18"/>
          <w:szCs w:val="18"/>
          <w:lang w:eastAsia="nl-NL"/>
        </w:rPr>
        <w:footnoteReference w:id="25"/>
      </w:r>
      <w:r>
        <w:rPr>
          <w:rFonts w:ascii="Verdana" w:eastAsia="Times New Roman" w:hAnsi="Verdana"/>
          <w:sz w:val="18"/>
          <w:szCs w:val="18"/>
          <w:lang w:eastAsia="nl-NL"/>
        </w:rPr>
        <w:t xml:space="preserve"> In dit verband dient opgemerkt te worden dat de vreemdeling die nimmer rechtmati</w:t>
      </w:r>
      <w:r w:rsidR="00B70B47">
        <w:rPr>
          <w:rFonts w:ascii="Verdana" w:eastAsia="Times New Roman" w:hAnsi="Verdana"/>
          <w:sz w:val="18"/>
          <w:szCs w:val="18"/>
          <w:lang w:eastAsia="nl-NL"/>
        </w:rPr>
        <w:t>g in Nederland heeft verbleven</w:t>
      </w:r>
      <w:r w:rsidR="00B70B47">
        <w:rPr>
          <w:rStyle w:val="Voetnootmarkering"/>
          <w:rFonts w:ascii="Verdana" w:eastAsia="Times New Roman" w:hAnsi="Verdana"/>
          <w:sz w:val="18"/>
          <w:szCs w:val="18"/>
          <w:lang w:eastAsia="nl-NL"/>
        </w:rPr>
        <w:footnoteReference w:id="26"/>
      </w:r>
      <w:r w:rsidR="00B70B47">
        <w:rPr>
          <w:rFonts w:ascii="Verdana" w:eastAsia="Times New Roman" w:hAnsi="Verdana"/>
          <w:sz w:val="18"/>
          <w:szCs w:val="18"/>
          <w:lang w:eastAsia="nl-NL"/>
        </w:rPr>
        <w:t xml:space="preserve"> </w:t>
      </w:r>
      <w:r>
        <w:rPr>
          <w:rFonts w:ascii="Verdana" w:eastAsia="Times New Roman" w:hAnsi="Verdana"/>
          <w:sz w:val="18"/>
          <w:szCs w:val="18"/>
          <w:lang w:eastAsia="nl-NL"/>
        </w:rPr>
        <w:t>voornoemde rechtsplicht heeft vanaf het moment dat hij Nederland illegaal is binnen gekomen.</w:t>
      </w:r>
      <w:r>
        <w:rPr>
          <w:rStyle w:val="Voetnootmarkering"/>
          <w:rFonts w:ascii="Verdana" w:eastAsia="Times New Roman" w:hAnsi="Verdana"/>
          <w:sz w:val="18"/>
          <w:szCs w:val="18"/>
          <w:lang w:eastAsia="nl-NL"/>
        </w:rPr>
        <w:footnoteReference w:id="27"/>
      </w:r>
    </w:p>
    <w:p w14:paraId="18C8EE7E" w14:textId="77777777" w:rsidR="00B70B47" w:rsidRDefault="00B70B47" w:rsidP="006D387F">
      <w:pPr>
        <w:spacing w:line="360" w:lineRule="auto"/>
        <w:jc w:val="both"/>
        <w:rPr>
          <w:rFonts w:ascii="Verdana" w:eastAsia="Times New Roman" w:hAnsi="Verdana"/>
          <w:i/>
          <w:sz w:val="18"/>
          <w:szCs w:val="18"/>
          <w:lang w:eastAsia="nl-NL"/>
        </w:rPr>
      </w:pPr>
    </w:p>
    <w:p w14:paraId="57469A3E" w14:textId="6F720B2C" w:rsidR="006D387F" w:rsidRDefault="006D387F" w:rsidP="006D387F">
      <w:pPr>
        <w:spacing w:line="360" w:lineRule="auto"/>
        <w:jc w:val="both"/>
        <w:rPr>
          <w:rFonts w:ascii="Verdana" w:eastAsia="Times New Roman" w:hAnsi="Verdana"/>
          <w:i/>
          <w:sz w:val="18"/>
          <w:szCs w:val="18"/>
          <w:lang w:eastAsia="nl-NL"/>
        </w:rPr>
      </w:pPr>
      <w:r>
        <w:rPr>
          <w:rFonts w:ascii="Verdana" w:eastAsia="Times New Roman" w:hAnsi="Verdana"/>
          <w:i/>
          <w:sz w:val="18"/>
          <w:szCs w:val="18"/>
          <w:lang w:eastAsia="nl-NL"/>
        </w:rPr>
        <w:lastRenderedPageBreak/>
        <w:t>2.2.2 Terugkeerbesluit ex Vw 2000</w:t>
      </w:r>
    </w:p>
    <w:p w14:paraId="26122270" w14:textId="51E6A2DD" w:rsidR="006D387F" w:rsidRDefault="006D387F" w:rsidP="006D387F">
      <w:pPr>
        <w:spacing w:line="360" w:lineRule="auto"/>
        <w:jc w:val="both"/>
        <w:rPr>
          <w:rFonts w:ascii="Verdana" w:eastAsia="Times New Roman" w:hAnsi="Verdana"/>
          <w:sz w:val="18"/>
          <w:szCs w:val="18"/>
          <w:lang w:eastAsia="nl-NL"/>
        </w:rPr>
      </w:pPr>
      <w:r>
        <w:rPr>
          <w:rFonts w:ascii="Verdana" w:eastAsia="Times New Roman" w:hAnsi="Verdana"/>
          <w:sz w:val="18"/>
          <w:szCs w:val="18"/>
          <w:lang w:eastAsia="nl-NL"/>
        </w:rPr>
        <w:t>De wettelijke basis voor het uitvaardigen van een terugkeerbesluit is neergelegd in artikel 62a Vw 2000. In de praktijk legt de bevoegde ambtenaar van de IND op basis van dit artikel, namens de Staatssecretaris van Justitie en Veiligheid (hierna: de Staatssecretaris), schriftelijk een terugkeerbesluit op aan de vreemdeling die niet (langer) rechtmatig verblijf heeft in Nederland. Let wel, deze beslissing behoort tot de discretionaire bevoegdheid van de Staatssecretaris.</w:t>
      </w:r>
      <w:r>
        <w:rPr>
          <w:rStyle w:val="Voetnootmarkering"/>
          <w:rFonts w:ascii="Verdana" w:eastAsia="Times New Roman" w:hAnsi="Verdana"/>
          <w:sz w:val="18"/>
          <w:szCs w:val="18"/>
          <w:lang w:eastAsia="nl-NL"/>
        </w:rPr>
        <w:footnoteReference w:id="28"/>
      </w:r>
      <w:r>
        <w:rPr>
          <w:rFonts w:ascii="Verdana" w:eastAsia="Times New Roman" w:hAnsi="Verdana"/>
          <w:sz w:val="18"/>
          <w:szCs w:val="18"/>
          <w:lang w:eastAsia="nl-NL"/>
        </w:rPr>
        <w:t xml:space="preserve"> Rede</w:t>
      </w:r>
      <w:r w:rsidR="004D6A52">
        <w:rPr>
          <w:rFonts w:ascii="Verdana" w:eastAsia="Times New Roman" w:hAnsi="Verdana"/>
          <w:sz w:val="18"/>
          <w:szCs w:val="18"/>
          <w:lang w:eastAsia="nl-NL"/>
        </w:rPr>
        <w:t>n waarom de Staatssecretaris te</w:t>
      </w:r>
      <w:r>
        <w:rPr>
          <w:rFonts w:ascii="Verdana" w:eastAsia="Times New Roman" w:hAnsi="Verdana"/>
          <w:sz w:val="18"/>
          <w:szCs w:val="18"/>
          <w:lang w:eastAsia="nl-NL"/>
        </w:rPr>
        <w:t xml:space="preserve"> alle</w:t>
      </w:r>
      <w:r w:rsidR="004D6A52">
        <w:rPr>
          <w:rFonts w:ascii="Verdana" w:eastAsia="Times New Roman" w:hAnsi="Verdana"/>
          <w:sz w:val="18"/>
          <w:szCs w:val="18"/>
          <w:lang w:eastAsia="nl-NL"/>
        </w:rPr>
        <w:t>n tijde</w:t>
      </w:r>
      <w:r>
        <w:rPr>
          <w:rFonts w:ascii="Verdana" w:eastAsia="Times New Roman" w:hAnsi="Verdana"/>
          <w:sz w:val="18"/>
          <w:szCs w:val="18"/>
          <w:lang w:eastAsia="nl-NL"/>
        </w:rPr>
        <w:t xml:space="preserve"> af kan zien van het opleggen van een terugkeerbesluit.</w:t>
      </w:r>
    </w:p>
    <w:p w14:paraId="4C078B19" w14:textId="50B31B65" w:rsidR="00775003" w:rsidRDefault="006D387F" w:rsidP="006D387F">
      <w:pPr>
        <w:spacing w:line="360" w:lineRule="auto"/>
        <w:jc w:val="both"/>
        <w:rPr>
          <w:rFonts w:ascii="Verdana" w:eastAsia="Times New Roman" w:hAnsi="Verdana"/>
          <w:sz w:val="18"/>
          <w:szCs w:val="18"/>
          <w:lang w:eastAsia="nl-NL"/>
        </w:rPr>
      </w:pPr>
      <w:r>
        <w:rPr>
          <w:rFonts w:ascii="Verdana" w:eastAsia="Times New Roman" w:hAnsi="Verdana"/>
          <w:sz w:val="18"/>
          <w:szCs w:val="18"/>
          <w:lang w:eastAsia="nl-NL"/>
        </w:rPr>
        <w:t>Uit de systematiek van de Vw 2000 blijkt dat in de gevallen zoals wanneer een aanvraag voor een verblijfsvergunning wordt afgewezen, dan wel wanneer de verblijfsvergunning niet wordt verlengd of wordt ingetrokken op een van de gronden als bedoeld in artikel 18 lid 1 Vw 2000 juncto artikel 19 Vw 2000, de besluiten eveneens aangemerkt kunnen worden als terugkeerbesluiten.</w:t>
      </w:r>
      <w:r>
        <w:rPr>
          <w:rStyle w:val="Voetnootmarkering"/>
          <w:rFonts w:ascii="Verdana" w:eastAsia="Times New Roman" w:hAnsi="Verdana"/>
          <w:sz w:val="18"/>
          <w:szCs w:val="18"/>
          <w:lang w:eastAsia="nl-NL"/>
        </w:rPr>
        <w:footnoteReference w:id="29"/>
      </w:r>
      <w:r w:rsidR="00302A9B">
        <w:rPr>
          <w:rFonts w:ascii="Verdana" w:eastAsia="Times New Roman" w:hAnsi="Verdana"/>
          <w:sz w:val="18"/>
          <w:szCs w:val="18"/>
          <w:lang w:eastAsia="nl-NL"/>
        </w:rPr>
        <w:t xml:space="preserve"> Dit is bijvoorbeeld het geval bij </w:t>
      </w:r>
      <w:r w:rsidR="00A809F9">
        <w:rPr>
          <w:rFonts w:ascii="Verdana" w:eastAsia="Times New Roman" w:hAnsi="Verdana"/>
          <w:sz w:val="18"/>
          <w:szCs w:val="18"/>
          <w:lang w:eastAsia="nl-NL"/>
        </w:rPr>
        <w:t>vreemdelingen</w:t>
      </w:r>
      <w:r w:rsidR="00302A9B">
        <w:rPr>
          <w:rFonts w:ascii="Verdana" w:eastAsia="Times New Roman" w:hAnsi="Verdana"/>
          <w:sz w:val="18"/>
          <w:szCs w:val="18"/>
          <w:lang w:eastAsia="nl-NL"/>
        </w:rPr>
        <w:t xml:space="preserve"> die</w:t>
      </w:r>
      <w:r w:rsidR="00A809F9">
        <w:rPr>
          <w:rFonts w:ascii="Verdana" w:eastAsia="Times New Roman" w:hAnsi="Verdana"/>
          <w:sz w:val="18"/>
          <w:szCs w:val="18"/>
          <w:lang w:eastAsia="nl-NL"/>
        </w:rPr>
        <w:t xml:space="preserve"> worden </w:t>
      </w:r>
      <w:r w:rsidR="00302A9B">
        <w:rPr>
          <w:rFonts w:ascii="Verdana" w:eastAsia="Times New Roman" w:hAnsi="Verdana"/>
          <w:sz w:val="18"/>
          <w:szCs w:val="18"/>
          <w:lang w:eastAsia="nl-NL"/>
        </w:rPr>
        <w:t>aangemerkt als een gevaar voor de openbare orde.</w:t>
      </w:r>
    </w:p>
    <w:p w14:paraId="0C44C35A" w14:textId="2F2AA540" w:rsidR="00A809F9" w:rsidRDefault="006D387F" w:rsidP="006D387F">
      <w:pPr>
        <w:spacing w:line="360" w:lineRule="auto"/>
        <w:jc w:val="both"/>
        <w:rPr>
          <w:rFonts w:ascii="Verdana" w:eastAsia="Times New Roman" w:hAnsi="Verdana"/>
          <w:sz w:val="18"/>
          <w:szCs w:val="18"/>
          <w:lang w:eastAsia="nl-NL"/>
        </w:rPr>
      </w:pPr>
      <w:r>
        <w:rPr>
          <w:rFonts w:ascii="Verdana" w:eastAsia="Times New Roman" w:hAnsi="Verdana"/>
          <w:sz w:val="18"/>
          <w:szCs w:val="18"/>
          <w:lang w:eastAsia="nl-NL"/>
        </w:rPr>
        <w:t xml:space="preserve">Op grond van artikel 62 lid 1 Vw 2000 kan bij het uitvaardigen van een terugkeerbesluit een vertrektermijn worden opgelegd van vier weken, ’28-dagentermijn’, ofwel kan worden bepaald dat de vreemdeling </w:t>
      </w:r>
      <w:r w:rsidR="00497C7B">
        <w:rPr>
          <w:rFonts w:ascii="Verdana" w:eastAsia="Times New Roman" w:hAnsi="Verdana"/>
          <w:sz w:val="18"/>
          <w:szCs w:val="18"/>
          <w:lang w:eastAsia="nl-NL"/>
        </w:rPr>
        <w:t xml:space="preserve">Nederland </w:t>
      </w:r>
      <w:r>
        <w:rPr>
          <w:rFonts w:ascii="Verdana" w:eastAsia="Times New Roman" w:hAnsi="Verdana"/>
          <w:sz w:val="18"/>
          <w:szCs w:val="18"/>
          <w:lang w:eastAsia="nl-NL"/>
        </w:rPr>
        <w:t>onmiddellijk, ‘0-dagentermijn’,</w:t>
      </w:r>
      <w:r w:rsidR="00497C7B">
        <w:rPr>
          <w:rFonts w:ascii="Verdana" w:eastAsia="Times New Roman" w:hAnsi="Verdana"/>
          <w:sz w:val="18"/>
          <w:szCs w:val="18"/>
          <w:lang w:eastAsia="nl-NL"/>
        </w:rPr>
        <w:t xml:space="preserve"> </w:t>
      </w:r>
      <w:r>
        <w:rPr>
          <w:rFonts w:ascii="Verdana" w:eastAsia="Times New Roman" w:hAnsi="Verdana"/>
          <w:sz w:val="18"/>
          <w:szCs w:val="18"/>
          <w:lang w:eastAsia="nl-NL"/>
        </w:rPr>
        <w:t xml:space="preserve">dient te verlaten. Dit kan ingevolge artikel 62 lid 2 Vw 2000 </w:t>
      </w:r>
      <w:r w:rsidR="00F90421">
        <w:rPr>
          <w:rFonts w:ascii="Verdana" w:eastAsia="Times New Roman" w:hAnsi="Verdana"/>
          <w:sz w:val="18"/>
          <w:szCs w:val="18"/>
          <w:lang w:eastAsia="nl-NL"/>
        </w:rPr>
        <w:t>onder meer</w:t>
      </w:r>
      <w:r w:rsidR="003A5A29">
        <w:rPr>
          <w:rFonts w:ascii="Verdana" w:eastAsia="Times New Roman" w:hAnsi="Verdana"/>
          <w:sz w:val="18"/>
          <w:szCs w:val="18"/>
          <w:lang w:eastAsia="nl-NL"/>
        </w:rPr>
        <w:t xml:space="preserve"> onder de voorwaarde dat de vreemdeling een </w:t>
      </w:r>
      <w:r w:rsidR="003A5A29" w:rsidRPr="00B45947">
        <w:rPr>
          <w:rFonts w:ascii="Verdana" w:eastAsia="Times New Roman" w:hAnsi="Verdana"/>
          <w:sz w:val="18"/>
          <w:szCs w:val="18"/>
          <w:lang w:eastAsia="nl-NL"/>
        </w:rPr>
        <w:t>gevaar vormt voor de openbare orde, de openbare veiligheid of de nationale veiligheid.</w:t>
      </w:r>
      <w:r w:rsidR="003A5A29">
        <w:rPr>
          <w:rStyle w:val="Voetnootmarkering"/>
          <w:rFonts w:ascii="Verdana" w:eastAsia="Times New Roman" w:hAnsi="Verdana"/>
          <w:sz w:val="18"/>
          <w:szCs w:val="18"/>
          <w:lang w:eastAsia="nl-NL"/>
        </w:rPr>
        <w:footnoteReference w:id="30"/>
      </w:r>
    </w:p>
    <w:p w14:paraId="1EB3E59D" w14:textId="1D509BB3" w:rsidR="006D387F" w:rsidRDefault="006D387F" w:rsidP="006D387F">
      <w:pPr>
        <w:spacing w:line="360" w:lineRule="auto"/>
        <w:jc w:val="both"/>
        <w:rPr>
          <w:rFonts w:ascii="Verdana" w:eastAsia="Times New Roman" w:hAnsi="Verdana"/>
          <w:sz w:val="18"/>
          <w:szCs w:val="18"/>
          <w:lang w:eastAsia="nl-NL"/>
        </w:rPr>
      </w:pPr>
      <w:r>
        <w:rPr>
          <w:rFonts w:ascii="Verdana" w:eastAsia="Times New Roman" w:hAnsi="Verdana"/>
          <w:sz w:val="18"/>
          <w:szCs w:val="18"/>
          <w:lang w:eastAsia="nl-NL"/>
        </w:rPr>
        <w:t>Uit artikel 6.1 Vb 2000 blijkt vervolgens dat er minimaal twee gronden uit artikel 5.1b lid 2 Vb 2000 op de vreemdeling van toepassing moeten zijn die gerechtvaardigd kunnen aantonen dat een ‘</w:t>
      </w:r>
      <w:r w:rsidR="00C301C3">
        <w:rPr>
          <w:rFonts w:ascii="Verdana" w:eastAsia="Times New Roman" w:hAnsi="Verdana"/>
          <w:sz w:val="18"/>
          <w:szCs w:val="18"/>
          <w:lang w:eastAsia="nl-NL"/>
        </w:rPr>
        <w:t xml:space="preserve">0-dagentermijn’ wordt opgelegd. </w:t>
      </w:r>
      <w:r>
        <w:rPr>
          <w:rFonts w:ascii="Verdana" w:eastAsia="Times New Roman" w:hAnsi="Verdana"/>
          <w:sz w:val="18"/>
          <w:szCs w:val="18"/>
          <w:lang w:eastAsia="nl-NL"/>
        </w:rPr>
        <w:t>Op het moment dat een terugkeerbesluit wordt opgelegd</w:t>
      </w:r>
      <w:r w:rsidR="00A52D59">
        <w:rPr>
          <w:rFonts w:ascii="Verdana" w:eastAsia="Times New Roman" w:hAnsi="Verdana"/>
          <w:sz w:val="18"/>
          <w:szCs w:val="18"/>
          <w:lang w:eastAsia="nl-NL"/>
        </w:rPr>
        <w:t xml:space="preserve"> met een 0-dagentermijn,</w:t>
      </w:r>
      <w:r>
        <w:rPr>
          <w:rFonts w:ascii="Verdana" w:eastAsia="Times New Roman" w:hAnsi="Verdana"/>
          <w:sz w:val="18"/>
          <w:szCs w:val="18"/>
          <w:lang w:eastAsia="nl-NL"/>
        </w:rPr>
        <w:t xml:space="preserve"> </w:t>
      </w:r>
      <w:r w:rsidRPr="00CD0C7E">
        <w:rPr>
          <w:rFonts w:ascii="Verdana" w:eastAsia="Times New Roman" w:hAnsi="Verdana"/>
          <w:sz w:val="18"/>
          <w:szCs w:val="18"/>
          <w:lang w:eastAsia="nl-NL"/>
        </w:rPr>
        <w:t>kan</w:t>
      </w:r>
      <w:r>
        <w:rPr>
          <w:rFonts w:ascii="Verdana" w:eastAsia="Times New Roman" w:hAnsi="Verdana"/>
          <w:sz w:val="18"/>
          <w:szCs w:val="18"/>
          <w:lang w:eastAsia="nl-NL"/>
        </w:rPr>
        <w:t xml:space="preserve"> dit worden gevolgd door een toezichtsmaatregel, zoals vreemdelingenbewaring. De regels hieromtrent zijn opgenomen in de artikelen 56 tot en met 60 Vw 2000.</w:t>
      </w:r>
      <w:r w:rsidR="00E0461E">
        <w:rPr>
          <w:rStyle w:val="Voetnootmarkering"/>
          <w:rFonts w:ascii="Verdana" w:eastAsia="Times New Roman" w:hAnsi="Verdana"/>
          <w:sz w:val="18"/>
          <w:szCs w:val="18"/>
          <w:lang w:eastAsia="nl-NL"/>
        </w:rPr>
        <w:footnoteReference w:id="31"/>
      </w:r>
    </w:p>
    <w:p w14:paraId="16910CB9" w14:textId="38DC943E" w:rsidR="00185E0A" w:rsidRDefault="00CC0CEE" w:rsidP="00185E0A">
      <w:pPr>
        <w:spacing w:line="360" w:lineRule="auto"/>
        <w:jc w:val="both"/>
        <w:rPr>
          <w:rFonts w:ascii="Verdana" w:eastAsia="Times New Roman" w:hAnsi="Verdana"/>
          <w:i/>
          <w:sz w:val="18"/>
          <w:szCs w:val="18"/>
          <w:lang w:eastAsia="nl-NL"/>
        </w:rPr>
      </w:pPr>
      <w:r>
        <w:rPr>
          <w:rFonts w:ascii="Verdana" w:eastAsia="Times New Roman" w:hAnsi="Verdana"/>
          <w:i/>
          <w:sz w:val="18"/>
          <w:szCs w:val="18"/>
          <w:lang w:eastAsia="nl-NL"/>
        </w:rPr>
        <w:br/>
      </w:r>
      <w:r w:rsidR="00736823">
        <w:rPr>
          <w:rFonts w:ascii="Verdana" w:eastAsia="Times New Roman" w:hAnsi="Verdana"/>
          <w:i/>
          <w:sz w:val="18"/>
          <w:szCs w:val="18"/>
          <w:lang w:eastAsia="nl-NL"/>
        </w:rPr>
        <w:t xml:space="preserve">2.2.3 </w:t>
      </w:r>
      <w:r w:rsidR="00185E0A">
        <w:rPr>
          <w:rFonts w:ascii="Verdana" w:eastAsia="Times New Roman" w:hAnsi="Verdana"/>
          <w:i/>
          <w:sz w:val="18"/>
          <w:szCs w:val="18"/>
          <w:lang w:eastAsia="nl-NL"/>
        </w:rPr>
        <w:t>Inreisverbod ex Vw 2000</w:t>
      </w:r>
    </w:p>
    <w:p w14:paraId="55A1D079" w14:textId="30C6E2E9" w:rsidR="00185E0A" w:rsidRDefault="00185E0A" w:rsidP="00185E0A">
      <w:pPr>
        <w:spacing w:line="360" w:lineRule="auto"/>
        <w:jc w:val="both"/>
        <w:rPr>
          <w:rFonts w:ascii="Verdana" w:eastAsia="Times New Roman" w:hAnsi="Verdana"/>
          <w:sz w:val="18"/>
          <w:szCs w:val="18"/>
          <w:lang w:eastAsia="nl-NL"/>
        </w:rPr>
      </w:pPr>
      <w:r>
        <w:rPr>
          <w:rFonts w:ascii="Verdana" w:eastAsia="Times New Roman" w:hAnsi="Verdana"/>
          <w:sz w:val="18"/>
          <w:szCs w:val="18"/>
          <w:lang w:eastAsia="nl-NL"/>
        </w:rPr>
        <w:t>Zoals reeds uit de bepalingen van de Terugkeerrichtlijn is gebleken, dient een inreisverbod gepaard te gaan met een terugkeerbesluit, of dient het terugkeerbesluit het inreisverbod te omvatten. Hiertoe is in artikel 66a lid 1 opgenomen dat een inreisverbod opgelegd wordt als er een ‘0-dagentermijn’ is verschaft of als de vreemdeling zich niet heeft gehoude</w:t>
      </w:r>
      <w:r w:rsidR="0062439A">
        <w:rPr>
          <w:rFonts w:ascii="Verdana" w:eastAsia="Times New Roman" w:hAnsi="Verdana"/>
          <w:sz w:val="18"/>
          <w:szCs w:val="18"/>
          <w:lang w:eastAsia="nl-NL"/>
        </w:rPr>
        <w:t>n aan het vrije vertrektermijn.</w:t>
      </w:r>
    </w:p>
    <w:p w14:paraId="753055E7" w14:textId="6127D051" w:rsidR="00185E0A" w:rsidRDefault="00185E0A" w:rsidP="00185E0A">
      <w:pPr>
        <w:spacing w:line="360" w:lineRule="auto"/>
        <w:jc w:val="both"/>
        <w:rPr>
          <w:rFonts w:ascii="Verdana" w:eastAsia="Times New Roman" w:hAnsi="Verdana"/>
          <w:sz w:val="18"/>
          <w:szCs w:val="18"/>
          <w:lang w:eastAsia="nl-NL"/>
        </w:rPr>
      </w:pPr>
      <w:r>
        <w:rPr>
          <w:rFonts w:ascii="Verdana" w:eastAsia="Times New Roman" w:hAnsi="Verdana"/>
          <w:sz w:val="18"/>
          <w:szCs w:val="18"/>
          <w:lang w:eastAsia="nl-NL"/>
        </w:rPr>
        <w:t xml:space="preserve">De duur van het inreisverbod kan per individueel geval variëren van een tot twintig jaar. Ingevolge artikel 6.5a lid 1 tot en met 5 Vb 2000 juncto artikel 66a lid 4 Vw 2000 wordt het inreisverbod in beginsel opgelegd voor ten hoogste vijf jaren, hetgeen ook wel een ‘licht inreisverbod’ wordt </w:t>
      </w:r>
      <w:r>
        <w:rPr>
          <w:rFonts w:ascii="Verdana" w:eastAsia="Times New Roman" w:hAnsi="Verdana"/>
          <w:sz w:val="18"/>
          <w:szCs w:val="18"/>
          <w:lang w:eastAsia="nl-NL"/>
        </w:rPr>
        <w:lastRenderedPageBreak/>
        <w:t>g</w:t>
      </w:r>
      <w:r w:rsidR="006125C6">
        <w:rPr>
          <w:rFonts w:ascii="Verdana" w:eastAsia="Times New Roman" w:hAnsi="Verdana"/>
          <w:sz w:val="18"/>
          <w:szCs w:val="18"/>
          <w:lang w:eastAsia="nl-NL"/>
        </w:rPr>
        <w:t>enoemd. Van deze duur kan</w:t>
      </w:r>
      <w:r>
        <w:rPr>
          <w:rFonts w:ascii="Verdana" w:eastAsia="Times New Roman" w:hAnsi="Verdana"/>
          <w:sz w:val="18"/>
          <w:szCs w:val="18"/>
          <w:lang w:eastAsia="nl-NL"/>
        </w:rPr>
        <w:t xml:space="preserve"> onder bepaalde voorwaarden worden afgeweken, maar het inreisverbod dient op basis van vaste jurisprudentie altijd in duur beperkt te zijn.</w:t>
      </w:r>
      <w:r>
        <w:rPr>
          <w:rStyle w:val="Voetnootmarkering"/>
          <w:rFonts w:ascii="Verdana" w:eastAsia="Times New Roman" w:hAnsi="Verdana"/>
          <w:sz w:val="18"/>
          <w:szCs w:val="18"/>
          <w:lang w:eastAsia="nl-NL"/>
        </w:rPr>
        <w:footnoteReference w:id="32"/>
      </w:r>
      <w:r>
        <w:rPr>
          <w:rFonts w:ascii="Verdana" w:eastAsia="Times New Roman" w:hAnsi="Verdana"/>
          <w:sz w:val="18"/>
          <w:szCs w:val="18"/>
          <w:lang w:eastAsia="nl-NL"/>
        </w:rPr>
        <w:t xml:space="preserve"> </w:t>
      </w:r>
    </w:p>
    <w:p w14:paraId="5A5C741B" w14:textId="303EE9C1" w:rsidR="00185E0A" w:rsidRDefault="00185E0A" w:rsidP="00185E0A">
      <w:pPr>
        <w:spacing w:line="360" w:lineRule="auto"/>
        <w:jc w:val="both"/>
        <w:rPr>
          <w:rFonts w:ascii="Verdana" w:eastAsia="Times New Roman" w:hAnsi="Verdana"/>
          <w:sz w:val="18"/>
          <w:szCs w:val="18"/>
          <w:lang w:eastAsia="nl-NL"/>
        </w:rPr>
      </w:pPr>
      <w:r>
        <w:rPr>
          <w:rFonts w:ascii="Verdana" w:eastAsia="Times New Roman" w:hAnsi="Verdana"/>
          <w:sz w:val="18"/>
          <w:szCs w:val="18"/>
          <w:lang w:eastAsia="nl-NL"/>
        </w:rPr>
        <w:t>Uit artikel 6.5a lid 5 Vb 2000 blijkt dat een inreisverbod kan worden opgelegd van ten hoogste tien jaren indien de vreemdeling een ernstige bedreiging vormt voor de openbare orde of de openbare veiligheid.</w:t>
      </w:r>
      <w:r w:rsidR="00953007">
        <w:rPr>
          <w:rStyle w:val="Voetnootmarkering"/>
          <w:rFonts w:ascii="Verdana" w:eastAsia="Times New Roman" w:hAnsi="Verdana"/>
          <w:sz w:val="18"/>
          <w:szCs w:val="18"/>
          <w:lang w:eastAsia="nl-NL"/>
        </w:rPr>
        <w:footnoteReference w:id="33"/>
      </w:r>
      <w:r>
        <w:rPr>
          <w:rFonts w:ascii="Verdana" w:eastAsia="Times New Roman" w:hAnsi="Verdana"/>
          <w:sz w:val="18"/>
          <w:szCs w:val="18"/>
          <w:lang w:eastAsia="nl-NL"/>
        </w:rPr>
        <w:t xml:space="preserve"> Voorts schrijft het zesde lid van voornoemd artikel voor dat een inreisverbod kan worden opgelegd van ten hoogste twintig jaren, indien </w:t>
      </w:r>
      <w:r w:rsidRPr="00363DBF">
        <w:rPr>
          <w:rFonts w:ascii="Verdana" w:eastAsia="Times New Roman" w:hAnsi="Verdana"/>
          <w:sz w:val="18"/>
          <w:szCs w:val="18"/>
          <w:lang w:eastAsia="nl-NL"/>
        </w:rPr>
        <w:t>de vreemdeling een ernstige bedreiging vormt voor de nationale veiligheid of sprake is van zwaarwegende belangen</w:t>
      </w:r>
      <w:r>
        <w:rPr>
          <w:rFonts w:ascii="Verdana" w:eastAsia="Times New Roman" w:hAnsi="Verdana"/>
          <w:sz w:val="18"/>
          <w:szCs w:val="18"/>
          <w:lang w:eastAsia="nl-NL"/>
        </w:rPr>
        <w:t xml:space="preserve">. Het inreisverbod dat wordt opgelegd voor de duur van tien jaren of langer, wordt ook wel een ‘zwaar inreisverbod’ genoemd. </w:t>
      </w:r>
    </w:p>
    <w:p w14:paraId="27DF0CF2" w14:textId="285F4D25" w:rsidR="00185E0A" w:rsidRPr="00042446" w:rsidRDefault="00185E0A" w:rsidP="00185E0A">
      <w:pPr>
        <w:spacing w:line="360" w:lineRule="auto"/>
        <w:jc w:val="both"/>
        <w:rPr>
          <w:rFonts w:ascii="Verdana" w:eastAsia="Times New Roman" w:hAnsi="Verdana"/>
          <w:sz w:val="18"/>
          <w:szCs w:val="18"/>
          <w:lang w:eastAsia="nl-NL"/>
        </w:rPr>
      </w:pPr>
      <w:r>
        <w:rPr>
          <w:rFonts w:ascii="Verdana" w:eastAsia="Times New Roman" w:hAnsi="Verdana"/>
          <w:sz w:val="18"/>
          <w:szCs w:val="18"/>
          <w:lang w:eastAsia="nl-NL"/>
        </w:rPr>
        <w:t>Het onderscheid tussen een licht en een zwaar inreisverbod is van belang voor het rechtmatige verblijf. Daar de vreemdeling jegens wie een zwaar inreisverbod is uitgevaardigd, op grond van artikel 66a lid 6 en lid 7 Vw 2000 geen rechtmatig verblijf kan hebben in Nederland.</w:t>
      </w:r>
      <w:r w:rsidRPr="00614C5C">
        <w:rPr>
          <w:rStyle w:val="Voetnootmarkering"/>
          <w:rFonts w:ascii="Verdana" w:eastAsia="Times New Roman" w:hAnsi="Verdana"/>
          <w:sz w:val="18"/>
          <w:szCs w:val="18"/>
          <w:lang w:eastAsia="nl-NL"/>
        </w:rPr>
        <w:t xml:space="preserve"> </w:t>
      </w:r>
      <w:r>
        <w:rPr>
          <w:rStyle w:val="Voetnootmarkering"/>
          <w:rFonts w:ascii="Verdana" w:eastAsia="Times New Roman" w:hAnsi="Verdana"/>
          <w:sz w:val="18"/>
          <w:szCs w:val="18"/>
          <w:lang w:eastAsia="nl-NL"/>
        </w:rPr>
        <w:footnoteReference w:id="34"/>
      </w:r>
      <w:r>
        <w:rPr>
          <w:rFonts w:ascii="Verdana" w:eastAsia="Times New Roman" w:hAnsi="Verdana"/>
          <w:sz w:val="18"/>
          <w:szCs w:val="18"/>
          <w:lang w:eastAsia="nl-NL"/>
        </w:rPr>
        <w:t xml:space="preserve"> De vreemdeling met een licht inreisverbod heeft daarentegen wel nog altijd rec</w:t>
      </w:r>
      <w:r w:rsidR="00BF35F2">
        <w:rPr>
          <w:rFonts w:ascii="Verdana" w:eastAsia="Times New Roman" w:hAnsi="Verdana"/>
          <w:sz w:val="18"/>
          <w:szCs w:val="18"/>
          <w:lang w:eastAsia="nl-NL"/>
        </w:rPr>
        <w:t>htmatig verblijf. In paragraaf 2.4</w:t>
      </w:r>
      <w:r>
        <w:rPr>
          <w:rFonts w:ascii="Verdana" w:eastAsia="Times New Roman" w:hAnsi="Verdana"/>
          <w:sz w:val="18"/>
          <w:szCs w:val="18"/>
          <w:lang w:eastAsia="nl-NL"/>
        </w:rPr>
        <w:t xml:space="preserve"> zal toegelicht worden waarom dit van belang is in het kader van een eventuele beroepsprocedure. Voorts geldt dat bij zware inreisverboden bij de beoordeling betrokken </w:t>
      </w:r>
      <w:r w:rsidR="00BF35F2">
        <w:rPr>
          <w:rFonts w:ascii="Verdana" w:eastAsia="Times New Roman" w:hAnsi="Verdana"/>
          <w:sz w:val="18"/>
          <w:szCs w:val="18"/>
          <w:lang w:eastAsia="nl-NL"/>
        </w:rPr>
        <w:t>moet</w:t>
      </w:r>
      <w:r>
        <w:rPr>
          <w:rFonts w:ascii="Verdana" w:eastAsia="Times New Roman" w:hAnsi="Verdana"/>
          <w:sz w:val="18"/>
          <w:szCs w:val="18"/>
          <w:lang w:eastAsia="nl-NL"/>
        </w:rPr>
        <w:t xml:space="preserve"> worden of het gedrag van de vreemdeling een werkelijke, </w:t>
      </w:r>
      <w:r w:rsidRPr="00BF35F2">
        <w:rPr>
          <w:rFonts w:ascii="Verdana" w:eastAsia="Times New Roman" w:hAnsi="Verdana"/>
          <w:sz w:val="18"/>
          <w:szCs w:val="18"/>
          <w:lang w:eastAsia="nl-NL"/>
        </w:rPr>
        <w:t>actuele</w:t>
      </w:r>
      <w:r>
        <w:rPr>
          <w:rFonts w:ascii="Verdana" w:eastAsia="Times New Roman" w:hAnsi="Verdana"/>
          <w:sz w:val="18"/>
          <w:szCs w:val="18"/>
          <w:lang w:eastAsia="nl-NL"/>
        </w:rPr>
        <w:t xml:space="preserve"> en voldoende ernstige bedreiging vormt voor de openbare orde.</w:t>
      </w:r>
      <w:r>
        <w:rPr>
          <w:rStyle w:val="Voetnootmarkering"/>
          <w:rFonts w:ascii="Verdana" w:eastAsia="Times New Roman" w:hAnsi="Verdana"/>
          <w:sz w:val="18"/>
          <w:szCs w:val="18"/>
          <w:lang w:eastAsia="nl-NL"/>
        </w:rPr>
        <w:footnoteReference w:id="35"/>
      </w:r>
      <w:r w:rsidR="00BF35F2">
        <w:rPr>
          <w:rFonts w:ascii="Verdana" w:eastAsia="Times New Roman" w:hAnsi="Verdana"/>
          <w:sz w:val="18"/>
          <w:szCs w:val="18"/>
          <w:lang w:eastAsia="nl-NL"/>
        </w:rPr>
        <w:t xml:space="preserve"> Hierover zal in paragraaf 2.3</w:t>
      </w:r>
      <w:r>
        <w:rPr>
          <w:rFonts w:ascii="Verdana" w:eastAsia="Times New Roman" w:hAnsi="Verdana"/>
          <w:sz w:val="18"/>
          <w:szCs w:val="18"/>
          <w:lang w:eastAsia="nl-NL"/>
        </w:rPr>
        <w:t xml:space="preserve"> nadere uitleg worden gegeven. </w:t>
      </w:r>
    </w:p>
    <w:p w14:paraId="3300714A" w14:textId="25556504" w:rsidR="00185E0A" w:rsidRDefault="00185E0A" w:rsidP="00185E0A">
      <w:pPr>
        <w:spacing w:line="360" w:lineRule="auto"/>
        <w:jc w:val="both"/>
        <w:rPr>
          <w:rFonts w:ascii="Verdana" w:eastAsia="Times New Roman" w:hAnsi="Verdana"/>
          <w:sz w:val="18"/>
          <w:szCs w:val="18"/>
          <w:lang w:eastAsia="nl-NL"/>
        </w:rPr>
      </w:pPr>
      <w:r>
        <w:rPr>
          <w:rFonts w:ascii="Verdana" w:eastAsia="Times New Roman" w:hAnsi="Verdana"/>
          <w:sz w:val="18"/>
          <w:szCs w:val="18"/>
          <w:lang w:eastAsia="nl-NL"/>
        </w:rPr>
        <w:t>Doordat ook het inreisverbod een ‘kan-bepaling’ is die valt onder de discretionaire bevoegdheid van de Staatssecretaris, is in artikel 66a lid 8 Vw 2000 opgenomen dat om humanitaire of andere redenen afgezien kan worden van het uitvaardigen van een inreisverbod.</w:t>
      </w:r>
      <w:r>
        <w:rPr>
          <w:rStyle w:val="Voetnootmarkering"/>
          <w:rFonts w:ascii="Verdana" w:eastAsia="Times New Roman" w:hAnsi="Verdana"/>
          <w:sz w:val="18"/>
          <w:szCs w:val="18"/>
          <w:lang w:eastAsia="nl-NL"/>
        </w:rPr>
        <w:footnoteReference w:id="36"/>
      </w:r>
      <w:r>
        <w:rPr>
          <w:rFonts w:ascii="Verdana" w:eastAsia="Times New Roman" w:hAnsi="Verdana"/>
          <w:sz w:val="18"/>
          <w:szCs w:val="18"/>
          <w:lang w:eastAsia="nl-NL"/>
        </w:rPr>
        <w:t xml:space="preserve"> Het al dan niet opleggen van een inreisverbod dient – net als het terugkeerbesluit – aan de hand van het evenredigheidsbeginsel altijd volgens de individuele omstandigheden van het geval te worden bepaald.</w:t>
      </w:r>
    </w:p>
    <w:p w14:paraId="701733D0" w14:textId="012FD6E9" w:rsidR="00120217" w:rsidRDefault="00CC0CEE" w:rsidP="00120217">
      <w:pPr>
        <w:spacing w:line="360" w:lineRule="auto"/>
        <w:jc w:val="both"/>
        <w:rPr>
          <w:rFonts w:ascii="Verdana" w:eastAsia="Times New Roman" w:hAnsi="Verdana"/>
          <w:i/>
          <w:sz w:val="18"/>
          <w:szCs w:val="18"/>
          <w:lang w:eastAsia="nl-NL"/>
        </w:rPr>
      </w:pPr>
      <w:r>
        <w:rPr>
          <w:rFonts w:ascii="Verdana" w:eastAsia="Times New Roman" w:hAnsi="Verdana"/>
          <w:i/>
          <w:sz w:val="18"/>
          <w:szCs w:val="18"/>
          <w:lang w:eastAsia="nl-NL"/>
        </w:rPr>
        <w:br/>
      </w:r>
      <w:r w:rsidR="00120217">
        <w:rPr>
          <w:rFonts w:ascii="Verdana" w:eastAsia="Times New Roman" w:hAnsi="Verdana"/>
          <w:i/>
          <w:sz w:val="18"/>
          <w:szCs w:val="18"/>
          <w:lang w:eastAsia="nl-NL"/>
        </w:rPr>
        <w:t>2.2.4 Ongewenstverklaring ex Vw 2000</w:t>
      </w:r>
    </w:p>
    <w:p w14:paraId="452BAE92" w14:textId="7C43E395" w:rsidR="00120217" w:rsidRDefault="00120217" w:rsidP="00120217">
      <w:pPr>
        <w:spacing w:line="360" w:lineRule="auto"/>
        <w:jc w:val="both"/>
        <w:rPr>
          <w:rFonts w:ascii="Verdana" w:eastAsia="Times New Roman" w:hAnsi="Verdana"/>
          <w:sz w:val="18"/>
          <w:szCs w:val="18"/>
          <w:lang w:eastAsia="nl-NL"/>
        </w:rPr>
      </w:pPr>
      <w:r>
        <w:rPr>
          <w:rFonts w:ascii="Verdana" w:eastAsia="Times New Roman" w:hAnsi="Verdana"/>
          <w:sz w:val="18"/>
          <w:szCs w:val="18"/>
          <w:lang w:eastAsia="nl-NL"/>
        </w:rPr>
        <w:t>Reeds voor de implementatie van de Terugkeerric</w:t>
      </w:r>
      <w:r w:rsidR="00F53C71">
        <w:rPr>
          <w:rFonts w:ascii="Verdana" w:eastAsia="Times New Roman" w:hAnsi="Verdana"/>
          <w:sz w:val="18"/>
          <w:szCs w:val="18"/>
          <w:lang w:eastAsia="nl-NL"/>
        </w:rPr>
        <w:t xml:space="preserve">htlijn bestond in Nederland een </w:t>
      </w:r>
      <w:r>
        <w:rPr>
          <w:rFonts w:ascii="Verdana" w:eastAsia="Times New Roman" w:hAnsi="Verdana"/>
          <w:sz w:val="18"/>
          <w:szCs w:val="18"/>
          <w:lang w:eastAsia="nl-NL"/>
        </w:rPr>
        <w:t xml:space="preserve">‘nationaal inreisverbod’ in de vorm van een ongewenstverklaring. </w:t>
      </w:r>
      <w:r w:rsidR="0099355D">
        <w:rPr>
          <w:rFonts w:ascii="Verdana" w:eastAsia="Times New Roman" w:hAnsi="Verdana"/>
          <w:sz w:val="18"/>
          <w:szCs w:val="18"/>
          <w:lang w:eastAsia="nl-NL"/>
        </w:rPr>
        <w:t>De ongewenstverklaring kan echter niet geheel met het inreisverbod worden gelijkgesteld, aangezien deze versch</w:t>
      </w:r>
      <w:r w:rsidR="0052387A">
        <w:rPr>
          <w:rFonts w:ascii="Verdana" w:eastAsia="Times New Roman" w:hAnsi="Verdana"/>
          <w:sz w:val="18"/>
          <w:szCs w:val="18"/>
          <w:lang w:eastAsia="nl-NL"/>
        </w:rPr>
        <w:t xml:space="preserve">illen vertoont voor wat betreft </w:t>
      </w:r>
      <w:r w:rsidR="00FE7132">
        <w:rPr>
          <w:rFonts w:ascii="Verdana" w:eastAsia="Times New Roman" w:hAnsi="Verdana"/>
          <w:sz w:val="18"/>
          <w:szCs w:val="18"/>
          <w:lang w:eastAsia="nl-NL"/>
        </w:rPr>
        <w:t>geografisch bereik, doelgroep, sanctionering, duur en mogelijkheid van het verkrijgen van rechtmatig verblijf alhier te lande.</w:t>
      </w:r>
      <w:r w:rsidR="00FE7132">
        <w:rPr>
          <w:rStyle w:val="Voetnootmarkering"/>
          <w:rFonts w:ascii="Verdana" w:eastAsia="Times New Roman" w:hAnsi="Verdana"/>
          <w:sz w:val="18"/>
          <w:szCs w:val="18"/>
          <w:lang w:eastAsia="nl-NL"/>
        </w:rPr>
        <w:footnoteReference w:id="37"/>
      </w:r>
      <w:r w:rsidR="002F74E9">
        <w:rPr>
          <w:rFonts w:ascii="Verdana" w:eastAsia="Times New Roman" w:hAnsi="Verdana"/>
          <w:sz w:val="18"/>
          <w:szCs w:val="18"/>
          <w:lang w:eastAsia="nl-NL"/>
        </w:rPr>
        <w:t xml:space="preserve"> Derdelanders die een inbreuk maken op de openbare orde of nationale veiligheid, kunnen onder bepaalde voorwaarden – zoals benoemd in artikel 67 lid 1 Vw 2000 – ongewenst worden verklaard en hierdoor uit Nederland worden geweerd. </w:t>
      </w:r>
      <w:r>
        <w:rPr>
          <w:rFonts w:ascii="Verdana" w:eastAsia="Times New Roman" w:hAnsi="Verdana"/>
          <w:sz w:val="18"/>
          <w:szCs w:val="18"/>
          <w:lang w:eastAsia="nl-NL"/>
        </w:rPr>
        <w:t xml:space="preserve">Op grond van het derde lid heeft de ongewenst verklaarde vreemdeling </w:t>
      </w:r>
      <w:r w:rsidR="002F74E9">
        <w:rPr>
          <w:rFonts w:ascii="Verdana" w:eastAsia="Times New Roman" w:hAnsi="Verdana"/>
          <w:sz w:val="18"/>
          <w:szCs w:val="18"/>
          <w:lang w:eastAsia="nl-NL"/>
        </w:rPr>
        <w:t xml:space="preserve">immers </w:t>
      </w:r>
      <w:r>
        <w:rPr>
          <w:rFonts w:ascii="Verdana" w:eastAsia="Times New Roman" w:hAnsi="Verdana"/>
          <w:sz w:val="18"/>
          <w:szCs w:val="18"/>
          <w:lang w:eastAsia="nl-NL"/>
        </w:rPr>
        <w:t>geen rechtmatig verblijf.</w:t>
      </w:r>
      <w:r w:rsidR="002F74E9">
        <w:rPr>
          <w:rFonts w:ascii="Verdana" w:eastAsia="Times New Roman" w:hAnsi="Verdana"/>
          <w:sz w:val="18"/>
          <w:szCs w:val="18"/>
          <w:lang w:eastAsia="nl-NL"/>
        </w:rPr>
        <w:t xml:space="preserve"> Let wel, de ongewenstverklaring strekt zich </w:t>
      </w:r>
      <w:r w:rsidR="00EA5549">
        <w:rPr>
          <w:rFonts w:ascii="Verdana" w:eastAsia="Times New Roman" w:hAnsi="Verdana"/>
          <w:sz w:val="18"/>
          <w:szCs w:val="18"/>
          <w:lang w:eastAsia="nl-NL"/>
        </w:rPr>
        <w:t xml:space="preserve">in beginsel slechts uit tot het </w:t>
      </w:r>
      <w:r w:rsidR="0033569E">
        <w:rPr>
          <w:rFonts w:ascii="Verdana" w:eastAsia="Times New Roman" w:hAnsi="Verdana"/>
          <w:sz w:val="18"/>
          <w:szCs w:val="18"/>
          <w:lang w:eastAsia="nl-NL"/>
        </w:rPr>
        <w:t>Nederlandse grondgebied</w:t>
      </w:r>
      <w:r w:rsidR="00EA5549">
        <w:rPr>
          <w:rFonts w:ascii="Verdana" w:eastAsia="Times New Roman" w:hAnsi="Verdana"/>
          <w:sz w:val="18"/>
          <w:szCs w:val="18"/>
          <w:lang w:eastAsia="nl-NL"/>
        </w:rPr>
        <w:t>.</w:t>
      </w:r>
      <w:r w:rsidR="00EA5549">
        <w:rPr>
          <w:rStyle w:val="Voetnootmarkering"/>
          <w:rFonts w:ascii="Verdana" w:eastAsia="Times New Roman" w:hAnsi="Verdana"/>
          <w:sz w:val="18"/>
          <w:szCs w:val="18"/>
          <w:lang w:eastAsia="nl-NL"/>
        </w:rPr>
        <w:footnoteReference w:id="38"/>
      </w:r>
    </w:p>
    <w:p w14:paraId="37D4E231" w14:textId="19DFAD11" w:rsidR="00120217" w:rsidRDefault="006862B0" w:rsidP="00120217">
      <w:pPr>
        <w:spacing w:line="360" w:lineRule="auto"/>
        <w:jc w:val="both"/>
        <w:rPr>
          <w:rFonts w:ascii="Verdana" w:eastAsia="Times New Roman" w:hAnsi="Verdana"/>
          <w:sz w:val="18"/>
          <w:szCs w:val="18"/>
          <w:lang w:eastAsia="nl-NL"/>
        </w:rPr>
      </w:pPr>
      <w:r>
        <w:rPr>
          <w:rFonts w:ascii="Verdana" w:eastAsia="Times New Roman" w:hAnsi="Verdana"/>
          <w:sz w:val="18"/>
          <w:szCs w:val="18"/>
          <w:lang w:eastAsia="nl-NL"/>
        </w:rPr>
        <w:lastRenderedPageBreak/>
        <w:t>De</w:t>
      </w:r>
      <w:r w:rsidR="00120217">
        <w:rPr>
          <w:rFonts w:ascii="Verdana" w:eastAsia="Times New Roman" w:hAnsi="Verdana"/>
          <w:sz w:val="18"/>
          <w:szCs w:val="18"/>
          <w:lang w:eastAsia="nl-NL"/>
        </w:rPr>
        <w:t xml:space="preserve"> ongewenstverklaring kan momenteel </w:t>
      </w:r>
      <w:r w:rsidR="0052387A">
        <w:rPr>
          <w:rFonts w:ascii="Verdana" w:eastAsia="Times New Roman" w:hAnsi="Verdana"/>
          <w:sz w:val="18"/>
          <w:szCs w:val="18"/>
          <w:lang w:eastAsia="nl-NL"/>
        </w:rPr>
        <w:t xml:space="preserve">enkel </w:t>
      </w:r>
      <w:r w:rsidR="00120217">
        <w:rPr>
          <w:rFonts w:ascii="Verdana" w:eastAsia="Times New Roman" w:hAnsi="Verdana"/>
          <w:sz w:val="18"/>
          <w:szCs w:val="18"/>
          <w:lang w:eastAsia="nl-NL"/>
        </w:rPr>
        <w:t>nog worden opgelegd aan vreemdelingen op wie de Terugkeerrichtlijn niet (meer) van toepassing</w:t>
      </w:r>
      <w:r w:rsidR="0052387A">
        <w:rPr>
          <w:rFonts w:ascii="Verdana" w:eastAsia="Times New Roman" w:hAnsi="Verdana"/>
          <w:sz w:val="18"/>
          <w:szCs w:val="18"/>
          <w:lang w:eastAsia="nl-NL"/>
        </w:rPr>
        <w:t xml:space="preserve"> is</w:t>
      </w:r>
      <w:r w:rsidR="00120217">
        <w:rPr>
          <w:rFonts w:ascii="Verdana" w:eastAsia="Times New Roman" w:hAnsi="Verdana"/>
          <w:sz w:val="18"/>
          <w:szCs w:val="18"/>
          <w:lang w:eastAsia="nl-NL"/>
        </w:rPr>
        <w:t>, zoals gemeenschapsonderdanen.</w:t>
      </w:r>
      <w:r w:rsidR="00120217">
        <w:rPr>
          <w:rStyle w:val="Voetnootmarkering"/>
          <w:rFonts w:ascii="Verdana" w:eastAsia="Times New Roman" w:hAnsi="Verdana"/>
          <w:sz w:val="18"/>
          <w:szCs w:val="18"/>
          <w:lang w:eastAsia="nl-NL"/>
        </w:rPr>
        <w:footnoteReference w:id="39"/>
      </w:r>
      <w:r w:rsidR="00120217">
        <w:rPr>
          <w:rFonts w:ascii="Verdana" w:eastAsia="Times New Roman" w:hAnsi="Verdana"/>
          <w:sz w:val="18"/>
          <w:szCs w:val="18"/>
          <w:lang w:eastAsia="nl-NL"/>
        </w:rPr>
        <w:t xml:space="preserve"> De ongewenstverklaring die vóór de uiterste implementatiedatum van de Terugkeerrichtlijn is uitgevaar</w:t>
      </w:r>
      <w:r w:rsidR="002073C3">
        <w:rPr>
          <w:rFonts w:ascii="Verdana" w:eastAsia="Times New Roman" w:hAnsi="Verdana"/>
          <w:sz w:val="18"/>
          <w:szCs w:val="18"/>
          <w:lang w:eastAsia="nl-NL"/>
        </w:rPr>
        <w:t>digd, toont volgens zowel de Afdeling als de Hoge Raad v</w:t>
      </w:r>
      <w:r w:rsidR="00085A30">
        <w:rPr>
          <w:rFonts w:ascii="Verdana" w:eastAsia="Times New Roman" w:hAnsi="Verdana"/>
          <w:sz w:val="18"/>
          <w:szCs w:val="18"/>
          <w:lang w:eastAsia="nl-NL"/>
        </w:rPr>
        <w:t xml:space="preserve">oldoende overeenkomsten met </w:t>
      </w:r>
      <w:r w:rsidR="002073C3">
        <w:rPr>
          <w:rFonts w:ascii="Verdana" w:eastAsia="Times New Roman" w:hAnsi="Verdana"/>
          <w:sz w:val="18"/>
          <w:szCs w:val="18"/>
          <w:lang w:eastAsia="nl-NL"/>
        </w:rPr>
        <w:t>het inreisverbod, waardoor deze hiermee gelijkgesteld dient te worden.</w:t>
      </w:r>
      <w:r w:rsidR="002073C3" w:rsidRPr="002073C3">
        <w:rPr>
          <w:rStyle w:val="Voetnootmarkering"/>
          <w:rFonts w:ascii="Verdana" w:eastAsia="Times New Roman" w:hAnsi="Verdana"/>
          <w:sz w:val="18"/>
          <w:szCs w:val="18"/>
          <w:lang w:eastAsia="nl-NL"/>
        </w:rPr>
        <w:t xml:space="preserve"> </w:t>
      </w:r>
      <w:r w:rsidR="002073C3">
        <w:rPr>
          <w:rStyle w:val="Voetnootmarkering"/>
          <w:rFonts w:ascii="Verdana" w:eastAsia="Times New Roman" w:hAnsi="Verdana"/>
          <w:sz w:val="18"/>
          <w:szCs w:val="18"/>
          <w:lang w:eastAsia="nl-NL"/>
        </w:rPr>
        <w:footnoteReference w:id="40"/>
      </w:r>
      <w:r w:rsidR="002073C3">
        <w:rPr>
          <w:rFonts w:ascii="Verdana" w:eastAsia="Times New Roman" w:hAnsi="Verdana"/>
          <w:sz w:val="18"/>
          <w:szCs w:val="18"/>
          <w:lang w:eastAsia="nl-NL"/>
        </w:rPr>
        <w:t xml:space="preserve"> Reden waarom </w:t>
      </w:r>
      <w:r w:rsidR="00120217">
        <w:rPr>
          <w:rFonts w:ascii="Verdana" w:eastAsia="Times New Roman" w:hAnsi="Verdana"/>
          <w:sz w:val="18"/>
          <w:szCs w:val="18"/>
          <w:lang w:eastAsia="nl-NL"/>
        </w:rPr>
        <w:t>ook de ongewenstverklaring in beginsel is gebonden aan de in de richtlijn bepaalde maximale duur van vijf jaren. Deze termijn neemt aanvang op het moment dat de vr</w:t>
      </w:r>
      <w:r w:rsidR="002073C3">
        <w:rPr>
          <w:rFonts w:ascii="Verdana" w:eastAsia="Times New Roman" w:hAnsi="Verdana"/>
          <w:sz w:val="18"/>
          <w:szCs w:val="18"/>
          <w:lang w:eastAsia="nl-NL"/>
        </w:rPr>
        <w:t>eemdeling de EU heeft verlaten.</w:t>
      </w:r>
    </w:p>
    <w:p w14:paraId="6CD3C6B1" w14:textId="137A5410" w:rsidR="009143D1" w:rsidRDefault="00C54D26" w:rsidP="00120217">
      <w:pPr>
        <w:spacing w:line="360" w:lineRule="auto"/>
        <w:jc w:val="both"/>
        <w:rPr>
          <w:rFonts w:ascii="Verdana" w:eastAsia="Times New Roman" w:hAnsi="Verdana"/>
          <w:sz w:val="18"/>
          <w:szCs w:val="18"/>
          <w:lang w:eastAsia="nl-NL"/>
        </w:rPr>
      </w:pPr>
      <w:r>
        <w:rPr>
          <w:rFonts w:ascii="Verdana" w:eastAsia="Times New Roman" w:hAnsi="Verdana"/>
          <w:sz w:val="18"/>
          <w:szCs w:val="18"/>
          <w:lang w:eastAsia="nl-NL"/>
        </w:rPr>
        <w:t xml:space="preserve">Een vreemdeling kan </w:t>
      </w:r>
      <w:r w:rsidR="00120217">
        <w:rPr>
          <w:rFonts w:ascii="Verdana" w:eastAsia="Times New Roman" w:hAnsi="Verdana"/>
          <w:sz w:val="18"/>
          <w:szCs w:val="18"/>
          <w:lang w:eastAsia="nl-NL"/>
        </w:rPr>
        <w:t xml:space="preserve">ongewenst worden verklaard indien: </w:t>
      </w:r>
    </w:p>
    <w:p w14:paraId="10D1B7F8" w14:textId="77777777" w:rsidR="00120217" w:rsidRDefault="00120217" w:rsidP="002E1F3D">
      <w:pPr>
        <w:pStyle w:val="Lijstalinea"/>
        <w:numPr>
          <w:ilvl w:val="0"/>
          <w:numId w:val="5"/>
        </w:numPr>
        <w:pBdr>
          <w:left w:val="single" w:sz="4" w:space="4" w:color="auto"/>
        </w:pBdr>
        <w:spacing w:line="360" w:lineRule="auto"/>
        <w:jc w:val="both"/>
        <w:rPr>
          <w:rFonts w:ascii="Verdana" w:eastAsia="Times New Roman" w:hAnsi="Verdana"/>
          <w:sz w:val="18"/>
          <w:szCs w:val="18"/>
          <w:lang w:eastAsia="nl-NL"/>
        </w:rPr>
      </w:pPr>
      <w:r>
        <w:rPr>
          <w:rFonts w:ascii="Verdana" w:eastAsia="Times New Roman" w:hAnsi="Verdana"/>
          <w:sz w:val="18"/>
          <w:szCs w:val="18"/>
          <w:lang w:eastAsia="nl-NL"/>
        </w:rPr>
        <w:t>Hij niet rechtmatig in Nederland verblijft en bij herhaling een bij deze wet strafbaar gesteld feit heeft begaan;</w:t>
      </w:r>
    </w:p>
    <w:p w14:paraId="588B5054" w14:textId="77777777" w:rsidR="00120217" w:rsidRDefault="00120217" w:rsidP="002E1F3D">
      <w:pPr>
        <w:pStyle w:val="Lijstalinea"/>
        <w:numPr>
          <w:ilvl w:val="0"/>
          <w:numId w:val="5"/>
        </w:numPr>
        <w:pBdr>
          <w:left w:val="single" w:sz="4" w:space="4" w:color="auto"/>
        </w:pBdr>
        <w:spacing w:line="360" w:lineRule="auto"/>
        <w:jc w:val="both"/>
        <w:rPr>
          <w:rFonts w:ascii="Verdana" w:eastAsia="Times New Roman" w:hAnsi="Verdana"/>
          <w:sz w:val="18"/>
          <w:szCs w:val="18"/>
          <w:lang w:eastAsia="nl-NL"/>
        </w:rPr>
      </w:pPr>
      <w:r>
        <w:rPr>
          <w:rFonts w:ascii="Verdana" w:eastAsia="Times New Roman" w:hAnsi="Verdana"/>
          <w:sz w:val="18"/>
          <w:szCs w:val="18"/>
          <w:lang w:eastAsia="nl-NL"/>
        </w:rPr>
        <w:t>Hij bij onherroepelijk geworden rechterlijk vonnis is veroordeeld wegens een misdrijf waartegen een gevangenisstraf van drie jaren of meer is bedreigd;</w:t>
      </w:r>
    </w:p>
    <w:p w14:paraId="739578EF" w14:textId="77777777" w:rsidR="00120217" w:rsidRDefault="00120217" w:rsidP="002E1F3D">
      <w:pPr>
        <w:pStyle w:val="Lijstalinea"/>
        <w:numPr>
          <w:ilvl w:val="0"/>
          <w:numId w:val="5"/>
        </w:numPr>
        <w:pBdr>
          <w:left w:val="single" w:sz="4" w:space="4" w:color="auto"/>
        </w:pBdr>
        <w:spacing w:line="360" w:lineRule="auto"/>
        <w:jc w:val="both"/>
        <w:rPr>
          <w:rFonts w:ascii="Verdana" w:eastAsia="Times New Roman" w:hAnsi="Verdana"/>
          <w:sz w:val="18"/>
          <w:szCs w:val="18"/>
          <w:lang w:eastAsia="nl-NL"/>
        </w:rPr>
      </w:pPr>
      <w:r>
        <w:rPr>
          <w:rFonts w:ascii="Verdana" w:eastAsia="Times New Roman" w:hAnsi="Verdana"/>
          <w:sz w:val="18"/>
          <w:szCs w:val="18"/>
          <w:lang w:eastAsia="nl-NL"/>
        </w:rPr>
        <w:t>Hij een gevaar vormt voor de openbare orde of nationale veiligheid en geen rechtmatig verblijf heeft;</w:t>
      </w:r>
    </w:p>
    <w:p w14:paraId="484D6189" w14:textId="77777777" w:rsidR="00120217" w:rsidRDefault="00120217" w:rsidP="002E1F3D">
      <w:pPr>
        <w:pStyle w:val="Lijstalinea"/>
        <w:numPr>
          <w:ilvl w:val="0"/>
          <w:numId w:val="5"/>
        </w:numPr>
        <w:pBdr>
          <w:left w:val="single" w:sz="4" w:space="4" w:color="auto"/>
        </w:pBdr>
        <w:spacing w:line="360" w:lineRule="auto"/>
        <w:jc w:val="both"/>
        <w:rPr>
          <w:rFonts w:ascii="Verdana" w:eastAsia="Times New Roman" w:hAnsi="Verdana"/>
          <w:sz w:val="18"/>
          <w:szCs w:val="18"/>
          <w:lang w:eastAsia="nl-NL"/>
        </w:rPr>
      </w:pPr>
      <w:r>
        <w:rPr>
          <w:rFonts w:ascii="Verdana" w:eastAsia="Times New Roman" w:hAnsi="Verdana"/>
          <w:sz w:val="18"/>
          <w:szCs w:val="18"/>
          <w:lang w:eastAsia="nl-NL"/>
        </w:rPr>
        <w:t>Dit volgt uit een verdrag;</w:t>
      </w:r>
    </w:p>
    <w:p w14:paraId="5BA39039" w14:textId="77777777" w:rsidR="00120217" w:rsidRDefault="00120217" w:rsidP="002E1F3D">
      <w:pPr>
        <w:pStyle w:val="Lijstalinea"/>
        <w:numPr>
          <w:ilvl w:val="0"/>
          <w:numId w:val="5"/>
        </w:numPr>
        <w:pBdr>
          <w:left w:val="single" w:sz="4" w:space="4" w:color="auto"/>
        </w:pBdr>
        <w:spacing w:line="360" w:lineRule="auto"/>
        <w:jc w:val="both"/>
        <w:rPr>
          <w:rFonts w:ascii="Verdana" w:eastAsia="Times New Roman" w:hAnsi="Verdana"/>
          <w:sz w:val="18"/>
          <w:szCs w:val="18"/>
          <w:lang w:eastAsia="nl-NL"/>
        </w:rPr>
      </w:pPr>
      <w:r>
        <w:rPr>
          <w:rFonts w:ascii="Verdana" w:eastAsia="Times New Roman" w:hAnsi="Verdana"/>
          <w:sz w:val="18"/>
          <w:szCs w:val="18"/>
          <w:lang w:eastAsia="nl-NL"/>
        </w:rPr>
        <w:t>Dit in het belang van de internationale betrekkingen van Nederland is.</w:t>
      </w:r>
    </w:p>
    <w:p w14:paraId="40C018BB" w14:textId="2A3FCE22" w:rsidR="002E1B68" w:rsidRDefault="009143D1" w:rsidP="002E1B68">
      <w:pPr>
        <w:spacing w:line="360" w:lineRule="auto"/>
        <w:jc w:val="both"/>
        <w:rPr>
          <w:rFonts w:ascii="Verdana" w:eastAsia="Times New Roman" w:hAnsi="Verdana"/>
          <w:i/>
          <w:sz w:val="18"/>
          <w:szCs w:val="18"/>
          <w:lang w:eastAsia="nl-NL"/>
        </w:rPr>
      </w:pPr>
      <w:r>
        <w:rPr>
          <w:sz w:val="18"/>
        </w:rPr>
        <w:br/>
      </w:r>
      <w:r w:rsidR="00C537FD">
        <w:rPr>
          <w:sz w:val="18"/>
        </w:rPr>
        <w:br/>
      </w:r>
      <w:r w:rsidR="002E1B68">
        <w:rPr>
          <w:rFonts w:ascii="Verdana" w:eastAsia="Times New Roman" w:hAnsi="Verdana"/>
          <w:i/>
          <w:sz w:val="18"/>
          <w:szCs w:val="18"/>
          <w:lang w:eastAsia="nl-NL"/>
        </w:rPr>
        <w:t xml:space="preserve">2.2.5 Deelconclusie </w:t>
      </w:r>
      <w:r w:rsidR="00E40036">
        <w:rPr>
          <w:rFonts w:ascii="Verdana" w:eastAsia="Times New Roman" w:hAnsi="Verdana"/>
          <w:i/>
          <w:sz w:val="18"/>
          <w:szCs w:val="18"/>
          <w:lang w:eastAsia="nl-NL"/>
        </w:rPr>
        <w:t>eerste deelvraag</w:t>
      </w:r>
    </w:p>
    <w:p w14:paraId="2FB5C779" w14:textId="66577860" w:rsidR="00E40036" w:rsidRPr="002073C3" w:rsidRDefault="002E1B68" w:rsidP="002073C3">
      <w:pPr>
        <w:spacing w:line="360" w:lineRule="auto"/>
        <w:jc w:val="both"/>
        <w:rPr>
          <w:rFonts w:ascii="Verdana" w:eastAsia="Times New Roman" w:hAnsi="Verdana"/>
          <w:sz w:val="18"/>
          <w:szCs w:val="18"/>
          <w:lang w:eastAsia="nl-NL"/>
        </w:rPr>
      </w:pPr>
      <w:r w:rsidRPr="004604CE">
        <w:rPr>
          <w:rFonts w:ascii="Verdana" w:eastAsia="Times New Roman" w:hAnsi="Verdana"/>
          <w:sz w:val="18"/>
          <w:szCs w:val="18"/>
          <w:lang w:eastAsia="nl-NL"/>
        </w:rPr>
        <w:t>Concluderend verhouden zich de nationale ongewenstverklaring en het Unierechtelijke terugkeerbesluit en in</w:t>
      </w:r>
      <w:r w:rsidR="00202E40">
        <w:rPr>
          <w:rFonts w:ascii="Verdana" w:eastAsia="Times New Roman" w:hAnsi="Verdana"/>
          <w:sz w:val="18"/>
          <w:szCs w:val="18"/>
          <w:lang w:eastAsia="nl-NL"/>
        </w:rPr>
        <w:t>reisverbod als volgt tot elkaar. D</w:t>
      </w:r>
      <w:r w:rsidRPr="004604CE">
        <w:rPr>
          <w:rFonts w:ascii="Verdana" w:eastAsia="Times New Roman" w:hAnsi="Verdana"/>
          <w:sz w:val="18"/>
          <w:szCs w:val="18"/>
          <w:lang w:eastAsia="nl-NL"/>
        </w:rPr>
        <w:t>e ongewenstverklaring bestond in Nederland reeds vóór de implementatie van de Terugkeerrichtlijn. Na de implementatie is de ongewenstverklaring blijven bestaan, maar slechts in beperkte mate. Daarbij is bepaald dat de nationale ongewenstverklaring gelijkgesteld dient te worden met het Uni</w:t>
      </w:r>
      <w:r>
        <w:rPr>
          <w:rFonts w:ascii="Verdana" w:eastAsia="Times New Roman" w:hAnsi="Verdana"/>
          <w:sz w:val="18"/>
          <w:szCs w:val="18"/>
          <w:lang w:eastAsia="nl-NL"/>
        </w:rPr>
        <w:t xml:space="preserve">erechtelijke inreisverbod. Hiermee is beoogd het </w:t>
      </w:r>
      <w:r w:rsidR="00BF6796">
        <w:rPr>
          <w:rFonts w:ascii="Verdana" w:eastAsia="Times New Roman" w:hAnsi="Verdana"/>
          <w:sz w:val="18"/>
          <w:szCs w:val="18"/>
          <w:lang w:eastAsia="nl-NL"/>
        </w:rPr>
        <w:t xml:space="preserve">oude </w:t>
      </w:r>
      <w:r>
        <w:rPr>
          <w:rFonts w:ascii="Verdana" w:eastAsia="Times New Roman" w:hAnsi="Verdana"/>
          <w:sz w:val="18"/>
          <w:szCs w:val="18"/>
          <w:lang w:eastAsia="nl-NL"/>
        </w:rPr>
        <w:t xml:space="preserve">‘nationale inreisverbod’ niet af te laten wijken van andere Unierechtelijke bepalingen. </w:t>
      </w:r>
      <w:r w:rsidRPr="004604CE">
        <w:rPr>
          <w:rFonts w:ascii="Verdana" w:eastAsia="Times New Roman" w:hAnsi="Verdana"/>
          <w:sz w:val="18"/>
          <w:szCs w:val="18"/>
          <w:lang w:eastAsia="nl-NL"/>
        </w:rPr>
        <w:t xml:space="preserve">Het terugkeerbesluit </w:t>
      </w:r>
      <w:r w:rsidR="00E902DA">
        <w:rPr>
          <w:rFonts w:ascii="Verdana" w:eastAsia="Times New Roman" w:hAnsi="Verdana"/>
          <w:sz w:val="18"/>
          <w:szCs w:val="18"/>
          <w:lang w:eastAsia="nl-NL"/>
        </w:rPr>
        <w:t>en het inreisverbod zijn</w:t>
      </w:r>
      <w:r w:rsidRPr="004604CE">
        <w:rPr>
          <w:rFonts w:ascii="Verdana" w:eastAsia="Times New Roman" w:hAnsi="Verdana"/>
          <w:sz w:val="18"/>
          <w:szCs w:val="18"/>
          <w:lang w:eastAsia="nl-NL"/>
        </w:rPr>
        <w:t xml:space="preserve"> pas bij de implementatie van de Terugkeerrichtlijn geïntroduceerd in de</w:t>
      </w:r>
      <w:r>
        <w:rPr>
          <w:rFonts w:ascii="Verdana" w:eastAsia="Times New Roman" w:hAnsi="Verdana"/>
          <w:sz w:val="18"/>
          <w:szCs w:val="18"/>
          <w:lang w:eastAsia="nl-NL"/>
        </w:rPr>
        <w:t xml:space="preserve"> nationale wet- en regelgeving</w:t>
      </w:r>
      <w:r w:rsidR="00BF6796">
        <w:rPr>
          <w:rFonts w:ascii="Verdana" w:eastAsia="Times New Roman" w:hAnsi="Verdana"/>
          <w:sz w:val="18"/>
          <w:szCs w:val="18"/>
          <w:lang w:eastAsia="nl-NL"/>
        </w:rPr>
        <w:t xml:space="preserve">. Sindsdien wordt aan vreemdelingen die vallen onder de Terugkeerrichtlijn geen ongewenstverklaring meer uitgevaardigd, maar een terugkeerbesluit en een inreisverbod opgelegd. </w:t>
      </w:r>
    </w:p>
    <w:p w14:paraId="2B6D5F82" w14:textId="23544798" w:rsidR="00E40036" w:rsidRPr="00E40036" w:rsidRDefault="00CC0CEE" w:rsidP="00E40036">
      <w:pPr>
        <w:pBdr>
          <w:bottom w:val="single" w:sz="4" w:space="1" w:color="auto"/>
        </w:pBdr>
        <w:spacing w:line="360" w:lineRule="auto"/>
        <w:jc w:val="both"/>
        <w:rPr>
          <w:rFonts w:ascii="Verdana" w:eastAsia="Times New Roman" w:hAnsi="Verdana"/>
          <w:i/>
          <w:sz w:val="18"/>
          <w:szCs w:val="18"/>
          <w:lang w:eastAsia="nl-NL"/>
        </w:rPr>
      </w:pPr>
      <w:r>
        <w:rPr>
          <w:rFonts w:ascii="Verdana" w:eastAsia="Times New Roman" w:hAnsi="Verdana"/>
          <w:i/>
          <w:sz w:val="18"/>
          <w:szCs w:val="18"/>
          <w:lang w:eastAsia="nl-NL"/>
        </w:rPr>
        <w:br/>
      </w:r>
      <w:r w:rsidR="00E40036">
        <w:rPr>
          <w:rFonts w:ascii="Verdana" w:eastAsia="Times New Roman" w:hAnsi="Verdana"/>
          <w:i/>
          <w:sz w:val="18"/>
          <w:szCs w:val="18"/>
          <w:lang w:eastAsia="nl-NL"/>
        </w:rPr>
        <w:t>2.3 Het openbare-ordebeleid</w:t>
      </w:r>
    </w:p>
    <w:p w14:paraId="0CC3BF41" w14:textId="5DDEED05" w:rsidR="00E40036" w:rsidRDefault="00E40036" w:rsidP="00E40036">
      <w:pPr>
        <w:spacing w:line="360" w:lineRule="auto"/>
        <w:jc w:val="both"/>
        <w:rPr>
          <w:rFonts w:ascii="Verdana" w:eastAsia="Times New Roman" w:hAnsi="Verdana"/>
          <w:sz w:val="18"/>
          <w:szCs w:val="18"/>
          <w:lang w:eastAsia="nl-NL"/>
        </w:rPr>
      </w:pPr>
      <w:r>
        <w:rPr>
          <w:rFonts w:ascii="Verdana" w:eastAsia="Times New Roman" w:hAnsi="Verdana"/>
          <w:sz w:val="18"/>
          <w:szCs w:val="18"/>
          <w:lang w:eastAsia="nl-NL"/>
        </w:rPr>
        <w:br/>
      </w:r>
      <w:r w:rsidR="001D0091">
        <w:rPr>
          <w:rFonts w:ascii="Verdana" w:eastAsia="Times New Roman" w:hAnsi="Verdana"/>
          <w:sz w:val="18"/>
          <w:szCs w:val="18"/>
          <w:lang w:eastAsia="nl-NL"/>
        </w:rPr>
        <w:t>In de voorgaande paragrafen</w:t>
      </w:r>
      <w:r w:rsidR="00AA6E55">
        <w:rPr>
          <w:rFonts w:ascii="Verdana" w:eastAsia="Times New Roman" w:hAnsi="Verdana"/>
          <w:sz w:val="18"/>
          <w:szCs w:val="18"/>
          <w:lang w:eastAsia="nl-NL"/>
        </w:rPr>
        <w:t xml:space="preserve"> is uitleg verschaft omtrent </w:t>
      </w:r>
      <w:r>
        <w:rPr>
          <w:rFonts w:ascii="Verdana" w:eastAsia="Times New Roman" w:hAnsi="Verdana"/>
          <w:sz w:val="18"/>
          <w:szCs w:val="18"/>
          <w:lang w:eastAsia="nl-NL"/>
        </w:rPr>
        <w:t xml:space="preserve">de toepassing van terugkeerbesluiten, inreisverboden en ongewenstverklaringen. Zoals reeds toegelicht </w:t>
      </w:r>
      <w:r w:rsidR="00951D20">
        <w:rPr>
          <w:rFonts w:ascii="Verdana" w:eastAsia="Times New Roman" w:hAnsi="Verdana"/>
          <w:sz w:val="18"/>
          <w:szCs w:val="18"/>
          <w:lang w:eastAsia="nl-NL"/>
        </w:rPr>
        <w:t xml:space="preserve">wordt het terugkeerbesluit opgelegd nadat het verblijfsrecht van migranten is geweigerd, niet verlengd of ingetrokken. </w:t>
      </w:r>
      <w:r w:rsidR="003626A9">
        <w:rPr>
          <w:rFonts w:ascii="Verdana" w:eastAsia="Times New Roman" w:hAnsi="Verdana"/>
          <w:sz w:val="18"/>
          <w:szCs w:val="18"/>
          <w:lang w:eastAsia="nl-NL"/>
        </w:rPr>
        <w:t>Doordat dit onderzoek zich richt op openbare-orde zaken</w:t>
      </w:r>
      <w:r w:rsidR="001C0945">
        <w:rPr>
          <w:rFonts w:ascii="Verdana" w:eastAsia="Times New Roman" w:hAnsi="Verdana"/>
          <w:sz w:val="18"/>
          <w:szCs w:val="18"/>
          <w:lang w:eastAsia="nl-NL"/>
        </w:rPr>
        <w:t xml:space="preserve">, is het voor de uitkomst van dit onderzoek cruciaal </w:t>
      </w:r>
      <w:r w:rsidR="001C0945">
        <w:rPr>
          <w:rFonts w:ascii="Verdana" w:eastAsia="Times New Roman" w:hAnsi="Verdana"/>
          <w:sz w:val="18"/>
          <w:szCs w:val="18"/>
          <w:lang w:eastAsia="nl-NL"/>
        </w:rPr>
        <w:lastRenderedPageBreak/>
        <w:t>om de voorwaarden</w:t>
      </w:r>
      <w:r w:rsidR="00893EB2">
        <w:rPr>
          <w:rFonts w:ascii="Verdana" w:eastAsia="Times New Roman" w:hAnsi="Verdana"/>
          <w:sz w:val="18"/>
          <w:szCs w:val="18"/>
          <w:lang w:eastAsia="nl-NL"/>
        </w:rPr>
        <w:t xml:space="preserve"> </w:t>
      </w:r>
      <w:r w:rsidR="003626A9">
        <w:rPr>
          <w:rFonts w:ascii="Verdana" w:eastAsia="Times New Roman" w:hAnsi="Verdana"/>
          <w:sz w:val="18"/>
          <w:szCs w:val="18"/>
          <w:lang w:eastAsia="nl-NL"/>
        </w:rPr>
        <w:t>te kennen voor verblijfsbeëindigingen op gronden</w:t>
      </w:r>
      <w:r w:rsidR="00F721C4">
        <w:rPr>
          <w:rFonts w:ascii="Verdana" w:eastAsia="Times New Roman" w:hAnsi="Verdana"/>
          <w:sz w:val="18"/>
          <w:szCs w:val="18"/>
          <w:lang w:eastAsia="nl-NL"/>
        </w:rPr>
        <w:t xml:space="preserve"> van de openbare orde.</w:t>
      </w:r>
      <w:r w:rsidR="00A0769D">
        <w:rPr>
          <w:rFonts w:ascii="Verdana" w:eastAsia="Times New Roman" w:hAnsi="Verdana"/>
          <w:sz w:val="18"/>
          <w:szCs w:val="18"/>
          <w:lang w:eastAsia="nl-NL"/>
        </w:rPr>
        <w:t xml:space="preserve"> </w:t>
      </w:r>
      <w:r>
        <w:rPr>
          <w:rFonts w:ascii="Verdana" w:eastAsia="Times New Roman" w:hAnsi="Verdana"/>
          <w:sz w:val="18"/>
          <w:szCs w:val="18"/>
          <w:lang w:eastAsia="nl-NL"/>
        </w:rPr>
        <w:t>Met name zal worden ingegaan op de voorwaarden dat migranten een gevaar moeten vormen voor de openbare orde en dat in alle gevallen een individuele belangenafweging dient plaats te vinden.</w:t>
      </w:r>
    </w:p>
    <w:p w14:paraId="3FB6D370" w14:textId="75CF2189" w:rsidR="00E40036" w:rsidRDefault="00E40036" w:rsidP="00E40036">
      <w:pPr>
        <w:spacing w:line="360" w:lineRule="auto"/>
        <w:jc w:val="both"/>
        <w:rPr>
          <w:rFonts w:ascii="Verdana" w:eastAsia="Times New Roman" w:hAnsi="Verdana"/>
          <w:i/>
          <w:sz w:val="18"/>
          <w:szCs w:val="18"/>
          <w:lang w:eastAsia="nl-NL"/>
        </w:rPr>
      </w:pPr>
      <w:r>
        <w:rPr>
          <w:rFonts w:ascii="Verdana" w:eastAsia="Times New Roman" w:hAnsi="Verdana"/>
          <w:sz w:val="18"/>
          <w:szCs w:val="18"/>
          <w:lang w:eastAsia="nl-NL"/>
        </w:rPr>
        <w:br/>
      </w:r>
      <w:r>
        <w:rPr>
          <w:rFonts w:ascii="Verdana" w:eastAsia="Times New Roman" w:hAnsi="Verdana"/>
          <w:i/>
          <w:sz w:val="18"/>
          <w:szCs w:val="18"/>
          <w:lang w:eastAsia="nl-NL"/>
        </w:rPr>
        <w:t>2.3.1 De Unierechtelijke actuele-bedreigingstoets</w:t>
      </w:r>
    </w:p>
    <w:p w14:paraId="0E3DF345" w14:textId="4735ACB3" w:rsidR="00EB7DC0" w:rsidRPr="00874B98" w:rsidRDefault="002176DC" w:rsidP="00E40036">
      <w:pPr>
        <w:spacing w:line="360" w:lineRule="auto"/>
        <w:jc w:val="both"/>
        <w:rPr>
          <w:rFonts w:ascii="Times New Roman" w:eastAsia="Times New Roman" w:hAnsi="Times New Roman" w:cs="Times New Roman"/>
          <w:sz w:val="24"/>
          <w:szCs w:val="24"/>
          <w:lang w:eastAsia="nl-NL"/>
        </w:rPr>
      </w:pPr>
      <w:r>
        <w:rPr>
          <w:rFonts w:ascii="Verdana" w:eastAsia="Times New Roman" w:hAnsi="Verdana"/>
          <w:sz w:val="18"/>
          <w:szCs w:val="18"/>
          <w:lang w:eastAsia="nl-NL"/>
        </w:rPr>
        <w:t>Het openbare-ordebeleid</w:t>
      </w:r>
      <w:r w:rsidR="005632A4">
        <w:rPr>
          <w:rFonts w:ascii="Verdana" w:eastAsia="Times New Roman" w:hAnsi="Verdana"/>
          <w:sz w:val="18"/>
          <w:szCs w:val="18"/>
          <w:lang w:eastAsia="nl-NL"/>
        </w:rPr>
        <w:t xml:space="preserve"> is specifiek gericht</w:t>
      </w:r>
      <w:r w:rsidR="00CA2827">
        <w:rPr>
          <w:rFonts w:ascii="Verdana" w:eastAsia="Times New Roman" w:hAnsi="Verdana"/>
          <w:sz w:val="18"/>
          <w:szCs w:val="18"/>
          <w:lang w:eastAsia="nl-NL"/>
        </w:rPr>
        <w:t xml:space="preserve"> op het </w:t>
      </w:r>
      <w:r w:rsidR="00D00E33">
        <w:rPr>
          <w:rFonts w:ascii="Verdana" w:eastAsia="Times New Roman" w:hAnsi="Verdana"/>
          <w:sz w:val="18"/>
          <w:szCs w:val="18"/>
          <w:lang w:eastAsia="nl-NL"/>
        </w:rPr>
        <w:t>reduceren</w:t>
      </w:r>
      <w:r w:rsidR="00CA2827">
        <w:rPr>
          <w:rFonts w:ascii="Verdana" w:eastAsia="Times New Roman" w:hAnsi="Verdana"/>
          <w:sz w:val="18"/>
          <w:szCs w:val="18"/>
          <w:lang w:eastAsia="nl-NL"/>
        </w:rPr>
        <w:t xml:space="preserve"> van het risico</w:t>
      </w:r>
      <w:r w:rsidR="00D00E33">
        <w:rPr>
          <w:rFonts w:ascii="Verdana" w:eastAsia="Times New Roman" w:hAnsi="Verdana"/>
          <w:sz w:val="18"/>
          <w:szCs w:val="18"/>
          <w:lang w:eastAsia="nl-NL"/>
        </w:rPr>
        <w:t xml:space="preserve"> </w:t>
      </w:r>
      <w:r w:rsidR="00CA2827">
        <w:rPr>
          <w:rFonts w:ascii="Verdana" w:eastAsia="Times New Roman" w:hAnsi="Verdana"/>
          <w:sz w:val="18"/>
          <w:szCs w:val="18"/>
          <w:lang w:eastAsia="nl-NL"/>
        </w:rPr>
        <w:t>dat vreemdelingen een inbreuk maken op de openbare orde</w:t>
      </w:r>
      <w:r w:rsidR="005632A4">
        <w:rPr>
          <w:rFonts w:ascii="Verdana" w:eastAsia="Times New Roman" w:hAnsi="Verdana"/>
          <w:sz w:val="18"/>
          <w:szCs w:val="18"/>
          <w:lang w:eastAsia="nl-NL"/>
        </w:rPr>
        <w:t>.</w:t>
      </w:r>
      <w:r w:rsidR="00537D18">
        <w:rPr>
          <w:rStyle w:val="Voetnootmarkering"/>
          <w:rFonts w:ascii="Verdana" w:eastAsia="Times New Roman" w:hAnsi="Verdana"/>
          <w:sz w:val="18"/>
          <w:szCs w:val="18"/>
          <w:lang w:eastAsia="nl-NL"/>
        </w:rPr>
        <w:footnoteReference w:id="41"/>
      </w:r>
      <w:r>
        <w:rPr>
          <w:rFonts w:ascii="Verdana" w:eastAsia="Times New Roman" w:hAnsi="Verdana"/>
          <w:sz w:val="18"/>
          <w:szCs w:val="18"/>
          <w:lang w:eastAsia="nl-NL"/>
        </w:rPr>
        <w:t xml:space="preserve"> </w:t>
      </w:r>
      <w:r w:rsidR="00DA5951">
        <w:rPr>
          <w:rFonts w:ascii="Verdana" w:eastAsia="Times New Roman" w:hAnsi="Verdana"/>
          <w:sz w:val="18"/>
          <w:szCs w:val="18"/>
          <w:lang w:eastAsia="nl-NL"/>
        </w:rPr>
        <w:t xml:space="preserve">Het </w:t>
      </w:r>
      <w:r w:rsidR="004B3BCB">
        <w:rPr>
          <w:rFonts w:ascii="Verdana" w:eastAsia="Times New Roman" w:hAnsi="Verdana"/>
          <w:sz w:val="18"/>
          <w:szCs w:val="18"/>
          <w:lang w:eastAsia="nl-NL"/>
        </w:rPr>
        <w:t>verblijfsrecht van migranten mag</w:t>
      </w:r>
      <w:r w:rsidR="00574134">
        <w:rPr>
          <w:rFonts w:ascii="Verdana" w:eastAsia="Times New Roman" w:hAnsi="Verdana"/>
          <w:sz w:val="18"/>
          <w:szCs w:val="18"/>
          <w:lang w:eastAsia="nl-NL"/>
        </w:rPr>
        <w:t xml:space="preserve"> worden be</w:t>
      </w:r>
      <w:r w:rsidR="005C447D">
        <w:rPr>
          <w:rFonts w:ascii="Verdana" w:eastAsia="Times New Roman" w:hAnsi="Verdana"/>
          <w:sz w:val="18"/>
          <w:szCs w:val="18"/>
          <w:lang w:eastAsia="nl-NL"/>
        </w:rPr>
        <w:t>perkt door de voorwaarde dat zij geen gevaar mogen vormen voor de openbare orde</w:t>
      </w:r>
      <w:r w:rsidR="009049E2">
        <w:rPr>
          <w:rFonts w:ascii="Verdana" w:eastAsia="Times New Roman" w:hAnsi="Verdana"/>
          <w:sz w:val="18"/>
          <w:szCs w:val="18"/>
          <w:lang w:eastAsia="nl-NL"/>
        </w:rPr>
        <w:t xml:space="preserve"> of de openbare veiligheid</w:t>
      </w:r>
      <w:r w:rsidR="00524133">
        <w:rPr>
          <w:rFonts w:ascii="Verdana" w:eastAsia="Times New Roman" w:hAnsi="Verdana"/>
          <w:sz w:val="18"/>
          <w:szCs w:val="18"/>
          <w:lang w:eastAsia="nl-NL"/>
        </w:rPr>
        <w:t>, hetgeen bijvoorbeeld blijkt uit artikel 27 van de Burgerschapsrichtlijn</w:t>
      </w:r>
      <w:r w:rsidR="005C447D">
        <w:rPr>
          <w:rFonts w:ascii="Verdana" w:eastAsia="Times New Roman" w:hAnsi="Verdana"/>
          <w:sz w:val="18"/>
          <w:szCs w:val="18"/>
          <w:lang w:eastAsia="nl-NL"/>
        </w:rPr>
        <w:t>.</w:t>
      </w:r>
      <w:r w:rsidR="005C447D">
        <w:rPr>
          <w:rStyle w:val="Voetnootmarkering"/>
          <w:rFonts w:ascii="Verdana" w:eastAsia="Times New Roman" w:hAnsi="Verdana"/>
          <w:sz w:val="18"/>
          <w:szCs w:val="18"/>
          <w:lang w:eastAsia="nl-NL"/>
        </w:rPr>
        <w:footnoteReference w:id="42"/>
      </w:r>
      <w:r w:rsidR="00524133">
        <w:rPr>
          <w:rFonts w:ascii="Verdana" w:eastAsia="Times New Roman" w:hAnsi="Verdana"/>
          <w:sz w:val="18"/>
          <w:szCs w:val="18"/>
          <w:lang w:eastAsia="nl-NL"/>
        </w:rPr>
        <w:t xml:space="preserve"> </w:t>
      </w:r>
      <w:r w:rsidR="007C48E0">
        <w:rPr>
          <w:rFonts w:ascii="Verdana" w:eastAsia="Times New Roman" w:hAnsi="Verdana"/>
          <w:sz w:val="18"/>
          <w:szCs w:val="18"/>
          <w:lang w:eastAsia="nl-NL"/>
        </w:rPr>
        <w:t>De Burgerschapsrichtlijn waarborgt de rechten van Unieburgers die in een andere lidstaat verblijven dan deze waar zij de nationaliteit van hebben.</w:t>
      </w:r>
      <w:r w:rsidR="009049E2">
        <w:rPr>
          <w:rFonts w:ascii="Verdana" w:eastAsia="Times New Roman" w:hAnsi="Verdana"/>
          <w:sz w:val="18"/>
          <w:szCs w:val="18"/>
          <w:lang w:eastAsia="nl-NL"/>
        </w:rPr>
        <w:t xml:space="preserve"> In deze richtlijn is opgenomen dat </w:t>
      </w:r>
      <w:r w:rsidR="00E40036">
        <w:rPr>
          <w:rFonts w:ascii="Verdana" w:eastAsia="Times New Roman" w:hAnsi="Verdana"/>
          <w:sz w:val="18"/>
          <w:szCs w:val="18"/>
          <w:lang w:eastAsia="nl-NL"/>
        </w:rPr>
        <w:t xml:space="preserve">het mogelijk </w:t>
      </w:r>
      <w:r w:rsidR="009049E2">
        <w:rPr>
          <w:rFonts w:ascii="Verdana" w:eastAsia="Times New Roman" w:hAnsi="Verdana"/>
          <w:sz w:val="18"/>
          <w:szCs w:val="18"/>
          <w:lang w:eastAsia="nl-NL"/>
        </w:rPr>
        <w:t xml:space="preserve">is </w:t>
      </w:r>
      <w:r w:rsidR="00E40036">
        <w:rPr>
          <w:rFonts w:ascii="Verdana" w:eastAsia="Times New Roman" w:hAnsi="Verdana"/>
          <w:sz w:val="18"/>
          <w:szCs w:val="18"/>
          <w:lang w:eastAsia="nl-NL"/>
        </w:rPr>
        <w:t>om de rechten van Unieburgers en diens familieleden te beperken om redenen van openbare orde en openbare veiligheid.</w:t>
      </w:r>
      <w:r w:rsidR="00E40036">
        <w:rPr>
          <w:rStyle w:val="Voetnootmarkering"/>
          <w:rFonts w:ascii="Verdana" w:eastAsia="Times New Roman" w:hAnsi="Verdana"/>
          <w:sz w:val="18"/>
          <w:szCs w:val="18"/>
          <w:lang w:eastAsia="nl-NL"/>
        </w:rPr>
        <w:footnoteReference w:id="43"/>
      </w:r>
      <w:r w:rsidR="00643A41">
        <w:rPr>
          <w:rFonts w:ascii="Verdana" w:eastAsia="Times New Roman" w:hAnsi="Verdana"/>
          <w:sz w:val="18"/>
          <w:szCs w:val="18"/>
          <w:lang w:eastAsia="nl-NL"/>
        </w:rPr>
        <w:t xml:space="preserve"> </w:t>
      </w:r>
      <w:r w:rsidR="00B06BB5">
        <w:rPr>
          <w:rFonts w:ascii="Verdana" w:eastAsia="Times New Roman" w:hAnsi="Verdana"/>
          <w:sz w:val="18"/>
          <w:szCs w:val="18"/>
          <w:lang w:eastAsia="nl-NL"/>
        </w:rPr>
        <w:t>Het Uni</w:t>
      </w:r>
      <w:r w:rsidR="008228C1">
        <w:rPr>
          <w:rFonts w:ascii="Verdana" w:eastAsia="Times New Roman" w:hAnsi="Verdana"/>
          <w:sz w:val="18"/>
          <w:szCs w:val="18"/>
          <w:lang w:eastAsia="nl-NL"/>
        </w:rPr>
        <w:t>erecht kent</w:t>
      </w:r>
      <w:r w:rsidR="00B06BB5">
        <w:rPr>
          <w:rFonts w:ascii="Verdana" w:eastAsia="Times New Roman" w:hAnsi="Verdana"/>
          <w:sz w:val="18"/>
          <w:szCs w:val="18"/>
          <w:lang w:eastAsia="nl-NL"/>
        </w:rPr>
        <w:t xml:space="preserve"> </w:t>
      </w:r>
      <w:r w:rsidR="00332E26">
        <w:rPr>
          <w:rFonts w:ascii="Verdana" w:eastAsia="Times New Roman" w:hAnsi="Verdana"/>
          <w:sz w:val="18"/>
          <w:szCs w:val="18"/>
          <w:lang w:eastAsia="nl-NL"/>
        </w:rPr>
        <w:t xml:space="preserve">echter </w:t>
      </w:r>
      <w:r w:rsidR="00B06BB5">
        <w:rPr>
          <w:rFonts w:ascii="Verdana" w:eastAsia="Times New Roman" w:hAnsi="Verdana"/>
          <w:sz w:val="18"/>
          <w:szCs w:val="18"/>
          <w:lang w:eastAsia="nl-NL"/>
        </w:rPr>
        <w:t>geen eenduidige beschrijving van deze begrippen</w:t>
      </w:r>
      <w:r w:rsidR="008B69DF">
        <w:rPr>
          <w:rFonts w:ascii="Verdana" w:eastAsia="Times New Roman" w:hAnsi="Verdana"/>
          <w:sz w:val="18"/>
          <w:szCs w:val="18"/>
          <w:lang w:eastAsia="nl-NL"/>
        </w:rPr>
        <w:t>, waardoor zij worden</w:t>
      </w:r>
      <w:r w:rsidR="00B71AEE">
        <w:rPr>
          <w:rFonts w:ascii="Verdana" w:eastAsia="Times New Roman" w:hAnsi="Verdana"/>
          <w:sz w:val="18"/>
          <w:szCs w:val="18"/>
          <w:lang w:eastAsia="nl-NL"/>
        </w:rPr>
        <w:t xml:space="preserve">. Deze begrippen worden derhalve beschouwd </w:t>
      </w:r>
      <w:r w:rsidR="00E40036">
        <w:rPr>
          <w:rFonts w:ascii="Verdana" w:eastAsia="Times New Roman" w:hAnsi="Verdana"/>
          <w:sz w:val="18"/>
          <w:szCs w:val="18"/>
          <w:lang w:eastAsia="nl-NL"/>
        </w:rPr>
        <w:t>als een open norm, hetgeen op basis van vaste rechtspraak inhoudt dat de lidstaten in beginsel een bepaalde mate van vrijheid hebben om de eisen van het begrip in overeenstemming te brengen met hun eigen nationale behoeften.</w:t>
      </w:r>
      <w:r w:rsidR="00E40036">
        <w:rPr>
          <w:rStyle w:val="Voetnootmarkering"/>
          <w:rFonts w:ascii="Verdana" w:eastAsia="Times New Roman" w:hAnsi="Verdana"/>
          <w:sz w:val="18"/>
          <w:szCs w:val="18"/>
          <w:lang w:eastAsia="nl-NL"/>
        </w:rPr>
        <w:footnoteReference w:id="44"/>
      </w:r>
      <w:r w:rsidR="00E40036">
        <w:rPr>
          <w:rFonts w:ascii="Verdana" w:eastAsia="Times New Roman" w:hAnsi="Verdana"/>
          <w:sz w:val="18"/>
          <w:szCs w:val="18"/>
          <w:lang w:eastAsia="nl-NL"/>
        </w:rPr>
        <w:t xml:space="preserve"> </w:t>
      </w:r>
      <w:r w:rsidR="008B69DF">
        <w:rPr>
          <w:rFonts w:ascii="Verdana" w:eastAsia="Times New Roman" w:hAnsi="Verdana"/>
          <w:sz w:val="18"/>
          <w:szCs w:val="18"/>
          <w:lang w:eastAsia="nl-NL"/>
        </w:rPr>
        <w:t xml:space="preserve">Desondanks heeft het HvJEU </w:t>
      </w:r>
      <w:r w:rsidR="00E40036">
        <w:rPr>
          <w:rFonts w:ascii="Verdana" w:eastAsia="Times New Roman" w:hAnsi="Verdana"/>
          <w:sz w:val="18"/>
          <w:szCs w:val="18"/>
          <w:lang w:eastAsia="nl-NL"/>
        </w:rPr>
        <w:t xml:space="preserve">het begrip </w:t>
      </w:r>
      <w:r w:rsidR="008B69DF">
        <w:rPr>
          <w:rFonts w:ascii="Verdana" w:eastAsia="Times New Roman" w:hAnsi="Verdana"/>
          <w:sz w:val="18"/>
          <w:szCs w:val="18"/>
          <w:lang w:eastAsia="nl-NL"/>
        </w:rPr>
        <w:t xml:space="preserve">‘gevaar voor de openbare orde’ </w:t>
      </w:r>
      <w:r w:rsidR="00E40036">
        <w:rPr>
          <w:rFonts w:ascii="Verdana" w:eastAsia="Times New Roman" w:hAnsi="Verdana"/>
          <w:sz w:val="18"/>
          <w:szCs w:val="18"/>
          <w:lang w:eastAsia="nl-NL"/>
        </w:rPr>
        <w:t xml:space="preserve">later in zijn arrest als volgt gedefinieerd: </w:t>
      </w:r>
    </w:p>
    <w:p w14:paraId="46FBE075" w14:textId="77777777" w:rsidR="00E40036" w:rsidRPr="00993ACA" w:rsidRDefault="00E40036" w:rsidP="00551267">
      <w:pPr>
        <w:pBdr>
          <w:top w:val="single" w:sz="4" w:space="1" w:color="auto"/>
          <w:left w:val="single" w:sz="4" w:space="4" w:color="auto"/>
          <w:bottom w:val="single" w:sz="4" w:space="1" w:color="auto"/>
          <w:right w:val="single" w:sz="4" w:space="4" w:color="auto"/>
        </w:pBdr>
        <w:shd w:val="clear" w:color="auto" w:fill="FBE4D5" w:themeFill="accent2" w:themeFillTint="33"/>
        <w:spacing w:line="360" w:lineRule="auto"/>
        <w:rPr>
          <w:rFonts w:ascii="Verdana" w:eastAsia="Times New Roman" w:hAnsi="Verdana"/>
          <w:i/>
          <w:sz w:val="18"/>
          <w:szCs w:val="18"/>
        </w:rPr>
      </w:pPr>
      <w:r>
        <w:rPr>
          <w:rFonts w:ascii="Times New Roman" w:eastAsia="Times New Roman" w:hAnsi="Times New Roman" w:cs="Times New Roman"/>
          <w:sz w:val="24"/>
          <w:szCs w:val="24"/>
          <w:lang w:eastAsia="nl-NL"/>
        </w:rPr>
        <w:t xml:space="preserve">     </w:t>
      </w:r>
      <w:r w:rsidRPr="00CD1F69">
        <w:rPr>
          <w:rFonts w:ascii="Times New Roman" w:eastAsia="Times New Roman" w:hAnsi="Times New Roman" w:cs="Times New Roman"/>
          <w:sz w:val="24"/>
          <w:szCs w:val="24"/>
          <w:lang w:eastAsia="nl-NL"/>
        </w:rPr>
        <w:t>“</w:t>
      </w:r>
      <w:r w:rsidRPr="00551267">
        <w:rPr>
          <w:rFonts w:ascii="Verdana" w:eastAsia="Times New Roman" w:hAnsi="Verdana"/>
          <w:i/>
          <w:sz w:val="18"/>
          <w:szCs w:val="18"/>
          <w:shd w:val="clear" w:color="auto" w:fill="FBE4D5" w:themeFill="accent2" w:themeFillTint="33"/>
          <w:lang w:eastAsia="nl-NL"/>
        </w:rPr>
        <w:t>Naast de verstoring van de maatschappelijke orde die bij elke wetsovertreding plaatsvindt,</w:t>
      </w:r>
      <w:r w:rsidRPr="00551267">
        <w:rPr>
          <w:rFonts w:ascii="Verdana" w:eastAsia="Times New Roman" w:hAnsi="Verdana"/>
          <w:i/>
          <w:sz w:val="18"/>
          <w:szCs w:val="18"/>
          <w:shd w:val="clear" w:color="auto" w:fill="FBE4D5" w:themeFill="accent2" w:themeFillTint="33"/>
          <w:lang w:eastAsia="nl-NL"/>
        </w:rPr>
        <w:br/>
        <w:t xml:space="preserve">      dient ook sprake te zijn van een werkelijke, actuele en voldoende ernstige bedreiging die een</w:t>
      </w:r>
      <w:r w:rsidRPr="00551267">
        <w:rPr>
          <w:rFonts w:ascii="Verdana" w:eastAsia="Times New Roman" w:hAnsi="Verdana"/>
          <w:i/>
          <w:sz w:val="18"/>
          <w:szCs w:val="18"/>
          <w:shd w:val="clear" w:color="auto" w:fill="FBE4D5" w:themeFill="accent2" w:themeFillTint="33"/>
          <w:lang w:eastAsia="nl-NL"/>
        </w:rPr>
        <w:br/>
        <w:t xml:space="preserve">      fundamenteel belang van de samenleving aantast (…)</w:t>
      </w:r>
      <w:r w:rsidRPr="00551267">
        <w:rPr>
          <w:rFonts w:ascii="Verdana" w:eastAsia="Times New Roman" w:hAnsi="Verdana"/>
          <w:i/>
          <w:sz w:val="18"/>
          <w:szCs w:val="18"/>
          <w:shd w:val="clear" w:color="auto" w:fill="FBE4D5" w:themeFill="accent2" w:themeFillTint="33"/>
        </w:rPr>
        <w:t>. Daaruit volgt dat in het kader van een</w:t>
      </w:r>
      <w:r w:rsidRPr="00551267">
        <w:rPr>
          <w:rFonts w:ascii="Verdana" w:eastAsia="Times New Roman" w:hAnsi="Verdana"/>
          <w:i/>
          <w:sz w:val="18"/>
          <w:szCs w:val="18"/>
          <w:shd w:val="clear" w:color="auto" w:fill="FBE4D5" w:themeFill="accent2" w:themeFillTint="33"/>
        </w:rPr>
        <w:br/>
        <w:t xml:space="preserve">      beoordeling van dat begrip alle feitelijke en juridische gegevens betreffende de situatie van de</w:t>
      </w:r>
      <w:r w:rsidRPr="00551267">
        <w:rPr>
          <w:rFonts w:ascii="Verdana" w:eastAsia="Times New Roman" w:hAnsi="Verdana"/>
          <w:i/>
          <w:sz w:val="18"/>
          <w:szCs w:val="18"/>
          <w:shd w:val="clear" w:color="auto" w:fill="FBE4D5" w:themeFill="accent2" w:themeFillTint="33"/>
        </w:rPr>
        <w:br/>
        <w:t xml:space="preserve">      betrokken derdelander waardoor kan worden verduidelijkt of diens persoonlijke gedragingen</w:t>
      </w:r>
      <w:r w:rsidRPr="00551267">
        <w:rPr>
          <w:rFonts w:ascii="Verdana" w:eastAsia="Times New Roman" w:hAnsi="Verdana"/>
          <w:i/>
          <w:sz w:val="18"/>
          <w:szCs w:val="18"/>
          <w:shd w:val="clear" w:color="auto" w:fill="FBE4D5" w:themeFill="accent2" w:themeFillTint="33"/>
        </w:rPr>
        <w:br/>
        <w:t xml:space="preserve">      een dergelijke bedreiging vormen, relevant zijn</w:t>
      </w:r>
      <w:r w:rsidRPr="00551267">
        <w:rPr>
          <w:rFonts w:eastAsia="Times New Roman"/>
          <w:i/>
          <w:shd w:val="clear" w:color="auto" w:fill="FBE4D5" w:themeFill="accent2" w:themeFillTint="33"/>
        </w:rPr>
        <w:t>.</w:t>
      </w:r>
      <w:r w:rsidRPr="00551267">
        <w:rPr>
          <w:rFonts w:ascii="Times New Roman" w:eastAsia="Times New Roman" w:hAnsi="Times New Roman" w:cs="Times New Roman"/>
          <w:sz w:val="24"/>
          <w:szCs w:val="24"/>
          <w:shd w:val="clear" w:color="auto" w:fill="FBE4D5" w:themeFill="accent2" w:themeFillTint="33"/>
          <w:lang w:eastAsia="nl-NL"/>
        </w:rPr>
        <w:t>”</w:t>
      </w:r>
      <w:r w:rsidRPr="00551267">
        <w:rPr>
          <w:rStyle w:val="Voetnootmarkering"/>
          <w:rFonts w:ascii="Verdana" w:eastAsia="Times New Roman" w:hAnsi="Verdana" w:cs="Times New Roman"/>
          <w:sz w:val="18"/>
          <w:szCs w:val="24"/>
          <w:shd w:val="clear" w:color="auto" w:fill="FBE4D5" w:themeFill="accent2" w:themeFillTint="33"/>
          <w:lang w:eastAsia="nl-NL"/>
        </w:rPr>
        <w:footnoteReference w:id="45"/>
      </w:r>
    </w:p>
    <w:p w14:paraId="47DECB56" w14:textId="00A425EA" w:rsidR="00E40036" w:rsidRDefault="00507651" w:rsidP="00E40036">
      <w:pPr>
        <w:spacing w:line="360" w:lineRule="auto"/>
        <w:jc w:val="both"/>
        <w:rPr>
          <w:rFonts w:ascii="Verdana" w:eastAsia="Times New Roman" w:hAnsi="Verdana" w:cs="Times New Roman"/>
          <w:sz w:val="18"/>
          <w:szCs w:val="24"/>
          <w:lang w:eastAsia="nl-NL"/>
        </w:rPr>
      </w:pPr>
      <w:r>
        <w:rPr>
          <w:rFonts w:ascii="Verdana" w:eastAsia="Times New Roman" w:hAnsi="Verdana" w:cs="Times New Roman"/>
          <w:sz w:val="18"/>
          <w:szCs w:val="24"/>
          <w:lang w:eastAsia="nl-NL"/>
        </w:rPr>
        <w:br/>
      </w:r>
      <w:r w:rsidR="00E40036">
        <w:rPr>
          <w:rFonts w:ascii="Verdana" w:eastAsia="Times New Roman" w:hAnsi="Verdana" w:cs="Times New Roman"/>
          <w:sz w:val="18"/>
          <w:szCs w:val="24"/>
          <w:lang w:eastAsia="nl-NL"/>
        </w:rPr>
        <w:t xml:space="preserve">Voornoemde definitie wordt ook wel de ‘actuele-bedreigingstoets’ genoemd, welke is vastgelegd in artikel 27 van de Burgerschapsrichtlijn. De Afdeling bestuursrechtspraak van de Raad van State (hierna: de Afdeling) heeft in een later arrest geoordeeld dat bovengenoemde definitie en uitleg van het HvJEU – in ieder geval voor wat betreft verblijfsbeëindiging of uitvaardiging van een inreisverbod – </w:t>
      </w:r>
      <w:r w:rsidR="00E40036" w:rsidRPr="003E5B44">
        <w:rPr>
          <w:rFonts w:ascii="Verdana" w:eastAsia="Times New Roman" w:hAnsi="Verdana" w:cs="Times New Roman"/>
          <w:i/>
          <w:sz w:val="18"/>
          <w:szCs w:val="24"/>
          <w:lang w:eastAsia="nl-NL"/>
        </w:rPr>
        <w:t>steeds weer</w:t>
      </w:r>
      <w:r w:rsidR="00E40036">
        <w:rPr>
          <w:rFonts w:ascii="Verdana" w:eastAsia="Times New Roman" w:hAnsi="Verdana" w:cs="Times New Roman"/>
          <w:sz w:val="18"/>
          <w:szCs w:val="24"/>
          <w:lang w:eastAsia="nl-NL"/>
        </w:rPr>
        <w:t xml:space="preserve"> van toepassing is op het moment dat een richtlijn de lidstaten ruimte laat om bij de beoordeling te betrekken of een migrant een gevaar vormt voor de openbare orde.</w:t>
      </w:r>
      <w:r w:rsidR="00E40036">
        <w:rPr>
          <w:rStyle w:val="Voetnootmarkering"/>
          <w:rFonts w:ascii="Verdana" w:eastAsia="Times New Roman" w:hAnsi="Verdana" w:cs="Times New Roman"/>
          <w:sz w:val="18"/>
          <w:szCs w:val="24"/>
          <w:lang w:eastAsia="nl-NL"/>
        </w:rPr>
        <w:footnoteReference w:id="46"/>
      </w:r>
      <w:r w:rsidR="00E40036">
        <w:rPr>
          <w:rFonts w:ascii="Verdana" w:eastAsia="Times New Roman" w:hAnsi="Verdana" w:cs="Times New Roman"/>
          <w:sz w:val="18"/>
          <w:szCs w:val="24"/>
          <w:lang w:eastAsia="nl-NL"/>
        </w:rPr>
        <w:t xml:space="preserve"> Dit betekent </w:t>
      </w:r>
      <w:r w:rsidR="00F1531C">
        <w:rPr>
          <w:rFonts w:ascii="Verdana" w:eastAsia="Times New Roman" w:hAnsi="Verdana" w:cs="Times New Roman"/>
          <w:sz w:val="18"/>
          <w:szCs w:val="24"/>
          <w:lang w:eastAsia="nl-NL"/>
        </w:rPr>
        <w:lastRenderedPageBreak/>
        <w:t xml:space="preserve">volgens Groenendijk en Van Riel </w:t>
      </w:r>
      <w:r w:rsidR="00E40036">
        <w:rPr>
          <w:rFonts w:ascii="Verdana" w:eastAsia="Times New Roman" w:hAnsi="Verdana" w:cs="Times New Roman"/>
          <w:sz w:val="18"/>
          <w:szCs w:val="24"/>
          <w:lang w:eastAsia="nl-NL"/>
        </w:rPr>
        <w:t>dat de actuele-bedreigingstoets in de meeste gevallen van het reguliere vreemdelingenrecht toegepast moet worden.</w:t>
      </w:r>
      <w:r w:rsidR="00E40036">
        <w:rPr>
          <w:rStyle w:val="Voetnootmarkering"/>
          <w:rFonts w:ascii="Verdana" w:eastAsia="Times New Roman" w:hAnsi="Verdana" w:cs="Times New Roman"/>
          <w:sz w:val="18"/>
          <w:szCs w:val="24"/>
          <w:lang w:eastAsia="nl-NL"/>
        </w:rPr>
        <w:footnoteReference w:id="47"/>
      </w:r>
      <w:r w:rsidR="00E40036">
        <w:rPr>
          <w:rFonts w:ascii="Verdana" w:eastAsia="Times New Roman" w:hAnsi="Verdana" w:cs="Times New Roman"/>
          <w:sz w:val="18"/>
          <w:szCs w:val="24"/>
          <w:lang w:eastAsia="nl-NL"/>
        </w:rPr>
        <w:t xml:space="preserve"> </w:t>
      </w:r>
    </w:p>
    <w:p w14:paraId="1DF1F829" w14:textId="1FCC8090" w:rsidR="006E4063" w:rsidRDefault="00E40036" w:rsidP="00385CB1">
      <w:pPr>
        <w:spacing w:line="360" w:lineRule="auto"/>
        <w:jc w:val="both"/>
        <w:rPr>
          <w:rFonts w:ascii="Verdana" w:eastAsia="Times New Roman" w:hAnsi="Verdana" w:cs="Times New Roman"/>
          <w:sz w:val="18"/>
          <w:szCs w:val="24"/>
          <w:lang w:eastAsia="nl-NL"/>
        </w:rPr>
      </w:pPr>
      <w:r>
        <w:rPr>
          <w:rFonts w:ascii="Verdana" w:eastAsia="Times New Roman" w:hAnsi="Verdana" w:cs="Times New Roman"/>
          <w:sz w:val="18"/>
          <w:szCs w:val="24"/>
          <w:lang w:eastAsia="nl-NL"/>
        </w:rPr>
        <w:t>Het arrest van het HvJEU brengt kort gezegd met zich mee dat de lidstaten per individueel geval moeten beoordelen of de bedreiging van de openbare orde nog actueel en werkelijk is, of het voortvloeit uit het persoonlijke gedrag van de betrokkene en of daarmee een fundamenteel belang van de samenleving wordt geraakt.</w:t>
      </w:r>
      <w:r>
        <w:rPr>
          <w:rStyle w:val="Voetnootmarkering"/>
          <w:rFonts w:ascii="Verdana" w:eastAsia="Times New Roman" w:hAnsi="Verdana" w:cs="Times New Roman"/>
          <w:sz w:val="18"/>
          <w:szCs w:val="24"/>
          <w:lang w:eastAsia="nl-NL"/>
        </w:rPr>
        <w:footnoteReference w:id="48"/>
      </w:r>
      <w:r>
        <w:rPr>
          <w:rFonts w:ascii="Verdana" w:eastAsia="Times New Roman" w:hAnsi="Verdana" w:cs="Times New Roman"/>
          <w:sz w:val="18"/>
          <w:szCs w:val="24"/>
          <w:lang w:eastAsia="nl-NL"/>
        </w:rPr>
        <w:t xml:space="preserve"> Hierbij dienen zij rekening te houden met verscheidene factoren, waaronder de aard van het misdrijf, recidivegevaar en tijdsverloop.</w:t>
      </w:r>
      <w:r>
        <w:rPr>
          <w:rStyle w:val="Voetnootmarkering"/>
          <w:rFonts w:ascii="Verdana" w:eastAsia="Times New Roman" w:hAnsi="Verdana" w:cs="Times New Roman"/>
          <w:sz w:val="18"/>
          <w:szCs w:val="24"/>
          <w:lang w:eastAsia="nl-NL"/>
        </w:rPr>
        <w:footnoteReference w:id="49"/>
      </w:r>
      <w:r>
        <w:rPr>
          <w:rFonts w:ascii="Verdana" w:eastAsia="Times New Roman" w:hAnsi="Verdana" w:cs="Times New Roman"/>
          <w:sz w:val="18"/>
          <w:szCs w:val="24"/>
          <w:lang w:eastAsia="nl-NL"/>
        </w:rPr>
        <w:t xml:space="preserve"> Dit betreft een niet limitatieve lijst. Het is uiteindelijk aan de bestuursorganen en nationale rechters om per geval </w:t>
      </w:r>
      <w:r w:rsidRPr="00B64AFC">
        <w:rPr>
          <w:rFonts w:ascii="Verdana" w:eastAsia="Times New Roman" w:hAnsi="Verdana" w:cs="Times New Roman"/>
          <w:sz w:val="18"/>
          <w:szCs w:val="24"/>
          <w:lang w:eastAsia="nl-NL"/>
        </w:rPr>
        <w:t>ex nunc</w:t>
      </w:r>
      <w:r>
        <w:rPr>
          <w:rFonts w:ascii="Verdana" w:eastAsia="Times New Roman" w:hAnsi="Verdana" w:cs="Times New Roman"/>
          <w:sz w:val="18"/>
          <w:szCs w:val="24"/>
          <w:lang w:eastAsia="nl-NL"/>
        </w:rPr>
        <w:t xml:space="preserve"> te beoordelen welke factoren relevant zijn.</w:t>
      </w:r>
      <w:r>
        <w:rPr>
          <w:rStyle w:val="Voetnootmarkering"/>
          <w:rFonts w:ascii="Verdana" w:eastAsia="Times New Roman" w:hAnsi="Verdana" w:cs="Times New Roman"/>
          <w:sz w:val="18"/>
          <w:szCs w:val="24"/>
          <w:lang w:eastAsia="nl-NL"/>
        </w:rPr>
        <w:footnoteReference w:id="50"/>
      </w:r>
      <w:r>
        <w:rPr>
          <w:rFonts w:ascii="Verdana" w:eastAsia="Times New Roman" w:hAnsi="Verdana" w:cs="Times New Roman"/>
          <w:sz w:val="18"/>
          <w:szCs w:val="24"/>
          <w:lang w:eastAsia="nl-NL"/>
        </w:rPr>
        <w:t xml:space="preserve"> </w:t>
      </w:r>
    </w:p>
    <w:p w14:paraId="6CD9A461" w14:textId="036CD8BA" w:rsidR="00385CB1" w:rsidRPr="006E4063" w:rsidRDefault="00C631F1" w:rsidP="00385CB1">
      <w:pPr>
        <w:spacing w:line="360" w:lineRule="auto"/>
        <w:jc w:val="both"/>
        <w:rPr>
          <w:rFonts w:ascii="Verdana" w:eastAsia="Times New Roman" w:hAnsi="Verdana" w:cs="Times New Roman"/>
          <w:sz w:val="18"/>
          <w:szCs w:val="24"/>
          <w:lang w:eastAsia="nl-NL"/>
        </w:rPr>
      </w:pPr>
      <w:r>
        <w:rPr>
          <w:rFonts w:ascii="Verdana" w:eastAsia="Times New Roman" w:hAnsi="Verdana" w:cs="Times New Roman"/>
          <w:i/>
          <w:sz w:val="18"/>
          <w:szCs w:val="24"/>
          <w:lang w:eastAsia="nl-NL"/>
        </w:rPr>
        <w:br/>
      </w:r>
      <w:r w:rsidR="00385CB1">
        <w:rPr>
          <w:rFonts w:ascii="Verdana" w:eastAsia="Times New Roman" w:hAnsi="Verdana" w:cs="Times New Roman"/>
          <w:i/>
          <w:sz w:val="18"/>
          <w:szCs w:val="24"/>
          <w:lang w:eastAsia="nl-NL"/>
        </w:rPr>
        <w:t>2.3.2 De belangenafweging</w:t>
      </w:r>
    </w:p>
    <w:p w14:paraId="02EAB389" w14:textId="68BFC998" w:rsidR="00626FBD" w:rsidRDefault="00385CB1" w:rsidP="00385CB1">
      <w:pPr>
        <w:spacing w:line="360" w:lineRule="auto"/>
        <w:jc w:val="both"/>
        <w:rPr>
          <w:rFonts w:ascii="Verdana" w:eastAsia="Times New Roman" w:hAnsi="Verdana" w:cs="Times New Roman"/>
          <w:sz w:val="18"/>
          <w:szCs w:val="24"/>
          <w:lang w:eastAsia="nl-NL"/>
        </w:rPr>
      </w:pPr>
      <w:r>
        <w:rPr>
          <w:rFonts w:ascii="Verdana" w:eastAsia="Times New Roman" w:hAnsi="Verdana" w:cs="Times New Roman"/>
          <w:sz w:val="18"/>
          <w:szCs w:val="24"/>
          <w:lang w:eastAsia="nl-NL"/>
        </w:rPr>
        <w:t>Het Unierecht verplicht de lidstaten om naast de toepassing van de (algemene) actuele-bedreigingstoets, ook een kenbare</w:t>
      </w:r>
      <w:r w:rsidR="00920CDA">
        <w:rPr>
          <w:rStyle w:val="Voetnootmarkering"/>
          <w:rFonts w:ascii="Verdana" w:eastAsia="Times New Roman" w:hAnsi="Verdana" w:cs="Times New Roman"/>
          <w:sz w:val="18"/>
          <w:szCs w:val="24"/>
          <w:lang w:eastAsia="nl-NL"/>
        </w:rPr>
        <w:footnoteReference w:id="51"/>
      </w:r>
      <w:r w:rsidR="00920CDA">
        <w:rPr>
          <w:rFonts w:ascii="Verdana" w:eastAsia="Times New Roman" w:hAnsi="Verdana" w:cs="Times New Roman"/>
          <w:sz w:val="18"/>
          <w:szCs w:val="24"/>
          <w:lang w:eastAsia="nl-NL"/>
        </w:rPr>
        <w:t xml:space="preserve"> </w:t>
      </w:r>
      <w:r>
        <w:rPr>
          <w:rFonts w:ascii="Verdana" w:eastAsia="Times New Roman" w:hAnsi="Verdana" w:cs="Times New Roman"/>
          <w:sz w:val="18"/>
          <w:szCs w:val="24"/>
          <w:lang w:eastAsia="nl-NL"/>
        </w:rPr>
        <w:t xml:space="preserve"> </w:t>
      </w:r>
      <w:r w:rsidR="00A81E96">
        <w:rPr>
          <w:rFonts w:ascii="Verdana" w:eastAsia="Times New Roman" w:hAnsi="Verdana" w:cs="Times New Roman"/>
          <w:sz w:val="18"/>
          <w:szCs w:val="24"/>
          <w:lang w:eastAsia="nl-NL"/>
        </w:rPr>
        <w:t>‘</w:t>
      </w:r>
      <w:r>
        <w:rPr>
          <w:rFonts w:ascii="Verdana" w:eastAsia="Times New Roman" w:hAnsi="Verdana" w:cs="Times New Roman"/>
          <w:sz w:val="18"/>
          <w:szCs w:val="24"/>
          <w:lang w:eastAsia="nl-NL"/>
        </w:rPr>
        <w:t>belangenafweging</w:t>
      </w:r>
      <w:r w:rsidR="00A81E96">
        <w:rPr>
          <w:rFonts w:ascii="Verdana" w:eastAsia="Times New Roman" w:hAnsi="Verdana" w:cs="Times New Roman"/>
          <w:sz w:val="18"/>
          <w:szCs w:val="24"/>
          <w:lang w:eastAsia="nl-NL"/>
        </w:rPr>
        <w:t>’</w:t>
      </w:r>
      <w:r>
        <w:rPr>
          <w:rFonts w:ascii="Verdana" w:eastAsia="Times New Roman" w:hAnsi="Verdana" w:cs="Times New Roman"/>
          <w:sz w:val="18"/>
          <w:szCs w:val="24"/>
          <w:lang w:eastAsia="nl-NL"/>
        </w:rPr>
        <w:t xml:space="preserve"> bij de beoordeling</w:t>
      </w:r>
      <w:r w:rsidR="006E4063">
        <w:rPr>
          <w:rFonts w:ascii="Verdana" w:eastAsia="Times New Roman" w:hAnsi="Verdana" w:cs="Times New Roman"/>
          <w:sz w:val="18"/>
          <w:szCs w:val="24"/>
          <w:lang w:eastAsia="nl-NL"/>
        </w:rPr>
        <w:t xml:space="preserve"> van de weigering, niet-verlenging of intrekking</w:t>
      </w:r>
      <w:r>
        <w:rPr>
          <w:rFonts w:ascii="Verdana" w:eastAsia="Times New Roman" w:hAnsi="Verdana" w:cs="Times New Roman"/>
          <w:sz w:val="18"/>
          <w:szCs w:val="24"/>
          <w:lang w:eastAsia="nl-NL"/>
        </w:rPr>
        <w:t xml:space="preserve"> te betrekken.</w:t>
      </w:r>
      <w:r w:rsidR="00452C52">
        <w:rPr>
          <w:rStyle w:val="Voetnootmarkering"/>
          <w:rFonts w:ascii="Verdana" w:eastAsia="Times New Roman" w:hAnsi="Verdana" w:cs="Times New Roman"/>
          <w:sz w:val="18"/>
          <w:szCs w:val="24"/>
          <w:lang w:eastAsia="nl-NL"/>
        </w:rPr>
        <w:footnoteReference w:id="52"/>
      </w:r>
      <w:r w:rsidR="004373D1">
        <w:rPr>
          <w:rFonts w:ascii="Verdana" w:eastAsia="Times New Roman" w:hAnsi="Verdana" w:cs="Times New Roman"/>
          <w:sz w:val="18"/>
          <w:szCs w:val="24"/>
          <w:lang w:eastAsia="nl-NL"/>
        </w:rPr>
        <w:t xml:space="preserve"> </w:t>
      </w:r>
      <w:r>
        <w:rPr>
          <w:rFonts w:ascii="Verdana" w:eastAsia="Times New Roman" w:hAnsi="Verdana" w:cs="Times New Roman"/>
          <w:sz w:val="18"/>
          <w:szCs w:val="24"/>
          <w:lang w:eastAsia="nl-NL"/>
        </w:rPr>
        <w:t xml:space="preserve">De gevolgen die een mogelijke verblijfsbeëindiging of verblijfsweigering met zich teweegbrengt, moeten in ieder individueel geval afgewogen worden tegen het gevaar voor de samenleving. Deze belangenafweging dient toegepast te worden </w:t>
      </w:r>
      <w:r w:rsidR="00F41D89">
        <w:rPr>
          <w:rFonts w:ascii="Verdana" w:eastAsia="Times New Roman" w:hAnsi="Verdana" w:cs="Times New Roman"/>
          <w:sz w:val="18"/>
          <w:szCs w:val="24"/>
          <w:lang w:eastAsia="nl-NL"/>
        </w:rPr>
        <w:t>ná</w:t>
      </w:r>
      <w:r w:rsidRPr="00983369">
        <w:rPr>
          <w:rFonts w:ascii="Verdana" w:eastAsia="Times New Roman" w:hAnsi="Verdana" w:cs="Times New Roman"/>
          <w:sz w:val="18"/>
          <w:szCs w:val="24"/>
          <w:lang w:eastAsia="nl-NL"/>
        </w:rPr>
        <w:t>dat</w:t>
      </w:r>
      <w:r>
        <w:rPr>
          <w:rFonts w:ascii="Verdana" w:eastAsia="Times New Roman" w:hAnsi="Verdana" w:cs="Times New Roman"/>
          <w:sz w:val="18"/>
          <w:szCs w:val="24"/>
          <w:lang w:eastAsia="nl-NL"/>
        </w:rPr>
        <w:t xml:space="preserve"> is vastgesteld dat de betrokkene een actuele bedreiging vormt voor de samenleving.</w:t>
      </w:r>
      <w:r>
        <w:rPr>
          <w:rStyle w:val="Voetnootmarkering"/>
          <w:rFonts w:ascii="Verdana" w:eastAsia="Times New Roman" w:hAnsi="Verdana" w:cs="Times New Roman"/>
          <w:sz w:val="18"/>
          <w:szCs w:val="24"/>
          <w:lang w:eastAsia="nl-NL"/>
        </w:rPr>
        <w:footnoteReference w:id="53"/>
      </w:r>
      <w:r w:rsidR="005B059E">
        <w:rPr>
          <w:rFonts w:ascii="Verdana" w:eastAsia="Times New Roman" w:hAnsi="Verdana" w:cs="Times New Roman"/>
          <w:sz w:val="18"/>
          <w:szCs w:val="24"/>
          <w:lang w:eastAsia="nl-NL"/>
        </w:rPr>
        <w:t xml:space="preserve"> </w:t>
      </w:r>
      <w:r w:rsidR="00A81E96">
        <w:rPr>
          <w:rFonts w:ascii="Verdana" w:eastAsia="Times New Roman" w:hAnsi="Verdana" w:cs="Times New Roman"/>
          <w:sz w:val="18"/>
          <w:szCs w:val="24"/>
          <w:lang w:eastAsia="nl-NL"/>
        </w:rPr>
        <w:t xml:space="preserve">Het gaat hierbij om </w:t>
      </w:r>
      <w:r w:rsidR="00626FBD">
        <w:rPr>
          <w:rFonts w:ascii="Verdana" w:eastAsia="Times New Roman" w:hAnsi="Verdana" w:cs="Times New Roman"/>
          <w:sz w:val="18"/>
          <w:szCs w:val="24"/>
          <w:lang w:eastAsia="nl-NL"/>
        </w:rPr>
        <w:t>een indringe</w:t>
      </w:r>
      <w:r w:rsidR="00920CDA">
        <w:rPr>
          <w:rFonts w:ascii="Verdana" w:eastAsia="Times New Roman" w:hAnsi="Verdana" w:cs="Times New Roman"/>
          <w:sz w:val="18"/>
          <w:szCs w:val="24"/>
          <w:lang w:eastAsia="nl-NL"/>
        </w:rPr>
        <w:t>nde toetst waarbij gekeken moet worden</w:t>
      </w:r>
      <w:r w:rsidR="00626FBD">
        <w:rPr>
          <w:rFonts w:ascii="Verdana" w:eastAsia="Times New Roman" w:hAnsi="Verdana" w:cs="Times New Roman"/>
          <w:sz w:val="18"/>
          <w:szCs w:val="24"/>
          <w:lang w:eastAsia="nl-NL"/>
        </w:rPr>
        <w:t xml:space="preserve"> naar cumulatieve factoren. </w:t>
      </w:r>
      <w:r w:rsidR="00A05B42">
        <w:rPr>
          <w:rFonts w:ascii="Verdana" w:eastAsia="Times New Roman" w:hAnsi="Verdana" w:cs="Times New Roman"/>
          <w:sz w:val="18"/>
          <w:szCs w:val="24"/>
          <w:lang w:eastAsia="nl-NL"/>
        </w:rPr>
        <w:t xml:space="preserve">Indien niet aan de factoren wordt voldaan, zal </w:t>
      </w:r>
      <w:r w:rsidR="00920CDA">
        <w:rPr>
          <w:rFonts w:ascii="Verdana" w:eastAsia="Times New Roman" w:hAnsi="Verdana" w:cs="Times New Roman"/>
          <w:sz w:val="18"/>
          <w:szCs w:val="24"/>
          <w:lang w:eastAsia="nl-NL"/>
        </w:rPr>
        <w:t>de weigering, niet-verlenging of intrekking achterwege moeten blijven.</w:t>
      </w:r>
    </w:p>
    <w:p w14:paraId="74841379" w14:textId="4E524462" w:rsidR="00385CB1" w:rsidRDefault="00385CB1" w:rsidP="00385CB1">
      <w:pPr>
        <w:spacing w:line="360" w:lineRule="auto"/>
        <w:jc w:val="both"/>
        <w:rPr>
          <w:rFonts w:ascii="Verdana" w:eastAsia="Times New Roman" w:hAnsi="Verdana" w:cs="Times New Roman"/>
          <w:sz w:val="18"/>
          <w:szCs w:val="24"/>
          <w:lang w:eastAsia="nl-NL"/>
        </w:rPr>
      </w:pPr>
      <w:r>
        <w:rPr>
          <w:rFonts w:ascii="Verdana" w:eastAsia="Times New Roman" w:hAnsi="Verdana" w:cs="Times New Roman"/>
          <w:sz w:val="18"/>
          <w:szCs w:val="24"/>
          <w:lang w:eastAsia="nl-NL"/>
        </w:rPr>
        <w:t xml:space="preserve">De factoren die in ieder geval betrokken dienen te worden bij de belangenafweging zijn opgenomen in </w:t>
      </w:r>
      <w:r w:rsidRPr="00D37874">
        <w:rPr>
          <w:rFonts w:ascii="Verdana" w:eastAsia="Times New Roman" w:hAnsi="Verdana" w:cs="Times New Roman"/>
          <w:sz w:val="18"/>
          <w:szCs w:val="24"/>
          <w:u w:val="dotDotDash"/>
          <w:lang w:eastAsia="nl-NL"/>
        </w:rPr>
        <w:t>bijlage 1</w:t>
      </w:r>
      <w:r w:rsidR="00815536">
        <w:rPr>
          <w:rFonts w:ascii="Verdana" w:eastAsia="Times New Roman" w:hAnsi="Verdana" w:cs="Times New Roman"/>
          <w:sz w:val="18"/>
          <w:szCs w:val="24"/>
          <w:lang w:eastAsia="nl-NL"/>
        </w:rPr>
        <w:t>. Let wel, dit zijn</w:t>
      </w:r>
      <w:r>
        <w:rPr>
          <w:rFonts w:ascii="Verdana" w:eastAsia="Times New Roman" w:hAnsi="Verdana" w:cs="Times New Roman"/>
          <w:sz w:val="18"/>
          <w:szCs w:val="24"/>
          <w:lang w:eastAsia="nl-NL"/>
        </w:rPr>
        <w:t xml:space="preserve"> factoren die worden gezien als ‘soft law’.</w:t>
      </w:r>
      <w:r>
        <w:rPr>
          <w:rStyle w:val="Voetnootmarkering"/>
          <w:rFonts w:ascii="Verdana" w:eastAsia="Times New Roman" w:hAnsi="Verdana" w:cs="Times New Roman"/>
          <w:sz w:val="18"/>
          <w:szCs w:val="24"/>
          <w:lang w:eastAsia="nl-NL"/>
        </w:rPr>
        <w:footnoteReference w:id="54"/>
      </w:r>
      <w:r w:rsidR="00815536">
        <w:rPr>
          <w:rFonts w:ascii="Verdana" w:eastAsia="Times New Roman" w:hAnsi="Verdana" w:cs="Times New Roman"/>
          <w:sz w:val="18"/>
          <w:szCs w:val="24"/>
          <w:lang w:eastAsia="nl-NL"/>
        </w:rPr>
        <w:t xml:space="preserve"> Soft law is niet bindend, maar geeft wel onmisbare uitleg.</w:t>
      </w:r>
      <w:r>
        <w:rPr>
          <w:rFonts w:ascii="Verdana" w:eastAsia="Times New Roman" w:hAnsi="Verdana" w:cs="Times New Roman"/>
          <w:sz w:val="18"/>
          <w:szCs w:val="24"/>
          <w:lang w:eastAsia="nl-NL"/>
        </w:rPr>
        <w:t xml:space="preserve"> </w:t>
      </w:r>
      <w:r w:rsidR="00D7412F">
        <w:rPr>
          <w:rFonts w:ascii="Verdana" w:eastAsia="Times New Roman" w:hAnsi="Verdana" w:cs="Times New Roman"/>
          <w:sz w:val="18"/>
          <w:szCs w:val="24"/>
          <w:lang w:eastAsia="nl-NL"/>
        </w:rPr>
        <w:t>Daarbij zal de</w:t>
      </w:r>
      <w:r>
        <w:rPr>
          <w:rFonts w:ascii="Verdana" w:eastAsia="Times New Roman" w:hAnsi="Verdana" w:cs="Times New Roman"/>
          <w:sz w:val="18"/>
          <w:szCs w:val="24"/>
          <w:lang w:eastAsia="nl-NL"/>
        </w:rPr>
        <w:t xml:space="preserve"> invulling </w:t>
      </w:r>
      <w:r w:rsidR="00815536">
        <w:rPr>
          <w:rFonts w:ascii="Verdana" w:eastAsia="Times New Roman" w:hAnsi="Verdana" w:cs="Times New Roman"/>
          <w:sz w:val="18"/>
          <w:szCs w:val="24"/>
          <w:lang w:eastAsia="nl-NL"/>
        </w:rPr>
        <w:t>van voornoemde</w:t>
      </w:r>
      <w:r w:rsidR="000C79EB">
        <w:rPr>
          <w:rFonts w:ascii="Verdana" w:eastAsia="Times New Roman" w:hAnsi="Verdana" w:cs="Times New Roman"/>
          <w:sz w:val="18"/>
          <w:szCs w:val="24"/>
          <w:lang w:eastAsia="nl-NL"/>
        </w:rPr>
        <w:t xml:space="preserve"> factoren</w:t>
      </w:r>
      <w:r w:rsidR="00815536">
        <w:rPr>
          <w:rFonts w:ascii="Verdana" w:eastAsia="Times New Roman" w:hAnsi="Verdana" w:cs="Times New Roman"/>
          <w:sz w:val="18"/>
          <w:szCs w:val="24"/>
          <w:lang w:eastAsia="nl-NL"/>
        </w:rPr>
        <w:t xml:space="preserve"> </w:t>
      </w:r>
      <w:r>
        <w:rPr>
          <w:rFonts w:ascii="Verdana" w:eastAsia="Times New Roman" w:hAnsi="Verdana" w:cs="Times New Roman"/>
          <w:sz w:val="18"/>
          <w:szCs w:val="24"/>
          <w:lang w:eastAsia="nl-NL"/>
        </w:rPr>
        <w:t>per individueel geval verschillen.</w:t>
      </w:r>
    </w:p>
    <w:p w14:paraId="120E498C" w14:textId="77777777" w:rsidR="009143D1" w:rsidRDefault="009143D1" w:rsidP="00CB42AA">
      <w:pPr>
        <w:spacing w:line="360" w:lineRule="auto"/>
        <w:jc w:val="both"/>
        <w:rPr>
          <w:rFonts w:ascii="Verdana" w:eastAsia="Times New Roman" w:hAnsi="Verdana" w:cs="Times New Roman"/>
          <w:sz w:val="18"/>
          <w:szCs w:val="24"/>
          <w:lang w:eastAsia="nl-NL"/>
        </w:rPr>
      </w:pPr>
    </w:p>
    <w:p w14:paraId="56F7A2AF" w14:textId="77777777" w:rsidR="009143D1" w:rsidRDefault="009143D1" w:rsidP="00CB42AA">
      <w:pPr>
        <w:spacing w:line="360" w:lineRule="auto"/>
        <w:jc w:val="both"/>
        <w:rPr>
          <w:rFonts w:ascii="Verdana" w:eastAsia="Times New Roman" w:hAnsi="Verdana" w:cs="Times New Roman"/>
          <w:i/>
          <w:sz w:val="18"/>
          <w:szCs w:val="24"/>
          <w:lang w:eastAsia="nl-NL"/>
        </w:rPr>
      </w:pPr>
    </w:p>
    <w:p w14:paraId="7EE2AF4A" w14:textId="43DD0B7B" w:rsidR="00CB42AA" w:rsidRPr="00156B83" w:rsidRDefault="00CB42AA" w:rsidP="00CB42AA">
      <w:pPr>
        <w:spacing w:line="360" w:lineRule="auto"/>
        <w:jc w:val="both"/>
        <w:rPr>
          <w:rFonts w:ascii="Verdana" w:eastAsia="Times New Roman" w:hAnsi="Verdana" w:cs="Times New Roman"/>
          <w:i/>
          <w:sz w:val="18"/>
          <w:szCs w:val="24"/>
          <w:lang w:eastAsia="nl-NL"/>
        </w:rPr>
      </w:pPr>
      <w:r>
        <w:rPr>
          <w:rFonts w:ascii="Verdana" w:eastAsia="Times New Roman" w:hAnsi="Verdana" w:cs="Times New Roman"/>
          <w:i/>
          <w:sz w:val="18"/>
          <w:szCs w:val="24"/>
          <w:lang w:eastAsia="nl-NL"/>
        </w:rPr>
        <w:lastRenderedPageBreak/>
        <w:t>2.3.3 Het nationale openbare-ordebeleid</w:t>
      </w:r>
    </w:p>
    <w:p w14:paraId="596BB4E0" w14:textId="6AFC556D" w:rsidR="00CB42AA" w:rsidRDefault="00586DA0" w:rsidP="00CB42AA">
      <w:pPr>
        <w:spacing w:line="360" w:lineRule="auto"/>
        <w:jc w:val="both"/>
        <w:rPr>
          <w:rFonts w:ascii="Verdana" w:eastAsia="Times New Roman" w:hAnsi="Verdana"/>
          <w:sz w:val="18"/>
          <w:szCs w:val="18"/>
          <w:lang w:eastAsia="nl-NL"/>
        </w:rPr>
      </w:pPr>
      <w:r>
        <w:rPr>
          <w:rFonts w:ascii="Verdana" w:eastAsia="Times New Roman" w:hAnsi="Verdana"/>
          <w:sz w:val="18"/>
          <w:szCs w:val="18"/>
          <w:lang w:eastAsia="nl-NL"/>
        </w:rPr>
        <w:t>Wanneer een vreemdeling strafbare feiten heeft gepleegd, wordt door de Staatssecretaris beoordeeld of dit gevolgen heeft voor zijn verblijfsrecht in Nederland. Mogelijke gevolgen kunnen zijn het weigeren, intrekken of niet verlengen van de geldigheidsduur van een verblijfsvergunning, het onthouden van een vertrektermijn bij een terugkeerbesluit, het opleggen van een inreisverbod of het ongewenst verklaren van de vreemdeling.</w:t>
      </w:r>
      <w:r w:rsidR="00AE1DCC">
        <w:rPr>
          <w:rStyle w:val="Voetnootmarkering"/>
          <w:rFonts w:ascii="Verdana" w:eastAsia="Times New Roman" w:hAnsi="Verdana"/>
          <w:sz w:val="18"/>
          <w:szCs w:val="18"/>
          <w:lang w:eastAsia="nl-NL"/>
        </w:rPr>
        <w:footnoteReference w:id="55"/>
      </w:r>
      <w:r w:rsidR="00AE1DCC">
        <w:rPr>
          <w:rFonts w:ascii="Verdana" w:eastAsia="Times New Roman" w:hAnsi="Verdana"/>
          <w:sz w:val="18"/>
          <w:szCs w:val="18"/>
          <w:lang w:eastAsia="nl-NL"/>
        </w:rPr>
        <w:t xml:space="preserve"> </w:t>
      </w:r>
      <w:r w:rsidR="00CB42AA">
        <w:rPr>
          <w:rFonts w:ascii="Verdana" w:eastAsia="Times New Roman" w:hAnsi="Verdana"/>
          <w:sz w:val="18"/>
          <w:szCs w:val="18"/>
          <w:lang w:eastAsia="nl-NL"/>
        </w:rPr>
        <w:t>In de Vw 2000 is consistent opgenomen dat het verblijfsrecht van migranten afhankelijk is van de voorwaarde dat de migrant geen gevaar oplevert voor de openbare orde. Zoals reeds aangegeven betreft dit een open norm die slechts in algemene bewoordingen wordt aangeduid in de wet en derhalve in de praktijk concreet moet worden ingevuld.</w:t>
      </w:r>
      <w:r w:rsidR="00CB42AA">
        <w:rPr>
          <w:rStyle w:val="Voetnootmarkering"/>
          <w:rFonts w:ascii="Verdana" w:eastAsia="Times New Roman" w:hAnsi="Verdana"/>
          <w:sz w:val="18"/>
          <w:szCs w:val="18"/>
          <w:lang w:eastAsia="nl-NL"/>
        </w:rPr>
        <w:footnoteReference w:id="56"/>
      </w:r>
    </w:p>
    <w:p w14:paraId="1406CD1E" w14:textId="7C319A4B" w:rsidR="00CB42AA" w:rsidRDefault="00CB42AA" w:rsidP="00CB42AA">
      <w:pPr>
        <w:spacing w:line="360" w:lineRule="auto"/>
        <w:jc w:val="both"/>
        <w:rPr>
          <w:rFonts w:ascii="Verdana" w:eastAsia="Times New Roman" w:hAnsi="Verdana"/>
          <w:sz w:val="18"/>
          <w:szCs w:val="18"/>
          <w:lang w:eastAsia="nl-NL"/>
        </w:rPr>
      </w:pPr>
      <w:r>
        <w:rPr>
          <w:rFonts w:ascii="Verdana" w:eastAsia="Times New Roman" w:hAnsi="Verdana"/>
          <w:sz w:val="18"/>
          <w:szCs w:val="18"/>
          <w:lang w:eastAsia="nl-NL"/>
        </w:rPr>
        <w:t>In Nederland is het concrete begrip van een ‘gevaar voor de openbare orde’ uitgewerkt in lagere wetgeving. Om precies te zijn is het neergelegd in een glijdende schaal.</w:t>
      </w:r>
      <w:r w:rsidRPr="00725207">
        <w:rPr>
          <w:rStyle w:val="Voetnootmarkering"/>
          <w:rFonts w:ascii="Verdana" w:eastAsia="Times New Roman" w:hAnsi="Verdana"/>
          <w:sz w:val="18"/>
          <w:szCs w:val="18"/>
          <w:lang w:eastAsia="nl-NL"/>
        </w:rPr>
        <w:t xml:space="preserve"> </w:t>
      </w:r>
      <w:r>
        <w:rPr>
          <w:rStyle w:val="Voetnootmarkering"/>
          <w:rFonts w:ascii="Verdana" w:eastAsia="Times New Roman" w:hAnsi="Verdana"/>
          <w:sz w:val="18"/>
          <w:szCs w:val="18"/>
          <w:lang w:eastAsia="nl-NL"/>
        </w:rPr>
        <w:footnoteReference w:id="57"/>
      </w:r>
      <w:r>
        <w:rPr>
          <w:rFonts w:ascii="Verdana" w:eastAsia="Times New Roman" w:hAnsi="Verdana"/>
          <w:sz w:val="18"/>
          <w:szCs w:val="18"/>
          <w:lang w:eastAsia="nl-NL"/>
        </w:rPr>
        <w:t xml:space="preserve"> Deze is te vinden in artikel 3.86 Vb 2000. De glijdende schaal is een tabel die wordt gehanteerd om te bepalen of het rechtmatige verblijf van een migrant kan worden beëindigd door de veroordeling voor het plegen van een strafbaar feit. Het uitgangspunt van de glijdende schaal is, kort weergegeven, dat hoe langer het rechtmatig verblijf van de migrant is, hoe meer bescherming de migrant dient te hebben tegen de uitzetting. Hiermee wordt dus een verband gelegd tussen de verblijfsduur van de migrant en de ernst van het gepleegde feit.</w:t>
      </w:r>
      <w:r>
        <w:rPr>
          <w:rStyle w:val="Voetnootmarkering"/>
          <w:rFonts w:ascii="Verdana" w:eastAsia="Times New Roman" w:hAnsi="Verdana"/>
          <w:sz w:val="18"/>
          <w:szCs w:val="18"/>
          <w:lang w:eastAsia="nl-NL"/>
        </w:rPr>
        <w:footnoteReference w:id="58"/>
      </w:r>
      <w:r>
        <w:rPr>
          <w:rFonts w:ascii="Verdana" w:eastAsia="Times New Roman" w:hAnsi="Verdana"/>
          <w:sz w:val="18"/>
          <w:szCs w:val="18"/>
          <w:lang w:eastAsia="nl-NL"/>
        </w:rPr>
        <w:t xml:space="preserve"> Dit brengt </w:t>
      </w:r>
      <w:r w:rsidR="00590552">
        <w:rPr>
          <w:rFonts w:ascii="Verdana" w:eastAsia="Times New Roman" w:hAnsi="Verdana"/>
          <w:sz w:val="18"/>
          <w:szCs w:val="18"/>
          <w:lang w:eastAsia="nl-NL"/>
        </w:rPr>
        <w:t xml:space="preserve">met zich mee dat de migrant </w:t>
      </w:r>
      <w:r>
        <w:rPr>
          <w:rFonts w:ascii="Verdana" w:eastAsia="Times New Roman" w:hAnsi="Verdana"/>
          <w:sz w:val="18"/>
          <w:szCs w:val="18"/>
          <w:lang w:eastAsia="nl-NL"/>
        </w:rPr>
        <w:t>dus ook een zwaardere inbreuk moet hebben gepleegd op de openbare orde, alvorens het rechtmatige verblijf mag worden beëindigd.</w:t>
      </w:r>
      <w:r>
        <w:rPr>
          <w:rStyle w:val="Voetnootmarkering"/>
          <w:rFonts w:ascii="Verdana" w:eastAsia="Times New Roman" w:hAnsi="Verdana"/>
          <w:sz w:val="18"/>
          <w:szCs w:val="18"/>
          <w:lang w:eastAsia="nl-NL"/>
        </w:rPr>
        <w:footnoteReference w:id="59"/>
      </w:r>
    </w:p>
    <w:p w14:paraId="63F7C646" w14:textId="590EE65D" w:rsidR="00CB42AA" w:rsidRDefault="00CB47A7" w:rsidP="00CB42AA">
      <w:pPr>
        <w:spacing w:line="360" w:lineRule="auto"/>
        <w:jc w:val="both"/>
        <w:rPr>
          <w:rFonts w:ascii="Verdana" w:eastAsia="Times New Roman" w:hAnsi="Verdana"/>
          <w:sz w:val="18"/>
          <w:szCs w:val="18"/>
          <w:lang w:eastAsia="nl-NL"/>
        </w:rPr>
      </w:pPr>
      <w:r>
        <w:rPr>
          <w:rFonts w:ascii="Verdana" w:eastAsia="Times New Roman" w:hAnsi="Verdana"/>
          <w:sz w:val="18"/>
          <w:szCs w:val="18"/>
          <w:lang w:eastAsia="nl-NL"/>
        </w:rPr>
        <w:t>De criteria in de glijdende schaal zijn een ondergrens waaraan minstens moet zijn voldaan voordat verblijfsbeëindiging kan worden overwogen.</w:t>
      </w:r>
      <w:r>
        <w:rPr>
          <w:rStyle w:val="Voetnootmarkering"/>
          <w:rFonts w:ascii="Verdana" w:eastAsia="Times New Roman" w:hAnsi="Verdana"/>
          <w:sz w:val="18"/>
          <w:szCs w:val="18"/>
          <w:lang w:eastAsia="nl-NL"/>
        </w:rPr>
        <w:footnoteReference w:id="60"/>
      </w:r>
      <w:r>
        <w:rPr>
          <w:rFonts w:ascii="Verdana" w:eastAsia="Times New Roman" w:hAnsi="Verdana"/>
          <w:sz w:val="18"/>
          <w:szCs w:val="18"/>
          <w:lang w:eastAsia="nl-NL"/>
        </w:rPr>
        <w:t xml:space="preserve"> Het </w:t>
      </w:r>
      <w:r w:rsidR="00CB42AA">
        <w:rPr>
          <w:rFonts w:ascii="Verdana" w:eastAsia="Times New Roman" w:hAnsi="Verdana"/>
          <w:sz w:val="18"/>
          <w:szCs w:val="18"/>
          <w:lang w:eastAsia="nl-NL"/>
        </w:rPr>
        <w:t xml:space="preserve">biedt echter geen ruimte om te beoordelen of de migrant een </w:t>
      </w:r>
      <w:r w:rsidR="00CB42AA" w:rsidRPr="00BA54EB">
        <w:rPr>
          <w:rFonts w:ascii="Verdana" w:eastAsia="Times New Roman" w:hAnsi="Verdana"/>
          <w:sz w:val="18"/>
          <w:szCs w:val="18"/>
          <w:lang w:eastAsia="nl-NL"/>
        </w:rPr>
        <w:t xml:space="preserve">actueel </w:t>
      </w:r>
      <w:r w:rsidR="00CB42AA">
        <w:rPr>
          <w:rFonts w:ascii="Verdana" w:eastAsia="Times New Roman" w:hAnsi="Verdana"/>
          <w:sz w:val="18"/>
          <w:szCs w:val="18"/>
          <w:lang w:eastAsia="nl-NL"/>
        </w:rPr>
        <w:t xml:space="preserve">gevaar vormt voor de openbare orde. Dit blijkt duidelijk uit de bewoordingen van artikel 3.86 lid 6 Vb 2000: </w:t>
      </w:r>
      <w:r w:rsidR="00BE658B">
        <w:rPr>
          <w:rFonts w:ascii="Verdana" w:eastAsia="Times New Roman" w:hAnsi="Verdana"/>
          <w:sz w:val="18"/>
          <w:szCs w:val="18"/>
          <w:lang w:eastAsia="nl-NL"/>
        </w:rPr>
        <w:t>‘</w:t>
      </w:r>
      <w:r w:rsidR="00CB42AA">
        <w:rPr>
          <w:rFonts w:ascii="Verdana" w:eastAsia="Times New Roman" w:hAnsi="Verdana"/>
          <w:i/>
          <w:sz w:val="18"/>
          <w:szCs w:val="18"/>
          <w:lang w:eastAsia="nl-NL"/>
        </w:rPr>
        <w:t xml:space="preserve">‘onder verblijfsduur wordt verstaan: de duur van het rechtmatige verblijf, </w:t>
      </w:r>
      <w:r w:rsidR="00CB42AA" w:rsidRPr="00C32742">
        <w:rPr>
          <w:rFonts w:ascii="Verdana" w:eastAsia="Times New Roman" w:hAnsi="Verdana"/>
          <w:i/>
          <w:sz w:val="18"/>
          <w:szCs w:val="18"/>
          <w:lang w:eastAsia="nl-NL"/>
        </w:rPr>
        <w:t>direct voorafgaande</w:t>
      </w:r>
      <w:r w:rsidR="00CB42AA">
        <w:rPr>
          <w:rFonts w:ascii="Verdana" w:eastAsia="Times New Roman" w:hAnsi="Verdana"/>
          <w:i/>
          <w:sz w:val="18"/>
          <w:szCs w:val="18"/>
          <w:lang w:eastAsia="nl-NL"/>
        </w:rPr>
        <w:t xml:space="preserve"> aan het moment waarop het misdrijf is gepleegd of aangevangen.’</w:t>
      </w:r>
      <w:r w:rsidR="00BE658B">
        <w:rPr>
          <w:rFonts w:ascii="Verdana" w:eastAsia="Times New Roman" w:hAnsi="Verdana"/>
          <w:i/>
          <w:sz w:val="18"/>
          <w:szCs w:val="18"/>
          <w:lang w:eastAsia="nl-NL"/>
        </w:rPr>
        <w:t>’</w:t>
      </w:r>
      <w:r w:rsidR="00CB42AA">
        <w:rPr>
          <w:rFonts w:ascii="Verdana" w:eastAsia="Times New Roman" w:hAnsi="Verdana"/>
          <w:sz w:val="18"/>
          <w:szCs w:val="18"/>
          <w:lang w:eastAsia="nl-NL"/>
        </w:rPr>
        <w:t xml:space="preserve"> Hieruit blijkt dat er geen ruimte wordt geboden om eventuele gedragsveranderingen na het misdrijf bij de beoordeling te betrekken.</w:t>
      </w:r>
      <w:r w:rsidR="00CB42AA">
        <w:rPr>
          <w:rStyle w:val="Voetnootmarkering"/>
          <w:rFonts w:ascii="Verdana" w:eastAsia="Times New Roman" w:hAnsi="Verdana"/>
          <w:sz w:val="18"/>
          <w:szCs w:val="18"/>
          <w:lang w:eastAsia="nl-NL"/>
        </w:rPr>
        <w:footnoteReference w:id="61"/>
      </w:r>
      <w:r w:rsidR="00CB42AA">
        <w:rPr>
          <w:rFonts w:ascii="Verdana" w:eastAsia="Times New Roman" w:hAnsi="Verdana"/>
          <w:sz w:val="18"/>
          <w:szCs w:val="18"/>
          <w:lang w:eastAsia="nl-NL"/>
        </w:rPr>
        <w:t xml:space="preserve"> Voornoemde betekent </w:t>
      </w:r>
      <w:r>
        <w:rPr>
          <w:rFonts w:ascii="Verdana" w:eastAsia="Times New Roman" w:hAnsi="Verdana"/>
          <w:sz w:val="18"/>
          <w:szCs w:val="18"/>
          <w:lang w:eastAsia="nl-NL"/>
        </w:rPr>
        <w:t xml:space="preserve">volgens Boeles </w:t>
      </w:r>
      <w:r w:rsidR="00CB42AA">
        <w:rPr>
          <w:rFonts w:ascii="Verdana" w:eastAsia="Times New Roman" w:hAnsi="Verdana"/>
          <w:sz w:val="18"/>
          <w:szCs w:val="18"/>
          <w:lang w:eastAsia="nl-NL"/>
        </w:rPr>
        <w:t>dat zodra het Unierecht van toepassing is, de Staatssecretaris verplicht is de actuele-bedreigingstoets toe te toepassen, in plaats van de nationale glijdende schaal.</w:t>
      </w:r>
      <w:r w:rsidR="00CB42AA">
        <w:rPr>
          <w:rStyle w:val="Voetnootmarkering"/>
          <w:rFonts w:ascii="Verdana" w:eastAsia="Times New Roman" w:hAnsi="Verdana"/>
          <w:sz w:val="18"/>
          <w:szCs w:val="18"/>
          <w:lang w:eastAsia="nl-NL"/>
        </w:rPr>
        <w:footnoteReference w:id="62"/>
      </w:r>
    </w:p>
    <w:p w14:paraId="069B3E23" w14:textId="77777777" w:rsidR="00D30153" w:rsidRDefault="001D0091" w:rsidP="001D0091">
      <w:pPr>
        <w:spacing w:line="360" w:lineRule="auto"/>
        <w:jc w:val="both"/>
        <w:rPr>
          <w:rFonts w:ascii="Verdana" w:eastAsia="Times New Roman" w:hAnsi="Verdana"/>
          <w:i/>
          <w:sz w:val="18"/>
          <w:szCs w:val="18"/>
          <w:lang w:eastAsia="nl-NL"/>
        </w:rPr>
      </w:pPr>
      <w:r>
        <w:rPr>
          <w:rFonts w:ascii="Verdana" w:eastAsia="Times New Roman" w:hAnsi="Verdana"/>
          <w:sz w:val="18"/>
          <w:szCs w:val="18"/>
          <w:lang w:eastAsia="nl-NL"/>
        </w:rPr>
        <w:br/>
      </w:r>
    </w:p>
    <w:p w14:paraId="7032F8A6" w14:textId="0CAB6743" w:rsidR="001D0091" w:rsidRDefault="001D0091" w:rsidP="001D0091">
      <w:pPr>
        <w:spacing w:line="360" w:lineRule="auto"/>
        <w:jc w:val="both"/>
        <w:rPr>
          <w:rFonts w:ascii="Verdana" w:eastAsia="Times New Roman" w:hAnsi="Verdana"/>
          <w:i/>
          <w:sz w:val="18"/>
          <w:szCs w:val="18"/>
          <w:lang w:eastAsia="nl-NL"/>
        </w:rPr>
      </w:pPr>
      <w:r>
        <w:rPr>
          <w:rFonts w:ascii="Verdana" w:eastAsia="Times New Roman" w:hAnsi="Verdana"/>
          <w:i/>
          <w:sz w:val="18"/>
          <w:szCs w:val="18"/>
          <w:lang w:eastAsia="nl-NL"/>
        </w:rPr>
        <w:lastRenderedPageBreak/>
        <w:t>2.3.4 De belangenafweging</w:t>
      </w:r>
    </w:p>
    <w:p w14:paraId="4CA195EE" w14:textId="4204104F" w:rsidR="006359C8" w:rsidRDefault="001D0091" w:rsidP="006359C8">
      <w:pPr>
        <w:spacing w:after="0" w:line="360" w:lineRule="auto"/>
        <w:jc w:val="both"/>
        <w:rPr>
          <w:rFonts w:ascii="Verdana" w:eastAsia="Times New Roman" w:hAnsi="Verdana"/>
          <w:sz w:val="18"/>
          <w:szCs w:val="18"/>
          <w:lang w:eastAsia="nl-NL"/>
        </w:rPr>
      </w:pPr>
      <w:r>
        <w:rPr>
          <w:rFonts w:ascii="Verdana" w:eastAsia="Times New Roman" w:hAnsi="Verdana"/>
          <w:sz w:val="18"/>
          <w:szCs w:val="18"/>
          <w:lang w:eastAsia="nl-NL"/>
        </w:rPr>
        <w:t>Zoals meermaals naar voren is gekomen behoort de weigering, niet-verlenging of intrekking van een verblijfsvergunning tot de discretionaire bevoegdheid van de Staatssecretaris. Deze beslissingen blijven met andere woorden te allen tijde kan-bepalingen, hetgeen terstond een kenbare belangenafweging impliceert. Met betrekking tot de belangenafweging wordt in artikel 3.86 lid 17 Vb 2000 slechts bepaald dat de uitzetting niet in strijd mag zijn met artikel 8 EVRM, en artikel 8 EVRM schrijft weer de verplichting tot een belangenafweging voor. Door toepassing van de glijdende schaal wordt derhalve wel getoetst aan artikel 8 EVRM. Echter, dit betreft slechts een geobjectiveerd</w:t>
      </w:r>
      <w:r w:rsidR="007673F0">
        <w:rPr>
          <w:rFonts w:ascii="Verdana" w:eastAsia="Times New Roman" w:hAnsi="Verdana"/>
          <w:sz w:val="18"/>
          <w:szCs w:val="18"/>
          <w:lang w:eastAsia="nl-NL"/>
        </w:rPr>
        <w:t>e belangenafweging, waarbij belangrijke</w:t>
      </w:r>
      <w:r>
        <w:rPr>
          <w:rFonts w:ascii="Verdana" w:eastAsia="Times New Roman" w:hAnsi="Verdana"/>
          <w:sz w:val="18"/>
          <w:szCs w:val="18"/>
          <w:lang w:eastAsia="nl-NL"/>
        </w:rPr>
        <w:t xml:space="preserve"> </w:t>
      </w:r>
      <w:r w:rsidR="003561B1">
        <w:rPr>
          <w:rFonts w:ascii="Verdana" w:eastAsia="Times New Roman" w:hAnsi="Verdana"/>
          <w:sz w:val="18"/>
          <w:szCs w:val="18"/>
          <w:lang w:eastAsia="nl-NL"/>
        </w:rPr>
        <w:t>factoren die op basis van Unieregelgeving betrokkenen dienen te worden bij de beoordeling, in de huidige nationale praktijk niet worden betrokken.</w:t>
      </w:r>
      <w:r w:rsidR="00F90B73">
        <w:rPr>
          <w:rStyle w:val="Voetnootmarkering"/>
          <w:rFonts w:ascii="Verdana" w:eastAsia="Times New Roman" w:hAnsi="Verdana"/>
          <w:sz w:val="18"/>
          <w:szCs w:val="18"/>
          <w:lang w:eastAsia="nl-NL"/>
        </w:rPr>
        <w:footnoteReference w:id="63"/>
      </w:r>
    </w:p>
    <w:p w14:paraId="6E01B243" w14:textId="77777777" w:rsidR="006359C8" w:rsidRDefault="006359C8" w:rsidP="006359C8">
      <w:pPr>
        <w:spacing w:after="0" w:line="360" w:lineRule="auto"/>
        <w:jc w:val="both"/>
        <w:rPr>
          <w:rFonts w:ascii="Verdana" w:eastAsia="Times New Roman" w:hAnsi="Verdana"/>
          <w:sz w:val="18"/>
          <w:szCs w:val="18"/>
          <w:lang w:eastAsia="nl-NL"/>
        </w:rPr>
      </w:pPr>
    </w:p>
    <w:p w14:paraId="622B2EB2" w14:textId="5A65B10D" w:rsidR="00F24173" w:rsidRDefault="00F24173" w:rsidP="00F24173">
      <w:pPr>
        <w:spacing w:line="360" w:lineRule="auto"/>
        <w:jc w:val="both"/>
        <w:rPr>
          <w:rFonts w:ascii="Verdana" w:eastAsia="Times New Roman" w:hAnsi="Verdana"/>
          <w:sz w:val="18"/>
          <w:szCs w:val="18"/>
          <w:lang w:eastAsia="nl-NL"/>
        </w:rPr>
      </w:pPr>
      <w:r>
        <w:rPr>
          <w:rFonts w:ascii="Verdana" w:eastAsia="Times New Roman" w:hAnsi="Verdana"/>
          <w:i/>
          <w:sz w:val="18"/>
          <w:szCs w:val="18"/>
          <w:lang w:eastAsia="nl-NL"/>
        </w:rPr>
        <w:t>2.3.5 Kritieken</w:t>
      </w:r>
    </w:p>
    <w:p w14:paraId="55CFA11C" w14:textId="1604693C" w:rsidR="001D0091" w:rsidRDefault="00F90B73" w:rsidP="001D0091">
      <w:pPr>
        <w:spacing w:after="0" w:line="360" w:lineRule="auto"/>
        <w:jc w:val="both"/>
        <w:rPr>
          <w:rFonts w:ascii="Verdana" w:eastAsia="Times New Roman" w:hAnsi="Verdana"/>
          <w:sz w:val="18"/>
          <w:szCs w:val="18"/>
          <w:lang w:eastAsia="nl-NL"/>
        </w:rPr>
      </w:pPr>
      <w:r>
        <w:rPr>
          <w:rFonts w:ascii="Verdana" w:eastAsia="Times New Roman" w:hAnsi="Verdana"/>
          <w:sz w:val="18"/>
          <w:szCs w:val="18"/>
          <w:lang w:eastAsia="nl-NL"/>
        </w:rPr>
        <w:t xml:space="preserve">In de literatuur worden kritische kanttekeningen geplaatst bij </w:t>
      </w:r>
      <w:r w:rsidR="00CD2D66">
        <w:rPr>
          <w:rFonts w:ascii="Verdana" w:eastAsia="Times New Roman" w:hAnsi="Verdana"/>
          <w:sz w:val="18"/>
          <w:szCs w:val="18"/>
          <w:lang w:eastAsia="nl-NL"/>
        </w:rPr>
        <w:t>bovengenoemde</w:t>
      </w:r>
      <w:r>
        <w:rPr>
          <w:rFonts w:ascii="Verdana" w:eastAsia="Times New Roman" w:hAnsi="Verdana"/>
          <w:sz w:val="18"/>
          <w:szCs w:val="18"/>
          <w:lang w:eastAsia="nl-NL"/>
        </w:rPr>
        <w:t xml:space="preserve"> praktijk. </w:t>
      </w:r>
      <w:r w:rsidR="001D0091">
        <w:rPr>
          <w:rFonts w:ascii="Verdana" w:eastAsia="Times New Roman" w:hAnsi="Verdana"/>
          <w:sz w:val="18"/>
          <w:szCs w:val="18"/>
          <w:lang w:eastAsia="nl-NL"/>
        </w:rPr>
        <w:t xml:space="preserve">De Adviescommissie voor Vreemdelingenzaken (hierna: ACVZ) heeft </w:t>
      </w:r>
      <w:r>
        <w:rPr>
          <w:rFonts w:ascii="Verdana" w:eastAsia="Times New Roman" w:hAnsi="Verdana"/>
          <w:sz w:val="18"/>
          <w:szCs w:val="18"/>
          <w:lang w:eastAsia="nl-NL"/>
        </w:rPr>
        <w:t xml:space="preserve">bijvoorbeeld </w:t>
      </w:r>
      <w:r w:rsidR="001D0091">
        <w:rPr>
          <w:rFonts w:ascii="Verdana" w:eastAsia="Times New Roman" w:hAnsi="Verdana"/>
          <w:sz w:val="18"/>
          <w:szCs w:val="18"/>
          <w:lang w:eastAsia="nl-NL"/>
        </w:rPr>
        <w:t>in een recent rapport</w:t>
      </w:r>
      <w:r w:rsidR="001D0091">
        <w:rPr>
          <w:rStyle w:val="Voetnootmarkering"/>
          <w:rFonts w:ascii="Verdana" w:eastAsia="Times New Roman" w:hAnsi="Verdana"/>
          <w:sz w:val="18"/>
          <w:szCs w:val="18"/>
          <w:lang w:eastAsia="nl-NL"/>
        </w:rPr>
        <w:footnoteReference w:id="64"/>
      </w:r>
      <w:r w:rsidR="001D0091">
        <w:rPr>
          <w:rFonts w:ascii="Verdana" w:eastAsia="Times New Roman" w:hAnsi="Verdana"/>
          <w:sz w:val="18"/>
          <w:szCs w:val="18"/>
          <w:lang w:eastAsia="nl-NL"/>
        </w:rPr>
        <w:t xml:space="preserve"> reële kritieken geuit omtrent het gehele Nederlandse stelsel van de glijdende schaal. De ACVZ heeft na uitgebreid onderzoek geconcludeerd dat het Nederlandse stelsel </w:t>
      </w:r>
      <w:r w:rsidR="008F0D0D">
        <w:rPr>
          <w:rFonts w:ascii="Verdana" w:eastAsia="Times New Roman" w:hAnsi="Verdana"/>
          <w:sz w:val="18"/>
          <w:szCs w:val="18"/>
          <w:lang w:eastAsia="nl-NL"/>
        </w:rPr>
        <w:t xml:space="preserve">in hun opinie </w:t>
      </w:r>
      <w:r w:rsidR="001D0091">
        <w:rPr>
          <w:rFonts w:ascii="Verdana" w:eastAsia="Times New Roman" w:hAnsi="Verdana"/>
          <w:sz w:val="18"/>
          <w:szCs w:val="18"/>
          <w:lang w:eastAsia="nl-NL"/>
        </w:rPr>
        <w:t>niet voldoet aan de Unierechtelijke eisen. Reden waarom de ACVZ onder meer heeft geadviseerd om het stelsel opnieuw in te richten, met als uitgangspunt in alle gevallen maar één geldende toets: de Unierechtelijke actuele-bedreigingstoets. Daarbij is de</w:t>
      </w:r>
      <w:r w:rsidR="002C375A">
        <w:rPr>
          <w:rFonts w:ascii="Verdana" w:eastAsia="Times New Roman" w:hAnsi="Verdana"/>
          <w:sz w:val="18"/>
          <w:szCs w:val="18"/>
          <w:lang w:eastAsia="nl-NL"/>
        </w:rPr>
        <w:t xml:space="preserve"> ACVZ eveneens van mening dat alle</w:t>
      </w:r>
      <w:r w:rsidR="001D0091">
        <w:rPr>
          <w:rFonts w:ascii="Verdana" w:eastAsia="Times New Roman" w:hAnsi="Verdana"/>
          <w:sz w:val="18"/>
          <w:szCs w:val="18"/>
          <w:lang w:eastAsia="nl-NL"/>
        </w:rPr>
        <w:t xml:space="preserve"> individuele omstandigheden van het geval betrokken dienen te worden bij het oordeel van de Staatssecretaris. In plaats van slechts de f</w:t>
      </w:r>
      <w:r w:rsidR="00F84C2A">
        <w:rPr>
          <w:rFonts w:ascii="Verdana" w:eastAsia="Times New Roman" w:hAnsi="Verdana"/>
          <w:sz w:val="18"/>
          <w:szCs w:val="18"/>
          <w:lang w:eastAsia="nl-NL"/>
        </w:rPr>
        <w:t>actoren die betrokken (moeten</w:t>
      </w:r>
      <w:r w:rsidR="001D0091">
        <w:rPr>
          <w:rFonts w:ascii="Verdana" w:eastAsia="Times New Roman" w:hAnsi="Verdana"/>
          <w:sz w:val="18"/>
          <w:szCs w:val="18"/>
          <w:lang w:eastAsia="nl-NL"/>
        </w:rPr>
        <w:t xml:space="preserve">) worden op grond van artikel 8 EVRM, zouden </w:t>
      </w:r>
      <w:r w:rsidR="00A25B2B">
        <w:rPr>
          <w:rFonts w:ascii="Verdana" w:eastAsia="Times New Roman" w:hAnsi="Verdana"/>
          <w:sz w:val="18"/>
          <w:szCs w:val="18"/>
          <w:lang w:eastAsia="nl-NL"/>
        </w:rPr>
        <w:t xml:space="preserve">volgens hen </w:t>
      </w:r>
      <w:r w:rsidR="001D0091">
        <w:rPr>
          <w:rFonts w:ascii="Verdana" w:eastAsia="Times New Roman" w:hAnsi="Verdana"/>
          <w:sz w:val="18"/>
          <w:szCs w:val="18"/>
          <w:lang w:eastAsia="nl-NL"/>
        </w:rPr>
        <w:t>álle factoren die door het Unierecht voorgeschreven worden betrokken moeten worden.</w:t>
      </w:r>
      <w:r w:rsidR="002C375A">
        <w:rPr>
          <w:rFonts w:ascii="Verdana" w:eastAsia="Times New Roman" w:hAnsi="Verdana"/>
          <w:sz w:val="18"/>
          <w:szCs w:val="18"/>
          <w:lang w:eastAsia="nl-NL"/>
        </w:rPr>
        <w:t xml:space="preserve"> Het Unierecht schrijft volgens hen een meer indringende toetst voor.</w:t>
      </w:r>
      <w:r w:rsidR="003C066C">
        <w:rPr>
          <w:rStyle w:val="Voetnootmarkering"/>
          <w:rFonts w:ascii="Verdana" w:eastAsia="Times New Roman" w:hAnsi="Verdana"/>
          <w:sz w:val="18"/>
          <w:szCs w:val="18"/>
          <w:lang w:eastAsia="nl-NL"/>
        </w:rPr>
        <w:footnoteReference w:id="65"/>
      </w:r>
    </w:p>
    <w:p w14:paraId="3ACB3799" w14:textId="77777777" w:rsidR="00CD2D66" w:rsidRDefault="00CD2D66" w:rsidP="001D0091">
      <w:pPr>
        <w:spacing w:after="0" w:line="360" w:lineRule="auto"/>
        <w:jc w:val="both"/>
        <w:rPr>
          <w:rFonts w:ascii="Verdana" w:eastAsia="Times New Roman" w:hAnsi="Verdana"/>
          <w:sz w:val="18"/>
          <w:szCs w:val="18"/>
          <w:lang w:eastAsia="nl-NL"/>
        </w:rPr>
      </w:pPr>
    </w:p>
    <w:p w14:paraId="619698A3" w14:textId="77777777" w:rsidR="00F24173" w:rsidRDefault="00652278" w:rsidP="00F24173">
      <w:pPr>
        <w:spacing w:after="0" w:line="360" w:lineRule="auto"/>
        <w:jc w:val="both"/>
        <w:rPr>
          <w:rFonts w:ascii="Verdana" w:eastAsia="Times New Roman" w:hAnsi="Verdana"/>
          <w:sz w:val="18"/>
          <w:szCs w:val="18"/>
          <w:lang w:eastAsia="nl-NL"/>
        </w:rPr>
      </w:pPr>
      <w:r>
        <w:rPr>
          <w:rFonts w:ascii="Verdana" w:eastAsia="Times New Roman" w:hAnsi="Verdana"/>
          <w:sz w:val="18"/>
          <w:szCs w:val="18"/>
          <w:lang w:eastAsia="nl-NL"/>
        </w:rPr>
        <w:t>Op 16 april jl. heeft de Staatssecretaris gereageerd op de adviezen van de ACVZ.</w:t>
      </w:r>
      <w:r>
        <w:rPr>
          <w:rStyle w:val="Voetnootmarkering"/>
          <w:rFonts w:ascii="Verdana" w:eastAsia="Times New Roman" w:hAnsi="Verdana"/>
          <w:sz w:val="18"/>
          <w:szCs w:val="18"/>
          <w:lang w:eastAsia="nl-NL"/>
        </w:rPr>
        <w:footnoteReference w:id="66"/>
      </w:r>
      <w:r w:rsidR="00B7202F">
        <w:rPr>
          <w:rFonts w:ascii="Verdana" w:eastAsia="Times New Roman" w:hAnsi="Verdana"/>
          <w:sz w:val="18"/>
          <w:szCs w:val="18"/>
          <w:lang w:eastAsia="nl-NL"/>
        </w:rPr>
        <w:t xml:space="preserve"> Volgens hem wordt het Unierechtelijke criterium reeds in een aantal situaties toegepast en bestaat er op een aantal terreinen nog geen richtinggevende jurisprudentie die tot aansluiting dwingt bij het Unierechtelijke actuele-bedreigingscriterium. Mochten deze uitspraken er komen, dan zal de Staatssecretaris opnieuw bepalen of de nationale openbare-ordebepalingen aangepast dienen te worden.</w:t>
      </w:r>
      <w:r w:rsidR="00B7202F">
        <w:rPr>
          <w:rStyle w:val="Voetnootmarkering"/>
          <w:rFonts w:ascii="Verdana" w:eastAsia="Times New Roman" w:hAnsi="Verdana"/>
          <w:sz w:val="18"/>
          <w:szCs w:val="18"/>
          <w:lang w:eastAsia="nl-NL"/>
        </w:rPr>
        <w:footnoteReference w:id="67"/>
      </w:r>
    </w:p>
    <w:p w14:paraId="355130FE" w14:textId="77777777" w:rsidR="00F24173" w:rsidRDefault="00F24173" w:rsidP="00F24173">
      <w:pPr>
        <w:spacing w:after="0" w:line="360" w:lineRule="auto"/>
        <w:jc w:val="both"/>
        <w:rPr>
          <w:rFonts w:ascii="Verdana" w:eastAsia="Times New Roman" w:hAnsi="Verdana"/>
          <w:sz w:val="18"/>
          <w:szCs w:val="18"/>
          <w:lang w:eastAsia="nl-NL"/>
        </w:rPr>
      </w:pPr>
    </w:p>
    <w:p w14:paraId="4D5A087B" w14:textId="0CA8FCDD" w:rsidR="00F24173" w:rsidRDefault="00F24173" w:rsidP="00F24173">
      <w:pPr>
        <w:spacing w:line="360" w:lineRule="auto"/>
        <w:jc w:val="both"/>
        <w:rPr>
          <w:rFonts w:ascii="Verdana" w:eastAsia="Times New Roman" w:hAnsi="Verdana"/>
          <w:i/>
          <w:sz w:val="18"/>
          <w:szCs w:val="18"/>
          <w:lang w:eastAsia="nl-NL"/>
        </w:rPr>
      </w:pPr>
      <w:r>
        <w:rPr>
          <w:rFonts w:ascii="Verdana" w:eastAsia="Times New Roman" w:hAnsi="Verdana"/>
          <w:i/>
          <w:sz w:val="18"/>
          <w:szCs w:val="18"/>
          <w:lang w:eastAsia="nl-NL"/>
        </w:rPr>
        <w:t>2.3.6 Deelconclusie tweede deelvraag</w:t>
      </w:r>
    </w:p>
    <w:p w14:paraId="7AFE07E3" w14:textId="2084C226" w:rsidR="00DF4F5F" w:rsidRDefault="004A6BCD" w:rsidP="00F24173">
      <w:pPr>
        <w:spacing w:after="0" w:line="360" w:lineRule="auto"/>
        <w:jc w:val="both"/>
        <w:rPr>
          <w:rFonts w:ascii="Verdana" w:eastAsia="Times New Roman" w:hAnsi="Verdana"/>
          <w:sz w:val="18"/>
          <w:szCs w:val="18"/>
          <w:lang w:eastAsia="nl-NL"/>
        </w:rPr>
      </w:pPr>
      <w:r>
        <w:rPr>
          <w:rFonts w:ascii="Verdana" w:eastAsia="Times New Roman" w:hAnsi="Verdana"/>
          <w:sz w:val="18"/>
          <w:szCs w:val="18"/>
          <w:lang w:eastAsia="nl-NL"/>
        </w:rPr>
        <w:t xml:space="preserve">In conclusie is </w:t>
      </w:r>
      <w:r w:rsidR="00DF4F5F" w:rsidRPr="003C209C">
        <w:rPr>
          <w:rFonts w:ascii="Verdana" w:eastAsia="Times New Roman" w:hAnsi="Verdana"/>
          <w:sz w:val="18"/>
          <w:szCs w:val="18"/>
          <w:lang w:eastAsia="nl-NL"/>
        </w:rPr>
        <w:t xml:space="preserve">de nationale wet- en regelgeving omtrent de </w:t>
      </w:r>
      <w:r w:rsidR="004E0195">
        <w:rPr>
          <w:rFonts w:ascii="Verdana" w:eastAsia="Times New Roman" w:hAnsi="Verdana"/>
          <w:sz w:val="18"/>
          <w:szCs w:val="18"/>
          <w:lang w:eastAsia="nl-NL"/>
        </w:rPr>
        <w:t xml:space="preserve">weigering, niet-verlenging en intrekking van verblijfsvergunningen en de oplegging van terugkeerbesluiten niet </w:t>
      </w:r>
      <w:r w:rsidR="00DF4F5F" w:rsidRPr="003C209C">
        <w:rPr>
          <w:rFonts w:ascii="Verdana" w:eastAsia="Times New Roman" w:hAnsi="Verdana"/>
          <w:sz w:val="18"/>
          <w:szCs w:val="18"/>
          <w:lang w:eastAsia="nl-NL"/>
        </w:rPr>
        <w:t xml:space="preserve">geheel in lijn met Europese wet- en regelgeving. Redenen hiervoor zijn dat in Nederland de glijdende schaal standaard wordt </w:t>
      </w:r>
      <w:r w:rsidR="00DF4F5F" w:rsidRPr="003C209C">
        <w:rPr>
          <w:rFonts w:ascii="Verdana" w:eastAsia="Times New Roman" w:hAnsi="Verdana"/>
          <w:sz w:val="18"/>
          <w:szCs w:val="18"/>
          <w:lang w:eastAsia="nl-NL"/>
        </w:rPr>
        <w:lastRenderedPageBreak/>
        <w:t xml:space="preserve">toegepast, terwijl de Unierechtelijke actuele-bedreigingstoets toegepast moet worden op het moment dat het Unierecht van toepassing is. De glijdende schaal biedt immers geen ruimte om de Unierechtelijke toets te beoordelen. Daarnaast worden belangrijke Unierechtelijke factoren in de nationale praktijk veelal niet betrokken bij </w:t>
      </w:r>
      <w:r w:rsidR="00033449">
        <w:rPr>
          <w:rFonts w:ascii="Verdana" w:eastAsia="Times New Roman" w:hAnsi="Verdana"/>
          <w:sz w:val="18"/>
          <w:szCs w:val="18"/>
          <w:lang w:eastAsia="nl-NL"/>
        </w:rPr>
        <w:t xml:space="preserve">de belangenafweging, hetgeen </w:t>
      </w:r>
      <w:r w:rsidR="00BD6DDA">
        <w:rPr>
          <w:rFonts w:ascii="Verdana" w:eastAsia="Times New Roman" w:hAnsi="Verdana"/>
          <w:sz w:val="18"/>
          <w:szCs w:val="18"/>
          <w:lang w:eastAsia="nl-NL"/>
        </w:rPr>
        <w:t xml:space="preserve">ook </w:t>
      </w:r>
      <w:r w:rsidR="00DF4F5F" w:rsidRPr="003C209C">
        <w:rPr>
          <w:rFonts w:ascii="Verdana" w:eastAsia="Times New Roman" w:hAnsi="Verdana"/>
          <w:sz w:val="18"/>
          <w:szCs w:val="18"/>
          <w:lang w:eastAsia="nl-NL"/>
        </w:rPr>
        <w:t xml:space="preserve">niet in lijn </w:t>
      </w:r>
      <w:r>
        <w:rPr>
          <w:rFonts w:ascii="Verdana" w:eastAsia="Times New Roman" w:hAnsi="Verdana"/>
          <w:sz w:val="18"/>
          <w:szCs w:val="18"/>
          <w:lang w:eastAsia="nl-NL"/>
        </w:rPr>
        <w:t>is</w:t>
      </w:r>
      <w:r w:rsidR="00DF4F5F" w:rsidRPr="003C209C">
        <w:rPr>
          <w:rFonts w:ascii="Verdana" w:eastAsia="Times New Roman" w:hAnsi="Verdana"/>
          <w:sz w:val="18"/>
          <w:szCs w:val="18"/>
          <w:lang w:eastAsia="nl-NL"/>
        </w:rPr>
        <w:t xml:space="preserve"> met Europese wet- en regelgeving. </w:t>
      </w:r>
    </w:p>
    <w:p w14:paraId="5521D2AC" w14:textId="77777777" w:rsidR="00F83EBF" w:rsidRDefault="00F83EBF" w:rsidP="00F83EBF">
      <w:pPr>
        <w:spacing w:line="360" w:lineRule="auto"/>
        <w:jc w:val="both"/>
        <w:rPr>
          <w:rFonts w:ascii="Verdana" w:eastAsia="Times New Roman" w:hAnsi="Verdana"/>
          <w:i/>
          <w:sz w:val="18"/>
          <w:szCs w:val="18"/>
          <w:lang w:eastAsia="nl-NL"/>
        </w:rPr>
      </w:pPr>
    </w:p>
    <w:p w14:paraId="58153F21" w14:textId="4223BA4B" w:rsidR="00F62E48" w:rsidRPr="00F62E48" w:rsidRDefault="00F62E48" w:rsidP="00646ACA">
      <w:pPr>
        <w:pBdr>
          <w:bottom w:val="single" w:sz="4" w:space="1" w:color="auto"/>
        </w:pBdr>
        <w:spacing w:line="360" w:lineRule="auto"/>
        <w:jc w:val="both"/>
        <w:rPr>
          <w:rFonts w:ascii="Verdana" w:eastAsia="Times New Roman" w:hAnsi="Verdana"/>
          <w:i/>
          <w:sz w:val="18"/>
          <w:szCs w:val="18"/>
          <w:lang w:eastAsia="nl-NL"/>
        </w:rPr>
      </w:pPr>
      <w:r>
        <w:rPr>
          <w:rFonts w:ascii="Verdana" w:eastAsia="Times New Roman" w:hAnsi="Verdana"/>
          <w:i/>
          <w:sz w:val="18"/>
          <w:szCs w:val="18"/>
          <w:lang w:eastAsia="nl-NL"/>
        </w:rPr>
        <w:t>2.4 De rechtsmiddelen</w:t>
      </w:r>
    </w:p>
    <w:p w14:paraId="13F412A4" w14:textId="00E7A2CC" w:rsidR="00261E75" w:rsidRDefault="00261E75" w:rsidP="00261E75">
      <w:pPr>
        <w:spacing w:line="360" w:lineRule="auto"/>
        <w:jc w:val="both"/>
        <w:rPr>
          <w:rFonts w:ascii="Verdana" w:eastAsia="Times New Roman" w:hAnsi="Verdana"/>
          <w:sz w:val="18"/>
          <w:szCs w:val="18"/>
          <w:lang w:eastAsia="nl-NL"/>
        </w:rPr>
      </w:pPr>
      <w:r>
        <w:rPr>
          <w:rFonts w:ascii="Verdana" w:eastAsia="Times New Roman" w:hAnsi="Verdana"/>
          <w:sz w:val="18"/>
          <w:szCs w:val="18"/>
          <w:lang w:eastAsia="nl-NL"/>
        </w:rPr>
        <w:br/>
        <w:t>Ingevolge artikel 47 Handvest</w:t>
      </w:r>
      <w:r>
        <w:rPr>
          <w:rStyle w:val="Voetnootmarkering"/>
          <w:rFonts w:ascii="Verdana" w:eastAsia="Times New Roman" w:hAnsi="Verdana"/>
          <w:sz w:val="18"/>
          <w:szCs w:val="18"/>
          <w:lang w:eastAsia="nl-NL"/>
        </w:rPr>
        <w:footnoteReference w:id="68"/>
      </w:r>
      <w:r>
        <w:rPr>
          <w:rFonts w:ascii="Verdana" w:eastAsia="Times New Roman" w:hAnsi="Verdana"/>
          <w:sz w:val="18"/>
          <w:szCs w:val="18"/>
          <w:lang w:eastAsia="nl-NL"/>
        </w:rPr>
        <w:t>, artikel 13 EVRM en artikel 6 EVRM heeft eenieder recht op een effectief rechtsmiddel binnen een redelijk termijn.</w:t>
      </w:r>
      <w:r w:rsidR="0079751F">
        <w:rPr>
          <w:rStyle w:val="Voetnootmarkering"/>
          <w:rFonts w:ascii="Verdana" w:eastAsia="Times New Roman" w:hAnsi="Verdana"/>
          <w:sz w:val="18"/>
          <w:szCs w:val="18"/>
          <w:lang w:eastAsia="nl-NL"/>
        </w:rPr>
        <w:footnoteReference w:id="69"/>
      </w:r>
      <w:r>
        <w:rPr>
          <w:rFonts w:ascii="Verdana" w:eastAsia="Times New Roman" w:hAnsi="Verdana"/>
          <w:sz w:val="18"/>
          <w:szCs w:val="18"/>
          <w:lang w:eastAsia="nl-NL"/>
        </w:rPr>
        <w:t xml:space="preserve"> De lidstaten zijn gebonden aan deze grondrechtelijke beginselen, zodra zij optreden binnen het toepassingsgebied van het Unierecht.</w:t>
      </w:r>
      <w:r>
        <w:rPr>
          <w:rStyle w:val="Voetnootmarkering"/>
          <w:rFonts w:ascii="Verdana" w:eastAsia="Times New Roman" w:hAnsi="Verdana"/>
          <w:sz w:val="18"/>
          <w:szCs w:val="18"/>
          <w:lang w:eastAsia="nl-NL"/>
        </w:rPr>
        <w:footnoteReference w:id="70"/>
      </w:r>
      <w:r>
        <w:rPr>
          <w:rFonts w:ascii="Verdana" w:eastAsia="Times New Roman" w:hAnsi="Verdana"/>
          <w:sz w:val="18"/>
          <w:szCs w:val="18"/>
          <w:lang w:eastAsia="nl-NL"/>
        </w:rPr>
        <w:t xml:space="preserve"> De voor dit onderzoek meest effectieve rechtsmiddelen zullen hieronder uiteengezet worden.</w:t>
      </w:r>
    </w:p>
    <w:p w14:paraId="5B5BB25A" w14:textId="7B66AC92" w:rsidR="00261E75" w:rsidRPr="001E2AFF" w:rsidRDefault="00261E75" w:rsidP="00261E75">
      <w:pPr>
        <w:spacing w:line="360" w:lineRule="auto"/>
        <w:jc w:val="both"/>
        <w:rPr>
          <w:rFonts w:ascii="Verdana" w:hAnsi="Verdana"/>
          <w:i/>
          <w:sz w:val="18"/>
          <w:szCs w:val="18"/>
        </w:rPr>
      </w:pPr>
      <w:r>
        <w:rPr>
          <w:rFonts w:ascii="Verdana" w:eastAsia="Times New Roman" w:hAnsi="Verdana"/>
          <w:i/>
          <w:sz w:val="18"/>
          <w:szCs w:val="18"/>
          <w:lang w:eastAsia="nl-NL"/>
        </w:rPr>
        <w:br/>
        <w:t xml:space="preserve">2.4.1 </w:t>
      </w:r>
      <w:r w:rsidR="00165DCD">
        <w:rPr>
          <w:rFonts w:ascii="Verdana" w:eastAsia="Times New Roman" w:hAnsi="Verdana"/>
          <w:i/>
          <w:sz w:val="18"/>
          <w:szCs w:val="18"/>
          <w:lang w:eastAsia="nl-NL"/>
        </w:rPr>
        <w:t>Zienswijze, b</w:t>
      </w:r>
      <w:r>
        <w:rPr>
          <w:rFonts w:ascii="Verdana" w:eastAsia="Times New Roman" w:hAnsi="Verdana"/>
          <w:i/>
          <w:sz w:val="18"/>
          <w:szCs w:val="18"/>
          <w:lang w:eastAsia="nl-NL"/>
        </w:rPr>
        <w:t>ezwaar en (hoger) beroep</w:t>
      </w:r>
    </w:p>
    <w:p w14:paraId="740C35AA" w14:textId="775F054E" w:rsidR="00A25B2B" w:rsidRPr="009210BA" w:rsidRDefault="00261E75" w:rsidP="007C1638">
      <w:pPr>
        <w:spacing w:line="360" w:lineRule="auto"/>
        <w:jc w:val="both"/>
        <w:rPr>
          <w:rFonts w:ascii="Verdana" w:eastAsia="Times New Roman" w:hAnsi="Verdana"/>
          <w:sz w:val="18"/>
          <w:szCs w:val="18"/>
          <w:lang w:eastAsia="nl-NL"/>
        </w:rPr>
      </w:pPr>
      <w:r>
        <w:rPr>
          <w:rFonts w:ascii="Verdana" w:eastAsia="Times New Roman" w:hAnsi="Verdana"/>
          <w:sz w:val="18"/>
          <w:szCs w:val="18"/>
          <w:lang w:eastAsia="nl-NL"/>
        </w:rPr>
        <w:t xml:space="preserve">De algemene regels omtrent de </w:t>
      </w:r>
      <w:r w:rsidR="00AC65EF">
        <w:rPr>
          <w:rFonts w:ascii="Verdana" w:eastAsia="Times New Roman" w:hAnsi="Verdana"/>
          <w:sz w:val="18"/>
          <w:szCs w:val="18"/>
          <w:lang w:eastAsia="nl-NL"/>
        </w:rPr>
        <w:t xml:space="preserve">zienswijze-, </w:t>
      </w:r>
      <w:r>
        <w:rPr>
          <w:rFonts w:ascii="Verdana" w:eastAsia="Times New Roman" w:hAnsi="Verdana"/>
          <w:sz w:val="18"/>
          <w:szCs w:val="18"/>
          <w:lang w:eastAsia="nl-NL"/>
        </w:rPr>
        <w:t xml:space="preserve">bezwaar- en </w:t>
      </w:r>
      <w:r w:rsidR="00D30B7E">
        <w:rPr>
          <w:rFonts w:ascii="Verdana" w:eastAsia="Times New Roman" w:hAnsi="Verdana"/>
          <w:sz w:val="18"/>
          <w:szCs w:val="18"/>
          <w:lang w:eastAsia="nl-NL"/>
        </w:rPr>
        <w:t>(hoger)</w:t>
      </w:r>
      <w:r>
        <w:rPr>
          <w:rFonts w:ascii="Verdana" w:eastAsia="Times New Roman" w:hAnsi="Verdana"/>
          <w:sz w:val="18"/>
          <w:szCs w:val="18"/>
          <w:lang w:eastAsia="nl-NL"/>
        </w:rPr>
        <w:t>beroepsprocedur</w:t>
      </w:r>
      <w:r w:rsidR="00656155">
        <w:rPr>
          <w:rFonts w:ascii="Verdana" w:eastAsia="Times New Roman" w:hAnsi="Verdana"/>
          <w:sz w:val="18"/>
          <w:szCs w:val="18"/>
          <w:lang w:eastAsia="nl-NL"/>
        </w:rPr>
        <w:t>e</w:t>
      </w:r>
      <w:r>
        <w:rPr>
          <w:rFonts w:ascii="Verdana" w:eastAsia="Times New Roman" w:hAnsi="Verdana"/>
          <w:sz w:val="18"/>
          <w:szCs w:val="18"/>
          <w:lang w:eastAsia="nl-NL"/>
        </w:rPr>
        <w:t xml:space="preserve"> staan opgenomen in de Algemene wet</w:t>
      </w:r>
      <w:r w:rsidR="00AC65EF">
        <w:rPr>
          <w:rFonts w:ascii="Verdana" w:eastAsia="Times New Roman" w:hAnsi="Verdana"/>
          <w:sz w:val="18"/>
          <w:szCs w:val="18"/>
          <w:lang w:eastAsia="nl-NL"/>
        </w:rPr>
        <w:t xml:space="preserve"> bestuursrecht (hierna: de Awb)</w:t>
      </w:r>
      <w:r>
        <w:rPr>
          <w:rFonts w:ascii="Verdana" w:eastAsia="Times New Roman" w:hAnsi="Verdana"/>
          <w:sz w:val="18"/>
          <w:szCs w:val="18"/>
          <w:lang w:eastAsia="nl-NL"/>
        </w:rPr>
        <w:t>.</w:t>
      </w:r>
      <w:r w:rsidR="00656155">
        <w:rPr>
          <w:rStyle w:val="Voetnootmarkering"/>
          <w:rFonts w:ascii="Verdana" w:eastAsia="Times New Roman" w:hAnsi="Verdana"/>
          <w:sz w:val="18"/>
          <w:szCs w:val="18"/>
          <w:lang w:eastAsia="nl-NL"/>
        </w:rPr>
        <w:footnoteReference w:id="71"/>
      </w:r>
      <w:r>
        <w:rPr>
          <w:rFonts w:ascii="Verdana" w:eastAsia="Times New Roman" w:hAnsi="Verdana"/>
          <w:sz w:val="18"/>
          <w:szCs w:val="18"/>
          <w:lang w:eastAsia="nl-NL"/>
        </w:rPr>
        <w:t xml:space="preserve"> Van deze bepalingen kan in de Vw 2000 worden afgeweken, hetgeen in </w:t>
      </w:r>
      <w:r w:rsidR="00656155">
        <w:rPr>
          <w:rFonts w:ascii="Verdana" w:eastAsia="Times New Roman" w:hAnsi="Verdana"/>
          <w:sz w:val="18"/>
          <w:szCs w:val="18"/>
          <w:lang w:eastAsia="nl-NL"/>
        </w:rPr>
        <w:t xml:space="preserve">artikel 39 Vw 2000 ook wordt gedaan ten aanzien van de zienswijzeprocedure en in artikel </w:t>
      </w:r>
      <w:r>
        <w:rPr>
          <w:rFonts w:ascii="Verdana" w:eastAsia="Times New Roman" w:hAnsi="Verdana"/>
          <w:sz w:val="18"/>
          <w:szCs w:val="18"/>
          <w:lang w:eastAsia="nl-NL"/>
        </w:rPr>
        <w:t>artik</w:t>
      </w:r>
      <w:r w:rsidR="00656155">
        <w:rPr>
          <w:rFonts w:ascii="Verdana" w:eastAsia="Times New Roman" w:hAnsi="Verdana"/>
          <w:sz w:val="18"/>
          <w:szCs w:val="18"/>
          <w:lang w:eastAsia="nl-NL"/>
        </w:rPr>
        <w:t xml:space="preserve">el 69 lid 1 Vw 2000 ten aanzien van het bezwaar en (hoger)beroepsprocedure. Op grond van dit laatste artikel </w:t>
      </w:r>
      <w:r>
        <w:rPr>
          <w:rFonts w:ascii="Verdana" w:eastAsia="Times New Roman" w:hAnsi="Verdana"/>
          <w:sz w:val="18"/>
          <w:szCs w:val="18"/>
          <w:lang w:eastAsia="nl-NL"/>
        </w:rPr>
        <w:t>is het mogelijk om binnen vier weken bezwaar te maken tegen een besluit van de Staatssecretaris</w:t>
      </w:r>
      <w:r>
        <w:rPr>
          <w:rStyle w:val="Voetnootmarkering"/>
          <w:rFonts w:ascii="Verdana" w:eastAsia="Times New Roman" w:hAnsi="Verdana"/>
          <w:sz w:val="18"/>
          <w:szCs w:val="18"/>
          <w:lang w:eastAsia="nl-NL"/>
        </w:rPr>
        <w:footnoteReference w:id="72"/>
      </w:r>
      <w:r>
        <w:rPr>
          <w:rFonts w:ascii="Verdana" w:eastAsia="Times New Roman" w:hAnsi="Verdana"/>
          <w:sz w:val="18"/>
          <w:szCs w:val="18"/>
          <w:lang w:eastAsia="nl-NL"/>
        </w:rPr>
        <w:t>, dan wel beroep in te stellen bij de rechtbank</w:t>
      </w:r>
      <w:r>
        <w:rPr>
          <w:rStyle w:val="Voetnootmarkering"/>
          <w:rFonts w:ascii="Verdana" w:eastAsia="Times New Roman" w:hAnsi="Verdana"/>
          <w:sz w:val="18"/>
          <w:szCs w:val="18"/>
          <w:lang w:eastAsia="nl-NL"/>
        </w:rPr>
        <w:footnoteReference w:id="73"/>
      </w:r>
      <w:r>
        <w:rPr>
          <w:rFonts w:ascii="Verdana" w:eastAsia="Times New Roman" w:hAnsi="Verdana"/>
          <w:sz w:val="18"/>
          <w:szCs w:val="18"/>
          <w:lang w:eastAsia="nl-NL"/>
        </w:rPr>
        <w:t xml:space="preserve"> o</w:t>
      </w:r>
      <w:r w:rsidR="001061B9">
        <w:rPr>
          <w:rFonts w:ascii="Verdana" w:eastAsia="Times New Roman" w:hAnsi="Verdana"/>
          <w:sz w:val="18"/>
          <w:szCs w:val="18"/>
          <w:lang w:eastAsia="nl-NL"/>
        </w:rPr>
        <w:t>f hoger beroep bij de Afdeling.</w:t>
      </w:r>
    </w:p>
    <w:p w14:paraId="42F2E94C" w14:textId="517C5D92" w:rsidR="008476C2" w:rsidRDefault="009210BA" w:rsidP="007C1638">
      <w:pPr>
        <w:spacing w:line="360" w:lineRule="auto"/>
        <w:jc w:val="both"/>
        <w:rPr>
          <w:rFonts w:ascii="Verdana" w:eastAsia="Times New Roman" w:hAnsi="Verdana"/>
          <w:i/>
          <w:sz w:val="18"/>
          <w:szCs w:val="18"/>
          <w:lang w:eastAsia="nl-NL"/>
        </w:rPr>
      </w:pPr>
      <w:r>
        <w:rPr>
          <w:rFonts w:ascii="Verdana" w:eastAsia="Times New Roman" w:hAnsi="Verdana"/>
          <w:i/>
          <w:sz w:val="18"/>
          <w:szCs w:val="18"/>
          <w:lang w:eastAsia="nl-NL"/>
        </w:rPr>
        <w:br/>
      </w:r>
      <w:r w:rsidR="00F9677C">
        <w:rPr>
          <w:rFonts w:ascii="Verdana" w:eastAsia="Times New Roman" w:hAnsi="Verdana"/>
          <w:i/>
          <w:sz w:val="18"/>
          <w:szCs w:val="18"/>
          <w:lang w:eastAsia="nl-NL"/>
        </w:rPr>
        <w:t>2.4.2</w:t>
      </w:r>
      <w:r w:rsidR="008476C2">
        <w:rPr>
          <w:rFonts w:ascii="Verdana" w:eastAsia="Times New Roman" w:hAnsi="Verdana"/>
          <w:i/>
          <w:sz w:val="18"/>
          <w:szCs w:val="18"/>
          <w:lang w:eastAsia="nl-NL"/>
        </w:rPr>
        <w:t xml:space="preserve"> Procesbelang</w:t>
      </w:r>
    </w:p>
    <w:p w14:paraId="6A6CF201" w14:textId="272C4657" w:rsidR="008476C2" w:rsidRDefault="00A25B2B" w:rsidP="008476C2">
      <w:pPr>
        <w:spacing w:line="360" w:lineRule="auto"/>
        <w:jc w:val="both"/>
        <w:rPr>
          <w:rFonts w:ascii="Verdana" w:eastAsia="Times New Roman" w:hAnsi="Verdana"/>
          <w:sz w:val="18"/>
          <w:szCs w:val="18"/>
          <w:lang w:eastAsia="nl-NL"/>
        </w:rPr>
      </w:pPr>
      <w:r>
        <w:rPr>
          <w:rFonts w:ascii="Verdana" w:eastAsia="Times New Roman" w:hAnsi="Verdana"/>
          <w:sz w:val="18"/>
          <w:szCs w:val="18"/>
          <w:lang w:eastAsia="nl-NL"/>
        </w:rPr>
        <w:t xml:space="preserve">In zaken met betrekking tot inreisverboden en terugkeerbesluiten speelt het procesbelang een cruciale rol. De formele criteria waaraan een bezwaar- en beroepschrift dient te voldoen </w:t>
      </w:r>
      <w:r w:rsidR="00D30B7E">
        <w:rPr>
          <w:rFonts w:ascii="Verdana" w:eastAsia="Times New Roman" w:hAnsi="Verdana"/>
          <w:sz w:val="18"/>
          <w:szCs w:val="18"/>
          <w:lang w:eastAsia="nl-NL"/>
        </w:rPr>
        <w:t>zijn</w:t>
      </w:r>
      <w:r>
        <w:rPr>
          <w:rFonts w:ascii="Verdana" w:eastAsia="Times New Roman" w:hAnsi="Verdana"/>
          <w:sz w:val="18"/>
          <w:szCs w:val="18"/>
          <w:lang w:eastAsia="nl-NL"/>
        </w:rPr>
        <w:t xml:space="preserve"> opgenomen in </w:t>
      </w:r>
      <w:r w:rsidR="008476C2">
        <w:rPr>
          <w:rFonts w:ascii="Verdana" w:eastAsia="Times New Roman" w:hAnsi="Verdana"/>
          <w:sz w:val="18"/>
          <w:szCs w:val="18"/>
          <w:lang w:eastAsia="nl-NL"/>
        </w:rPr>
        <w:t>artikel 6:5 Awb</w:t>
      </w:r>
      <w:r>
        <w:rPr>
          <w:rFonts w:ascii="Verdana" w:eastAsia="Times New Roman" w:hAnsi="Verdana"/>
          <w:sz w:val="18"/>
          <w:szCs w:val="18"/>
          <w:lang w:eastAsia="nl-NL"/>
        </w:rPr>
        <w:t xml:space="preserve">. </w:t>
      </w:r>
      <w:r w:rsidR="00586B09">
        <w:rPr>
          <w:rFonts w:ascii="Verdana" w:eastAsia="Times New Roman" w:hAnsi="Verdana"/>
          <w:sz w:val="18"/>
          <w:szCs w:val="18"/>
          <w:lang w:eastAsia="nl-NL"/>
        </w:rPr>
        <w:t xml:space="preserve">Daarnaast </w:t>
      </w:r>
      <w:r w:rsidR="003B1BD4">
        <w:rPr>
          <w:rFonts w:ascii="Verdana" w:eastAsia="Times New Roman" w:hAnsi="Verdana"/>
          <w:sz w:val="18"/>
          <w:szCs w:val="18"/>
          <w:lang w:eastAsia="nl-NL"/>
        </w:rPr>
        <w:t xml:space="preserve">kan op grond van artikel 6:13 Awb geen beroep worden ingesteld, indien de vreemdeling verwijtbaar geen zienswijze naar voren heeft gebracht of geen bezwaar heeft gemaakt. </w:t>
      </w:r>
      <w:r w:rsidR="00D30B7E">
        <w:rPr>
          <w:rFonts w:ascii="Verdana" w:eastAsia="Times New Roman" w:hAnsi="Verdana"/>
          <w:sz w:val="18"/>
          <w:szCs w:val="18"/>
          <w:lang w:eastAsia="nl-NL"/>
        </w:rPr>
        <w:t>Het in de (hoger)</w:t>
      </w:r>
      <w:r w:rsidR="008476C2">
        <w:rPr>
          <w:rFonts w:ascii="Verdana" w:eastAsia="Times New Roman" w:hAnsi="Verdana"/>
          <w:sz w:val="18"/>
          <w:szCs w:val="18"/>
          <w:lang w:eastAsia="nl-NL"/>
        </w:rPr>
        <w:t xml:space="preserve">beroepsprocedure voldoen aan deze voorwaarden houdt </w:t>
      </w:r>
      <w:r w:rsidR="008476C2">
        <w:rPr>
          <w:rFonts w:ascii="Verdana" w:eastAsia="Times New Roman" w:hAnsi="Verdana"/>
          <w:sz w:val="18"/>
          <w:szCs w:val="18"/>
          <w:lang w:eastAsia="nl-NL"/>
        </w:rPr>
        <w:lastRenderedPageBreak/>
        <w:t xml:space="preserve">echter niet zonder meer in dat de bestuursrechter zich inhoudelijk uit zal laten over het geschil. Reden is dat in de bestuursrechtspraak een ongeschreven regel bestaat dat er sprake moet zijn van voldoende procesbelang. De rechter toetst </w:t>
      </w:r>
      <w:r w:rsidR="000A75A6">
        <w:rPr>
          <w:rFonts w:ascii="Verdana" w:eastAsia="Times New Roman" w:hAnsi="Verdana"/>
          <w:sz w:val="18"/>
          <w:szCs w:val="18"/>
          <w:lang w:eastAsia="nl-NL"/>
        </w:rPr>
        <w:t>ambtshalve of hier sprake van is</w:t>
      </w:r>
      <w:r w:rsidR="008476C2">
        <w:rPr>
          <w:rFonts w:ascii="Verdana" w:eastAsia="Times New Roman" w:hAnsi="Verdana"/>
          <w:sz w:val="18"/>
          <w:szCs w:val="18"/>
          <w:lang w:eastAsia="nl-NL"/>
        </w:rPr>
        <w:t>. De gedachte die hieraan ten grondslag ligt is dat de belanghebbende het door het rechtsmiddel beoogde resultaat ook daadwerkelijk moet kunnen bereiken.</w:t>
      </w:r>
      <w:r w:rsidR="008476C2">
        <w:rPr>
          <w:rStyle w:val="Voetnootmarkering"/>
          <w:rFonts w:ascii="Verdana" w:eastAsia="Times New Roman" w:hAnsi="Verdana"/>
          <w:sz w:val="18"/>
          <w:szCs w:val="18"/>
          <w:lang w:eastAsia="nl-NL"/>
        </w:rPr>
        <w:footnoteReference w:id="74"/>
      </w:r>
      <w:r w:rsidR="008476C2">
        <w:rPr>
          <w:rFonts w:ascii="Verdana" w:eastAsia="Times New Roman" w:hAnsi="Verdana"/>
          <w:sz w:val="18"/>
          <w:szCs w:val="18"/>
          <w:lang w:eastAsia="nl-NL"/>
        </w:rPr>
        <w:t xml:space="preserve"> De Afdeling heeft hieromtrent de volgende uitspraak gedaan: </w:t>
      </w:r>
      <w:r w:rsidR="00D30B7E">
        <w:rPr>
          <w:rFonts w:ascii="Verdana" w:eastAsia="Times New Roman" w:hAnsi="Verdana"/>
          <w:sz w:val="18"/>
          <w:szCs w:val="18"/>
          <w:lang w:eastAsia="nl-NL"/>
        </w:rPr>
        <w:t>‘</w:t>
      </w:r>
      <w:r w:rsidR="00D30B7E">
        <w:rPr>
          <w:rFonts w:ascii="Verdana" w:eastAsia="Times New Roman" w:hAnsi="Verdana"/>
          <w:i/>
          <w:sz w:val="18"/>
          <w:szCs w:val="18"/>
          <w:lang w:eastAsia="nl-NL"/>
        </w:rPr>
        <w:t>‘E</w:t>
      </w:r>
      <w:r w:rsidR="008476C2">
        <w:rPr>
          <w:rFonts w:ascii="Verdana" w:eastAsia="Times New Roman" w:hAnsi="Verdana"/>
          <w:i/>
          <w:sz w:val="18"/>
          <w:szCs w:val="18"/>
          <w:lang w:eastAsia="nl-NL"/>
        </w:rPr>
        <w:t>en belanghebbende kan ter zake bevoegde rechter slechts opkomen tegen een besluit, indien hij bij het instellen van dat rechtsmiddel belang heeft, in die zin dat hij daardoor in een gunstiger positie zou kunnen geraken.’</w:t>
      </w:r>
      <w:r w:rsidR="00D30B7E">
        <w:rPr>
          <w:rFonts w:ascii="Verdana" w:eastAsia="Times New Roman" w:hAnsi="Verdana"/>
          <w:i/>
          <w:sz w:val="18"/>
          <w:szCs w:val="18"/>
          <w:lang w:eastAsia="nl-NL"/>
        </w:rPr>
        <w:t>’</w:t>
      </w:r>
      <w:r w:rsidR="008476C2">
        <w:rPr>
          <w:rStyle w:val="Voetnootmarkering"/>
          <w:rFonts w:ascii="Verdana" w:eastAsia="Times New Roman" w:hAnsi="Verdana"/>
          <w:i/>
          <w:sz w:val="18"/>
          <w:szCs w:val="18"/>
          <w:lang w:eastAsia="nl-NL"/>
        </w:rPr>
        <w:footnoteReference w:id="75"/>
      </w:r>
    </w:p>
    <w:p w14:paraId="708D0ADE" w14:textId="78DDD81E" w:rsidR="008476C2" w:rsidRDefault="008476C2" w:rsidP="008476C2">
      <w:pPr>
        <w:spacing w:line="360" w:lineRule="auto"/>
        <w:jc w:val="both"/>
        <w:rPr>
          <w:rFonts w:ascii="Verdana" w:eastAsia="Times New Roman" w:hAnsi="Verdana"/>
          <w:sz w:val="18"/>
          <w:szCs w:val="18"/>
          <w:lang w:eastAsia="nl-NL"/>
        </w:rPr>
      </w:pPr>
      <w:r>
        <w:rPr>
          <w:rFonts w:ascii="Verdana" w:eastAsia="Times New Roman" w:hAnsi="Verdana"/>
          <w:sz w:val="18"/>
          <w:szCs w:val="18"/>
          <w:lang w:eastAsia="nl-NL"/>
        </w:rPr>
        <w:t>De vreemdeling jegens wie een zwaar inreisverbod is uitgevaardigd en/of een ongewenstverklaring is opgelegd, kan nimmer rechtmatig verblijf hebben in Nederland. Een nieuwe aanvraag zal – behoudens</w:t>
      </w:r>
      <w:r w:rsidR="004D6A52">
        <w:rPr>
          <w:rFonts w:ascii="Verdana" w:eastAsia="Times New Roman" w:hAnsi="Verdana"/>
          <w:sz w:val="18"/>
          <w:szCs w:val="18"/>
          <w:lang w:eastAsia="nl-NL"/>
        </w:rPr>
        <w:t xml:space="preserve"> </w:t>
      </w:r>
      <w:r w:rsidR="00803901">
        <w:rPr>
          <w:rFonts w:ascii="Verdana" w:eastAsia="Times New Roman" w:hAnsi="Verdana"/>
          <w:sz w:val="18"/>
          <w:szCs w:val="18"/>
          <w:lang w:eastAsia="nl-NL"/>
        </w:rPr>
        <w:t>enkele</w:t>
      </w:r>
      <w:r w:rsidR="004D6A52">
        <w:rPr>
          <w:rFonts w:ascii="Verdana" w:eastAsia="Times New Roman" w:hAnsi="Verdana"/>
          <w:sz w:val="18"/>
          <w:szCs w:val="18"/>
          <w:lang w:eastAsia="nl-NL"/>
        </w:rPr>
        <w:t xml:space="preserve"> uitzonderingen – te</w:t>
      </w:r>
      <w:r>
        <w:rPr>
          <w:rFonts w:ascii="Verdana" w:eastAsia="Times New Roman" w:hAnsi="Verdana"/>
          <w:sz w:val="18"/>
          <w:szCs w:val="18"/>
          <w:lang w:eastAsia="nl-NL"/>
        </w:rPr>
        <w:t xml:space="preserve"> alle</w:t>
      </w:r>
      <w:r w:rsidR="004D6A52">
        <w:rPr>
          <w:rFonts w:ascii="Verdana" w:eastAsia="Times New Roman" w:hAnsi="Verdana"/>
          <w:sz w:val="18"/>
          <w:szCs w:val="18"/>
          <w:lang w:eastAsia="nl-NL"/>
        </w:rPr>
        <w:t>n tijde</w:t>
      </w:r>
      <w:r>
        <w:rPr>
          <w:rFonts w:ascii="Verdana" w:eastAsia="Times New Roman" w:hAnsi="Verdana"/>
          <w:sz w:val="18"/>
          <w:szCs w:val="18"/>
          <w:lang w:eastAsia="nl-NL"/>
        </w:rPr>
        <w:t xml:space="preserve"> leiden tot een niet-ontvankelijkverklaring. Door de Afdeling is </w:t>
      </w:r>
      <w:r w:rsidR="001128C1">
        <w:rPr>
          <w:rFonts w:ascii="Verdana" w:eastAsia="Times New Roman" w:hAnsi="Verdana"/>
          <w:sz w:val="18"/>
          <w:szCs w:val="18"/>
          <w:lang w:eastAsia="nl-NL"/>
        </w:rPr>
        <w:t xml:space="preserve">derhalve </w:t>
      </w:r>
      <w:r>
        <w:rPr>
          <w:rFonts w:ascii="Verdana" w:eastAsia="Times New Roman" w:hAnsi="Verdana"/>
          <w:sz w:val="18"/>
          <w:szCs w:val="18"/>
          <w:lang w:eastAsia="nl-NL"/>
        </w:rPr>
        <w:t xml:space="preserve">overwogen dat de vreemdeling jegens wie een ongewenstverklaring is opgelegd dan wel een zwaar inreisverbod is uitgevaardigd, geen procesbelang kan hebben bij de </w:t>
      </w:r>
      <w:r w:rsidR="008C089C">
        <w:rPr>
          <w:rFonts w:ascii="Verdana" w:eastAsia="Times New Roman" w:hAnsi="Verdana"/>
          <w:sz w:val="18"/>
          <w:szCs w:val="18"/>
          <w:lang w:eastAsia="nl-NL"/>
        </w:rPr>
        <w:t xml:space="preserve">inhoudelijke </w:t>
      </w:r>
      <w:r w:rsidR="00803901">
        <w:rPr>
          <w:rFonts w:ascii="Verdana" w:eastAsia="Times New Roman" w:hAnsi="Verdana"/>
          <w:sz w:val="18"/>
          <w:szCs w:val="18"/>
          <w:lang w:eastAsia="nl-NL"/>
        </w:rPr>
        <w:t xml:space="preserve">beoordeling van zijn </w:t>
      </w:r>
      <w:r>
        <w:rPr>
          <w:rFonts w:ascii="Verdana" w:eastAsia="Times New Roman" w:hAnsi="Verdana"/>
          <w:sz w:val="18"/>
          <w:szCs w:val="18"/>
          <w:lang w:eastAsia="nl-NL"/>
        </w:rPr>
        <w:t>beroep tegen een besluit over verblijfsaanspraken.</w:t>
      </w:r>
      <w:r>
        <w:rPr>
          <w:rStyle w:val="Voetnootmarkering"/>
          <w:rFonts w:ascii="Verdana" w:eastAsia="Times New Roman" w:hAnsi="Verdana"/>
          <w:sz w:val="18"/>
          <w:szCs w:val="18"/>
          <w:lang w:eastAsia="nl-NL"/>
        </w:rPr>
        <w:footnoteReference w:id="76"/>
      </w:r>
      <w:r>
        <w:rPr>
          <w:rFonts w:ascii="Verdana" w:eastAsia="Times New Roman" w:hAnsi="Verdana"/>
          <w:sz w:val="18"/>
          <w:szCs w:val="18"/>
          <w:lang w:eastAsia="nl-NL"/>
        </w:rPr>
        <w:t xml:space="preserve"> Het is de bedoeling dat de inhoudelijke beoordeling over de onderliggende verblijfsaanspraken in deze gevallen ten volle wordt behandeld door de rechter in het kader van de procedure over het inreisverbod.</w:t>
      </w:r>
      <w:r>
        <w:rPr>
          <w:rStyle w:val="Voetnootmarkering"/>
          <w:rFonts w:ascii="Verdana" w:eastAsia="Times New Roman" w:hAnsi="Verdana"/>
          <w:sz w:val="18"/>
          <w:szCs w:val="18"/>
          <w:lang w:eastAsia="nl-NL"/>
        </w:rPr>
        <w:footnoteReference w:id="77"/>
      </w:r>
      <w:r>
        <w:rPr>
          <w:rFonts w:ascii="Verdana" w:eastAsia="Times New Roman" w:hAnsi="Verdana"/>
          <w:sz w:val="18"/>
          <w:szCs w:val="18"/>
          <w:lang w:eastAsia="nl-NL"/>
        </w:rPr>
        <w:t xml:space="preserve"> In de praktijk betekent dit feitelijk dat er </w:t>
      </w:r>
      <w:r w:rsidR="009B6203">
        <w:rPr>
          <w:rFonts w:ascii="Verdana" w:eastAsia="Times New Roman" w:hAnsi="Verdana"/>
          <w:sz w:val="18"/>
          <w:szCs w:val="18"/>
          <w:lang w:eastAsia="nl-NL"/>
        </w:rPr>
        <w:t xml:space="preserve">inhoudelijk </w:t>
      </w:r>
      <w:r>
        <w:rPr>
          <w:rFonts w:ascii="Verdana" w:eastAsia="Times New Roman" w:hAnsi="Verdana"/>
          <w:sz w:val="18"/>
          <w:szCs w:val="18"/>
          <w:lang w:eastAsia="nl-NL"/>
        </w:rPr>
        <w:t>geen aandacht wordt besteed aan d</w:t>
      </w:r>
      <w:r w:rsidR="00664956">
        <w:rPr>
          <w:rFonts w:ascii="Verdana" w:eastAsia="Times New Roman" w:hAnsi="Verdana"/>
          <w:sz w:val="18"/>
          <w:szCs w:val="18"/>
          <w:lang w:eastAsia="nl-NL"/>
        </w:rPr>
        <w:t>e intrekking, weigering of niet-</w:t>
      </w:r>
      <w:r>
        <w:rPr>
          <w:rFonts w:ascii="Verdana" w:eastAsia="Times New Roman" w:hAnsi="Verdana"/>
          <w:sz w:val="18"/>
          <w:szCs w:val="18"/>
          <w:lang w:eastAsia="nl-NL"/>
        </w:rPr>
        <w:t>verlen</w:t>
      </w:r>
      <w:r w:rsidR="00664956">
        <w:rPr>
          <w:rFonts w:ascii="Verdana" w:eastAsia="Times New Roman" w:hAnsi="Verdana"/>
          <w:sz w:val="18"/>
          <w:szCs w:val="18"/>
          <w:lang w:eastAsia="nl-NL"/>
        </w:rPr>
        <w:t>g</w:t>
      </w:r>
      <w:r>
        <w:rPr>
          <w:rFonts w:ascii="Verdana" w:eastAsia="Times New Roman" w:hAnsi="Verdana"/>
          <w:sz w:val="18"/>
          <w:szCs w:val="18"/>
          <w:lang w:eastAsia="nl-NL"/>
        </w:rPr>
        <w:t xml:space="preserve">ing van de verblijfsvergunning </w:t>
      </w:r>
      <w:r w:rsidR="00FF3F18">
        <w:rPr>
          <w:rFonts w:ascii="Verdana" w:eastAsia="Times New Roman" w:hAnsi="Verdana"/>
          <w:sz w:val="18"/>
          <w:szCs w:val="18"/>
          <w:lang w:eastAsia="nl-NL"/>
        </w:rPr>
        <w:t xml:space="preserve">en het daarbij behorende </w:t>
      </w:r>
      <w:r w:rsidR="003E1E7E">
        <w:rPr>
          <w:rFonts w:ascii="Verdana" w:eastAsia="Times New Roman" w:hAnsi="Verdana"/>
          <w:sz w:val="18"/>
          <w:szCs w:val="18"/>
          <w:lang w:eastAsia="nl-NL"/>
        </w:rPr>
        <w:t xml:space="preserve">terugkeerbesluit, maar </w:t>
      </w:r>
      <w:r>
        <w:rPr>
          <w:rFonts w:ascii="Verdana" w:eastAsia="Times New Roman" w:hAnsi="Verdana"/>
          <w:sz w:val="18"/>
          <w:szCs w:val="18"/>
          <w:lang w:eastAsia="nl-NL"/>
        </w:rPr>
        <w:t>dat slechts het inreisverbod wordt getoetst.</w:t>
      </w:r>
    </w:p>
    <w:p w14:paraId="6DE6E62D" w14:textId="292011EB" w:rsidR="008476C2" w:rsidRDefault="008476C2" w:rsidP="008476C2">
      <w:pPr>
        <w:spacing w:line="360" w:lineRule="auto"/>
        <w:jc w:val="both"/>
        <w:rPr>
          <w:rFonts w:ascii="Verdana" w:eastAsia="Times New Roman" w:hAnsi="Verdana"/>
          <w:sz w:val="18"/>
          <w:szCs w:val="18"/>
          <w:lang w:eastAsia="nl-NL"/>
        </w:rPr>
      </w:pPr>
      <w:r>
        <w:rPr>
          <w:rFonts w:ascii="Verdana" w:eastAsia="Times New Roman" w:hAnsi="Verdana"/>
          <w:sz w:val="18"/>
          <w:szCs w:val="18"/>
          <w:lang w:eastAsia="nl-NL"/>
        </w:rPr>
        <w:t>Wanneer het inreisverbod of de ongewenstverklaring uiteindelijk van tafel is kan slechts aan de Staatssecretaris worden verzocht om de intrekking van de verblijfsvergunning, dan wel de nieuwe aanvraag om verlening of verlenging van de verblijfsvergunning, te heroverwegen.</w:t>
      </w:r>
      <w:r>
        <w:rPr>
          <w:rStyle w:val="Voetnootmarkering"/>
          <w:rFonts w:ascii="Verdana" w:eastAsia="Times New Roman" w:hAnsi="Verdana"/>
          <w:sz w:val="18"/>
          <w:szCs w:val="18"/>
          <w:lang w:eastAsia="nl-NL"/>
        </w:rPr>
        <w:footnoteReference w:id="78"/>
      </w:r>
      <w:r>
        <w:rPr>
          <w:rFonts w:ascii="Verdana" w:eastAsia="Times New Roman" w:hAnsi="Verdana"/>
          <w:sz w:val="18"/>
          <w:szCs w:val="18"/>
          <w:lang w:eastAsia="nl-NL"/>
        </w:rPr>
        <w:t xml:space="preserve"> In de praktijk </w:t>
      </w:r>
      <w:r w:rsidR="00BF767F">
        <w:rPr>
          <w:rFonts w:ascii="Verdana" w:eastAsia="Times New Roman" w:hAnsi="Verdana"/>
          <w:sz w:val="18"/>
          <w:szCs w:val="18"/>
          <w:lang w:eastAsia="nl-NL"/>
        </w:rPr>
        <w:t>blijkt het</w:t>
      </w:r>
      <w:r>
        <w:rPr>
          <w:rFonts w:ascii="Verdana" w:eastAsia="Times New Roman" w:hAnsi="Verdana"/>
          <w:sz w:val="18"/>
          <w:szCs w:val="18"/>
          <w:lang w:eastAsia="nl-NL"/>
        </w:rPr>
        <w:t xml:space="preserve"> </w:t>
      </w:r>
      <w:r w:rsidR="00752719">
        <w:rPr>
          <w:rFonts w:ascii="Verdana" w:eastAsia="Times New Roman" w:hAnsi="Verdana"/>
          <w:sz w:val="18"/>
          <w:szCs w:val="18"/>
          <w:lang w:eastAsia="nl-NL"/>
        </w:rPr>
        <w:t xml:space="preserve">volgens Boeles </w:t>
      </w:r>
      <w:r>
        <w:rPr>
          <w:rFonts w:ascii="Verdana" w:eastAsia="Times New Roman" w:hAnsi="Verdana"/>
          <w:sz w:val="18"/>
          <w:szCs w:val="18"/>
          <w:lang w:eastAsia="nl-NL"/>
        </w:rPr>
        <w:t>echter niet eenvoudig om een heroverweging af te dwingen bij de Staatssecretaris.</w:t>
      </w:r>
      <w:r>
        <w:rPr>
          <w:rStyle w:val="Voetnootmarkering"/>
          <w:rFonts w:ascii="Verdana" w:eastAsia="Times New Roman" w:hAnsi="Verdana"/>
          <w:sz w:val="18"/>
          <w:szCs w:val="18"/>
          <w:lang w:eastAsia="nl-NL"/>
        </w:rPr>
        <w:footnoteReference w:id="79"/>
      </w:r>
    </w:p>
    <w:p w14:paraId="17B746C5" w14:textId="50791516" w:rsidR="008C09E3" w:rsidRDefault="008C09E3" w:rsidP="008C09E3">
      <w:pPr>
        <w:spacing w:line="360" w:lineRule="auto"/>
        <w:jc w:val="both"/>
        <w:rPr>
          <w:rFonts w:ascii="Verdana" w:eastAsia="Times New Roman" w:hAnsi="Verdana"/>
          <w:i/>
          <w:sz w:val="18"/>
          <w:szCs w:val="18"/>
          <w:lang w:eastAsia="nl-NL"/>
        </w:rPr>
      </w:pPr>
      <w:r>
        <w:rPr>
          <w:rFonts w:ascii="Verdana" w:eastAsia="Times New Roman" w:hAnsi="Verdana"/>
          <w:sz w:val="18"/>
          <w:szCs w:val="18"/>
          <w:lang w:eastAsia="nl-NL"/>
        </w:rPr>
        <w:br/>
      </w:r>
      <w:r w:rsidR="00F9677C">
        <w:rPr>
          <w:rFonts w:ascii="Verdana" w:eastAsia="Times New Roman" w:hAnsi="Verdana"/>
          <w:i/>
          <w:sz w:val="18"/>
          <w:szCs w:val="18"/>
          <w:lang w:eastAsia="nl-NL"/>
        </w:rPr>
        <w:t>2.4.3</w:t>
      </w:r>
      <w:r>
        <w:rPr>
          <w:rFonts w:ascii="Verdana" w:eastAsia="Times New Roman" w:hAnsi="Verdana"/>
          <w:i/>
          <w:sz w:val="18"/>
          <w:szCs w:val="18"/>
          <w:lang w:eastAsia="nl-NL"/>
        </w:rPr>
        <w:t xml:space="preserve"> Rechterlijke toetsing</w:t>
      </w:r>
    </w:p>
    <w:p w14:paraId="6D22A5FE" w14:textId="77777777" w:rsidR="008C09E3" w:rsidRDefault="008C09E3" w:rsidP="008C09E3">
      <w:pPr>
        <w:spacing w:line="360" w:lineRule="auto"/>
        <w:jc w:val="both"/>
        <w:rPr>
          <w:rFonts w:ascii="Verdana" w:eastAsia="Times New Roman" w:hAnsi="Verdana"/>
          <w:sz w:val="18"/>
          <w:szCs w:val="18"/>
          <w:lang w:eastAsia="nl-NL"/>
        </w:rPr>
      </w:pPr>
      <w:r>
        <w:rPr>
          <w:rFonts w:ascii="Verdana" w:eastAsia="Times New Roman" w:hAnsi="Verdana"/>
          <w:sz w:val="18"/>
          <w:szCs w:val="18"/>
          <w:lang w:eastAsia="nl-NL"/>
        </w:rPr>
        <w:t xml:space="preserve">Nadat is vastgesteld dat er sprake is van voldoende procesbelang, zal door de bestuursrechter beoordeeld moeten worden of het besluit van de Staatssecretaris een redelijk besluit betreft en of de Staatssecretaris het besluit heeft genomen in lijn met het op dat moment geldende recht. Bij deze beoordeling is de intensiteit waarmee de bestuursrechter de beslissing toetst van groot belang voor de uiteindelijke uitkomst. Dit wordt veelal aangeduid met de termen ‘volle toetsing’ of ‘marginale toetsing’. </w:t>
      </w:r>
    </w:p>
    <w:p w14:paraId="28D1F6B8" w14:textId="31A66BD2" w:rsidR="00152647" w:rsidRDefault="008C09E3" w:rsidP="008C09E3">
      <w:pPr>
        <w:spacing w:line="360" w:lineRule="auto"/>
        <w:jc w:val="both"/>
        <w:rPr>
          <w:rFonts w:ascii="Verdana" w:eastAsia="Times New Roman" w:hAnsi="Verdana"/>
          <w:sz w:val="18"/>
          <w:szCs w:val="18"/>
          <w:lang w:eastAsia="nl-NL"/>
        </w:rPr>
      </w:pPr>
      <w:r>
        <w:rPr>
          <w:rFonts w:ascii="Verdana" w:eastAsia="Times New Roman" w:hAnsi="Verdana"/>
          <w:sz w:val="18"/>
          <w:szCs w:val="18"/>
          <w:lang w:eastAsia="nl-NL"/>
        </w:rPr>
        <w:lastRenderedPageBreak/>
        <w:t>Bij een volle toetsing</w:t>
      </w:r>
      <w:r w:rsidR="00514044">
        <w:rPr>
          <w:rFonts w:ascii="Verdana" w:eastAsia="Times New Roman" w:hAnsi="Verdana"/>
          <w:sz w:val="18"/>
          <w:szCs w:val="18"/>
          <w:lang w:eastAsia="nl-NL"/>
        </w:rPr>
        <w:t xml:space="preserve"> voert de bestuursrechter de toetst zelf als het ware volledig uit om te kunnen </w:t>
      </w:r>
      <w:r>
        <w:rPr>
          <w:rFonts w:ascii="Verdana" w:eastAsia="Times New Roman" w:hAnsi="Verdana"/>
          <w:sz w:val="18"/>
          <w:szCs w:val="18"/>
          <w:lang w:eastAsia="nl-NL"/>
        </w:rPr>
        <w:t>beoordelen of zijn uitkomst afwijkt van de uitkomst van het bestuursorgaan, terwijl de bestuursrechter zich bij een mar</w:t>
      </w:r>
      <w:r w:rsidR="00514044">
        <w:rPr>
          <w:rFonts w:ascii="Verdana" w:eastAsia="Times New Roman" w:hAnsi="Verdana"/>
          <w:sz w:val="18"/>
          <w:szCs w:val="18"/>
          <w:lang w:eastAsia="nl-NL"/>
        </w:rPr>
        <w:t xml:space="preserve">ginale toetsing terughoudend opstelt </w:t>
      </w:r>
      <w:r>
        <w:rPr>
          <w:rFonts w:ascii="Verdana" w:eastAsia="Times New Roman" w:hAnsi="Verdana"/>
          <w:sz w:val="18"/>
          <w:szCs w:val="18"/>
          <w:lang w:eastAsia="nl-NL"/>
        </w:rPr>
        <w:t>en zich in theorie slechts beperkt tot de beantwoording van de vraag of het bestuursorgaan in alle redelijkheid tot het oordeel heeft kunnen komen. Aan een inhoudelijke beoordeling komt de bestuursrechter</w:t>
      </w:r>
      <w:r w:rsidR="005544EA">
        <w:rPr>
          <w:rFonts w:ascii="Verdana" w:eastAsia="Times New Roman" w:hAnsi="Verdana"/>
          <w:sz w:val="18"/>
          <w:szCs w:val="18"/>
          <w:lang w:eastAsia="nl-NL"/>
        </w:rPr>
        <w:t xml:space="preserve"> in het laatste geval niet toe. </w:t>
      </w:r>
      <w:r w:rsidR="00152647">
        <w:rPr>
          <w:rFonts w:ascii="Verdana" w:eastAsia="Times New Roman" w:hAnsi="Verdana"/>
          <w:sz w:val="18"/>
          <w:szCs w:val="18"/>
          <w:lang w:eastAsia="nl-NL"/>
        </w:rPr>
        <w:t>Dit laatste is momenteel een probleem in de praktijk ten aanzien van de weigering, niet-verlenging en intrekking</w:t>
      </w:r>
      <w:r w:rsidR="005877AD">
        <w:rPr>
          <w:rFonts w:ascii="Verdana" w:eastAsia="Times New Roman" w:hAnsi="Verdana"/>
          <w:sz w:val="18"/>
          <w:szCs w:val="18"/>
          <w:lang w:eastAsia="nl-NL"/>
        </w:rPr>
        <w:t xml:space="preserve"> van verblijfsvergunningen</w:t>
      </w:r>
      <w:r w:rsidR="00765FEE">
        <w:rPr>
          <w:rFonts w:ascii="Verdana" w:eastAsia="Times New Roman" w:hAnsi="Verdana"/>
          <w:sz w:val="18"/>
          <w:szCs w:val="18"/>
          <w:lang w:eastAsia="nl-NL"/>
        </w:rPr>
        <w:t>, alsmede ten aanzien van</w:t>
      </w:r>
      <w:r w:rsidR="00152647">
        <w:rPr>
          <w:rFonts w:ascii="Verdana" w:eastAsia="Times New Roman" w:hAnsi="Verdana"/>
          <w:sz w:val="18"/>
          <w:szCs w:val="18"/>
          <w:lang w:eastAsia="nl-NL"/>
        </w:rPr>
        <w:t xml:space="preserve"> terugkeerbesluit</w:t>
      </w:r>
      <w:r w:rsidR="00765FEE">
        <w:rPr>
          <w:rFonts w:ascii="Verdana" w:eastAsia="Times New Roman" w:hAnsi="Verdana"/>
          <w:sz w:val="18"/>
          <w:szCs w:val="18"/>
          <w:lang w:eastAsia="nl-NL"/>
        </w:rPr>
        <w:t>en</w:t>
      </w:r>
      <w:r w:rsidR="00152647">
        <w:rPr>
          <w:rFonts w:ascii="Verdana" w:eastAsia="Times New Roman" w:hAnsi="Verdana"/>
          <w:sz w:val="18"/>
          <w:szCs w:val="18"/>
          <w:lang w:eastAsia="nl-NL"/>
        </w:rPr>
        <w:t>, aangezien gee</w:t>
      </w:r>
      <w:r w:rsidR="00BF767F">
        <w:rPr>
          <w:rFonts w:ascii="Verdana" w:eastAsia="Times New Roman" w:hAnsi="Verdana"/>
          <w:sz w:val="18"/>
          <w:szCs w:val="18"/>
          <w:lang w:eastAsia="nl-NL"/>
        </w:rPr>
        <w:t xml:space="preserve">n procesbelang wordt aangenomen </w:t>
      </w:r>
      <w:r w:rsidR="005877AD">
        <w:rPr>
          <w:rFonts w:ascii="Verdana" w:eastAsia="Times New Roman" w:hAnsi="Verdana"/>
          <w:sz w:val="18"/>
          <w:szCs w:val="18"/>
          <w:lang w:eastAsia="nl-NL"/>
        </w:rPr>
        <w:t xml:space="preserve">ten aanzien van </w:t>
      </w:r>
      <w:r w:rsidR="00BF767F">
        <w:rPr>
          <w:rFonts w:ascii="Verdana" w:eastAsia="Times New Roman" w:hAnsi="Verdana"/>
          <w:sz w:val="18"/>
          <w:szCs w:val="18"/>
          <w:lang w:eastAsia="nl-NL"/>
        </w:rPr>
        <w:t>deze besluiten</w:t>
      </w:r>
      <w:r w:rsidR="005877AD">
        <w:rPr>
          <w:rFonts w:ascii="Verdana" w:eastAsia="Times New Roman" w:hAnsi="Verdana"/>
          <w:sz w:val="18"/>
          <w:szCs w:val="18"/>
          <w:lang w:eastAsia="nl-NL"/>
        </w:rPr>
        <w:t xml:space="preserve"> en zij</w:t>
      </w:r>
      <w:r w:rsidR="00C140FE">
        <w:rPr>
          <w:rFonts w:ascii="Verdana" w:eastAsia="Times New Roman" w:hAnsi="Verdana"/>
          <w:sz w:val="18"/>
          <w:szCs w:val="18"/>
          <w:lang w:eastAsia="nl-NL"/>
        </w:rPr>
        <w:t xml:space="preserve"> derhalve niet vol </w:t>
      </w:r>
      <w:r w:rsidR="00BF767F">
        <w:rPr>
          <w:rFonts w:ascii="Verdana" w:eastAsia="Times New Roman" w:hAnsi="Verdana"/>
          <w:sz w:val="18"/>
          <w:szCs w:val="18"/>
          <w:lang w:eastAsia="nl-NL"/>
        </w:rPr>
        <w:t>worden getoetst</w:t>
      </w:r>
      <w:r w:rsidR="00441049">
        <w:rPr>
          <w:rFonts w:ascii="Verdana" w:eastAsia="Times New Roman" w:hAnsi="Verdana"/>
          <w:sz w:val="18"/>
          <w:szCs w:val="18"/>
          <w:lang w:eastAsia="nl-NL"/>
        </w:rPr>
        <w:t>.</w:t>
      </w:r>
    </w:p>
    <w:p w14:paraId="5DFCA049" w14:textId="0328C9D2" w:rsidR="00FA7B9E" w:rsidRDefault="008C09E3" w:rsidP="008C09E3">
      <w:pPr>
        <w:spacing w:line="360" w:lineRule="auto"/>
        <w:jc w:val="both"/>
        <w:rPr>
          <w:rFonts w:ascii="Verdana" w:eastAsia="Times New Roman" w:hAnsi="Verdana"/>
          <w:sz w:val="18"/>
          <w:szCs w:val="18"/>
          <w:lang w:eastAsia="nl-NL"/>
        </w:rPr>
      </w:pPr>
      <w:r>
        <w:rPr>
          <w:rFonts w:ascii="Verdana" w:eastAsia="Times New Roman" w:hAnsi="Verdana"/>
          <w:sz w:val="18"/>
          <w:szCs w:val="18"/>
          <w:lang w:eastAsia="nl-NL"/>
        </w:rPr>
        <w:t>Sinds jaar en dag is het uitgangspunt in het Nederlandse bestuursprocesrecht geweest dat de bestuursrechter een marginale toets dient te hanteren, indien aan het bestuursorgaan een bepaalde mate van beleids- of beoordelingsvrijheid toekomt bij het nemen van het besluit.</w:t>
      </w:r>
      <w:r>
        <w:rPr>
          <w:rStyle w:val="Voetnootmarkering"/>
          <w:rFonts w:ascii="Verdana" w:eastAsia="Times New Roman" w:hAnsi="Verdana"/>
          <w:sz w:val="18"/>
          <w:szCs w:val="18"/>
          <w:lang w:eastAsia="nl-NL"/>
        </w:rPr>
        <w:footnoteReference w:id="80"/>
      </w:r>
      <w:r>
        <w:rPr>
          <w:rFonts w:ascii="Verdana" w:eastAsia="Times New Roman" w:hAnsi="Verdana"/>
          <w:sz w:val="18"/>
          <w:szCs w:val="18"/>
          <w:lang w:eastAsia="nl-NL"/>
        </w:rPr>
        <w:t xml:space="preserve"> De toepasselijkheid van het Unierecht</w:t>
      </w:r>
      <w:r w:rsidR="00263E1F">
        <w:rPr>
          <w:rFonts w:ascii="Verdana" w:eastAsia="Times New Roman" w:hAnsi="Verdana"/>
          <w:sz w:val="18"/>
          <w:szCs w:val="18"/>
          <w:lang w:eastAsia="nl-NL"/>
        </w:rPr>
        <w:t xml:space="preserve"> in het vreemdelingenrecht heeft</w:t>
      </w:r>
      <w:r>
        <w:rPr>
          <w:rFonts w:ascii="Verdana" w:eastAsia="Times New Roman" w:hAnsi="Verdana"/>
          <w:sz w:val="18"/>
          <w:szCs w:val="18"/>
          <w:lang w:eastAsia="nl-NL"/>
        </w:rPr>
        <w:t xml:space="preserve"> echter </w:t>
      </w:r>
      <w:r w:rsidR="00263E1F">
        <w:rPr>
          <w:rFonts w:ascii="Verdana" w:eastAsia="Times New Roman" w:hAnsi="Verdana"/>
          <w:sz w:val="18"/>
          <w:szCs w:val="18"/>
          <w:lang w:eastAsia="nl-NL"/>
        </w:rPr>
        <w:t>gezorgd</w:t>
      </w:r>
      <w:r w:rsidR="00C9663B">
        <w:rPr>
          <w:rFonts w:ascii="Verdana" w:eastAsia="Times New Roman" w:hAnsi="Verdana"/>
          <w:sz w:val="18"/>
          <w:szCs w:val="18"/>
          <w:lang w:eastAsia="nl-NL"/>
        </w:rPr>
        <w:t xml:space="preserve"> </w:t>
      </w:r>
      <w:r>
        <w:rPr>
          <w:rFonts w:ascii="Verdana" w:eastAsia="Times New Roman" w:hAnsi="Verdana"/>
          <w:sz w:val="18"/>
          <w:szCs w:val="18"/>
          <w:lang w:eastAsia="nl-NL"/>
        </w:rPr>
        <w:t>voor een verruiming van de omvang van deze toetsingsintegriteit. Vorenstaande maakt dat de bestuursrechter de bes</w:t>
      </w:r>
      <w:r w:rsidR="00F53210">
        <w:rPr>
          <w:rFonts w:ascii="Verdana" w:eastAsia="Times New Roman" w:hAnsi="Verdana"/>
          <w:sz w:val="18"/>
          <w:szCs w:val="18"/>
          <w:lang w:eastAsia="nl-NL"/>
        </w:rPr>
        <w:t>lissing van de Staatss</w:t>
      </w:r>
      <w:r w:rsidR="00FA7B9E">
        <w:rPr>
          <w:rFonts w:ascii="Verdana" w:eastAsia="Times New Roman" w:hAnsi="Verdana"/>
          <w:sz w:val="18"/>
          <w:szCs w:val="18"/>
          <w:lang w:eastAsia="nl-NL"/>
        </w:rPr>
        <w:t xml:space="preserve">ecretaris </w:t>
      </w:r>
      <w:r w:rsidR="008265EA">
        <w:rPr>
          <w:rFonts w:ascii="Verdana" w:eastAsia="Times New Roman" w:hAnsi="Verdana"/>
          <w:sz w:val="18"/>
          <w:szCs w:val="18"/>
          <w:lang w:eastAsia="nl-NL"/>
        </w:rPr>
        <w:t>vol moet</w:t>
      </w:r>
      <w:r w:rsidR="00FA7B9E">
        <w:rPr>
          <w:rFonts w:ascii="Verdana" w:eastAsia="Times New Roman" w:hAnsi="Verdana"/>
          <w:sz w:val="18"/>
          <w:szCs w:val="18"/>
          <w:lang w:eastAsia="nl-NL"/>
        </w:rPr>
        <w:t xml:space="preserve"> toetsen </w:t>
      </w:r>
      <w:r w:rsidR="00F53210">
        <w:rPr>
          <w:rFonts w:ascii="Verdana" w:eastAsia="Times New Roman" w:hAnsi="Verdana"/>
          <w:sz w:val="18"/>
          <w:szCs w:val="18"/>
          <w:lang w:eastAsia="nl-NL"/>
        </w:rPr>
        <w:t>indien het Unierecht van toepassing is.</w:t>
      </w:r>
      <w:r w:rsidR="00FA7B9E">
        <w:rPr>
          <w:rFonts w:ascii="Verdana" w:eastAsia="Times New Roman" w:hAnsi="Verdana"/>
          <w:sz w:val="18"/>
          <w:szCs w:val="18"/>
          <w:lang w:eastAsia="nl-NL"/>
        </w:rPr>
        <w:t xml:space="preserve"> Naar schatting is dat </w:t>
      </w:r>
      <w:r w:rsidR="008265EA">
        <w:rPr>
          <w:rFonts w:ascii="Verdana" w:eastAsia="Times New Roman" w:hAnsi="Verdana"/>
          <w:sz w:val="18"/>
          <w:szCs w:val="18"/>
          <w:lang w:eastAsia="nl-NL"/>
        </w:rPr>
        <w:t xml:space="preserve">volgens Groenendijk en Van Riel </w:t>
      </w:r>
      <w:r w:rsidR="00FA7B9E">
        <w:rPr>
          <w:rFonts w:ascii="Verdana" w:eastAsia="Times New Roman" w:hAnsi="Verdana"/>
          <w:sz w:val="18"/>
          <w:szCs w:val="18"/>
          <w:lang w:eastAsia="nl-NL"/>
        </w:rPr>
        <w:t>momenteel in ruim negentig procent</w:t>
      </w:r>
      <w:r w:rsidR="00FA7B9E">
        <w:rPr>
          <w:rStyle w:val="Voetnootmarkering"/>
          <w:rFonts w:ascii="Verdana" w:eastAsia="Times New Roman" w:hAnsi="Verdana"/>
          <w:sz w:val="18"/>
          <w:szCs w:val="18"/>
          <w:lang w:eastAsia="nl-NL"/>
        </w:rPr>
        <w:footnoteReference w:id="81"/>
      </w:r>
      <w:r w:rsidR="00FA7B9E">
        <w:rPr>
          <w:rFonts w:ascii="Verdana" w:eastAsia="Times New Roman" w:hAnsi="Verdana"/>
          <w:sz w:val="18"/>
          <w:szCs w:val="18"/>
          <w:lang w:eastAsia="nl-NL"/>
        </w:rPr>
        <w:t xml:space="preserve"> van de gevallen</w:t>
      </w:r>
      <w:r>
        <w:rPr>
          <w:rFonts w:ascii="Verdana" w:eastAsia="Times New Roman" w:hAnsi="Verdana"/>
          <w:sz w:val="18"/>
          <w:szCs w:val="18"/>
          <w:lang w:eastAsia="nl-NL"/>
        </w:rPr>
        <w:t>.</w:t>
      </w:r>
      <w:r w:rsidR="00455C49">
        <w:rPr>
          <w:rStyle w:val="Voetnootmarkering"/>
          <w:rFonts w:ascii="Verdana" w:eastAsia="Times New Roman" w:hAnsi="Verdana"/>
          <w:sz w:val="18"/>
          <w:szCs w:val="18"/>
          <w:lang w:eastAsia="nl-NL"/>
        </w:rPr>
        <w:footnoteReference w:id="82"/>
      </w:r>
    </w:p>
    <w:p w14:paraId="52D93600" w14:textId="77777777" w:rsidR="00665564" w:rsidRDefault="008C09E3" w:rsidP="008C09E3">
      <w:pPr>
        <w:spacing w:line="360" w:lineRule="auto"/>
        <w:jc w:val="both"/>
        <w:rPr>
          <w:rFonts w:ascii="Verdana" w:eastAsia="Times New Roman" w:hAnsi="Verdana"/>
          <w:sz w:val="18"/>
          <w:szCs w:val="18"/>
          <w:lang w:eastAsia="nl-NL"/>
        </w:rPr>
      </w:pPr>
      <w:r>
        <w:rPr>
          <w:rFonts w:ascii="Verdana" w:eastAsia="Times New Roman" w:hAnsi="Verdana"/>
          <w:sz w:val="18"/>
          <w:szCs w:val="18"/>
          <w:lang w:eastAsia="nl-NL"/>
        </w:rPr>
        <w:t xml:space="preserve">De volle toets van de bestuursrechter heeft in </w:t>
      </w:r>
      <w:r w:rsidR="002E5F6A">
        <w:rPr>
          <w:rFonts w:ascii="Verdana" w:eastAsia="Times New Roman" w:hAnsi="Verdana"/>
          <w:sz w:val="18"/>
          <w:szCs w:val="18"/>
          <w:lang w:eastAsia="nl-NL"/>
        </w:rPr>
        <w:t>zaken waarbij het Unierecht van toepassing is</w:t>
      </w:r>
      <w:r>
        <w:rPr>
          <w:rFonts w:ascii="Verdana" w:eastAsia="Times New Roman" w:hAnsi="Verdana"/>
          <w:sz w:val="18"/>
          <w:szCs w:val="18"/>
          <w:lang w:eastAsia="nl-NL"/>
        </w:rPr>
        <w:t xml:space="preserve"> te maken met het feit dat de bestuursrechter optreedt als Unierechter. De bestuursrechter heeft dan de plicht om binnen de grenzen van het geschil ambtshalve de regels uit het Unierecht toe te passen.</w:t>
      </w:r>
      <w:r>
        <w:rPr>
          <w:rStyle w:val="Voetnootmarkering"/>
          <w:rFonts w:ascii="Verdana" w:eastAsia="Times New Roman" w:hAnsi="Verdana"/>
          <w:sz w:val="18"/>
          <w:szCs w:val="18"/>
          <w:lang w:eastAsia="nl-NL"/>
        </w:rPr>
        <w:footnoteReference w:id="83"/>
      </w:r>
      <w:r w:rsidR="00501E29">
        <w:rPr>
          <w:rFonts w:ascii="Verdana" w:eastAsia="Times New Roman" w:hAnsi="Verdana"/>
          <w:sz w:val="18"/>
          <w:szCs w:val="18"/>
          <w:lang w:eastAsia="nl-NL"/>
        </w:rPr>
        <w:t xml:space="preserve"> </w:t>
      </w:r>
      <w:r>
        <w:rPr>
          <w:rFonts w:ascii="Verdana" w:eastAsia="Times New Roman" w:hAnsi="Verdana"/>
          <w:sz w:val="18"/>
          <w:szCs w:val="18"/>
          <w:lang w:eastAsia="nl-NL"/>
        </w:rPr>
        <w:t xml:space="preserve">Volledigheidshalve zullen de verblijfsrechten (zie </w:t>
      </w:r>
      <w:r w:rsidR="002E5F6A">
        <w:rPr>
          <w:rFonts w:ascii="Verdana" w:eastAsia="Times New Roman" w:hAnsi="Verdana"/>
          <w:sz w:val="18"/>
          <w:szCs w:val="18"/>
          <w:lang w:eastAsia="nl-NL"/>
        </w:rPr>
        <w:t>voetnoot 71 punt</w:t>
      </w:r>
      <w:r>
        <w:rPr>
          <w:rFonts w:ascii="Verdana" w:eastAsia="Times New Roman" w:hAnsi="Verdana"/>
          <w:sz w:val="18"/>
          <w:szCs w:val="18"/>
          <w:lang w:eastAsia="nl-NL"/>
        </w:rPr>
        <w:t xml:space="preserve"> 3) waarop het Unierecht al dan niet van toepassing is worden toegelicht.</w:t>
      </w:r>
      <w:r w:rsidR="00C47C1A">
        <w:rPr>
          <w:rFonts w:ascii="Verdana" w:eastAsia="Times New Roman" w:hAnsi="Verdana"/>
          <w:sz w:val="18"/>
          <w:szCs w:val="18"/>
          <w:lang w:eastAsia="nl-NL"/>
        </w:rPr>
        <w:t xml:space="preserve"> </w:t>
      </w:r>
    </w:p>
    <w:p w14:paraId="0EB8C435" w14:textId="2AA241CC" w:rsidR="008C09E3" w:rsidRDefault="00C47C1A" w:rsidP="008C09E3">
      <w:pPr>
        <w:spacing w:line="360" w:lineRule="auto"/>
        <w:jc w:val="both"/>
        <w:rPr>
          <w:rFonts w:ascii="Verdana" w:eastAsia="Times New Roman" w:hAnsi="Verdana"/>
          <w:sz w:val="18"/>
          <w:szCs w:val="18"/>
          <w:lang w:eastAsia="nl-NL"/>
        </w:rPr>
      </w:pPr>
      <w:r>
        <w:rPr>
          <w:rFonts w:ascii="Verdana" w:eastAsia="Times New Roman" w:hAnsi="Verdana"/>
          <w:sz w:val="18"/>
          <w:szCs w:val="18"/>
          <w:lang w:eastAsia="nl-NL"/>
        </w:rPr>
        <w:t>I</w:t>
      </w:r>
      <w:r w:rsidR="008C09E3">
        <w:rPr>
          <w:rFonts w:ascii="Verdana" w:eastAsia="Times New Roman" w:hAnsi="Verdana"/>
          <w:sz w:val="18"/>
          <w:szCs w:val="18"/>
          <w:lang w:eastAsia="nl-NL"/>
        </w:rPr>
        <w:t xml:space="preserve">n Nederland kennen wij nationale reguliere verblijfsvergunningen voor bepaalde tijd en reguliere verblijfsvergunningen voor onbepaalde tijd of de verblijfsvergunning voor langdurig ingezetene. De soorten nationale reguliere verblijfsvergunningen zijn opgesomd in artikel 3.4 Vb 2000. Op een groot gedeelte van deze nationale verblijfsvergunningen is het Unierecht van toepassing, aangezien in verschillende EU-richtlijnen of verordeningen regels hiertoe zijn opgenomen. </w:t>
      </w:r>
      <w:r w:rsidR="002B3C98">
        <w:rPr>
          <w:rFonts w:ascii="Verdana" w:eastAsia="Times New Roman" w:hAnsi="Verdana"/>
          <w:sz w:val="18"/>
          <w:szCs w:val="18"/>
          <w:lang w:eastAsia="nl-NL"/>
        </w:rPr>
        <w:t>Ter verduidelijking</w:t>
      </w:r>
      <w:r w:rsidR="008C09E3">
        <w:rPr>
          <w:rFonts w:ascii="Verdana" w:eastAsia="Times New Roman" w:hAnsi="Verdana"/>
          <w:sz w:val="18"/>
          <w:szCs w:val="18"/>
          <w:lang w:eastAsia="nl-NL"/>
        </w:rPr>
        <w:t xml:space="preserve"> is een overzicht opgenomen in </w:t>
      </w:r>
      <w:r w:rsidR="008C09E3" w:rsidRPr="00793F58">
        <w:rPr>
          <w:rFonts w:ascii="Verdana" w:eastAsia="Times New Roman" w:hAnsi="Verdana"/>
          <w:sz w:val="18"/>
          <w:szCs w:val="18"/>
          <w:u w:val="dotDotDash"/>
          <w:lang w:eastAsia="nl-NL"/>
        </w:rPr>
        <w:t>bijlage 2</w:t>
      </w:r>
      <w:r w:rsidR="008C09E3" w:rsidRPr="00793F58">
        <w:rPr>
          <w:rFonts w:ascii="Verdana" w:eastAsia="Times New Roman" w:hAnsi="Verdana"/>
          <w:sz w:val="18"/>
          <w:szCs w:val="18"/>
          <w:lang w:eastAsia="nl-NL"/>
        </w:rPr>
        <w:t>.</w:t>
      </w:r>
      <w:r w:rsidR="008C09E3">
        <w:rPr>
          <w:rFonts w:ascii="Verdana" w:eastAsia="Times New Roman" w:hAnsi="Verdana"/>
          <w:sz w:val="18"/>
          <w:szCs w:val="18"/>
          <w:lang w:eastAsia="nl-NL"/>
        </w:rPr>
        <w:t xml:space="preserve"> </w:t>
      </w:r>
    </w:p>
    <w:p w14:paraId="501C13C4" w14:textId="638C3FDE" w:rsidR="00872E91" w:rsidRDefault="008C09E3" w:rsidP="000561A0">
      <w:pPr>
        <w:spacing w:line="360" w:lineRule="auto"/>
        <w:jc w:val="both"/>
        <w:rPr>
          <w:rFonts w:ascii="Verdana" w:eastAsia="Times New Roman" w:hAnsi="Verdana"/>
          <w:sz w:val="18"/>
          <w:szCs w:val="18"/>
          <w:lang w:eastAsia="nl-NL"/>
        </w:rPr>
      </w:pPr>
      <w:r>
        <w:rPr>
          <w:rFonts w:ascii="Verdana" w:eastAsia="Times New Roman" w:hAnsi="Verdana"/>
          <w:sz w:val="18"/>
          <w:szCs w:val="18"/>
          <w:lang w:eastAsia="nl-NL"/>
        </w:rPr>
        <w:t>Daarnaast is het Unierecht per definitie van toepassing op de verblijfsvergunning voor langdurig ingezetene. Deze titel werd immers ingevoerd in de Vw 2000 bij de implementatie van de EU-richtlijn betreffende de status van langdurig ingezetene</w:t>
      </w:r>
      <w:r w:rsidR="00AF7FA4">
        <w:rPr>
          <w:rFonts w:ascii="Verdana" w:eastAsia="Times New Roman" w:hAnsi="Verdana"/>
          <w:sz w:val="18"/>
          <w:szCs w:val="18"/>
          <w:lang w:eastAsia="nl-NL"/>
        </w:rPr>
        <w:t xml:space="preserve"> (hierna: Richtlijn langdurig ingezetene)</w:t>
      </w:r>
      <w:r>
        <w:rPr>
          <w:rFonts w:ascii="Verdana" w:eastAsia="Times New Roman" w:hAnsi="Verdana"/>
          <w:sz w:val="18"/>
          <w:szCs w:val="18"/>
          <w:lang w:eastAsia="nl-NL"/>
        </w:rPr>
        <w:t>.</w:t>
      </w:r>
      <w:r>
        <w:rPr>
          <w:rStyle w:val="Voetnootmarkering"/>
          <w:rFonts w:ascii="Verdana" w:eastAsia="Times New Roman" w:hAnsi="Verdana"/>
          <w:sz w:val="18"/>
          <w:szCs w:val="18"/>
          <w:lang w:eastAsia="nl-NL"/>
        </w:rPr>
        <w:footnoteReference w:id="84"/>
      </w:r>
      <w:r>
        <w:rPr>
          <w:rFonts w:ascii="Verdana" w:eastAsia="Times New Roman" w:hAnsi="Verdana"/>
          <w:sz w:val="18"/>
          <w:szCs w:val="18"/>
          <w:lang w:eastAsia="nl-NL"/>
        </w:rPr>
        <w:t xml:space="preserve"> De verlening en i</w:t>
      </w:r>
      <w:r w:rsidR="009E487C">
        <w:rPr>
          <w:rFonts w:ascii="Verdana" w:eastAsia="Times New Roman" w:hAnsi="Verdana"/>
          <w:sz w:val="18"/>
          <w:szCs w:val="18"/>
          <w:lang w:eastAsia="nl-NL"/>
        </w:rPr>
        <w:t>ntrekking van deze status valt</w:t>
      </w:r>
      <w:r>
        <w:rPr>
          <w:rFonts w:ascii="Verdana" w:eastAsia="Times New Roman" w:hAnsi="Verdana"/>
          <w:sz w:val="18"/>
          <w:szCs w:val="18"/>
          <w:lang w:eastAsia="nl-NL"/>
        </w:rPr>
        <w:t xml:space="preserve"> dus apert onder het Unierecht.</w:t>
      </w:r>
      <w:r w:rsidRPr="000441F5">
        <w:rPr>
          <w:rStyle w:val="Voetnootmarkering"/>
          <w:rFonts w:ascii="Verdana" w:eastAsia="Times New Roman" w:hAnsi="Verdana"/>
          <w:sz w:val="18"/>
          <w:szCs w:val="18"/>
          <w:lang w:eastAsia="nl-NL"/>
        </w:rPr>
        <w:t xml:space="preserve"> </w:t>
      </w:r>
      <w:r>
        <w:rPr>
          <w:rStyle w:val="Voetnootmarkering"/>
          <w:rFonts w:ascii="Verdana" w:eastAsia="Times New Roman" w:hAnsi="Verdana"/>
          <w:sz w:val="18"/>
          <w:szCs w:val="18"/>
          <w:lang w:eastAsia="nl-NL"/>
        </w:rPr>
        <w:footnoteReference w:id="85"/>
      </w:r>
      <w:r>
        <w:rPr>
          <w:rFonts w:ascii="Verdana" w:eastAsia="Times New Roman" w:hAnsi="Verdana"/>
          <w:sz w:val="18"/>
          <w:szCs w:val="18"/>
          <w:lang w:eastAsia="nl-NL"/>
        </w:rPr>
        <w:t xml:space="preserve"> </w:t>
      </w:r>
      <w:r w:rsidR="000561A0">
        <w:rPr>
          <w:rFonts w:ascii="Verdana" w:eastAsia="Times New Roman" w:hAnsi="Verdana"/>
          <w:sz w:val="18"/>
          <w:szCs w:val="18"/>
          <w:lang w:eastAsia="nl-NL"/>
        </w:rPr>
        <w:t xml:space="preserve">De reguliere </w:t>
      </w:r>
      <w:r w:rsidR="000561A0">
        <w:rPr>
          <w:rFonts w:ascii="Verdana" w:eastAsia="Times New Roman" w:hAnsi="Verdana"/>
          <w:sz w:val="18"/>
          <w:szCs w:val="18"/>
          <w:lang w:eastAsia="nl-NL"/>
        </w:rPr>
        <w:lastRenderedPageBreak/>
        <w:t>verblijfsvergunning voor onbepaalde tijd is een nationale status die aan bepaalde categorieën derdelanders onder gunstigere voorwaarden wordt verleend, dan de status van langdurig ingezetene</w:t>
      </w:r>
      <w:r>
        <w:rPr>
          <w:rFonts w:ascii="Verdana" w:eastAsia="Times New Roman" w:hAnsi="Verdana"/>
          <w:sz w:val="18"/>
          <w:szCs w:val="18"/>
          <w:lang w:eastAsia="nl-NL"/>
        </w:rPr>
        <w:t>.</w:t>
      </w:r>
      <w:r>
        <w:rPr>
          <w:rStyle w:val="Voetnootmarkering"/>
          <w:rFonts w:ascii="Verdana" w:eastAsia="Times New Roman" w:hAnsi="Verdana"/>
          <w:sz w:val="18"/>
          <w:szCs w:val="18"/>
          <w:lang w:eastAsia="nl-NL"/>
        </w:rPr>
        <w:footnoteReference w:id="86"/>
      </w:r>
      <w:r>
        <w:rPr>
          <w:rFonts w:ascii="Verdana" w:eastAsia="Times New Roman" w:hAnsi="Verdana"/>
          <w:sz w:val="18"/>
          <w:szCs w:val="18"/>
          <w:lang w:eastAsia="nl-NL"/>
        </w:rPr>
        <w:t xml:space="preserve"> </w:t>
      </w:r>
      <w:r w:rsidR="000561A0">
        <w:rPr>
          <w:rFonts w:ascii="Verdana" w:eastAsia="Times New Roman" w:hAnsi="Verdana"/>
          <w:sz w:val="18"/>
          <w:szCs w:val="18"/>
          <w:lang w:eastAsia="nl-NL"/>
        </w:rPr>
        <w:t>Op de verlening van de nationale verblijfsvergunning voor onbepaalde t</w:t>
      </w:r>
      <w:r w:rsidR="00E02383">
        <w:rPr>
          <w:rFonts w:ascii="Verdana" w:eastAsia="Times New Roman" w:hAnsi="Verdana"/>
          <w:sz w:val="18"/>
          <w:szCs w:val="18"/>
          <w:lang w:eastAsia="nl-NL"/>
        </w:rPr>
        <w:t>ijd is</w:t>
      </w:r>
      <w:r w:rsidR="00B34205">
        <w:rPr>
          <w:rFonts w:ascii="Verdana" w:eastAsia="Times New Roman" w:hAnsi="Verdana"/>
          <w:sz w:val="18"/>
          <w:szCs w:val="18"/>
          <w:lang w:eastAsia="nl-NL"/>
        </w:rPr>
        <w:t xml:space="preserve"> </w:t>
      </w:r>
      <w:r w:rsidR="00AF7FA4">
        <w:rPr>
          <w:rFonts w:ascii="Verdana" w:eastAsia="Times New Roman" w:hAnsi="Verdana"/>
          <w:sz w:val="18"/>
          <w:szCs w:val="18"/>
          <w:lang w:eastAsia="nl-NL"/>
        </w:rPr>
        <w:t>volgens Groenendijk en V</w:t>
      </w:r>
      <w:r w:rsidR="000561A0">
        <w:rPr>
          <w:rFonts w:ascii="Verdana" w:eastAsia="Times New Roman" w:hAnsi="Verdana"/>
          <w:sz w:val="18"/>
          <w:szCs w:val="18"/>
          <w:lang w:eastAsia="nl-NL"/>
        </w:rPr>
        <w:t>an Riel het U</w:t>
      </w:r>
      <w:r w:rsidR="00B34205">
        <w:rPr>
          <w:rFonts w:ascii="Verdana" w:eastAsia="Times New Roman" w:hAnsi="Verdana"/>
          <w:sz w:val="18"/>
          <w:szCs w:val="18"/>
          <w:lang w:eastAsia="nl-NL"/>
        </w:rPr>
        <w:t>nierecht ook van toepassing</w:t>
      </w:r>
      <w:r w:rsidR="009E487C">
        <w:rPr>
          <w:rFonts w:ascii="Verdana" w:eastAsia="Times New Roman" w:hAnsi="Verdana"/>
          <w:sz w:val="18"/>
          <w:szCs w:val="18"/>
          <w:lang w:eastAsia="nl-NL"/>
        </w:rPr>
        <w:t xml:space="preserve">, </w:t>
      </w:r>
      <w:r w:rsidR="000561A0">
        <w:rPr>
          <w:rFonts w:ascii="Verdana" w:eastAsia="Times New Roman" w:hAnsi="Verdana"/>
          <w:sz w:val="18"/>
          <w:szCs w:val="18"/>
          <w:lang w:eastAsia="nl-NL"/>
        </w:rPr>
        <w:t xml:space="preserve">hetgeen alsnog een volle toetsing </w:t>
      </w:r>
      <w:r w:rsidR="00B34205">
        <w:rPr>
          <w:rFonts w:ascii="Verdana" w:eastAsia="Times New Roman" w:hAnsi="Verdana"/>
          <w:sz w:val="18"/>
          <w:szCs w:val="18"/>
          <w:lang w:eastAsia="nl-NL"/>
        </w:rPr>
        <w:t>impliceert.</w:t>
      </w:r>
      <w:r w:rsidR="000561A0">
        <w:rPr>
          <w:rFonts w:ascii="Verdana" w:eastAsia="Times New Roman" w:hAnsi="Verdana"/>
          <w:sz w:val="18"/>
          <w:szCs w:val="18"/>
          <w:lang w:eastAsia="nl-NL"/>
        </w:rPr>
        <w:t xml:space="preserve"> </w:t>
      </w:r>
    </w:p>
    <w:p w14:paraId="3297F3D9" w14:textId="42108EF3" w:rsidR="009E487C" w:rsidRDefault="0022120D" w:rsidP="000561A0">
      <w:pPr>
        <w:spacing w:line="360" w:lineRule="auto"/>
        <w:jc w:val="both"/>
        <w:rPr>
          <w:rFonts w:ascii="Verdana" w:eastAsia="Times New Roman" w:hAnsi="Verdana"/>
          <w:sz w:val="18"/>
          <w:szCs w:val="18"/>
          <w:lang w:eastAsia="nl-NL"/>
        </w:rPr>
      </w:pPr>
      <w:r>
        <w:rPr>
          <w:rFonts w:ascii="Verdana" w:eastAsia="Times New Roman" w:hAnsi="Verdana"/>
          <w:sz w:val="18"/>
          <w:szCs w:val="18"/>
          <w:lang w:eastAsia="nl-NL"/>
        </w:rPr>
        <w:t xml:space="preserve">Volgens hen blijkt dit onder meer uit artikel 20 lid 1 onder c Vw 2000, waarin is bepaald dat na de intrekking van een status langdurig ingezetene op grond van de openbare orde, er ambtshalve </w:t>
      </w:r>
      <w:r w:rsidR="00872E91">
        <w:rPr>
          <w:rFonts w:ascii="Verdana" w:eastAsia="Times New Roman" w:hAnsi="Verdana"/>
          <w:sz w:val="18"/>
          <w:szCs w:val="18"/>
          <w:lang w:eastAsia="nl-NL"/>
        </w:rPr>
        <w:t>een nationale verblijfsvergunning voor onbepaalde tijd verleend kan worden.</w:t>
      </w:r>
      <w:r w:rsidR="006A7034">
        <w:rPr>
          <w:rFonts w:ascii="Verdana" w:eastAsia="Times New Roman" w:hAnsi="Verdana"/>
          <w:sz w:val="18"/>
          <w:szCs w:val="18"/>
          <w:lang w:eastAsia="nl-NL"/>
        </w:rPr>
        <w:t xml:space="preserve"> Voornoemde bepaling is een omzetting van artikel 9</w:t>
      </w:r>
      <w:r w:rsidR="00AF7FA4">
        <w:rPr>
          <w:rFonts w:ascii="Verdana" w:eastAsia="Times New Roman" w:hAnsi="Verdana"/>
          <w:sz w:val="18"/>
          <w:szCs w:val="18"/>
          <w:lang w:eastAsia="nl-NL"/>
        </w:rPr>
        <w:t xml:space="preserve"> Richtlijn langdurig ingezetene, waardoor volgens Groenendijk en Van Riel</w:t>
      </w:r>
      <w:r w:rsidR="0067052C">
        <w:rPr>
          <w:rFonts w:ascii="Verdana" w:eastAsia="Times New Roman" w:hAnsi="Verdana"/>
          <w:sz w:val="18"/>
          <w:szCs w:val="18"/>
          <w:lang w:eastAsia="nl-NL"/>
        </w:rPr>
        <w:t xml:space="preserve"> het Unierecht van toepassing is.</w:t>
      </w:r>
      <w:r w:rsidR="00240F9B">
        <w:rPr>
          <w:rStyle w:val="Voetnootmarkering"/>
          <w:rFonts w:ascii="Verdana" w:eastAsia="Times New Roman" w:hAnsi="Verdana"/>
          <w:sz w:val="18"/>
          <w:szCs w:val="18"/>
          <w:lang w:eastAsia="nl-NL"/>
        </w:rPr>
        <w:footnoteReference w:id="87"/>
      </w:r>
      <w:r w:rsidR="00C5510C">
        <w:rPr>
          <w:rFonts w:ascii="Verdana" w:eastAsia="Times New Roman" w:hAnsi="Verdana"/>
          <w:sz w:val="18"/>
          <w:szCs w:val="18"/>
          <w:lang w:eastAsia="nl-NL"/>
        </w:rPr>
        <w:t xml:space="preserve"> Het HvJEU heeft zich </w:t>
      </w:r>
      <w:r w:rsidR="001A6363">
        <w:rPr>
          <w:rFonts w:ascii="Verdana" w:eastAsia="Times New Roman" w:hAnsi="Verdana"/>
          <w:sz w:val="18"/>
          <w:szCs w:val="18"/>
          <w:lang w:eastAsia="nl-NL"/>
        </w:rPr>
        <w:t xml:space="preserve">hierover </w:t>
      </w:r>
      <w:r w:rsidR="00A6627C">
        <w:rPr>
          <w:rFonts w:ascii="Verdana" w:eastAsia="Times New Roman" w:hAnsi="Verdana"/>
          <w:sz w:val="18"/>
          <w:szCs w:val="18"/>
          <w:lang w:eastAsia="nl-NL"/>
        </w:rPr>
        <w:t xml:space="preserve">helaas </w:t>
      </w:r>
      <w:r w:rsidR="007E5FCF">
        <w:rPr>
          <w:rFonts w:ascii="Verdana" w:eastAsia="Times New Roman" w:hAnsi="Verdana"/>
          <w:sz w:val="18"/>
          <w:szCs w:val="18"/>
          <w:lang w:eastAsia="nl-NL"/>
        </w:rPr>
        <w:t xml:space="preserve">nog niet uitgelaten. </w:t>
      </w:r>
    </w:p>
    <w:p w14:paraId="3EF8FD27" w14:textId="76D64D36" w:rsidR="000561A0" w:rsidRDefault="00597FF7" w:rsidP="008C09E3">
      <w:pPr>
        <w:spacing w:line="360" w:lineRule="auto"/>
        <w:jc w:val="both"/>
        <w:rPr>
          <w:rFonts w:ascii="Verdana" w:eastAsia="Times New Roman" w:hAnsi="Verdana"/>
          <w:sz w:val="18"/>
          <w:szCs w:val="18"/>
          <w:lang w:eastAsia="nl-NL"/>
        </w:rPr>
      </w:pPr>
      <w:r>
        <w:rPr>
          <w:rFonts w:ascii="Verdana" w:eastAsia="Times New Roman" w:hAnsi="Verdana"/>
          <w:sz w:val="18"/>
          <w:szCs w:val="18"/>
          <w:lang w:eastAsia="nl-NL"/>
        </w:rPr>
        <w:t>Ten aanzien van de verblijfsvergunning asiel voor onbepaalde tijd is het Unierecht volgens Groenendijk en Van Riel ook van toepassing. Reden is dat de verlening van voornoemde vergunning een uitvoering is van artikel 3 van de Definitierichtlijn</w:t>
      </w:r>
      <w:r>
        <w:rPr>
          <w:rStyle w:val="Voetnootmarkering"/>
          <w:rFonts w:ascii="Verdana" w:eastAsia="Times New Roman" w:hAnsi="Verdana"/>
          <w:sz w:val="18"/>
          <w:szCs w:val="18"/>
          <w:lang w:eastAsia="nl-NL"/>
        </w:rPr>
        <w:footnoteReference w:id="88"/>
      </w:r>
      <w:r w:rsidR="00FB20AA">
        <w:rPr>
          <w:rFonts w:ascii="Verdana" w:eastAsia="Times New Roman" w:hAnsi="Verdana"/>
          <w:sz w:val="18"/>
          <w:szCs w:val="18"/>
          <w:lang w:eastAsia="nl-NL"/>
        </w:rPr>
        <w:t>, welke</w:t>
      </w:r>
      <w:r w:rsidR="00DF269C">
        <w:rPr>
          <w:rFonts w:ascii="Verdana" w:eastAsia="Times New Roman" w:hAnsi="Verdana"/>
          <w:sz w:val="18"/>
          <w:szCs w:val="18"/>
          <w:lang w:eastAsia="nl-NL"/>
        </w:rPr>
        <w:t xml:space="preserve"> de </w:t>
      </w:r>
      <w:r w:rsidR="00FB20AA">
        <w:rPr>
          <w:rFonts w:ascii="Verdana" w:eastAsia="Times New Roman" w:hAnsi="Verdana"/>
          <w:sz w:val="18"/>
          <w:szCs w:val="18"/>
          <w:lang w:eastAsia="nl-NL"/>
        </w:rPr>
        <w:t>lidstaten</w:t>
      </w:r>
      <w:r w:rsidR="00DF269C">
        <w:rPr>
          <w:rFonts w:ascii="Verdana" w:eastAsia="Times New Roman" w:hAnsi="Verdana"/>
          <w:sz w:val="18"/>
          <w:szCs w:val="18"/>
          <w:lang w:eastAsia="nl-NL"/>
        </w:rPr>
        <w:t xml:space="preserve"> toestemming verleent </w:t>
      </w:r>
      <w:r w:rsidR="00FB20AA">
        <w:rPr>
          <w:rFonts w:ascii="Verdana" w:eastAsia="Times New Roman" w:hAnsi="Verdana"/>
          <w:sz w:val="18"/>
          <w:szCs w:val="18"/>
          <w:lang w:eastAsia="nl-NL"/>
        </w:rPr>
        <w:t>om gunstiger bepalingen omtrent d</w:t>
      </w:r>
      <w:r w:rsidR="00DF269C">
        <w:rPr>
          <w:rFonts w:ascii="Verdana" w:eastAsia="Times New Roman" w:hAnsi="Verdana"/>
          <w:sz w:val="18"/>
          <w:szCs w:val="18"/>
          <w:lang w:eastAsia="nl-NL"/>
        </w:rPr>
        <w:t>e inhoud van de internationale bescherming vast te stellen</w:t>
      </w:r>
      <w:r w:rsidR="00FB20AA">
        <w:rPr>
          <w:rFonts w:ascii="Verdana" w:eastAsia="Times New Roman" w:hAnsi="Verdana"/>
          <w:sz w:val="18"/>
          <w:szCs w:val="18"/>
          <w:lang w:eastAsia="nl-NL"/>
        </w:rPr>
        <w:t>, mits deze compatibel zijn met de Definitierichtlijn.</w:t>
      </w:r>
      <w:r w:rsidR="00FB20AA">
        <w:rPr>
          <w:rStyle w:val="Voetnootmarkering"/>
          <w:rFonts w:ascii="Verdana" w:eastAsia="Times New Roman" w:hAnsi="Verdana"/>
          <w:sz w:val="18"/>
          <w:szCs w:val="18"/>
          <w:lang w:eastAsia="nl-NL"/>
        </w:rPr>
        <w:footnoteReference w:id="89"/>
      </w:r>
      <w:r w:rsidR="007C42C7">
        <w:rPr>
          <w:rFonts w:ascii="Verdana" w:eastAsia="Times New Roman" w:hAnsi="Verdana"/>
          <w:sz w:val="18"/>
          <w:szCs w:val="18"/>
          <w:lang w:eastAsia="nl-NL"/>
        </w:rPr>
        <w:t xml:space="preserve"> Deze nationale maatregelen mogen vanzelfsprekend niet in strijd zijn met het U</w:t>
      </w:r>
      <w:r w:rsidR="00975E87">
        <w:rPr>
          <w:rFonts w:ascii="Verdana" w:eastAsia="Times New Roman" w:hAnsi="Verdana"/>
          <w:sz w:val="18"/>
          <w:szCs w:val="18"/>
          <w:lang w:eastAsia="nl-NL"/>
        </w:rPr>
        <w:t xml:space="preserve">nierecht, waardoor de intrekking, niet-verlenging of weigering </w:t>
      </w:r>
      <w:r w:rsidR="007C42C7">
        <w:rPr>
          <w:rFonts w:ascii="Verdana" w:eastAsia="Times New Roman" w:hAnsi="Verdana"/>
          <w:sz w:val="18"/>
          <w:szCs w:val="18"/>
          <w:lang w:eastAsia="nl-NL"/>
        </w:rPr>
        <w:t>van de verblijfsvergunning asiel voor onbepaalde tijd ook valt onder het Unierecht.</w:t>
      </w:r>
      <w:r w:rsidR="007C42C7">
        <w:rPr>
          <w:rStyle w:val="Voetnootmarkering"/>
          <w:rFonts w:ascii="Verdana" w:eastAsia="Times New Roman" w:hAnsi="Verdana"/>
          <w:sz w:val="18"/>
          <w:szCs w:val="18"/>
          <w:lang w:eastAsia="nl-NL"/>
        </w:rPr>
        <w:footnoteReference w:id="90"/>
      </w:r>
    </w:p>
    <w:p w14:paraId="667D351A" w14:textId="088073B3" w:rsidR="009A5503" w:rsidRDefault="00D31A31" w:rsidP="008C09E3">
      <w:pPr>
        <w:spacing w:line="360" w:lineRule="auto"/>
        <w:jc w:val="both"/>
        <w:rPr>
          <w:rFonts w:ascii="Verdana" w:eastAsia="Times New Roman" w:hAnsi="Verdana"/>
          <w:sz w:val="18"/>
          <w:szCs w:val="18"/>
          <w:lang w:eastAsia="nl-NL"/>
        </w:rPr>
      </w:pPr>
      <w:r>
        <w:rPr>
          <w:rFonts w:ascii="Verdana" w:eastAsia="Times New Roman" w:hAnsi="Verdana"/>
          <w:sz w:val="18"/>
          <w:szCs w:val="18"/>
          <w:lang w:eastAsia="nl-NL"/>
        </w:rPr>
        <w:t>Voor de volledigheid</w:t>
      </w:r>
      <w:r w:rsidR="008C09E3">
        <w:rPr>
          <w:rFonts w:ascii="Verdana" w:eastAsia="Times New Roman" w:hAnsi="Verdana"/>
          <w:sz w:val="18"/>
          <w:szCs w:val="18"/>
          <w:lang w:eastAsia="nl-NL"/>
        </w:rPr>
        <w:t xml:space="preserve"> wordt opgemerkt dat het EHRM in de klachtprocedure ook een volle toets hanteert. Zij doen eigenmachtig en grondig onderzoek naar alle relevante feiten en omstandigheden. </w:t>
      </w:r>
      <w:r w:rsidR="00FD4342">
        <w:rPr>
          <w:rFonts w:ascii="Verdana" w:eastAsia="Times New Roman" w:hAnsi="Verdana"/>
          <w:sz w:val="18"/>
          <w:szCs w:val="18"/>
          <w:lang w:eastAsia="nl-NL"/>
        </w:rPr>
        <w:t xml:space="preserve">Hierdoor zou het voor de hand liggen dat de bestuursrechter deze toets eveneens hanteert. </w:t>
      </w:r>
      <w:r w:rsidR="008C09E3">
        <w:rPr>
          <w:rFonts w:ascii="Verdana" w:eastAsia="Times New Roman" w:hAnsi="Verdana"/>
          <w:sz w:val="18"/>
          <w:szCs w:val="18"/>
          <w:lang w:eastAsia="nl-NL"/>
        </w:rPr>
        <w:t>Het EHRM heeft zich in diverse arresten</w:t>
      </w:r>
      <w:r w:rsidR="008C09E3">
        <w:rPr>
          <w:rStyle w:val="Voetnootmarkering"/>
          <w:rFonts w:ascii="Verdana" w:eastAsia="Times New Roman" w:hAnsi="Verdana"/>
          <w:sz w:val="18"/>
          <w:szCs w:val="18"/>
          <w:lang w:eastAsia="nl-NL"/>
        </w:rPr>
        <w:footnoteReference w:id="91"/>
      </w:r>
      <w:r w:rsidR="008C09E3">
        <w:rPr>
          <w:rFonts w:ascii="Verdana" w:eastAsia="Times New Roman" w:hAnsi="Verdana"/>
          <w:sz w:val="18"/>
          <w:szCs w:val="18"/>
          <w:lang w:eastAsia="nl-NL"/>
        </w:rPr>
        <w:t xml:space="preserve"> uitgelaten over het feit dat zij ontevreden zijn met de marginale toetsingswijze van de nationale rechter in zaken waar het Unierecht van toepassing is.</w:t>
      </w:r>
    </w:p>
    <w:p w14:paraId="4C8BF2E6" w14:textId="141D8AED" w:rsidR="00974981" w:rsidRPr="00974981" w:rsidRDefault="009A5503" w:rsidP="00974981">
      <w:pPr>
        <w:spacing w:line="360" w:lineRule="auto"/>
        <w:jc w:val="both"/>
        <w:rPr>
          <w:rFonts w:ascii="Verdana" w:eastAsia="Times New Roman" w:hAnsi="Verdana"/>
          <w:i/>
          <w:sz w:val="18"/>
          <w:szCs w:val="18"/>
          <w:lang w:eastAsia="nl-NL"/>
        </w:rPr>
      </w:pPr>
      <w:r>
        <w:rPr>
          <w:rFonts w:ascii="Verdana" w:eastAsia="Times New Roman" w:hAnsi="Verdana"/>
          <w:i/>
          <w:sz w:val="18"/>
          <w:szCs w:val="18"/>
          <w:lang w:eastAsia="nl-NL"/>
        </w:rPr>
        <w:br/>
      </w:r>
      <w:r w:rsidR="00F9677C">
        <w:rPr>
          <w:rFonts w:ascii="Verdana" w:eastAsia="Times New Roman" w:hAnsi="Verdana"/>
          <w:i/>
          <w:sz w:val="18"/>
          <w:szCs w:val="18"/>
          <w:lang w:eastAsia="nl-NL"/>
        </w:rPr>
        <w:t>2.4.4</w:t>
      </w:r>
      <w:r w:rsidR="00974981">
        <w:rPr>
          <w:rFonts w:ascii="Verdana" w:eastAsia="Times New Roman" w:hAnsi="Verdana"/>
          <w:i/>
          <w:sz w:val="18"/>
          <w:szCs w:val="18"/>
          <w:lang w:eastAsia="nl-NL"/>
        </w:rPr>
        <w:t xml:space="preserve"> Deelconclusie derde deelvraag</w:t>
      </w:r>
    </w:p>
    <w:p w14:paraId="169FD9E3" w14:textId="7E6EF922" w:rsidR="00610B4F" w:rsidRDefault="004E27B0" w:rsidP="00974981">
      <w:pPr>
        <w:spacing w:line="360" w:lineRule="auto"/>
        <w:jc w:val="both"/>
        <w:rPr>
          <w:rFonts w:ascii="Verdana" w:eastAsia="Times New Roman" w:hAnsi="Verdana"/>
          <w:sz w:val="18"/>
          <w:szCs w:val="18"/>
          <w:lang w:eastAsia="nl-NL"/>
        </w:rPr>
      </w:pPr>
      <w:r>
        <w:rPr>
          <w:rFonts w:ascii="Verdana" w:eastAsia="Times New Roman" w:hAnsi="Verdana"/>
          <w:sz w:val="18"/>
          <w:szCs w:val="18"/>
          <w:lang w:eastAsia="nl-NL"/>
        </w:rPr>
        <w:t xml:space="preserve">Concluderend zijn </w:t>
      </w:r>
      <w:r w:rsidR="00497BB8">
        <w:rPr>
          <w:rFonts w:ascii="Verdana" w:eastAsia="Times New Roman" w:hAnsi="Verdana"/>
          <w:sz w:val="18"/>
          <w:szCs w:val="18"/>
          <w:lang w:eastAsia="nl-NL"/>
        </w:rPr>
        <w:t xml:space="preserve">voor dit onderzoek </w:t>
      </w:r>
      <w:r>
        <w:rPr>
          <w:rFonts w:ascii="Verdana" w:eastAsia="Times New Roman" w:hAnsi="Verdana"/>
          <w:sz w:val="18"/>
          <w:szCs w:val="18"/>
          <w:lang w:eastAsia="nl-NL"/>
        </w:rPr>
        <w:t xml:space="preserve">de </w:t>
      </w:r>
      <w:r w:rsidR="00497BB8">
        <w:rPr>
          <w:rFonts w:ascii="Verdana" w:eastAsia="Times New Roman" w:hAnsi="Verdana"/>
          <w:sz w:val="18"/>
          <w:szCs w:val="18"/>
          <w:lang w:eastAsia="nl-NL"/>
        </w:rPr>
        <w:t xml:space="preserve">meest </w:t>
      </w:r>
      <w:r w:rsidR="00974981" w:rsidRPr="00B23C29">
        <w:rPr>
          <w:rFonts w:ascii="Verdana" w:eastAsia="Times New Roman" w:hAnsi="Verdana"/>
          <w:sz w:val="18"/>
          <w:szCs w:val="18"/>
          <w:lang w:eastAsia="nl-NL"/>
        </w:rPr>
        <w:t xml:space="preserve">effectieve rechtsmiddelen: </w:t>
      </w:r>
      <w:r w:rsidR="00C93CA0">
        <w:rPr>
          <w:rFonts w:ascii="Verdana" w:eastAsia="Times New Roman" w:hAnsi="Verdana"/>
          <w:sz w:val="18"/>
          <w:szCs w:val="18"/>
          <w:lang w:eastAsia="nl-NL"/>
        </w:rPr>
        <w:t xml:space="preserve">de zienswijzeprocedure, </w:t>
      </w:r>
      <w:r w:rsidR="00974981" w:rsidRPr="00B23C29">
        <w:rPr>
          <w:rFonts w:ascii="Verdana" w:eastAsia="Times New Roman" w:hAnsi="Verdana"/>
          <w:sz w:val="18"/>
          <w:szCs w:val="18"/>
          <w:lang w:eastAsia="nl-NL"/>
        </w:rPr>
        <w:t>be</w:t>
      </w:r>
      <w:r w:rsidR="00687524">
        <w:rPr>
          <w:rFonts w:ascii="Verdana" w:eastAsia="Times New Roman" w:hAnsi="Verdana"/>
          <w:sz w:val="18"/>
          <w:szCs w:val="18"/>
          <w:lang w:eastAsia="nl-NL"/>
        </w:rPr>
        <w:t>zwaar en</w:t>
      </w:r>
      <w:r w:rsidR="00C93CA0">
        <w:rPr>
          <w:rFonts w:ascii="Verdana" w:eastAsia="Times New Roman" w:hAnsi="Verdana"/>
          <w:sz w:val="18"/>
          <w:szCs w:val="18"/>
          <w:lang w:eastAsia="nl-NL"/>
        </w:rPr>
        <w:t xml:space="preserve"> (hoger) beroep.</w:t>
      </w:r>
      <w:r w:rsidR="008D0402">
        <w:rPr>
          <w:rFonts w:ascii="Verdana" w:eastAsia="Times New Roman" w:hAnsi="Verdana"/>
          <w:sz w:val="18"/>
          <w:szCs w:val="18"/>
          <w:lang w:eastAsia="nl-NL"/>
        </w:rPr>
        <w:t xml:space="preserve"> Al deze rechtsmiddelen staan in verband met elkaar, aangezien zonder het naar voren brengen van een zienswijze of het maken van bezwaar, het niet mogelijk is om beroep in te stellen. </w:t>
      </w:r>
      <w:r w:rsidR="00D66764">
        <w:rPr>
          <w:rFonts w:ascii="Verdana" w:eastAsia="Times New Roman" w:hAnsi="Verdana"/>
          <w:sz w:val="18"/>
          <w:szCs w:val="18"/>
          <w:lang w:eastAsia="nl-NL"/>
        </w:rPr>
        <w:t>De beroepsprocedure lijkt in de huidige prakti</w:t>
      </w:r>
      <w:r>
        <w:rPr>
          <w:rFonts w:ascii="Verdana" w:eastAsia="Times New Roman" w:hAnsi="Verdana"/>
          <w:sz w:val="18"/>
          <w:szCs w:val="18"/>
          <w:lang w:eastAsia="nl-NL"/>
        </w:rPr>
        <w:t xml:space="preserve">jk echter het minst effectief, omdat de bestuursrechter geen procesbelang aanneemt ten aanzien </w:t>
      </w:r>
      <w:r w:rsidR="00D66764">
        <w:rPr>
          <w:rFonts w:ascii="Verdana" w:eastAsia="Times New Roman" w:hAnsi="Verdana"/>
          <w:sz w:val="18"/>
          <w:szCs w:val="18"/>
          <w:lang w:eastAsia="nl-NL"/>
        </w:rPr>
        <w:t xml:space="preserve">van de weigering, niet-verlenging of intrekking, waardoor de </w:t>
      </w:r>
      <w:r w:rsidR="00016F50">
        <w:rPr>
          <w:rFonts w:ascii="Verdana" w:eastAsia="Times New Roman" w:hAnsi="Verdana"/>
          <w:sz w:val="18"/>
          <w:szCs w:val="18"/>
          <w:lang w:eastAsia="nl-NL"/>
        </w:rPr>
        <w:t>bestuurs</w:t>
      </w:r>
      <w:r w:rsidR="00D66764">
        <w:rPr>
          <w:rFonts w:ascii="Verdana" w:eastAsia="Times New Roman" w:hAnsi="Verdana"/>
          <w:sz w:val="18"/>
          <w:szCs w:val="18"/>
          <w:lang w:eastAsia="nl-NL"/>
        </w:rPr>
        <w:t xml:space="preserve">rechter niet aan een inhoudelijke (volle) </w:t>
      </w:r>
      <w:r w:rsidR="008A4655">
        <w:rPr>
          <w:rFonts w:ascii="Verdana" w:eastAsia="Times New Roman" w:hAnsi="Verdana"/>
          <w:sz w:val="18"/>
          <w:szCs w:val="18"/>
          <w:lang w:eastAsia="nl-NL"/>
        </w:rPr>
        <w:t>beoordeling toekomt.</w:t>
      </w:r>
    </w:p>
    <w:p w14:paraId="796247DD" w14:textId="77777777" w:rsidR="00546070" w:rsidRDefault="00546070" w:rsidP="00974981">
      <w:pPr>
        <w:spacing w:line="360" w:lineRule="auto"/>
        <w:jc w:val="both"/>
        <w:rPr>
          <w:rFonts w:ascii="Verdana" w:eastAsia="Times New Roman" w:hAnsi="Verdana"/>
          <w:sz w:val="18"/>
          <w:szCs w:val="18"/>
          <w:lang w:eastAsia="nl-NL"/>
        </w:rPr>
      </w:pPr>
    </w:p>
    <w:p w14:paraId="41AC2959" w14:textId="102A2579" w:rsidR="00D82C0D" w:rsidRDefault="001D291B" w:rsidP="00D82C0D">
      <w:pPr>
        <w:pBdr>
          <w:bottom w:val="single" w:sz="4" w:space="1" w:color="auto"/>
        </w:pBdr>
        <w:spacing w:line="360" w:lineRule="auto"/>
        <w:jc w:val="both"/>
        <w:rPr>
          <w:rFonts w:ascii="Verdana" w:eastAsia="Times New Roman" w:hAnsi="Verdana"/>
          <w:i/>
          <w:sz w:val="18"/>
          <w:szCs w:val="18"/>
          <w:lang w:eastAsia="nl-NL"/>
        </w:rPr>
      </w:pPr>
      <w:r>
        <w:rPr>
          <w:rFonts w:ascii="Verdana" w:eastAsia="Times New Roman" w:hAnsi="Verdana"/>
          <w:i/>
          <w:sz w:val="18"/>
          <w:szCs w:val="18"/>
          <w:lang w:eastAsia="nl-NL"/>
        </w:rPr>
        <w:lastRenderedPageBreak/>
        <w:t>2.5 De strafrechtelijke vervolging voor onrechtmatig verblijf</w:t>
      </w:r>
    </w:p>
    <w:p w14:paraId="7BE8C7CD" w14:textId="226D9DFD" w:rsidR="00EA4FF7" w:rsidRDefault="00D82C0D" w:rsidP="00FF12E9">
      <w:pPr>
        <w:spacing w:line="360" w:lineRule="auto"/>
        <w:jc w:val="both"/>
        <w:rPr>
          <w:rFonts w:ascii="Verdana" w:hAnsi="Verdana"/>
          <w:sz w:val="18"/>
          <w:szCs w:val="18"/>
        </w:rPr>
      </w:pPr>
      <w:r>
        <w:rPr>
          <w:rFonts w:ascii="Verdana" w:hAnsi="Verdana"/>
          <w:sz w:val="18"/>
          <w:szCs w:val="18"/>
        </w:rPr>
        <w:br/>
      </w:r>
      <w:r w:rsidR="00E27B00">
        <w:rPr>
          <w:rFonts w:ascii="Verdana" w:hAnsi="Verdana"/>
          <w:sz w:val="18"/>
          <w:szCs w:val="18"/>
        </w:rPr>
        <w:t>In het eerste paragraaf</w:t>
      </w:r>
      <w:r>
        <w:rPr>
          <w:rFonts w:ascii="Verdana" w:hAnsi="Verdana"/>
          <w:sz w:val="18"/>
          <w:szCs w:val="18"/>
        </w:rPr>
        <w:t xml:space="preserve"> is besproken dat het doel van de Terugkeerrichtlijn is om een gemeenschappelijk en doeltreffend verwijderings- en terugkeerbeleid te verwezenlijken. De Terugkeerrichtlijn bevat echter geen bepalingen omtrent het gebruik van het strafrecht ter waarborging van dit doel. De Nederlandse wetgever heeft ervoor gekozen om niet iedere vorm van onrechtmatig verblijf strafbaar te stellen, maar slechts het verblijf in weerwil van een inreisverbod of een oude ongewenstverklaring die gelijkgesteld wordt met een inreisverbod. Het illegaal verblijf als zodanig is derhalve niet strafbaar geste</w:t>
      </w:r>
      <w:r w:rsidR="00FF12E9">
        <w:rPr>
          <w:rFonts w:ascii="Verdana" w:hAnsi="Verdana"/>
          <w:sz w:val="18"/>
          <w:szCs w:val="18"/>
        </w:rPr>
        <w:t xml:space="preserve">ld in de Nederlandse wetgeving. </w:t>
      </w:r>
    </w:p>
    <w:p w14:paraId="67B436C1" w14:textId="6252AACE" w:rsidR="00FF12E9" w:rsidRDefault="00BD6DDA" w:rsidP="00FF12E9">
      <w:pPr>
        <w:spacing w:line="360" w:lineRule="auto"/>
        <w:jc w:val="both"/>
        <w:rPr>
          <w:rFonts w:ascii="Verdana" w:hAnsi="Verdana"/>
          <w:i/>
          <w:sz w:val="18"/>
          <w:szCs w:val="18"/>
        </w:rPr>
      </w:pPr>
      <w:r>
        <w:rPr>
          <w:rFonts w:ascii="Verdana" w:hAnsi="Verdana"/>
          <w:i/>
          <w:sz w:val="18"/>
          <w:szCs w:val="18"/>
        </w:rPr>
        <w:br/>
      </w:r>
      <w:r w:rsidR="00FF12E9">
        <w:rPr>
          <w:rFonts w:ascii="Verdana" w:hAnsi="Verdana"/>
          <w:i/>
          <w:sz w:val="18"/>
          <w:szCs w:val="18"/>
        </w:rPr>
        <w:t>2.5.1 De huidige strafbepalingen</w:t>
      </w:r>
    </w:p>
    <w:p w14:paraId="07A565FB" w14:textId="60D42D92" w:rsidR="00FF12E9" w:rsidRDefault="00FF12E9" w:rsidP="00FF12E9">
      <w:pPr>
        <w:spacing w:line="360" w:lineRule="auto"/>
        <w:jc w:val="both"/>
        <w:rPr>
          <w:rFonts w:ascii="Verdana" w:eastAsia="Times New Roman" w:hAnsi="Verdana"/>
          <w:sz w:val="18"/>
          <w:szCs w:val="18"/>
          <w:lang w:eastAsia="nl-NL"/>
        </w:rPr>
      </w:pPr>
      <w:r>
        <w:rPr>
          <w:rFonts w:ascii="Verdana" w:eastAsia="Times New Roman" w:hAnsi="Verdana"/>
          <w:sz w:val="18"/>
          <w:szCs w:val="18"/>
          <w:lang w:eastAsia="nl-NL"/>
        </w:rPr>
        <w:t>Mede in verband m</w:t>
      </w:r>
      <w:r w:rsidR="00965BEF">
        <w:rPr>
          <w:rFonts w:ascii="Verdana" w:eastAsia="Times New Roman" w:hAnsi="Verdana"/>
          <w:sz w:val="18"/>
          <w:szCs w:val="18"/>
          <w:lang w:eastAsia="nl-NL"/>
        </w:rPr>
        <w:t>et het beginsel van Unietrouw</w:t>
      </w:r>
      <w:r>
        <w:rPr>
          <w:rFonts w:ascii="Verdana" w:eastAsia="Times New Roman" w:hAnsi="Verdana"/>
          <w:sz w:val="18"/>
          <w:szCs w:val="18"/>
          <w:lang w:eastAsia="nl-NL"/>
        </w:rPr>
        <w:t>, zijn ter waarborging van het effect van de Terugkeerrichtlijn twee strafbepalingen opgenomen in de Nederlandse wetgeving.</w:t>
      </w:r>
      <w:r>
        <w:rPr>
          <w:rStyle w:val="Voetnootmarkering"/>
          <w:rFonts w:ascii="Verdana" w:eastAsia="Times New Roman" w:hAnsi="Verdana"/>
          <w:sz w:val="18"/>
          <w:szCs w:val="18"/>
          <w:lang w:eastAsia="nl-NL"/>
        </w:rPr>
        <w:footnoteReference w:id="92"/>
      </w:r>
      <w:r>
        <w:rPr>
          <w:rFonts w:ascii="Verdana" w:eastAsia="Times New Roman" w:hAnsi="Verdana"/>
          <w:sz w:val="18"/>
          <w:szCs w:val="18"/>
          <w:lang w:eastAsia="nl-NL"/>
        </w:rPr>
        <w:t xml:space="preserve"> De Afdeling Advisering van de Raad van State heeft te kennen gegeven dat de strafbaarstelling slechts een aanvulling dient te zijn op de instrumenten die de Terugkeerrichtlijn reeds voorschrijft en dat het als ultimum remedium toegepast dient te worden.</w:t>
      </w:r>
      <w:r>
        <w:rPr>
          <w:rStyle w:val="Voetnootmarkering"/>
          <w:rFonts w:ascii="Verdana" w:eastAsia="Times New Roman" w:hAnsi="Verdana"/>
          <w:sz w:val="18"/>
          <w:szCs w:val="18"/>
          <w:lang w:eastAsia="nl-NL"/>
        </w:rPr>
        <w:footnoteReference w:id="93"/>
      </w:r>
    </w:p>
    <w:p w14:paraId="6F45F5D1" w14:textId="3F8A9A9E" w:rsidR="00FF12E9" w:rsidRDefault="00FF12E9" w:rsidP="00FF12E9">
      <w:pPr>
        <w:spacing w:line="360" w:lineRule="auto"/>
        <w:jc w:val="both"/>
        <w:rPr>
          <w:rFonts w:ascii="Verdana" w:eastAsia="Times New Roman" w:hAnsi="Verdana"/>
          <w:sz w:val="18"/>
          <w:szCs w:val="18"/>
          <w:lang w:eastAsia="nl-NL"/>
        </w:rPr>
      </w:pPr>
      <w:r>
        <w:rPr>
          <w:rFonts w:ascii="Verdana" w:eastAsia="Times New Roman" w:hAnsi="Verdana"/>
          <w:sz w:val="18"/>
          <w:szCs w:val="18"/>
          <w:lang w:eastAsia="nl-NL"/>
        </w:rPr>
        <w:t>In de strafbepalingen wordt een duidelijk onderscheid gemaakt tussen een licht en een zwaar inreisverbod. Ten eerste is in artikel 108 lid 1 en lid 6 Vw 2000 bepaald dat het verblijf in weerwil van een</w:t>
      </w:r>
      <w:r w:rsidRPr="000A6AD8">
        <w:rPr>
          <w:rFonts w:ascii="Verdana" w:eastAsia="Times New Roman" w:hAnsi="Verdana"/>
          <w:sz w:val="18"/>
          <w:szCs w:val="18"/>
          <w:lang w:eastAsia="nl-NL"/>
        </w:rPr>
        <w:t xml:space="preserve"> licht</w:t>
      </w:r>
      <w:r>
        <w:rPr>
          <w:rFonts w:ascii="Verdana" w:eastAsia="Times New Roman" w:hAnsi="Verdana"/>
          <w:sz w:val="18"/>
          <w:szCs w:val="18"/>
          <w:lang w:eastAsia="nl-NL"/>
        </w:rPr>
        <w:t xml:space="preserve"> inreisverbod een overtreding oplevert, waartegen hechtenis van ten hoogste zes maanden op staat, dan wel een geldboete van ten hoogste </w:t>
      </w:r>
      <w:r w:rsidRPr="006D4C46">
        <w:rPr>
          <w:rFonts w:ascii="Verdana" w:eastAsia="Times New Roman" w:hAnsi="Verdana"/>
          <w:sz w:val="18"/>
          <w:szCs w:val="18"/>
          <w:lang w:eastAsia="nl-NL"/>
        </w:rPr>
        <w:t>€</w:t>
      </w:r>
      <w:r>
        <w:rPr>
          <w:rFonts w:ascii="Verdana" w:eastAsia="Times New Roman" w:hAnsi="Verdana"/>
          <w:sz w:val="18"/>
          <w:szCs w:val="18"/>
          <w:lang w:eastAsia="nl-NL"/>
        </w:rPr>
        <w:t xml:space="preserve"> 4.100,-. In de praktijk worden overtredingen van lichte inreisverboden echter niet vaak vervolgd</w:t>
      </w:r>
      <w:r w:rsidR="00E80A9F">
        <w:rPr>
          <w:rStyle w:val="Voetnootmarkering"/>
          <w:rFonts w:ascii="Verdana" w:eastAsia="Times New Roman" w:hAnsi="Verdana"/>
          <w:sz w:val="18"/>
          <w:szCs w:val="18"/>
          <w:lang w:eastAsia="nl-NL"/>
        </w:rPr>
        <w:footnoteReference w:id="94"/>
      </w:r>
      <w:r>
        <w:rPr>
          <w:rFonts w:ascii="Verdana" w:eastAsia="Times New Roman" w:hAnsi="Verdana"/>
          <w:sz w:val="18"/>
          <w:szCs w:val="18"/>
          <w:lang w:eastAsia="nl-NL"/>
        </w:rPr>
        <w:t xml:space="preserve">, waardoor hier in dit onderzoek geen verdere aandacht aan zal worden besteed. Ten tweede is in artikel 197 Sr bepaald dat het verblijf in weerwil van een ongewenstverklaring of een zwaar inreisverbod een misdrijf oplevert, waartegen een gevangenisstraf op staat van ten hoogste zes maanden, dan wel een geldboete van maximaal </w:t>
      </w:r>
      <w:r w:rsidRPr="006D4C46">
        <w:rPr>
          <w:rFonts w:ascii="Verdana" w:eastAsia="Times New Roman" w:hAnsi="Verdana"/>
          <w:sz w:val="18"/>
          <w:szCs w:val="18"/>
          <w:lang w:eastAsia="nl-NL"/>
        </w:rPr>
        <w:t>€</w:t>
      </w:r>
      <w:r>
        <w:rPr>
          <w:rFonts w:ascii="Verdana" w:eastAsia="Times New Roman" w:hAnsi="Verdana"/>
          <w:sz w:val="18"/>
          <w:szCs w:val="18"/>
          <w:lang w:eastAsia="nl-NL"/>
        </w:rPr>
        <w:t xml:space="preserve"> 8.200,-.</w:t>
      </w:r>
      <w:r>
        <w:rPr>
          <w:rStyle w:val="Voetnootmarkering"/>
          <w:rFonts w:ascii="Verdana" w:eastAsia="Times New Roman" w:hAnsi="Verdana"/>
          <w:sz w:val="18"/>
          <w:szCs w:val="18"/>
          <w:lang w:eastAsia="nl-NL"/>
        </w:rPr>
        <w:footnoteReference w:id="95"/>
      </w:r>
      <w:r>
        <w:rPr>
          <w:rFonts w:ascii="Verdana" w:eastAsia="Times New Roman" w:hAnsi="Verdana"/>
          <w:sz w:val="18"/>
          <w:szCs w:val="18"/>
          <w:lang w:eastAsia="nl-NL"/>
        </w:rPr>
        <w:t xml:space="preserve"> </w:t>
      </w:r>
    </w:p>
    <w:p w14:paraId="74900863" w14:textId="2AAC8C59" w:rsidR="00D6361F" w:rsidRDefault="00FF12E9" w:rsidP="006221C6">
      <w:pPr>
        <w:spacing w:line="360" w:lineRule="auto"/>
        <w:jc w:val="both"/>
        <w:rPr>
          <w:rFonts w:ascii="Verdana" w:eastAsia="Times New Roman" w:hAnsi="Verdana"/>
          <w:sz w:val="18"/>
          <w:szCs w:val="18"/>
          <w:lang w:eastAsia="nl-NL"/>
        </w:rPr>
      </w:pPr>
      <w:r>
        <w:rPr>
          <w:rFonts w:ascii="Verdana" w:eastAsia="Times New Roman" w:hAnsi="Verdana"/>
          <w:sz w:val="18"/>
          <w:szCs w:val="18"/>
          <w:lang w:eastAsia="nl-NL"/>
        </w:rPr>
        <w:t xml:space="preserve">Beide artikelen stellen het onrechtmatige verblijf al strafbaar op het moment dat de vreemdeling weet of ernstige reden heeft te vermoeden dat tegen hem een inreisverbod is uitgevaardigd of dat hij tot ongewenst vreemdeling is verklaard. </w:t>
      </w:r>
    </w:p>
    <w:p w14:paraId="50E59B06" w14:textId="2C471EE1" w:rsidR="006221C6" w:rsidRDefault="006221C6" w:rsidP="006221C6">
      <w:pPr>
        <w:spacing w:line="360" w:lineRule="auto"/>
        <w:jc w:val="both"/>
        <w:rPr>
          <w:rFonts w:ascii="Verdana" w:eastAsia="Times New Roman" w:hAnsi="Verdana"/>
          <w:i/>
          <w:sz w:val="18"/>
          <w:szCs w:val="18"/>
          <w:lang w:eastAsia="nl-NL"/>
        </w:rPr>
      </w:pPr>
      <w:r>
        <w:rPr>
          <w:rFonts w:ascii="Verdana" w:eastAsia="Times New Roman" w:hAnsi="Verdana"/>
          <w:sz w:val="18"/>
          <w:szCs w:val="18"/>
          <w:lang w:eastAsia="nl-NL"/>
        </w:rPr>
        <w:br/>
      </w:r>
      <w:r>
        <w:rPr>
          <w:rFonts w:ascii="Verdana" w:eastAsia="Times New Roman" w:hAnsi="Verdana"/>
          <w:i/>
          <w:sz w:val="18"/>
          <w:szCs w:val="18"/>
          <w:lang w:eastAsia="nl-NL"/>
        </w:rPr>
        <w:t>2.5.2 Toepassing</w:t>
      </w:r>
    </w:p>
    <w:p w14:paraId="7F9DC6BD" w14:textId="16490071" w:rsidR="009C2DEC" w:rsidRDefault="006221C6" w:rsidP="006221C6">
      <w:pPr>
        <w:spacing w:line="360" w:lineRule="auto"/>
        <w:jc w:val="both"/>
        <w:rPr>
          <w:rFonts w:ascii="Verdana" w:eastAsia="Times New Roman" w:hAnsi="Verdana"/>
          <w:sz w:val="18"/>
          <w:szCs w:val="18"/>
          <w:lang w:eastAsia="nl-NL"/>
        </w:rPr>
      </w:pPr>
      <w:r>
        <w:rPr>
          <w:rFonts w:ascii="Verdana" w:eastAsia="Times New Roman" w:hAnsi="Verdana"/>
          <w:sz w:val="18"/>
          <w:szCs w:val="18"/>
          <w:lang w:eastAsia="nl-NL"/>
        </w:rPr>
        <w:t xml:space="preserve">Ondanks dat de Terugkeerrichtlijn geen concrete bepalingen bevat omtrent het gebruik van het strafrecht ter waarborging van het doel van de richtlijn, heeft het HvJEU in een reeks uitspraken bepaald dat het opleggen van een onvoorwaardelijke gevangenisstaf als gevolg van een veroordeling op grond van artikel 197 Sr, in strijd is met de Terugkeerrichtlijn indien de stappen van </w:t>
      </w:r>
      <w:r>
        <w:rPr>
          <w:rFonts w:ascii="Verdana" w:eastAsia="Times New Roman" w:hAnsi="Verdana"/>
          <w:sz w:val="18"/>
          <w:szCs w:val="18"/>
          <w:lang w:eastAsia="nl-NL"/>
        </w:rPr>
        <w:lastRenderedPageBreak/>
        <w:t>terugkeerprocedure nog niet volledig zijn doorlopen.</w:t>
      </w:r>
      <w:r>
        <w:rPr>
          <w:rStyle w:val="Voetnootmarkering"/>
          <w:rFonts w:ascii="Verdana" w:eastAsia="Times New Roman" w:hAnsi="Verdana"/>
          <w:sz w:val="18"/>
          <w:szCs w:val="18"/>
          <w:lang w:eastAsia="nl-NL"/>
        </w:rPr>
        <w:footnoteReference w:id="96"/>
      </w:r>
      <w:r>
        <w:rPr>
          <w:rFonts w:ascii="Verdana" w:eastAsia="Times New Roman" w:hAnsi="Verdana"/>
          <w:sz w:val="18"/>
          <w:szCs w:val="18"/>
          <w:lang w:eastAsia="nl-NL"/>
        </w:rPr>
        <w:t xml:space="preserve"> </w:t>
      </w:r>
      <w:r w:rsidR="009C2DEC">
        <w:rPr>
          <w:rFonts w:ascii="Verdana" w:eastAsia="Times New Roman" w:hAnsi="Verdana"/>
          <w:sz w:val="18"/>
          <w:szCs w:val="18"/>
          <w:lang w:eastAsia="nl-NL"/>
        </w:rPr>
        <w:t>De tenuitvoerlegging van een gevangenisstraf zou de terugkeerprocedure namelijk kunnen belemmeren en de terugkeer daardoor kunnen vertragen.</w:t>
      </w:r>
      <w:r w:rsidR="009C2DEC">
        <w:rPr>
          <w:rStyle w:val="Voetnootmarkering"/>
          <w:rFonts w:ascii="Verdana" w:eastAsia="Times New Roman" w:hAnsi="Verdana"/>
          <w:sz w:val="18"/>
          <w:szCs w:val="18"/>
          <w:lang w:eastAsia="nl-NL"/>
        </w:rPr>
        <w:footnoteReference w:id="97"/>
      </w:r>
      <w:r w:rsidR="009C2DEC">
        <w:rPr>
          <w:rFonts w:ascii="Verdana" w:eastAsia="Times New Roman" w:hAnsi="Verdana"/>
          <w:sz w:val="18"/>
          <w:szCs w:val="18"/>
          <w:lang w:eastAsia="nl-NL"/>
        </w:rPr>
        <w:t xml:space="preserve"> Hierdoor zou afbreuk worden gedaan aan het nuttige effect van de Terugkeerrichtlijn.</w:t>
      </w:r>
      <w:r w:rsidR="009C2DEC">
        <w:rPr>
          <w:rStyle w:val="Voetnootmarkering"/>
          <w:rFonts w:ascii="Verdana" w:eastAsia="Times New Roman" w:hAnsi="Verdana"/>
          <w:sz w:val="18"/>
          <w:szCs w:val="18"/>
          <w:lang w:eastAsia="nl-NL"/>
        </w:rPr>
        <w:footnoteReference w:id="98"/>
      </w:r>
    </w:p>
    <w:p w14:paraId="1CCB6CA6" w14:textId="0A986670" w:rsidR="00387E72" w:rsidRDefault="00361E4D" w:rsidP="006221C6">
      <w:pPr>
        <w:spacing w:line="360" w:lineRule="auto"/>
        <w:jc w:val="both"/>
        <w:rPr>
          <w:rFonts w:ascii="Verdana" w:eastAsia="Times New Roman" w:hAnsi="Verdana"/>
          <w:sz w:val="18"/>
          <w:szCs w:val="18"/>
          <w:lang w:eastAsia="nl-NL"/>
        </w:rPr>
      </w:pPr>
      <w:r>
        <w:rPr>
          <w:rFonts w:ascii="Verdana" w:eastAsia="Times New Roman" w:hAnsi="Verdana"/>
          <w:sz w:val="18"/>
          <w:szCs w:val="18"/>
          <w:lang w:eastAsia="nl-NL"/>
        </w:rPr>
        <w:t xml:space="preserve">Door de Hoge Raad is bepaald dat voornoemde </w:t>
      </w:r>
      <w:r w:rsidR="006221C6">
        <w:rPr>
          <w:rFonts w:ascii="Verdana" w:eastAsia="Times New Roman" w:hAnsi="Verdana"/>
          <w:sz w:val="18"/>
          <w:szCs w:val="18"/>
          <w:lang w:eastAsia="nl-NL"/>
        </w:rPr>
        <w:t xml:space="preserve">in de strafrechtelijke procedure getoetst </w:t>
      </w:r>
      <w:r w:rsidR="00B96E33">
        <w:rPr>
          <w:rFonts w:ascii="Verdana" w:eastAsia="Times New Roman" w:hAnsi="Verdana"/>
          <w:sz w:val="18"/>
          <w:szCs w:val="18"/>
          <w:lang w:eastAsia="nl-NL"/>
        </w:rPr>
        <w:t>en gemotiveerd</w:t>
      </w:r>
      <w:r>
        <w:rPr>
          <w:rFonts w:ascii="Verdana" w:eastAsia="Times New Roman" w:hAnsi="Verdana"/>
          <w:sz w:val="18"/>
          <w:szCs w:val="18"/>
          <w:lang w:eastAsia="nl-NL"/>
        </w:rPr>
        <w:t xml:space="preserve"> dient</w:t>
      </w:r>
      <w:r w:rsidR="00B96E33">
        <w:rPr>
          <w:rFonts w:ascii="Verdana" w:eastAsia="Times New Roman" w:hAnsi="Verdana"/>
          <w:sz w:val="18"/>
          <w:szCs w:val="18"/>
          <w:lang w:eastAsia="nl-NL"/>
        </w:rPr>
        <w:t xml:space="preserve"> </w:t>
      </w:r>
      <w:r w:rsidR="006221C6">
        <w:rPr>
          <w:rFonts w:ascii="Verdana" w:eastAsia="Times New Roman" w:hAnsi="Verdana"/>
          <w:sz w:val="18"/>
          <w:szCs w:val="18"/>
          <w:lang w:eastAsia="nl-NL"/>
        </w:rPr>
        <w:t>te worden door de strafrechter.</w:t>
      </w:r>
      <w:r>
        <w:rPr>
          <w:rStyle w:val="Voetnootmarkering"/>
          <w:rFonts w:ascii="Verdana" w:eastAsia="Times New Roman" w:hAnsi="Verdana"/>
          <w:sz w:val="18"/>
          <w:szCs w:val="18"/>
          <w:lang w:eastAsia="nl-NL"/>
        </w:rPr>
        <w:footnoteReference w:id="99"/>
      </w:r>
      <w:r w:rsidR="006221C6">
        <w:rPr>
          <w:rFonts w:ascii="Verdana" w:eastAsia="Times New Roman" w:hAnsi="Verdana"/>
          <w:sz w:val="18"/>
          <w:szCs w:val="18"/>
          <w:lang w:eastAsia="nl-NL"/>
        </w:rPr>
        <w:t xml:space="preserve"> De strafrechter dient hierbij eveneens te beoordelen of de verdachte een geldige reden heeft om niet terug te keren naar het land van herkomst. Hiervan is geen sprake indien de verdachte verwijderingspogingen belemmert en/of onvoldoende medewerking verleent aan het verkrijgen van reisdocumenten en/of aan de identiteitsvaststelling.</w:t>
      </w:r>
      <w:r w:rsidR="006221C6">
        <w:rPr>
          <w:rStyle w:val="Voetnootmarkering"/>
          <w:rFonts w:ascii="Verdana" w:eastAsia="Times New Roman" w:hAnsi="Verdana"/>
          <w:sz w:val="18"/>
          <w:szCs w:val="18"/>
          <w:lang w:eastAsia="nl-NL"/>
        </w:rPr>
        <w:footnoteReference w:id="100"/>
      </w:r>
    </w:p>
    <w:p w14:paraId="595FDA96" w14:textId="5828071D" w:rsidR="006221C6" w:rsidRPr="00387E72" w:rsidRDefault="00BD6DDA" w:rsidP="006221C6">
      <w:pPr>
        <w:spacing w:line="360" w:lineRule="auto"/>
        <w:jc w:val="both"/>
        <w:rPr>
          <w:rFonts w:ascii="Verdana" w:eastAsia="Times New Roman" w:hAnsi="Verdana"/>
          <w:sz w:val="18"/>
          <w:szCs w:val="18"/>
          <w:lang w:eastAsia="nl-NL"/>
        </w:rPr>
      </w:pPr>
      <w:r>
        <w:rPr>
          <w:rFonts w:ascii="Verdana" w:eastAsia="Times New Roman" w:hAnsi="Verdana"/>
          <w:i/>
          <w:sz w:val="18"/>
          <w:szCs w:val="18"/>
          <w:lang w:eastAsia="nl-NL"/>
        </w:rPr>
        <w:br/>
      </w:r>
      <w:r w:rsidR="0029248F">
        <w:rPr>
          <w:rFonts w:ascii="Verdana" w:eastAsia="Times New Roman" w:hAnsi="Verdana"/>
          <w:i/>
          <w:sz w:val="18"/>
          <w:szCs w:val="18"/>
          <w:lang w:eastAsia="nl-NL"/>
        </w:rPr>
        <w:t xml:space="preserve">2.5.3 </w:t>
      </w:r>
      <w:r w:rsidR="006221C6" w:rsidRPr="006221C6">
        <w:rPr>
          <w:rFonts w:ascii="Verdana" w:eastAsia="Times New Roman" w:hAnsi="Verdana"/>
          <w:i/>
          <w:sz w:val="18"/>
          <w:szCs w:val="18"/>
          <w:lang w:eastAsia="nl-NL"/>
        </w:rPr>
        <w:t>Deelconclusie</w:t>
      </w:r>
      <w:r w:rsidR="006221C6">
        <w:rPr>
          <w:rFonts w:ascii="Verdana" w:eastAsia="Times New Roman" w:hAnsi="Verdana"/>
          <w:i/>
          <w:sz w:val="18"/>
          <w:szCs w:val="18"/>
          <w:lang w:eastAsia="nl-NL"/>
        </w:rPr>
        <w:t xml:space="preserve"> vierde deelvraag</w:t>
      </w:r>
    </w:p>
    <w:p w14:paraId="322F23CD" w14:textId="0C94EE7C" w:rsidR="009F68C9" w:rsidRPr="001D4B24" w:rsidRDefault="006221C6" w:rsidP="001D4B24">
      <w:pPr>
        <w:spacing w:line="360" w:lineRule="auto"/>
        <w:jc w:val="both"/>
        <w:rPr>
          <w:rFonts w:ascii="Verdana" w:eastAsia="Times New Roman" w:hAnsi="Verdana"/>
          <w:sz w:val="18"/>
          <w:szCs w:val="18"/>
          <w:lang w:eastAsia="nl-NL"/>
        </w:rPr>
      </w:pPr>
      <w:r>
        <w:rPr>
          <w:rFonts w:ascii="Verdana" w:eastAsia="Times New Roman" w:hAnsi="Verdana"/>
          <w:sz w:val="18"/>
          <w:szCs w:val="18"/>
          <w:lang w:eastAsia="nl-NL"/>
        </w:rPr>
        <w:t>Kortom,</w:t>
      </w:r>
      <w:r w:rsidRPr="00C46545">
        <w:rPr>
          <w:rFonts w:ascii="Verdana" w:eastAsia="Times New Roman" w:hAnsi="Verdana"/>
          <w:sz w:val="18"/>
          <w:szCs w:val="18"/>
          <w:lang w:eastAsia="nl-NL"/>
        </w:rPr>
        <w:t xml:space="preserve"> een derdelander </w:t>
      </w:r>
      <w:r>
        <w:rPr>
          <w:rFonts w:ascii="Verdana" w:eastAsia="Times New Roman" w:hAnsi="Verdana"/>
          <w:sz w:val="18"/>
          <w:szCs w:val="18"/>
          <w:lang w:eastAsia="nl-NL"/>
        </w:rPr>
        <w:t xml:space="preserve">kan </w:t>
      </w:r>
      <w:r w:rsidR="00C66A58">
        <w:rPr>
          <w:rFonts w:ascii="Verdana" w:eastAsia="Times New Roman" w:hAnsi="Verdana"/>
          <w:sz w:val="18"/>
          <w:szCs w:val="18"/>
          <w:lang w:eastAsia="nl-NL"/>
        </w:rPr>
        <w:t xml:space="preserve">blijkens de huidige bepalingen </w:t>
      </w:r>
      <w:r w:rsidRPr="00C46545">
        <w:rPr>
          <w:rFonts w:ascii="Verdana" w:eastAsia="Times New Roman" w:hAnsi="Verdana"/>
          <w:sz w:val="18"/>
          <w:szCs w:val="18"/>
          <w:lang w:eastAsia="nl-NL"/>
        </w:rPr>
        <w:t>op grond van artikel 197 Sr worden vervolgd wegens verblijf op het grondgebied van de lidstaten indien hij weet of moet vermoeden dat tegen hem een inreisverbod of ongewenstverklaring is uitgevaardigd. Voor de oplegging van een onvoorwaardelijke gevangenisstraf dienen vervolgens alle stappen van de terugkeerprocedure doorlopen te zijn.</w:t>
      </w:r>
    </w:p>
    <w:p w14:paraId="595B8A86" w14:textId="77777777" w:rsidR="00521BEF" w:rsidRDefault="00521BEF" w:rsidP="00521BEF">
      <w:pPr>
        <w:spacing w:line="360" w:lineRule="auto"/>
        <w:jc w:val="both"/>
        <w:rPr>
          <w:rFonts w:ascii="Verdana" w:eastAsia="Times New Roman" w:hAnsi="Verdana"/>
          <w:i/>
          <w:sz w:val="18"/>
          <w:szCs w:val="18"/>
          <w:lang w:eastAsia="nl-NL"/>
        </w:rPr>
      </w:pPr>
    </w:p>
    <w:p w14:paraId="01014D4C" w14:textId="63D76571" w:rsidR="009F68C9" w:rsidRDefault="009F68C9" w:rsidP="009F68C9">
      <w:pPr>
        <w:pBdr>
          <w:bottom w:val="single" w:sz="4" w:space="1" w:color="auto"/>
        </w:pBdr>
        <w:spacing w:line="360" w:lineRule="auto"/>
        <w:jc w:val="both"/>
        <w:rPr>
          <w:rFonts w:ascii="Verdana" w:eastAsia="Times New Roman" w:hAnsi="Verdana"/>
          <w:i/>
          <w:sz w:val="18"/>
          <w:szCs w:val="18"/>
          <w:lang w:eastAsia="nl-NL"/>
        </w:rPr>
      </w:pPr>
      <w:r>
        <w:rPr>
          <w:rFonts w:ascii="Verdana" w:eastAsia="Times New Roman" w:hAnsi="Verdana"/>
          <w:i/>
          <w:sz w:val="18"/>
          <w:szCs w:val="18"/>
          <w:lang w:eastAsia="nl-NL"/>
        </w:rPr>
        <w:t>2.6 Het arrest Ouhrami</w:t>
      </w:r>
    </w:p>
    <w:p w14:paraId="029973D9" w14:textId="77777777" w:rsidR="001D4B24" w:rsidRDefault="009F68C9" w:rsidP="001D4B24">
      <w:pPr>
        <w:spacing w:after="0" w:line="360" w:lineRule="auto"/>
        <w:jc w:val="both"/>
        <w:rPr>
          <w:rFonts w:ascii="Verdana" w:eastAsia="Times New Roman" w:hAnsi="Verdana"/>
          <w:sz w:val="18"/>
          <w:szCs w:val="18"/>
          <w:lang w:eastAsia="nl-NL"/>
        </w:rPr>
      </w:pPr>
      <w:r>
        <w:rPr>
          <w:rFonts w:ascii="Verdana" w:eastAsia="Times New Roman" w:hAnsi="Verdana"/>
          <w:sz w:val="18"/>
          <w:szCs w:val="18"/>
          <w:lang w:eastAsia="nl-NL"/>
        </w:rPr>
        <w:br/>
      </w:r>
      <w:r w:rsidRPr="00363A9D">
        <w:rPr>
          <w:rFonts w:ascii="Verdana" w:eastAsia="Times New Roman" w:hAnsi="Verdana"/>
          <w:sz w:val="18"/>
          <w:szCs w:val="18"/>
          <w:lang w:eastAsia="nl-NL"/>
        </w:rPr>
        <w:t xml:space="preserve">In de probleemanalyse is </w:t>
      </w:r>
      <w:r>
        <w:rPr>
          <w:rFonts w:ascii="Verdana" w:eastAsia="Times New Roman" w:hAnsi="Verdana"/>
          <w:sz w:val="18"/>
          <w:szCs w:val="18"/>
          <w:lang w:eastAsia="nl-NL"/>
        </w:rPr>
        <w:t xml:space="preserve">de casuïstiek van </w:t>
      </w:r>
      <w:r w:rsidRPr="00363A9D">
        <w:rPr>
          <w:rFonts w:ascii="Verdana" w:eastAsia="Times New Roman" w:hAnsi="Verdana"/>
          <w:sz w:val="18"/>
          <w:szCs w:val="18"/>
          <w:lang w:eastAsia="nl-NL"/>
        </w:rPr>
        <w:t>het Ouhrami arrest reeds uiteengezet en is toegelicht dat in het arrest antwoord is gegeven op de vraag van de Hoge Raad of de duur van h</w:t>
      </w:r>
      <w:r>
        <w:rPr>
          <w:rFonts w:ascii="Verdana" w:eastAsia="Times New Roman" w:hAnsi="Verdana"/>
          <w:sz w:val="18"/>
          <w:szCs w:val="18"/>
          <w:lang w:eastAsia="nl-NL"/>
        </w:rPr>
        <w:t>et inreisverbod, die in beginsel</w:t>
      </w:r>
      <w:r w:rsidRPr="00363A9D">
        <w:rPr>
          <w:rFonts w:ascii="Verdana" w:eastAsia="Times New Roman" w:hAnsi="Verdana"/>
          <w:sz w:val="18"/>
          <w:szCs w:val="18"/>
          <w:lang w:eastAsia="nl-NL"/>
        </w:rPr>
        <w:t xml:space="preserve"> niet meer bedraagt dan vijf jaren, berekend moet worden vanaf de datum waarop het inreisverbod is uitgevaardigd dan wel vanaf de datum waarop de betrokkene het grondgebied van de lidstaten daadwerkelijk heeft verlaten.</w:t>
      </w:r>
      <w:r w:rsidRPr="00363A9D">
        <w:rPr>
          <w:rFonts w:ascii="Verdana" w:eastAsia="Times New Roman" w:hAnsi="Verdana"/>
          <w:sz w:val="18"/>
          <w:szCs w:val="18"/>
          <w:vertAlign w:val="superscript"/>
          <w:lang w:eastAsia="nl-NL"/>
        </w:rPr>
        <w:footnoteReference w:id="101"/>
      </w:r>
      <w:r w:rsidRPr="00363A9D">
        <w:rPr>
          <w:rFonts w:ascii="Verdana" w:eastAsia="Times New Roman" w:hAnsi="Verdana"/>
          <w:sz w:val="18"/>
          <w:szCs w:val="18"/>
          <w:lang w:eastAsia="nl-NL"/>
        </w:rPr>
        <w:t xml:space="preserve"> De relevante motiveringen van de antwoorden van het HvJEU zullen hieronder worden samengevat, waarna de gevolgen van het arrest op de huidige </w:t>
      </w:r>
      <w:r>
        <w:rPr>
          <w:rFonts w:ascii="Verdana" w:eastAsia="Times New Roman" w:hAnsi="Verdana"/>
          <w:sz w:val="18"/>
          <w:szCs w:val="18"/>
          <w:lang w:eastAsia="nl-NL"/>
        </w:rPr>
        <w:t>straf- en vreemdelingen</w:t>
      </w:r>
      <w:r w:rsidRPr="00363A9D">
        <w:rPr>
          <w:rFonts w:ascii="Verdana" w:eastAsia="Times New Roman" w:hAnsi="Verdana"/>
          <w:sz w:val="18"/>
          <w:szCs w:val="18"/>
          <w:lang w:eastAsia="nl-NL"/>
        </w:rPr>
        <w:t>praktijk besproken zullen worden.</w:t>
      </w:r>
    </w:p>
    <w:p w14:paraId="040A6582" w14:textId="77777777" w:rsidR="00143ADF" w:rsidRDefault="00143ADF" w:rsidP="001D4B24">
      <w:pPr>
        <w:spacing w:line="360" w:lineRule="auto"/>
        <w:jc w:val="both"/>
        <w:rPr>
          <w:rFonts w:ascii="Verdana" w:eastAsia="Times New Roman" w:hAnsi="Verdana"/>
          <w:i/>
          <w:sz w:val="18"/>
          <w:szCs w:val="18"/>
          <w:lang w:eastAsia="nl-NL"/>
        </w:rPr>
      </w:pPr>
    </w:p>
    <w:p w14:paraId="0BCA30F2" w14:textId="77777777" w:rsidR="00A22585" w:rsidRDefault="00A22585" w:rsidP="001D4B24">
      <w:pPr>
        <w:spacing w:line="360" w:lineRule="auto"/>
        <w:jc w:val="both"/>
        <w:rPr>
          <w:rFonts w:ascii="Verdana" w:eastAsia="Times New Roman" w:hAnsi="Verdana"/>
          <w:i/>
          <w:sz w:val="18"/>
          <w:szCs w:val="18"/>
          <w:lang w:eastAsia="nl-NL"/>
        </w:rPr>
      </w:pPr>
    </w:p>
    <w:p w14:paraId="66C45807" w14:textId="77777777" w:rsidR="00A22585" w:rsidRDefault="00A22585" w:rsidP="001D4B24">
      <w:pPr>
        <w:spacing w:line="360" w:lineRule="auto"/>
        <w:jc w:val="both"/>
        <w:rPr>
          <w:rFonts w:ascii="Verdana" w:eastAsia="Times New Roman" w:hAnsi="Verdana"/>
          <w:i/>
          <w:sz w:val="18"/>
          <w:szCs w:val="18"/>
          <w:lang w:eastAsia="nl-NL"/>
        </w:rPr>
      </w:pPr>
    </w:p>
    <w:p w14:paraId="1054B572" w14:textId="3C5758CA" w:rsidR="001D4B24" w:rsidRPr="00EA2291" w:rsidRDefault="001D4B24" w:rsidP="001D4B24">
      <w:pPr>
        <w:spacing w:line="360" w:lineRule="auto"/>
        <w:jc w:val="both"/>
        <w:rPr>
          <w:rFonts w:ascii="Verdana" w:eastAsia="Times New Roman" w:hAnsi="Verdana"/>
          <w:i/>
          <w:sz w:val="18"/>
          <w:szCs w:val="18"/>
          <w:lang w:eastAsia="nl-NL"/>
        </w:rPr>
      </w:pPr>
      <w:r>
        <w:rPr>
          <w:rFonts w:ascii="Verdana" w:eastAsia="Times New Roman" w:hAnsi="Verdana"/>
          <w:i/>
          <w:sz w:val="18"/>
          <w:szCs w:val="18"/>
          <w:lang w:eastAsia="nl-NL"/>
        </w:rPr>
        <w:lastRenderedPageBreak/>
        <w:t>2.6.1 De prejudiciële antwoorden</w:t>
      </w:r>
    </w:p>
    <w:p w14:paraId="2C9A50AE" w14:textId="78EBB7D0" w:rsidR="004F48FC" w:rsidRDefault="004F48FC" w:rsidP="004F48FC">
      <w:pPr>
        <w:spacing w:after="0" w:line="360" w:lineRule="auto"/>
        <w:jc w:val="both"/>
        <w:rPr>
          <w:rFonts w:ascii="Verdana" w:eastAsia="Times New Roman" w:hAnsi="Verdana"/>
          <w:sz w:val="18"/>
          <w:szCs w:val="18"/>
          <w:lang w:eastAsia="nl-NL"/>
        </w:rPr>
      </w:pPr>
      <w:r>
        <w:rPr>
          <w:rFonts w:ascii="Verdana" w:eastAsia="Times New Roman" w:hAnsi="Verdana"/>
          <w:sz w:val="18"/>
          <w:szCs w:val="18"/>
          <w:lang w:eastAsia="nl-NL"/>
        </w:rPr>
        <w:t>Het HvJEU heeft door middel van een uitgebreide motivatie ondubbelzinnig antwoord gegeven op voornoemde vraag. Volgens het HvJEU dient de duur van het inreisverbod – gelet op de bewoordingen, de opzet en het doel van de Terugkeerrichtlijn – berekend te worden vanaf het tijdstip waarop de betrokkene het grondgebied van de lidstaten daadwerkelijk heeft verlaten.</w:t>
      </w:r>
      <w:r>
        <w:rPr>
          <w:rStyle w:val="Voetnootmarkering"/>
          <w:rFonts w:ascii="Verdana" w:eastAsia="Times New Roman" w:hAnsi="Verdana"/>
          <w:sz w:val="18"/>
          <w:szCs w:val="18"/>
          <w:lang w:eastAsia="nl-NL"/>
        </w:rPr>
        <w:footnoteReference w:id="102"/>
      </w:r>
      <w:r>
        <w:rPr>
          <w:rFonts w:ascii="Verdana" w:eastAsia="Times New Roman" w:hAnsi="Verdana"/>
          <w:sz w:val="18"/>
          <w:szCs w:val="18"/>
          <w:lang w:eastAsia="nl-NL"/>
        </w:rPr>
        <w:t xml:space="preserve"> Dit is in lijn met de uitspraak die de Hoge Raad deed in 2013.</w:t>
      </w:r>
      <w:r>
        <w:rPr>
          <w:rStyle w:val="Voetnootmarkering"/>
          <w:rFonts w:ascii="Verdana" w:eastAsia="Times New Roman" w:hAnsi="Verdana"/>
          <w:sz w:val="18"/>
          <w:szCs w:val="18"/>
          <w:lang w:eastAsia="nl-NL"/>
        </w:rPr>
        <w:footnoteReference w:id="103"/>
      </w:r>
      <w:r>
        <w:rPr>
          <w:rFonts w:ascii="Verdana" w:eastAsia="Times New Roman" w:hAnsi="Verdana"/>
          <w:sz w:val="18"/>
          <w:szCs w:val="18"/>
          <w:lang w:eastAsia="nl-NL"/>
        </w:rPr>
        <w:t xml:space="preserve"> Het is echter met name de redenering van het HvJEU in het Ouhrami arrest dat relevant is voor dit onderzoek. </w:t>
      </w:r>
    </w:p>
    <w:p w14:paraId="3715FE40" w14:textId="77777777" w:rsidR="004F48FC" w:rsidRDefault="004F48FC" w:rsidP="004F48FC">
      <w:pPr>
        <w:spacing w:after="0" w:line="360" w:lineRule="auto"/>
        <w:jc w:val="both"/>
        <w:rPr>
          <w:rFonts w:ascii="Verdana" w:eastAsia="Times New Roman" w:hAnsi="Verdana"/>
          <w:sz w:val="18"/>
          <w:szCs w:val="18"/>
          <w:lang w:eastAsia="nl-NL"/>
        </w:rPr>
      </w:pPr>
    </w:p>
    <w:p w14:paraId="61C7AB53" w14:textId="77777777" w:rsidR="004F48FC" w:rsidRDefault="004F48FC" w:rsidP="004F48FC">
      <w:pPr>
        <w:spacing w:after="0" w:line="360" w:lineRule="auto"/>
        <w:jc w:val="both"/>
        <w:rPr>
          <w:rFonts w:ascii="Verdana" w:eastAsia="Times New Roman" w:hAnsi="Verdana"/>
          <w:sz w:val="18"/>
          <w:szCs w:val="18"/>
          <w:lang w:eastAsia="nl-NL"/>
        </w:rPr>
      </w:pPr>
      <w:r>
        <w:rPr>
          <w:rFonts w:ascii="Verdana" w:eastAsia="Times New Roman" w:hAnsi="Verdana"/>
          <w:sz w:val="18"/>
          <w:szCs w:val="18"/>
          <w:lang w:eastAsia="nl-NL"/>
        </w:rPr>
        <w:t>In het arrest maakt het HvJEU een duidelijk onderscheid tussen enerzijds een terugkeerbesluit en anderzijds een inreisverbod.</w:t>
      </w:r>
      <w:r>
        <w:rPr>
          <w:rStyle w:val="Voetnootmarkering"/>
          <w:rFonts w:ascii="Verdana" w:eastAsia="Times New Roman" w:hAnsi="Verdana"/>
          <w:sz w:val="18"/>
          <w:szCs w:val="18"/>
          <w:lang w:eastAsia="nl-NL"/>
        </w:rPr>
        <w:footnoteReference w:id="104"/>
      </w:r>
      <w:r>
        <w:rPr>
          <w:rFonts w:ascii="Verdana" w:eastAsia="Times New Roman" w:hAnsi="Verdana"/>
          <w:sz w:val="18"/>
          <w:szCs w:val="18"/>
          <w:lang w:eastAsia="nl-NL"/>
        </w:rPr>
        <w:t xml:space="preserve"> Ondanks dat de mogelijkheid bestaat om een terugkeerbesluit en een inreisverbod op hetzelfde moment uit te vaardigen, volgt volgens het HvJEU uit de opzet van de Terugkeerrichtlijn duidelijk dat het twee losstaande besluiten zijn. Het terugkeerbesluit verbindt consequenties aan de onrechtmatigheid van het oorspronkelijke verblijf, terwijl het inreisverbod een eventueel later verblijf betreft en dit onrechtmatig maakt.</w:t>
      </w:r>
      <w:r>
        <w:rPr>
          <w:rStyle w:val="Voetnootmarkering"/>
          <w:rFonts w:ascii="Verdana" w:eastAsia="Times New Roman" w:hAnsi="Verdana"/>
          <w:sz w:val="18"/>
          <w:szCs w:val="18"/>
          <w:lang w:eastAsia="nl-NL"/>
        </w:rPr>
        <w:footnoteReference w:id="105"/>
      </w:r>
    </w:p>
    <w:p w14:paraId="44047355" w14:textId="77777777" w:rsidR="004F48FC" w:rsidRDefault="004F48FC" w:rsidP="004F48FC">
      <w:pPr>
        <w:spacing w:after="0" w:line="360" w:lineRule="auto"/>
        <w:jc w:val="both"/>
        <w:rPr>
          <w:rFonts w:ascii="Verdana" w:eastAsia="Times New Roman" w:hAnsi="Verdana"/>
          <w:sz w:val="18"/>
          <w:szCs w:val="18"/>
          <w:lang w:eastAsia="nl-NL"/>
        </w:rPr>
      </w:pPr>
    </w:p>
    <w:p w14:paraId="79C95818" w14:textId="77777777" w:rsidR="004F48FC" w:rsidRDefault="004F48FC" w:rsidP="004F48FC">
      <w:pPr>
        <w:spacing w:after="0" w:line="360" w:lineRule="auto"/>
        <w:jc w:val="both"/>
        <w:rPr>
          <w:rFonts w:ascii="Verdana" w:eastAsia="Times New Roman" w:hAnsi="Verdana"/>
          <w:sz w:val="18"/>
          <w:szCs w:val="18"/>
          <w:lang w:eastAsia="nl-NL"/>
        </w:rPr>
      </w:pPr>
      <w:r>
        <w:rPr>
          <w:rFonts w:ascii="Verdana" w:eastAsia="Times New Roman" w:hAnsi="Verdana"/>
          <w:sz w:val="18"/>
          <w:szCs w:val="18"/>
          <w:lang w:eastAsia="nl-NL"/>
        </w:rPr>
        <w:t>Blijkens het HvJEU wordt een inreisverbod geacht een terugkeerbesluit slechts aan te vullen door de betrokkene te verbieden om gedurende een bepaalde periode na zijn ‘</w:t>
      </w:r>
      <w:r>
        <w:rPr>
          <w:rFonts w:ascii="Verdana" w:eastAsia="Times New Roman" w:hAnsi="Verdana"/>
          <w:i/>
          <w:sz w:val="18"/>
          <w:szCs w:val="18"/>
          <w:lang w:eastAsia="nl-NL"/>
        </w:rPr>
        <w:t>terugkeer</w:t>
      </w:r>
      <w:r>
        <w:rPr>
          <w:rFonts w:ascii="Verdana" w:eastAsia="Times New Roman" w:hAnsi="Verdana"/>
          <w:sz w:val="18"/>
          <w:szCs w:val="18"/>
          <w:lang w:eastAsia="nl-NL"/>
        </w:rPr>
        <w:t>’ – en dus na zijn daadwerkelijke vertrek van het grondgebied van de lidstaten – dat grondgebied opnieuw te betreden en er vervolgens te verblijven. Het HvJEU verondersteld derhalve dat het voor het ingaan van een inreisverbod noodzakelijk is dat de vreemdeling dat grondgebied eerst heeft verlaten.</w:t>
      </w:r>
      <w:r>
        <w:rPr>
          <w:rStyle w:val="Voetnootmarkering"/>
          <w:rFonts w:ascii="Verdana" w:eastAsia="Times New Roman" w:hAnsi="Verdana"/>
          <w:sz w:val="18"/>
          <w:szCs w:val="18"/>
          <w:lang w:eastAsia="nl-NL"/>
        </w:rPr>
        <w:footnoteReference w:id="106"/>
      </w:r>
    </w:p>
    <w:p w14:paraId="3C459737" w14:textId="77777777" w:rsidR="004F48FC" w:rsidRDefault="004F48FC" w:rsidP="004F48FC">
      <w:pPr>
        <w:spacing w:after="0" w:line="360" w:lineRule="auto"/>
        <w:jc w:val="both"/>
        <w:rPr>
          <w:rFonts w:ascii="Verdana" w:eastAsia="Times New Roman" w:hAnsi="Verdana"/>
          <w:sz w:val="18"/>
          <w:szCs w:val="18"/>
          <w:lang w:eastAsia="nl-NL"/>
        </w:rPr>
      </w:pPr>
    </w:p>
    <w:p w14:paraId="5072B0C3" w14:textId="284A9238" w:rsidR="0058049A" w:rsidRDefault="004F48FC" w:rsidP="001D4B24">
      <w:pPr>
        <w:spacing w:after="0" w:line="360" w:lineRule="auto"/>
        <w:jc w:val="both"/>
        <w:rPr>
          <w:rFonts w:ascii="Verdana" w:eastAsia="Times New Roman" w:hAnsi="Verdana"/>
          <w:sz w:val="18"/>
          <w:szCs w:val="18"/>
          <w:lang w:eastAsia="nl-NL"/>
        </w:rPr>
      </w:pPr>
      <w:r>
        <w:rPr>
          <w:rFonts w:ascii="Verdana" w:eastAsia="Times New Roman" w:hAnsi="Verdana"/>
          <w:sz w:val="18"/>
          <w:szCs w:val="18"/>
          <w:lang w:eastAsia="nl-NL"/>
        </w:rPr>
        <w:t>Ingevolge de Terugkeerrichtlijn dient een terugkeerbesluit uitgevaardigd te worden tegen elke derdelander die illegaal op het grondgebied van de lidstaten verblijft.</w:t>
      </w:r>
      <w:r>
        <w:rPr>
          <w:rStyle w:val="Voetnootmarkering"/>
          <w:rFonts w:ascii="Verdana" w:eastAsia="Times New Roman" w:hAnsi="Verdana"/>
          <w:sz w:val="18"/>
          <w:szCs w:val="18"/>
          <w:lang w:eastAsia="nl-NL"/>
        </w:rPr>
        <w:footnoteReference w:id="107"/>
      </w:r>
      <w:r>
        <w:rPr>
          <w:rFonts w:ascii="Verdana" w:eastAsia="Times New Roman" w:hAnsi="Verdana"/>
          <w:sz w:val="18"/>
          <w:szCs w:val="18"/>
          <w:lang w:eastAsia="nl-NL"/>
        </w:rPr>
        <w:t xml:space="preserve"> Het HvJEU merkt op dat het oorspronkelijke verblijf van de betrokkene illegaal wordt verklaard bij de oplegging van een ter</w:t>
      </w:r>
      <w:r w:rsidR="004D6A52">
        <w:rPr>
          <w:rFonts w:ascii="Verdana" w:eastAsia="Times New Roman" w:hAnsi="Verdana"/>
          <w:sz w:val="18"/>
          <w:szCs w:val="18"/>
          <w:lang w:eastAsia="nl-NL"/>
        </w:rPr>
        <w:t>ugkeerbesluit en dat daarbij te</w:t>
      </w:r>
      <w:r>
        <w:rPr>
          <w:rFonts w:ascii="Verdana" w:eastAsia="Times New Roman" w:hAnsi="Verdana"/>
          <w:sz w:val="18"/>
          <w:szCs w:val="18"/>
          <w:lang w:eastAsia="nl-NL"/>
        </w:rPr>
        <w:t xml:space="preserve"> alle</w:t>
      </w:r>
      <w:r w:rsidR="004D6A52">
        <w:rPr>
          <w:rFonts w:ascii="Verdana" w:eastAsia="Times New Roman" w:hAnsi="Verdana"/>
          <w:sz w:val="18"/>
          <w:szCs w:val="18"/>
          <w:lang w:eastAsia="nl-NL"/>
        </w:rPr>
        <w:t>n tijde</w:t>
      </w:r>
      <w:r>
        <w:rPr>
          <w:rFonts w:ascii="Verdana" w:eastAsia="Times New Roman" w:hAnsi="Verdana"/>
          <w:sz w:val="18"/>
          <w:szCs w:val="18"/>
          <w:lang w:eastAsia="nl-NL"/>
        </w:rPr>
        <w:t xml:space="preserve"> een terugkeerverplichting wordt opgelegd.</w:t>
      </w:r>
      <w:r>
        <w:rPr>
          <w:rStyle w:val="Voetnootmarkering"/>
          <w:rFonts w:ascii="Verdana" w:eastAsia="Times New Roman" w:hAnsi="Verdana"/>
          <w:sz w:val="18"/>
          <w:szCs w:val="18"/>
          <w:lang w:eastAsia="nl-NL"/>
        </w:rPr>
        <w:footnoteReference w:id="108"/>
      </w:r>
      <w:r>
        <w:rPr>
          <w:rFonts w:ascii="Verdana" w:eastAsia="Times New Roman" w:hAnsi="Verdana"/>
          <w:sz w:val="18"/>
          <w:szCs w:val="18"/>
          <w:lang w:eastAsia="nl-NL"/>
        </w:rPr>
        <w:t xml:space="preserve"> Dit houdt in dat het onrechtmatige verblijf van de betrokkene tot aan het tijdstip van de vrijwillige of gedwongen terugkeer naar zijn land van herkomst, een land van doorreis of een ander derde land, wordt beheerst door het terugkeerbesluit en dus niet door het inreisverbod. Het inreisverbod brengt immers pas rechtsgevolgen teweeg vanaf het tijdstip dat de betrokkene een bepaalde periode na zijn terugkeer het grondgebied van de lidstaten weer heeft betreden en daar wederom verblijft.</w:t>
      </w:r>
      <w:r>
        <w:rPr>
          <w:rStyle w:val="Voetnootmarkering"/>
          <w:rFonts w:ascii="Verdana" w:eastAsia="Times New Roman" w:hAnsi="Verdana"/>
          <w:sz w:val="18"/>
          <w:szCs w:val="18"/>
          <w:lang w:eastAsia="nl-NL"/>
        </w:rPr>
        <w:footnoteReference w:id="109"/>
      </w:r>
    </w:p>
    <w:p w14:paraId="5F42916E" w14:textId="77777777" w:rsidR="0058049A" w:rsidRDefault="0058049A" w:rsidP="001D4B24">
      <w:pPr>
        <w:spacing w:after="0" w:line="360" w:lineRule="auto"/>
        <w:jc w:val="both"/>
        <w:rPr>
          <w:rFonts w:ascii="Verdana" w:eastAsia="Times New Roman" w:hAnsi="Verdana"/>
          <w:sz w:val="18"/>
          <w:szCs w:val="18"/>
          <w:lang w:eastAsia="nl-NL"/>
        </w:rPr>
      </w:pPr>
    </w:p>
    <w:p w14:paraId="3E0345A0" w14:textId="4E675145" w:rsidR="00574066" w:rsidRDefault="001E7855" w:rsidP="001D4B24">
      <w:pPr>
        <w:spacing w:after="0" w:line="360" w:lineRule="auto"/>
        <w:jc w:val="both"/>
        <w:rPr>
          <w:rFonts w:ascii="Verdana" w:eastAsia="Times New Roman" w:hAnsi="Verdana"/>
          <w:sz w:val="18"/>
          <w:szCs w:val="18"/>
          <w:lang w:eastAsia="nl-NL"/>
        </w:rPr>
      </w:pPr>
      <w:r>
        <w:rPr>
          <w:rFonts w:ascii="Verdana" w:eastAsia="Times New Roman" w:hAnsi="Verdana"/>
          <w:sz w:val="18"/>
          <w:szCs w:val="18"/>
          <w:lang w:eastAsia="nl-NL"/>
        </w:rPr>
        <w:t>Voorts brengt het HvJEU in herinnering dat indien Ouhrami Nederland niet heeft verlaten na de oude ongewenstverklaring, hij zich in een illegale situatie bevindt die voortkomt uit een oorspronkelijk illegaal verblijf</w:t>
      </w:r>
      <w:r w:rsidR="00AC5C53">
        <w:rPr>
          <w:rFonts w:ascii="Verdana" w:eastAsia="Times New Roman" w:hAnsi="Verdana"/>
          <w:sz w:val="18"/>
          <w:szCs w:val="18"/>
          <w:lang w:eastAsia="nl-NL"/>
        </w:rPr>
        <w:t>,</w:t>
      </w:r>
      <w:r>
        <w:rPr>
          <w:rFonts w:ascii="Verdana" w:eastAsia="Times New Roman" w:hAnsi="Verdana"/>
          <w:sz w:val="18"/>
          <w:szCs w:val="18"/>
          <w:lang w:eastAsia="nl-NL"/>
        </w:rPr>
        <w:t xml:space="preserve"> in plaats van een later illegaal verblijf dat het gevolg is van de overtreding van het inreisverbod.</w:t>
      </w:r>
      <w:r w:rsidR="00AC5C53">
        <w:rPr>
          <w:rFonts w:ascii="Verdana" w:eastAsia="Times New Roman" w:hAnsi="Verdana"/>
          <w:sz w:val="18"/>
          <w:szCs w:val="18"/>
          <w:lang w:eastAsia="nl-NL"/>
        </w:rPr>
        <w:t xml:space="preserve"> In dit verband wordt door het HvJEU overwogen dat de Terugkeerrichtlijn zich </w:t>
      </w:r>
      <w:r w:rsidR="004C428F">
        <w:rPr>
          <w:rFonts w:ascii="Verdana" w:eastAsia="Times New Roman" w:hAnsi="Verdana"/>
          <w:sz w:val="18"/>
          <w:szCs w:val="18"/>
          <w:lang w:eastAsia="nl-NL"/>
        </w:rPr>
        <w:t xml:space="preserve">– </w:t>
      </w:r>
      <w:r w:rsidR="004C428F">
        <w:rPr>
          <w:rFonts w:ascii="Verdana" w:eastAsia="Times New Roman" w:hAnsi="Verdana"/>
          <w:sz w:val="18"/>
          <w:szCs w:val="18"/>
          <w:lang w:eastAsia="nl-NL"/>
        </w:rPr>
        <w:lastRenderedPageBreak/>
        <w:t xml:space="preserve">behoudens uitzonderingen – </w:t>
      </w:r>
      <w:r w:rsidR="00AC5C53">
        <w:rPr>
          <w:rFonts w:ascii="Verdana" w:eastAsia="Times New Roman" w:hAnsi="Verdana"/>
          <w:sz w:val="18"/>
          <w:szCs w:val="18"/>
          <w:lang w:eastAsia="nl-NL"/>
        </w:rPr>
        <w:t xml:space="preserve">verzet tegen een regeling waarbij </w:t>
      </w:r>
      <w:r w:rsidR="004C428F">
        <w:rPr>
          <w:rFonts w:ascii="Verdana" w:eastAsia="Times New Roman" w:hAnsi="Verdana"/>
          <w:sz w:val="18"/>
          <w:szCs w:val="18"/>
          <w:lang w:eastAsia="nl-NL"/>
        </w:rPr>
        <w:t>een gevangenisstraf</w:t>
      </w:r>
      <w:r w:rsidR="00AC5C53">
        <w:rPr>
          <w:rFonts w:ascii="Verdana" w:eastAsia="Times New Roman" w:hAnsi="Verdana"/>
          <w:sz w:val="18"/>
          <w:szCs w:val="18"/>
          <w:lang w:eastAsia="nl-NL"/>
        </w:rPr>
        <w:t xml:space="preserve"> </w:t>
      </w:r>
      <w:r w:rsidR="004C428F">
        <w:rPr>
          <w:rFonts w:ascii="Verdana" w:eastAsia="Times New Roman" w:hAnsi="Verdana"/>
          <w:sz w:val="18"/>
          <w:szCs w:val="18"/>
          <w:lang w:eastAsia="nl-NL"/>
        </w:rPr>
        <w:t>kan worden opgelegd</w:t>
      </w:r>
      <w:r w:rsidR="00AC5C53">
        <w:rPr>
          <w:rFonts w:ascii="Verdana" w:eastAsia="Times New Roman" w:hAnsi="Verdana"/>
          <w:sz w:val="18"/>
          <w:szCs w:val="18"/>
          <w:lang w:eastAsia="nl-NL"/>
        </w:rPr>
        <w:t xml:space="preserve"> </w:t>
      </w:r>
      <w:r w:rsidR="004C428F">
        <w:rPr>
          <w:rFonts w:ascii="Verdana" w:eastAsia="Times New Roman" w:hAnsi="Verdana"/>
          <w:sz w:val="18"/>
          <w:szCs w:val="18"/>
          <w:lang w:eastAsia="nl-NL"/>
        </w:rPr>
        <w:t xml:space="preserve">wegens </w:t>
      </w:r>
      <w:r w:rsidR="00AC5C53">
        <w:rPr>
          <w:rFonts w:ascii="Verdana" w:eastAsia="Times New Roman" w:hAnsi="Verdana"/>
          <w:sz w:val="18"/>
          <w:szCs w:val="18"/>
          <w:lang w:eastAsia="nl-NL"/>
        </w:rPr>
        <w:t>het oorspronkelijke illegale verblijf.</w:t>
      </w:r>
      <w:r>
        <w:rPr>
          <w:rStyle w:val="Voetnootmarkering"/>
          <w:rFonts w:ascii="Verdana" w:eastAsia="Times New Roman" w:hAnsi="Verdana"/>
          <w:sz w:val="18"/>
          <w:szCs w:val="18"/>
          <w:lang w:eastAsia="nl-NL"/>
        </w:rPr>
        <w:footnoteReference w:id="110"/>
      </w:r>
    </w:p>
    <w:p w14:paraId="1AA63E25" w14:textId="77777777" w:rsidR="00513E4C" w:rsidRDefault="00513E4C" w:rsidP="001D4B24">
      <w:pPr>
        <w:spacing w:after="0" w:line="360" w:lineRule="auto"/>
        <w:jc w:val="both"/>
        <w:rPr>
          <w:rFonts w:ascii="Verdana" w:eastAsia="Times New Roman" w:hAnsi="Verdana"/>
          <w:sz w:val="18"/>
          <w:szCs w:val="18"/>
          <w:lang w:eastAsia="nl-NL"/>
        </w:rPr>
      </w:pPr>
    </w:p>
    <w:p w14:paraId="0D5E2723" w14:textId="7A28FA0A" w:rsidR="001D4B24" w:rsidRPr="00EA2291" w:rsidRDefault="001D4B24" w:rsidP="001D4B24">
      <w:pPr>
        <w:spacing w:line="360" w:lineRule="auto"/>
        <w:jc w:val="both"/>
        <w:rPr>
          <w:rFonts w:ascii="Verdana" w:eastAsia="Times New Roman" w:hAnsi="Verdana"/>
          <w:i/>
          <w:sz w:val="18"/>
          <w:szCs w:val="18"/>
          <w:lang w:eastAsia="nl-NL"/>
        </w:rPr>
      </w:pPr>
      <w:r>
        <w:rPr>
          <w:rFonts w:ascii="Verdana" w:eastAsia="Times New Roman" w:hAnsi="Verdana"/>
          <w:i/>
          <w:sz w:val="18"/>
          <w:szCs w:val="18"/>
          <w:lang w:eastAsia="nl-NL"/>
        </w:rPr>
        <w:t>2.6.2 De gevolgen</w:t>
      </w:r>
    </w:p>
    <w:p w14:paraId="1E72D7A0" w14:textId="177A6483" w:rsidR="00733400" w:rsidRDefault="000F6655" w:rsidP="009F68C9">
      <w:pPr>
        <w:spacing w:after="0" w:line="360" w:lineRule="auto"/>
        <w:jc w:val="both"/>
        <w:rPr>
          <w:rFonts w:ascii="Verdana" w:eastAsia="Times New Roman" w:hAnsi="Verdana"/>
          <w:sz w:val="18"/>
          <w:szCs w:val="18"/>
          <w:lang w:eastAsia="nl-NL"/>
        </w:rPr>
      </w:pPr>
      <w:r>
        <w:rPr>
          <w:rFonts w:ascii="Verdana" w:eastAsia="Times New Roman" w:hAnsi="Verdana"/>
          <w:sz w:val="18"/>
          <w:szCs w:val="18"/>
          <w:lang w:eastAsia="nl-NL"/>
        </w:rPr>
        <w:t xml:space="preserve">Het Ouhrami arrest </w:t>
      </w:r>
      <w:r w:rsidR="00AE1FB5">
        <w:rPr>
          <w:rFonts w:ascii="Verdana" w:eastAsia="Times New Roman" w:hAnsi="Verdana"/>
          <w:sz w:val="18"/>
          <w:szCs w:val="18"/>
          <w:lang w:eastAsia="nl-NL"/>
        </w:rPr>
        <w:t xml:space="preserve">heeft directe gevolgen voor de Nederlandse rechtspraktijk. </w:t>
      </w:r>
      <w:r w:rsidR="004F48FC">
        <w:rPr>
          <w:rFonts w:ascii="Verdana" w:eastAsia="Times New Roman" w:hAnsi="Verdana"/>
          <w:sz w:val="18"/>
          <w:szCs w:val="18"/>
          <w:lang w:eastAsia="nl-NL"/>
        </w:rPr>
        <w:t xml:space="preserve">De belangrijkste gevolgen voor zowel vreemdelingenrechtelijke procedures als voor strafrechtelijke procedures </w:t>
      </w:r>
      <w:r w:rsidR="00503072">
        <w:rPr>
          <w:rFonts w:ascii="Verdana" w:eastAsia="Times New Roman" w:hAnsi="Verdana"/>
          <w:sz w:val="18"/>
          <w:szCs w:val="18"/>
          <w:lang w:eastAsia="nl-NL"/>
        </w:rPr>
        <w:t xml:space="preserve">zijn </w:t>
      </w:r>
      <w:r w:rsidR="004F48FC">
        <w:rPr>
          <w:rFonts w:ascii="Verdana" w:eastAsia="Times New Roman" w:hAnsi="Verdana"/>
          <w:sz w:val="18"/>
          <w:szCs w:val="18"/>
          <w:lang w:eastAsia="nl-NL"/>
        </w:rPr>
        <w:t xml:space="preserve">uitgewerkt in </w:t>
      </w:r>
      <w:r w:rsidR="004F48FC" w:rsidRPr="000D5E9E">
        <w:rPr>
          <w:rFonts w:ascii="Verdana" w:eastAsia="Times New Roman" w:hAnsi="Verdana"/>
          <w:sz w:val="18"/>
          <w:szCs w:val="18"/>
          <w:u w:val="dotDotDash"/>
          <w:lang w:eastAsia="nl-NL"/>
        </w:rPr>
        <w:t>bijlage 3</w:t>
      </w:r>
      <w:r w:rsidR="00F87B4A">
        <w:rPr>
          <w:rFonts w:ascii="Verdana" w:eastAsia="Times New Roman" w:hAnsi="Verdana"/>
          <w:sz w:val="18"/>
          <w:szCs w:val="18"/>
          <w:lang w:eastAsia="nl-NL"/>
        </w:rPr>
        <w:t>. In het kort zijn de belangrijkste gevolgen in vreemdel</w:t>
      </w:r>
      <w:r w:rsidR="003075AF">
        <w:rPr>
          <w:rFonts w:ascii="Verdana" w:eastAsia="Times New Roman" w:hAnsi="Verdana"/>
          <w:sz w:val="18"/>
          <w:szCs w:val="18"/>
          <w:lang w:eastAsia="nl-NL"/>
        </w:rPr>
        <w:t xml:space="preserve">ingenrechtelijke procedures dat </w:t>
      </w:r>
      <w:r w:rsidR="00643C53">
        <w:rPr>
          <w:rFonts w:ascii="Verdana" w:eastAsia="Times New Roman" w:hAnsi="Verdana"/>
          <w:sz w:val="18"/>
          <w:szCs w:val="18"/>
          <w:lang w:eastAsia="nl-NL"/>
        </w:rPr>
        <w:t xml:space="preserve">de bestuursrechter vanaf heden wel </w:t>
      </w:r>
      <w:r w:rsidR="00195A35">
        <w:rPr>
          <w:rFonts w:ascii="Verdana" w:eastAsia="Times New Roman" w:hAnsi="Verdana"/>
          <w:sz w:val="18"/>
          <w:szCs w:val="18"/>
          <w:lang w:eastAsia="nl-NL"/>
        </w:rPr>
        <w:t>procesbelang zal moeten aannemen en de verblijfsaanspraken met het terugkeerbesluit vol di</w:t>
      </w:r>
      <w:r w:rsidR="00020154">
        <w:rPr>
          <w:rFonts w:ascii="Verdana" w:eastAsia="Times New Roman" w:hAnsi="Verdana"/>
          <w:sz w:val="18"/>
          <w:szCs w:val="18"/>
          <w:lang w:eastAsia="nl-NL"/>
        </w:rPr>
        <w:t xml:space="preserve">ent te toetsen. In strafrechtelijke procedures is het belangrijkste gevolg dat veroordeling van artikel 197 Sr achterwege moet blijven indien de vreemdeling de lidstaten nog niet heeft verlaten. </w:t>
      </w:r>
    </w:p>
    <w:p w14:paraId="5D52313D" w14:textId="77777777" w:rsidR="00964AD5" w:rsidRDefault="00964AD5" w:rsidP="009F68C9">
      <w:pPr>
        <w:spacing w:after="0" w:line="360" w:lineRule="auto"/>
        <w:jc w:val="both"/>
        <w:rPr>
          <w:rFonts w:ascii="Verdana" w:eastAsia="Times New Roman" w:hAnsi="Verdana"/>
          <w:sz w:val="18"/>
          <w:szCs w:val="18"/>
          <w:lang w:eastAsia="nl-NL"/>
        </w:rPr>
      </w:pPr>
    </w:p>
    <w:p w14:paraId="7C840A66" w14:textId="4D6EA7DE" w:rsidR="004F48FC" w:rsidRDefault="004F48FC" w:rsidP="009F68C9">
      <w:pPr>
        <w:spacing w:after="0" w:line="360" w:lineRule="auto"/>
        <w:jc w:val="both"/>
        <w:rPr>
          <w:rFonts w:ascii="Verdana" w:eastAsia="Times New Roman" w:hAnsi="Verdana"/>
          <w:sz w:val="18"/>
          <w:szCs w:val="18"/>
          <w:lang w:eastAsia="nl-NL"/>
        </w:rPr>
      </w:pPr>
      <w:r>
        <w:rPr>
          <w:rFonts w:ascii="Verdana" w:eastAsia="Times New Roman" w:hAnsi="Verdana"/>
          <w:sz w:val="18"/>
          <w:szCs w:val="18"/>
          <w:lang w:eastAsia="nl-NL"/>
        </w:rPr>
        <w:t xml:space="preserve">De gevolgen </w:t>
      </w:r>
      <w:r w:rsidR="00EA2291">
        <w:rPr>
          <w:rFonts w:ascii="Verdana" w:eastAsia="Times New Roman" w:hAnsi="Verdana"/>
          <w:sz w:val="18"/>
          <w:szCs w:val="18"/>
          <w:lang w:eastAsia="nl-NL"/>
        </w:rPr>
        <w:t>en de motivering</w:t>
      </w:r>
      <w:r w:rsidR="0051740B">
        <w:rPr>
          <w:rFonts w:ascii="Verdana" w:eastAsia="Times New Roman" w:hAnsi="Verdana"/>
          <w:sz w:val="18"/>
          <w:szCs w:val="18"/>
          <w:lang w:eastAsia="nl-NL"/>
        </w:rPr>
        <w:t>en</w:t>
      </w:r>
      <w:r w:rsidR="00EA2291">
        <w:rPr>
          <w:rFonts w:ascii="Verdana" w:eastAsia="Times New Roman" w:hAnsi="Verdana"/>
          <w:sz w:val="18"/>
          <w:szCs w:val="18"/>
          <w:lang w:eastAsia="nl-NL"/>
        </w:rPr>
        <w:t xml:space="preserve"> daarvan </w:t>
      </w:r>
      <w:r>
        <w:rPr>
          <w:rFonts w:ascii="Verdana" w:eastAsia="Times New Roman" w:hAnsi="Verdana"/>
          <w:sz w:val="18"/>
          <w:szCs w:val="18"/>
          <w:lang w:eastAsia="nl-NL"/>
        </w:rPr>
        <w:t>z</w:t>
      </w:r>
      <w:r w:rsidR="00503072">
        <w:rPr>
          <w:rFonts w:ascii="Verdana" w:eastAsia="Times New Roman" w:hAnsi="Verdana"/>
          <w:sz w:val="18"/>
          <w:szCs w:val="18"/>
          <w:lang w:eastAsia="nl-NL"/>
        </w:rPr>
        <w:t xml:space="preserve">ijn </w:t>
      </w:r>
      <w:r w:rsidR="00020154">
        <w:rPr>
          <w:rFonts w:ascii="Verdana" w:eastAsia="Times New Roman" w:hAnsi="Verdana"/>
          <w:sz w:val="18"/>
          <w:szCs w:val="18"/>
          <w:lang w:eastAsia="nl-NL"/>
        </w:rPr>
        <w:t xml:space="preserve">mede </w:t>
      </w:r>
      <w:r w:rsidR="00EA2291">
        <w:rPr>
          <w:rFonts w:ascii="Verdana" w:eastAsia="Times New Roman" w:hAnsi="Verdana"/>
          <w:sz w:val="18"/>
          <w:szCs w:val="18"/>
          <w:lang w:eastAsia="nl-NL"/>
        </w:rPr>
        <w:t>gebruikt voor de formulering van</w:t>
      </w:r>
      <w:r>
        <w:rPr>
          <w:rFonts w:ascii="Verdana" w:eastAsia="Times New Roman" w:hAnsi="Verdana"/>
          <w:sz w:val="18"/>
          <w:szCs w:val="18"/>
          <w:lang w:eastAsia="nl-NL"/>
        </w:rPr>
        <w:t xml:space="preserve"> de gronden die aangevoerd kunnen worden in het dossier- en literatuuronderzoek</w:t>
      </w:r>
      <w:r w:rsidR="00EA2291">
        <w:rPr>
          <w:rFonts w:ascii="Verdana" w:eastAsia="Times New Roman" w:hAnsi="Verdana"/>
          <w:sz w:val="18"/>
          <w:szCs w:val="18"/>
          <w:lang w:eastAsia="nl-NL"/>
        </w:rPr>
        <w:t xml:space="preserve"> en het uiteindelijke advies</w:t>
      </w:r>
      <w:r>
        <w:rPr>
          <w:rFonts w:ascii="Verdana" w:eastAsia="Times New Roman" w:hAnsi="Verdana"/>
          <w:sz w:val="18"/>
          <w:szCs w:val="18"/>
          <w:lang w:eastAsia="nl-NL"/>
        </w:rPr>
        <w:t>.</w:t>
      </w:r>
    </w:p>
    <w:p w14:paraId="0091E27B" w14:textId="77777777" w:rsidR="00EA2291" w:rsidRDefault="00EA2291" w:rsidP="009F68C9">
      <w:pPr>
        <w:spacing w:after="0" w:line="360" w:lineRule="auto"/>
        <w:jc w:val="both"/>
        <w:rPr>
          <w:rFonts w:ascii="Verdana" w:eastAsia="Times New Roman" w:hAnsi="Verdana"/>
          <w:sz w:val="18"/>
          <w:szCs w:val="18"/>
          <w:lang w:eastAsia="nl-NL"/>
        </w:rPr>
      </w:pPr>
    </w:p>
    <w:p w14:paraId="5845E8E7" w14:textId="41FCCF25" w:rsidR="00EA2291" w:rsidRPr="00EA2291" w:rsidRDefault="00EA2291" w:rsidP="00EA2291">
      <w:pPr>
        <w:spacing w:line="360" w:lineRule="auto"/>
        <w:jc w:val="both"/>
        <w:rPr>
          <w:rFonts w:ascii="Verdana" w:eastAsia="Times New Roman" w:hAnsi="Verdana"/>
          <w:i/>
          <w:sz w:val="18"/>
          <w:szCs w:val="18"/>
          <w:lang w:eastAsia="nl-NL"/>
        </w:rPr>
      </w:pPr>
      <w:r>
        <w:rPr>
          <w:rFonts w:ascii="Verdana" w:eastAsia="Times New Roman" w:hAnsi="Verdana"/>
          <w:i/>
          <w:sz w:val="18"/>
          <w:szCs w:val="18"/>
          <w:lang w:eastAsia="nl-NL"/>
        </w:rPr>
        <w:t>2.6.3 Deelconclusie vijfde deelvraag</w:t>
      </w:r>
    </w:p>
    <w:p w14:paraId="24954A5D" w14:textId="5EDD5B6F" w:rsidR="00521BEF" w:rsidRPr="00D61707" w:rsidRDefault="00EA2291" w:rsidP="00EA2291">
      <w:pPr>
        <w:spacing w:after="0" w:line="360" w:lineRule="auto"/>
        <w:jc w:val="both"/>
        <w:rPr>
          <w:rFonts w:ascii="Verdana" w:eastAsia="Times New Roman" w:hAnsi="Verdana"/>
          <w:sz w:val="18"/>
          <w:szCs w:val="18"/>
          <w:lang w:eastAsia="nl-NL"/>
        </w:rPr>
      </w:pPr>
      <w:r w:rsidRPr="00A67EFD">
        <w:rPr>
          <w:rFonts w:ascii="Verdana" w:eastAsia="Times New Roman" w:hAnsi="Verdana"/>
          <w:sz w:val="18"/>
          <w:szCs w:val="18"/>
          <w:lang w:eastAsia="nl-NL"/>
        </w:rPr>
        <w:t>In conclusie kan worden gesteld dat het</w:t>
      </w:r>
      <w:r w:rsidR="00503072">
        <w:rPr>
          <w:rFonts w:ascii="Verdana" w:eastAsia="Times New Roman" w:hAnsi="Verdana"/>
          <w:sz w:val="18"/>
          <w:szCs w:val="18"/>
          <w:lang w:eastAsia="nl-NL"/>
        </w:rPr>
        <w:t xml:space="preserve"> Ouhrami arrest grote gevolgen teweegbrengt</w:t>
      </w:r>
      <w:r w:rsidRPr="00A67EFD">
        <w:rPr>
          <w:rFonts w:ascii="Verdana" w:eastAsia="Times New Roman" w:hAnsi="Verdana"/>
          <w:sz w:val="18"/>
          <w:szCs w:val="18"/>
          <w:lang w:eastAsia="nl-NL"/>
        </w:rPr>
        <w:t xml:space="preserve"> voor zowel straf- als vreemdelingenzaken. </w:t>
      </w:r>
      <w:r w:rsidR="00503072">
        <w:rPr>
          <w:rFonts w:ascii="Verdana" w:eastAsia="Times New Roman" w:hAnsi="Verdana"/>
          <w:sz w:val="18"/>
          <w:szCs w:val="18"/>
          <w:lang w:eastAsia="nl-NL"/>
        </w:rPr>
        <w:t>Het belangrijkste gevolg</w:t>
      </w:r>
      <w:r w:rsidRPr="00A67EFD">
        <w:rPr>
          <w:rFonts w:ascii="Verdana" w:eastAsia="Times New Roman" w:hAnsi="Verdana"/>
          <w:sz w:val="18"/>
          <w:szCs w:val="18"/>
          <w:lang w:eastAsia="nl-NL"/>
        </w:rPr>
        <w:t xml:space="preserve"> in vreemdelingenzaken </w:t>
      </w:r>
      <w:r w:rsidR="00503072">
        <w:rPr>
          <w:rFonts w:ascii="Verdana" w:eastAsia="Times New Roman" w:hAnsi="Verdana"/>
          <w:sz w:val="18"/>
          <w:szCs w:val="18"/>
          <w:lang w:eastAsia="nl-NL"/>
        </w:rPr>
        <w:t>is</w:t>
      </w:r>
      <w:r w:rsidRPr="00A67EFD">
        <w:rPr>
          <w:rFonts w:ascii="Verdana" w:eastAsia="Times New Roman" w:hAnsi="Verdana"/>
          <w:sz w:val="18"/>
          <w:szCs w:val="18"/>
          <w:lang w:eastAsia="nl-NL"/>
        </w:rPr>
        <w:t xml:space="preserve"> dat d</w:t>
      </w:r>
      <w:r w:rsidR="004D6A52">
        <w:rPr>
          <w:rFonts w:ascii="Verdana" w:eastAsia="Times New Roman" w:hAnsi="Verdana"/>
          <w:sz w:val="18"/>
          <w:szCs w:val="18"/>
          <w:lang w:eastAsia="nl-NL"/>
        </w:rPr>
        <w:t>e bestuursrechter te allen tijde</w:t>
      </w:r>
      <w:r w:rsidRPr="00A67EFD">
        <w:rPr>
          <w:rFonts w:ascii="Verdana" w:eastAsia="Times New Roman" w:hAnsi="Verdana"/>
          <w:sz w:val="18"/>
          <w:szCs w:val="18"/>
          <w:lang w:eastAsia="nl-NL"/>
        </w:rPr>
        <w:t xml:space="preserve"> </w:t>
      </w:r>
      <w:r w:rsidR="00503072">
        <w:rPr>
          <w:rFonts w:ascii="Verdana" w:eastAsia="Times New Roman" w:hAnsi="Verdana"/>
          <w:sz w:val="18"/>
          <w:szCs w:val="18"/>
          <w:lang w:eastAsia="nl-NL"/>
        </w:rPr>
        <w:t>procesbelang aan moet nemen</w:t>
      </w:r>
      <w:r w:rsidRPr="00A67EFD">
        <w:rPr>
          <w:rFonts w:ascii="Verdana" w:eastAsia="Times New Roman" w:hAnsi="Verdana"/>
          <w:sz w:val="18"/>
          <w:szCs w:val="18"/>
          <w:lang w:eastAsia="nl-NL"/>
        </w:rPr>
        <w:t xml:space="preserve"> ten a</w:t>
      </w:r>
      <w:r w:rsidR="00503072">
        <w:rPr>
          <w:rFonts w:ascii="Verdana" w:eastAsia="Times New Roman" w:hAnsi="Verdana"/>
          <w:sz w:val="18"/>
          <w:szCs w:val="18"/>
          <w:lang w:eastAsia="nl-NL"/>
        </w:rPr>
        <w:t xml:space="preserve">anzien van de verblijfsaanspraak en het </w:t>
      </w:r>
      <w:r w:rsidRPr="00A67EFD">
        <w:rPr>
          <w:rFonts w:ascii="Verdana" w:eastAsia="Times New Roman" w:hAnsi="Verdana"/>
          <w:sz w:val="18"/>
          <w:szCs w:val="18"/>
          <w:lang w:eastAsia="nl-NL"/>
        </w:rPr>
        <w:t xml:space="preserve">terugkeerbesluit en dit vol zal moeten toetsen. Voor het strafrecht </w:t>
      </w:r>
      <w:r>
        <w:rPr>
          <w:rFonts w:ascii="Verdana" w:eastAsia="Times New Roman" w:hAnsi="Verdana"/>
          <w:sz w:val="18"/>
          <w:szCs w:val="18"/>
          <w:lang w:eastAsia="nl-NL"/>
        </w:rPr>
        <w:t>is het</w:t>
      </w:r>
      <w:r w:rsidRPr="00A67EFD">
        <w:rPr>
          <w:rFonts w:ascii="Verdana" w:eastAsia="Times New Roman" w:hAnsi="Verdana"/>
          <w:sz w:val="18"/>
          <w:szCs w:val="18"/>
          <w:lang w:eastAsia="nl-NL"/>
        </w:rPr>
        <w:t xml:space="preserve"> b</w:t>
      </w:r>
      <w:r>
        <w:rPr>
          <w:rFonts w:ascii="Verdana" w:eastAsia="Times New Roman" w:hAnsi="Verdana"/>
          <w:sz w:val="18"/>
          <w:szCs w:val="18"/>
          <w:lang w:eastAsia="nl-NL"/>
        </w:rPr>
        <w:t>elangrijkste gevolg</w:t>
      </w:r>
      <w:r w:rsidR="00D61707">
        <w:rPr>
          <w:rFonts w:ascii="Verdana" w:eastAsia="Times New Roman" w:hAnsi="Verdana"/>
          <w:sz w:val="18"/>
          <w:szCs w:val="18"/>
          <w:lang w:eastAsia="nl-NL"/>
        </w:rPr>
        <w:t xml:space="preserve"> dat de vreemdeling die Nederland nog niet heeft verlaten – en waarbij het inreisverbod dus nog geen rechtskracht heeft – niet veroordeeld kan worden op grond van artikel 197 Sr.</w:t>
      </w:r>
    </w:p>
    <w:p w14:paraId="0E529872" w14:textId="77777777" w:rsidR="00521BEF" w:rsidRDefault="00521BEF" w:rsidP="00EA2291">
      <w:pPr>
        <w:spacing w:after="0" w:line="360" w:lineRule="auto"/>
        <w:jc w:val="both"/>
        <w:rPr>
          <w:rFonts w:ascii="Verdana" w:eastAsia="Times New Roman" w:hAnsi="Verdana"/>
          <w:b/>
          <w:sz w:val="18"/>
          <w:szCs w:val="18"/>
          <w:lang w:eastAsia="nl-NL"/>
        </w:rPr>
      </w:pPr>
    </w:p>
    <w:p w14:paraId="2F9E7408" w14:textId="77777777" w:rsidR="00894E79" w:rsidRDefault="00894E79">
      <w:pPr>
        <w:spacing w:after="0" w:line="240" w:lineRule="auto"/>
        <w:rPr>
          <w:rFonts w:ascii="Verdana" w:eastAsia="Times New Roman" w:hAnsi="Verdana"/>
          <w:b/>
          <w:sz w:val="18"/>
          <w:szCs w:val="18"/>
          <w:lang w:eastAsia="nl-NL"/>
        </w:rPr>
      </w:pPr>
      <w:r>
        <w:rPr>
          <w:rFonts w:ascii="Verdana" w:eastAsia="Times New Roman" w:hAnsi="Verdana"/>
          <w:b/>
          <w:sz w:val="18"/>
          <w:szCs w:val="18"/>
          <w:lang w:eastAsia="nl-NL"/>
        </w:rPr>
        <w:br w:type="page"/>
      </w:r>
    </w:p>
    <w:p w14:paraId="5A0F0483" w14:textId="5092ED17" w:rsidR="00EA2291" w:rsidRDefault="00BD3E6A" w:rsidP="00EA2291">
      <w:pPr>
        <w:spacing w:after="0" w:line="360" w:lineRule="auto"/>
        <w:jc w:val="both"/>
        <w:rPr>
          <w:rFonts w:ascii="Verdana" w:eastAsia="Times New Roman" w:hAnsi="Verdana"/>
          <w:b/>
          <w:sz w:val="18"/>
          <w:szCs w:val="18"/>
          <w:lang w:eastAsia="nl-NL"/>
        </w:rPr>
      </w:pPr>
      <w:r>
        <w:rPr>
          <w:rFonts w:ascii="Verdana" w:eastAsia="Times New Roman" w:hAnsi="Verdana"/>
          <w:b/>
          <w:sz w:val="18"/>
          <w:szCs w:val="18"/>
          <w:lang w:eastAsia="nl-NL"/>
        </w:rPr>
        <w:lastRenderedPageBreak/>
        <w:t>Hoofdstuk 3</w:t>
      </w:r>
    </w:p>
    <w:p w14:paraId="2C34A6EA" w14:textId="77777777" w:rsidR="00783363" w:rsidRDefault="00783363" w:rsidP="00EA2291">
      <w:pPr>
        <w:spacing w:after="0" w:line="360" w:lineRule="auto"/>
        <w:jc w:val="both"/>
        <w:rPr>
          <w:rFonts w:ascii="Verdana" w:eastAsia="Times New Roman" w:hAnsi="Verdana"/>
          <w:b/>
          <w:sz w:val="18"/>
          <w:szCs w:val="18"/>
          <w:lang w:eastAsia="nl-NL"/>
        </w:rPr>
      </w:pPr>
    </w:p>
    <w:p w14:paraId="1199ED82" w14:textId="50A39D60" w:rsidR="006157A8" w:rsidRDefault="00783363" w:rsidP="00EA2291">
      <w:pPr>
        <w:spacing w:after="0" w:line="360" w:lineRule="auto"/>
        <w:jc w:val="both"/>
        <w:rPr>
          <w:rFonts w:ascii="Verdana" w:eastAsia="Times New Roman" w:hAnsi="Verdana"/>
          <w:sz w:val="18"/>
          <w:szCs w:val="18"/>
          <w:lang w:eastAsia="nl-NL"/>
        </w:rPr>
      </w:pPr>
      <w:r>
        <w:rPr>
          <w:rFonts w:ascii="Verdana" w:eastAsia="Times New Roman" w:hAnsi="Verdana"/>
          <w:sz w:val="18"/>
          <w:szCs w:val="18"/>
          <w:lang w:eastAsia="nl-NL"/>
        </w:rPr>
        <w:t xml:space="preserve">De praktijkvragen </w:t>
      </w:r>
      <w:r w:rsidR="006752B1">
        <w:rPr>
          <w:rFonts w:ascii="Verdana" w:eastAsia="Times New Roman" w:hAnsi="Verdana"/>
          <w:sz w:val="18"/>
          <w:szCs w:val="18"/>
          <w:lang w:eastAsia="nl-NL"/>
        </w:rPr>
        <w:t xml:space="preserve">in </w:t>
      </w:r>
      <w:r w:rsidR="00D57ACE">
        <w:rPr>
          <w:rFonts w:ascii="Verdana" w:eastAsia="Times New Roman" w:hAnsi="Verdana"/>
          <w:sz w:val="18"/>
          <w:szCs w:val="18"/>
          <w:lang w:eastAsia="nl-NL"/>
        </w:rPr>
        <w:t>dit onderzoek</w:t>
      </w:r>
      <w:r w:rsidR="006752B1">
        <w:rPr>
          <w:rFonts w:ascii="Verdana" w:eastAsia="Times New Roman" w:hAnsi="Verdana"/>
          <w:sz w:val="18"/>
          <w:szCs w:val="18"/>
          <w:lang w:eastAsia="nl-NL"/>
        </w:rPr>
        <w:t xml:space="preserve"> zijn</w:t>
      </w:r>
      <w:r w:rsidR="00D57ACE">
        <w:rPr>
          <w:rFonts w:ascii="Verdana" w:eastAsia="Times New Roman" w:hAnsi="Verdana"/>
          <w:sz w:val="18"/>
          <w:szCs w:val="18"/>
          <w:lang w:eastAsia="nl-NL"/>
        </w:rPr>
        <w:t xml:space="preserve"> </w:t>
      </w:r>
      <w:r>
        <w:rPr>
          <w:rFonts w:ascii="Verdana" w:eastAsia="Times New Roman" w:hAnsi="Verdana"/>
          <w:sz w:val="18"/>
          <w:szCs w:val="18"/>
          <w:lang w:eastAsia="nl-NL"/>
        </w:rPr>
        <w:t>beantwoord aan de hand van zowel dossieronderzo</w:t>
      </w:r>
      <w:r w:rsidR="00495DFB">
        <w:rPr>
          <w:rFonts w:ascii="Verdana" w:eastAsia="Times New Roman" w:hAnsi="Verdana"/>
          <w:sz w:val="18"/>
          <w:szCs w:val="18"/>
          <w:lang w:eastAsia="nl-NL"/>
        </w:rPr>
        <w:t>ek als jur</w:t>
      </w:r>
      <w:r w:rsidR="006752B1">
        <w:rPr>
          <w:rFonts w:ascii="Verdana" w:eastAsia="Times New Roman" w:hAnsi="Verdana"/>
          <w:sz w:val="18"/>
          <w:szCs w:val="18"/>
          <w:lang w:eastAsia="nl-NL"/>
        </w:rPr>
        <w:t>isp</w:t>
      </w:r>
      <w:r w:rsidR="001044CB">
        <w:rPr>
          <w:rFonts w:ascii="Verdana" w:eastAsia="Times New Roman" w:hAnsi="Verdana"/>
          <w:sz w:val="18"/>
          <w:szCs w:val="18"/>
          <w:lang w:eastAsia="nl-NL"/>
        </w:rPr>
        <w:t>rudentieonderzoek. Hieronder zullen de resultaten van deze</w:t>
      </w:r>
      <w:r w:rsidR="009D703C">
        <w:rPr>
          <w:rFonts w:ascii="Verdana" w:eastAsia="Times New Roman" w:hAnsi="Verdana"/>
          <w:sz w:val="18"/>
          <w:szCs w:val="18"/>
          <w:lang w:eastAsia="nl-NL"/>
        </w:rPr>
        <w:t xml:space="preserve"> onderzoeken worden </w:t>
      </w:r>
      <w:r w:rsidR="001E0D3B">
        <w:rPr>
          <w:rFonts w:ascii="Verdana" w:eastAsia="Times New Roman" w:hAnsi="Verdana"/>
          <w:sz w:val="18"/>
          <w:szCs w:val="18"/>
          <w:lang w:eastAsia="nl-NL"/>
        </w:rPr>
        <w:t xml:space="preserve">besproken. </w:t>
      </w:r>
      <w:r w:rsidR="006157A8">
        <w:rPr>
          <w:rFonts w:ascii="Verdana" w:eastAsia="Times New Roman" w:hAnsi="Verdana"/>
          <w:sz w:val="18"/>
          <w:szCs w:val="18"/>
          <w:lang w:eastAsia="nl-NL"/>
        </w:rPr>
        <w:t xml:space="preserve">Voor beide onderzoeken zijn zogenoemde topics opgesteld, welke de grondslag </w:t>
      </w:r>
      <w:r w:rsidR="00DC59CA">
        <w:rPr>
          <w:rFonts w:ascii="Verdana" w:eastAsia="Times New Roman" w:hAnsi="Verdana"/>
          <w:sz w:val="18"/>
          <w:szCs w:val="18"/>
          <w:lang w:eastAsia="nl-NL"/>
        </w:rPr>
        <w:t>hebben gevormd vo</w:t>
      </w:r>
      <w:r w:rsidR="0023774A">
        <w:rPr>
          <w:rFonts w:ascii="Verdana" w:eastAsia="Times New Roman" w:hAnsi="Verdana"/>
          <w:sz w:val="18"/>
          <w:szCs w:val="18"/>
          <w:lang w:eastAsia="nl-NL"/>
        </w:rPr>
        <w:t>or de analyse. Vervolgens</w:t>
      </w:r>
      <w:r w:rsidR="00147057">
        <w:rPr>
          <w:rFonts w:ascii="Verdana" w:eastAsia="Times New Roman" w:hAnsi="Verdana"/>
          <w:sz w:val="18"/>
          <w:szCs w:val="18"/>
          <w:lang w:eastAsia="nl-NL"/>
        </w:rPr>
        <w:t xml:space="preserve"> zijn </w:t>
      </w:r>
      <w:r w:rsidR="0023774A">
        <w:rPr>
          <w:rFonts w:ascii="Verdana" w:eastAsia="Times New Roman" w:hAnsi="Verdana"/>
          <w:sz w:val="18"/>
          <w:szCs w:val="18"/>
          <w:lang w:eastAsia="nl-NL"/>
        </w:rPr>
        <w:t xml:space="preserve">aan de hand van de resultaten </w:t>
      </w:r>
      <w:r w:rsidR="00FF42B1">
        <w:rPr>
          <w:rFonts w:ascii="Verdana" w:eastAsia="Times New Roman" w:hAnsi="Verdana"/>
          <w:sz w:val="18"/>
          <w:szCs w:val="18"/>
          <w:lang w:eastAsia="nl-NL"/>
        </w:rPr>
        <w:t xml:space="preserve">conclusies </w:t>
      </w:r>
      <w:r w:rsidR="00B90D13">
        <w:rPr>
          <w:rFonts w:ascii="Verdana" w:eastAsia="Times New Roman" w:hAnsi="Verdana"/>
          <w:sz w:val="18"/>
          <w:szCs w:val="18"/>
          <w:lang w:eastAsia="nl-NL"/>
        </w:rPr>
        <w:t>geformuleerd.</w:t>
      </w:r>
    </w:p>
    <w:p w14:paraId="5A52B4BC" w14:textId="77777777" w:rsidR="00FC2436" w:rsidRDefault="00FC2436" w:rsidP="00EA2291">
      <w:pPr>
        <w:spacing w:after="0" w:line="360" w:lineRule="auto"/>
        <w:jc w:val="both"/>
        <w:rPr>
          <w:rFonts w:ascii="Verdana" w:eastAsia="Times New Roman" w:hAnsi="Verdana"/>
          <w:sz w:val="18"/>
          <w:szCs w:val="18"/>
          <w:lang w:eastAsia="nl-NL"/>
        </w:rPr>
      </w:pPr>
    </w:p>
    <w:p w14:paraId="31EC7A2C" w14:textId="2391D8E8" w:rsidR="00FC2436" w:rsidRPr="00FC2436" w:rsidRDefault="00AD41B5" w:rsidP="00FC2436">
      <w:pPr>
        <w:pBdr>
          <w:bottom w:val="single" w:sz="4" w:space="1" w:color="auto"/>
        </w:pBdr>
        <w:spacing w:after="0" w:line="360" w:lineRule="auto"/>
        <w:jc w:val="both"/>
        <w:rPr>
          <w:rFonts w:ascii="Verdana" w:eastAsia="Times New Roman" w:hAnsi="Verdana"/>
          <w:i/>
          <w:sz w:val="18"/>
          <w:szCs w:val="18"/>
          <w:lang w:eastAsia="nl-NL"/>
        </w:rPr>
      </w:pPr>
      <w:r>
        <w:rPr>
          <w:rFonts w:ascii="Verdana" w:eastAsia="Times New Roman" w:hAnsi="Verdana"/>
          <w:i/>
          <w:sz w:val="18"/>
          <w:szCs w:val="18"/>
          <w:lang w:eastAsia="nl-NL"/>
        </w:rPr>
        <w:t>3.1 Resultaten</w:t>
      </w:r>
      <w:r w:rsidR="00FC2436">
        <w:rPr>
          <w:rFonts w:ascii="Verdana" w:eastAsia="Times New Roman" w:hAnsi="Verdana"/>
          <w:i/>
          <w:sz w:val="18"/>
          <w:szCs w:val="18"/>
          <w:lang w:eastAsia="nl-NL"/>
        </w:rPr>
        <w:t xml:space="preserve"> dossieronderzoek</w:t>
      </w:r>
    </w:p>
    <w:p w14:paraId="088B9305" w14:textId="77777777" w:rsidR="006157A8" w:rsidRDefault="006157A8" w:rsidP="00EA2291">
      <w:pPr>
        <w:spacing w:after="0" w:line="360" w:lineRule="auto"/>
        <w:jc w:val="both"/>
        <w:rPr>
          <w:rFonts w:ascii="Verdana" w:eastAsia="Times New Roman" w:hAnsi="Verdana"/>
          <w:sz w:val="18"/>
          <w:szCs w:val="18"/>
          <w:lang w:eastAsia="nl-NL"/>
        </w:rPr>
      </w:pPr>
    </w:p>
    <w:p w14:paraId="11971D2E" w14:textId="606495B7" w:rsidR="00260F14" w:rsidRDefault="002F14D3" w:rsidP="00260F14">
      <w:pPr>
        <w:spacing w:after="0" w:line="360" w:lineRule="auto"/>
        <w:jc w:val="both"/>
        <w:rPr>
          <w:rFonts w:ascii="Verdana" w:eastAsia="Times New Roman" w:hAnsi="Verdana"/>
          <w:sz w:val="18"/>
          <w:szCs w:val="18"/>
          <w:lang w:eastAsia="nl-NL"/>
        </w:rPr>
      </w:pPr>
      <w:r>
        <w:rPr>
          <w:rFonts w:ascii="Verdana" w:eastAsia="Times New Roman" w:hAnsi="Verdana"/>
          <w:sz w:val="18"/>
          <w:szCs w:val="18"/>
          <w:lang w:eastAsia="nl-NL"/>
        </w:rPr>
        <w:t>Het schema van de analyse</w:t>
      </w:r>
      <w:r w:rsidR="00CB4B92">
        <w:rPr>
          <w:rFonts w:ascii="Verdana" w:eastAsia="Times New Roman" w:hAnsi="Verdana"/>
          <w:sz w:val="18"/>
          <w:szCs w:val="18"/>
          <w:lang w:eastAsia="nl-NL"/>
        </w:rPr>
        <w:t xml:space="preserve"> </w:t>
      </w:r>
      <w:r>
        <w:rPr>
          <w:rFonts w:ascii="Verdana" w:eastAsia="Times New Roman" w:hAnsi="Verdana"/>
          <w:sz w:val="18"/>
          <w:szCs w:val="18"/>
          <w:lang w:eastAsia="nl-NL"/>
        </w:rPr>
        <w:t>met de daarbij behorende topics</w:t>
      </w:r>
      <w:r w:rsidR="00CB4B92">
        <w:rPr>
          <w:rFonts w:ascii="Verdana" w:eastAsia="Times New Roman" w:hAnsi="Verdana"/>
          <w:sz w:val="18"/>
          <w:szCs w:val="18"/>
          <w:lang w:eastAsia="nl-NL"/>
        </w:rPr>
        <w:t xml:space="preserve"> i</w:t>
      </w:r>
      <w:r>
        <w:rPr>
          <w:rFonts w:ascii="Verdana" w:eastAsia="Times New Roman" w:hAnsi="Verdana"/>
          <w:sz w:val="18"/>
          <w:szCs w:val="18"/>
          <w:lang w:eastAsia="nl-NL"/>
        </w:rPr>
        <w:t xml:space="preserve">s opgenomen in </w:t>
      </w:r>
      <w:r w:rsidR="00972F41">
        <w:rPr>
          <w:rFonts w:ascii="Verdana" w:eastAsia="Times New Roman" w:hAnsi="Verdana"/>
          <w:sz w:val="18"/>
          <w:szCs w:val="18"/>
          <w:u w:val="dotDotDash"/>
          <w:lang w:eastAsia="nl-NL"/>
        </w:rPr>
        <w:t>bijlage 4</w:t>
      </w:r>
      <w:r w:rsidR="00775E55" w:rsidRPr="00775E55">
        <w:rPr>
          <w:rFonts w:ascii="Verdana" w:eastAsia="Times New Roman" w:hAnsi="Verdana"/>
          <w:sz w:val="18"/>
          <w:szCs w:val="18"/>
          <w:lang w:eastAsia="nl-NL"/>
        </w:rPr>
        <w:t>.</w:t>
      </w:r>
      <w:r w:rsidR="000C21E3">
        <w:rPr>
          <w:rFonts w:ascii="Verdana" w:eastAsia="Times New Roman" w:hAnsi="Verdana"/>
          <w:sz w:val="18"/>
          <w:szCs w:val="18"/>
          <w:lang w:eastAsia="nl-NL"/>
        </w:rPr>
        <w:t xml:space="preserve"> Het schema is tijdens de analyse ingevuld aan de hand van een legenda. De exacte resultaten zullen hieronder </w:t>
      </w:r>
      <w:r w:rsidR="00E24F57">
        <w:rPr>
          <w:rFonts w:ascii="Verdana" w:eastAsia="Times New Roman" w:hAnsi="Verdana"/>
          <w:sz w:val="18"/>
          <w:szCs w:val="18"/>
          <w:lang w:eastAsia="nl-NL"/>
        </w:rPr>
        <w:t xml:space="preserve">gemotiveerd </w:t>
      </w:r>
      <w:r w:rsidR="000C21E3">
        <w:rPr>
          <w:rFonts w:ascii="Verdana" w:eastAsia="Times New Roman" w:hAnsi="Verdana"/>
          <w:sz w:val="18"/>
          <w:szCs w:val="18"/>
          <w:lang w:eastAsia="nl-NL"/>
        </w:rPr>
        <w:t xml:space="preserve">worden uiteengezet. </w:t>
      </w:r>
    </w:p>
    <w:p w14:paraId="6274EF1D" w14:textId="77777777" w:rsidR="000C21E3" w:rsidRDefault="000C21E3" w:rsidP="00260F14">
      <w:pPr>
        <w:spacing w:after="0" w:line="360" w:lineRule="auto"/>
        <w:jc w:val="both"/>
        <w:rPr>
          <w:rFonts w:ascii="Verdana" w:eastAsia="Times New Roman" w:hAnsi="Verdana"/>
          <w:sz w:val="18"/>
          <w:szCs w:val="18"/>
          <w:lang w:eastAsia="nl-NL"/>
        </w:rPr>
      </w:pPr>
    </w:p>
    <w:p w14:paraId="729C22AB" w14:textId="1173846E" w:rsidR="008853BB" w:rsidRDefault="008853BB" w:rsidP="00260F14">
      <w:pPr>
        <w:spacing w:after="0" w:line="360" w:lineRule="auto"/>
        <w:jc w:val="both"/>
        <w:rPr>
          <w:rFonts w:ascii="Verdana" w:eastAsia="Times New Roman" w:hAnsi="Verdana"/>
          <w:sz w:val="18"/>
          <w:szCs w:val="18"/>
          <w:lang w:eastAsia="nl-NL"/>
        </w:rPr>
      </w:pPr>
      <w:r>
        <w:rPr>
          <w:rFonts w:ascii="Verdana" w:eastAsia="Times New Roman" w:hAnsi="Verdana"/>
          <w:sz w:val="18"/>
          <w:szCs w:val="18"/>
          <w:lang w:eastAsia="nl-NL"/>
        </w:rPr>
        <w:t xml:space="preserve">Uit het literatuuronderzoek is reeds gebleken dat </w:t>
      </w:r>
      <w:r w:rsidR="009778F7">
        <w:rPr>
          <w:rFonts w:ascii="Verdana" w:eastAsia="Times New Roman" w:hAnsi="Verdana"/>
          <w:sz w:val="18"/>
          <w:szCs w:val="18"/>
          <w:lang w:eastAsia="nl-NL"/>
        </w:rPr>
        <w:t xml:space="preserve">er </w:t>
      </w:r>
      <w:r w:rsidR="001A4946">
        <w:rPr>
          <w:rFonts w:ascii="Verdana" w:eastAsia="Times New Roman" w:hAnsi="Verdana"/>
          <w:sz w:val="18"/>
          <w:szCs w:val="18"/>
          <w:lang w:eastAsia="nl-NL"/>
        </w:rPr>
        <w:t xml:space="preserve">gerede twijfel bestaat over de vraag of </w:t>
      </w:r>
      <w:r w:rsidR="004F6C14">
        <w:rPr>
          <w:rFonts w:ascii="Verdana" w:eastAsia="Times New Roman" w:hAnsi="Verdana"/>
          <w:sz w:val="18"/>
          <w:szCs w:val="18"/>
          <w:lang w:eastAsia="nl-NL"/>
        </w:rPr>
        <w:t>de IND het Unierecht en de daaruit voortvloeiende verplichtingen, waaronder toepassing van de actuele-bedreigingstoets en/of het betrekken van de Unierechtelijke factoren bij de belangenafweging, naar behoren toepast</w:t>
      </w:r>
      <w:r w:rsidR="00117F61">
        <w:rPr>
          <w:rFonts w:ascii="Verdana" w:eastAsia="Times New Roman" w:hAnsi="Verdana"/>
          <w:sz w:val="18"/>
          <w:szCs w:val="18"/>
          <w:lang w:eastAsia="nl-NL"/>
        </w:rPr>
        <w:t xml:space="preserve"> bij de weigering, niet-verlenging of intrekking van een verblijfsvergunning</w:t>
      </w:r>
      <w:r w:rsidR="004F6C14">
        <w:rPr>
          <w:rFonts w:ascii="Verdana" w:eastAsia="Times New Roman" w:hAnsi="Verdana"/>
          <w:sz w:val="18"/>
          <w:szCs w:val="18"/>
          <w:lang w:eastAsia="nl-NL"/>
        </w:rPr>
        <w:t>.</w:t>
      </w:r>
      <w:r w:rsidR="00B7086B">
        <w:rPr>
          <w:rFonts w:ascii="Verdana" w:eastAsia="Times New Roman" w:hAnsi="Verdana"/>
          <w:sz w:val="18"/>
          <w:szCs w:val="18"/>
          <w:lang w:eastAsia="nl-NL"/>
        </w:rPr>
        <w:t xml:space="preserve"> Na het analyseren van alle dossiers kan worden geconcludeerd dat deze twijfels terecht</w:t>
      </w:r>
      <w:r w:rsidR="00EA2E1B">
        <w:rPr>
          <w:rFonts w:ascii="Verdana" w:eastAsia="Times New Roman" w:hAnsi="Verdana"/>
          <w:sz w:val="18"/>
          <w:szCs w:val="18"/>
          <w:lang w:eastAsia="nl-NL"/>
        </w:rPr>
        <w:t xml:space="preserve"> zijn.</w:t>
      </w:r>
    </w:p>
    <w:p w14:paraId="6AEAF17B" w14:textId="77777777" w:rsidR="008853BB" w:rsidRDefault="008853BB" w:rsidP="00260F14">
      <w:pPr>
        <w:spacing w:after="0" w:line="360" w:lineRule="auto"/>
        <w:jc w:val="both"/>
        <w:rPr>
          <w:rFonts w:ascii="Verdana" w:eastAsia="Times New Roman" w:hAnsi="Verdana"/>
          <w:sz w:val="18"/>
          <w:szCs w:val="18"/>
          <w:lang w:eastAsia="nl-NL"/>
        </w:rPr>
      </w:pPr>
    </w:p>
    <w:p w14:paraId="12C91328" w14:textId="27C595B8" w:rsidR="00E10029" w:rsidRPr="008E7FBA" w:rsidRDefault="003E7418" w:rsidP="00260F14">
      <w:pPr>
        <w:spacing w:after="0" w:line="360" w:lineRule="auto"/>
        <w:jc w:val="both"/>
        <w:rPr>
          <w:rFonts w:ascii="Verdana" w:eastAsia="Times New Roman" w:hAnsi="Verdana"/>
          <w:sz w:val="18"/>
          <w:szCs w:val="18"/>
          <w:lang w:eastAsia="nl-NL"/>
        </w:rPr>
      </w:pPr>
      <w:r>
        <w:rPr>
          <w:rFonts w:ascii="Verdana" w:eastAsia="Times New Roman" w:hAnsi="Verdana"/>
          <w:sz w:val="18"/>
          <w:szCs w:val="18"/>
          <w:lang w:eastAsia="nl-NL"/>
        </w:rPr>
        <w:t>Van</w:t>
      </w:r>
      <w:r w:rsidR="001F7D41">
        <w:rPr>
          <w:rFonts w:ascii="Verdana" w:eastAsia="Times New Roman" w:hAnsi="Verdana"/>
          <w:sz w:val="18"/>
          <w:szCs w:val="18"/>
          <w:lang w:eastAsia="nl-NL"/>
        </w:rPr>
        <w:t xml:space="preserve"> belang</w:t>
      </w:r>
      <w:r>
        <w:rPr>
          <w:rFonts w:ascii="Verdana" w:eastAsia="Times New Roman" w:hAnsi="Verdana"/>
          <w:sz w:val="18"/>
          <w:szCs w:val="18"/>
          <w:lang w:eastAsia="nl-NL"/>
        </w:rPr>
        <w:t xml:space="preserve"> is</w:t>
      </w:r>
      <w:r w:rsidR="001F7D41">
        <w:rPr>
          <w:rFonts w:ascii="Verdana" w:eastAsia="Times New Roman" w:hAnsi="Verdana"/>
          <w:sz w:val="18"/>
          <w:szCs w:val="18"/>
          <w:lang w:eastAsia="nl-NL"/>
        </w:rPr>
        <w:t xml:space="preserve"> dat het Unierecht in alle dertien dossiers van toepassing was. </w:t>
      </w:r>
      <w:r w:rsidR="00456B89">
        <w:rPr>
          <w:rFonts w:ascii="Verdana" w:eastAsia="Times New Roman" w:hAnsi="Verdana"/>
          <w:sz w:val="18"/>
          <w:szCs w:val="18"/>
          <w:lang w:eastAsia="nl-NL"/>
        </w:rPr>
        <w:t>Het ging immers in zeven zaken om de intrekking van een verblijfsvergunning asiel voor onbepaalde tijd</w:t>
      </w:r>
      <w:r w:rsidR="00456B89">
        <w:rPr>
          <w:rStyle w:val="Voetnootmarkering"/>
          <w:rFonts w:ascii="Verdana" w:eastAsia="Times New Roman" w:hAnsi="Verdana"/>
          <w:sz w:val="18"/>
          <w:szCs w:val="18"/>
          <w:lang w:eastAsia="nl-NL"/>
        </w:rPr>
        <w:footnoteReference w:id="111"/>
      </w:r>
      <w:r w:rsidR="00BA0343">
        <w:rPr>
          <w:rFonts w:ascii="Verdana" w:eastAsia="Times New Roman" w:hAnsi="Verdana"/>
          <w:sz w:val="18"/>
          <w:szCs w:val="18"/>
          <w:lang w:eastAsia="nl-NL"/>
        </w:rPr>
        <w:t xml:space="preserve"> en in zes</w:t>
      </w:r>
      <w:r w:rsidR="00456B89">
        <w:rPr>
          <w:rFonts w:ascii="Verdana" w:eastAsia="Times New Roman" w:hAnsi="Verdana"/>
          <w:sz w:val="18"/>
          <w:szCs w:val="18"/>
          <w:lang w:eastAsia="nl-NL"/>
        </w:rPr>
        <w:t xml:space="preserve"> zaken ging het om de intrekking van een verblijfsvergunning voor onbepaalde tijd op grond van verblijf </w:t>
      </w:r>
      <w:r w:rsidR="00476978">
        <w:rPr>
          <w:rFonts w:ascii="Verdana" w:eastAsia="Times New Roman" w:hAnsi="Verdana"/>
          <w:sz w:val="18"/>
          <w:szCs w:val="18"/>
          <w:lang w:eastAsia="nl-NL"/>
        </w:rPr>
        <w:t>bij een familielid</w:t>
      </w:r>
      <w:r w:rsidR="00456B89">
        <w:rPr>
          <w:rFonts w:ascii="Verdana" w:eastAsia="Times New Roman" w:hAnsi="Verdana"/>
          <w:sz w:val="18"/>
          <w:szCs w:val="18"/>
          <w:lang w:eastAsia="nl-NL"/>
        </w:rPr>
        <w:t xml:space="preserve"> of partner.</w:t>
      </w:r>
      <w:r w:rsidR="00456B89">
        <w:rPr>
          <w:rStyle w:val="Voetnootmarkering"/>
          <w:rFonts w:ascii="Verdana" w:eastAsia="Times New Roman" w:hAnsi="Verdana"/>
          <w:sz w:val="18"/>
          <w:szCs w:val="18"/>
          <w:lang w:eastAsia="nl-NL"/>
        </w:rPr>
        <w:footnoteReference w:id="112"/>
      </w:r>
      <w:r w:rsidR="00A96722">
        <w:rPr>
          <w:rFonts w:ascii="Verdana" w:eastAsia="Times New Roman" w:hAnsi="Verdana"/>
          <w:sz w:val="18"/>
          <w:szCs w:val="18"/>
          <w:lang w:eastAsia="nl-NL"/>
        </w:rPr>
        <w:t xml:space="preserve"> </w:t>
      </w:r>
      <w:r w:rsidR="004179B9">
        <w:rPr>
          <w:rFonts w:ascii="Verdana" w:eastAsia="Times New Roman" w:hAnsi="Verdana"/>
          <w:sz w:val="18"/>
          <w:szCs w:val="18"/>
          <w:lang w:eastAsia="nl-NL"/>
        </w:rPr>
        <w:t>Ondanks dat het Unierecht van toepassing was, werd de Unierechtelijke actuele-bedreigingstoets in alle dossiers buiten beschouwing gelaten en werd door de IND de nationale gl</w:t>
      </w:r>
      <w:r w:rsidR="00EE50A0">
        <w:rPr>
          <w:rFonts w:ascii="Verdana" w:eastAsia="Times New Roman" w:hAnsi="Verdana"/>
          <w:sz w:val="18"/>
          <w:szCs w:val="18"/>
          <w:lang w:eastAsia="nl-NL"/>
        </w:rPr>
        <w:t>ijdende schaal toegepast.</w:t>
      </w:r>
      <w:r w:rsidR="000E40EB">
        <w:rPr>
          <w:rFonts w:ascii="Verdana" w:eastAsia="Times New Roman" w:hAnsi="Verdana"/>
          <w:sz w:val="18"/>
          <w:szCs w:val="18"/>
          <w:lang w:eastAsia="nl-NL"/>
        </w:rPr>
        <w:t xml:space="preserve"> Opvallend is dat de IND de actuele-bedreigingstoetst nimmer benoemd in de bestudeerde dossiers</w:t>
      </w:r>
      <w:r w:rsidR="00615AA1">
        <w:rPr>
          <w:rFonts w:ascii="Verdana" w:eastAsia="Times New Roman" w:hAnsi="Verdana"/>
          <w:sz w:val="18"/>
          <w:szCs w:val="18"/>
          <w:lang w:eastAsia="nl-NL"/>
        </w:rPr>
        <w:t>, maar slechts beoordeeld welke versie van de glijdende schaal van toepassing is.</w:t>
      </w:r>
      <w:r w:rsidR="00E10029">
        <w:rPr>
          <w:rFonts w:ascii="Verdana" w:eastAsia="Times New Roman" w:hAnsi="Verdana"/>
          <w:sz w:val="18"/>
          <w:szCs w:val="18"/>
          <w:lang w:eastAsia="nl-NL"/>
        </w:rPr>
        <w:t xml:space="preserve"> In de beschikkingen wordt </w:t>
      </w:r>
      <w:r w:rsidR="00F26407">
        <w:rPr>
          <w:rFonts w:ascii="Verdana" w:eastAsia="Times New Roman" w:hAnsi="Verdana"/>
          <w:sz w:val="18"/>
          <w:szCs w:val="18"/>
          <w:lang w:eastAsia="nl-NL"/>
        </w:rPr>
        <w:t xml:space="preserve">bijvoorbeeld </w:t>
      </w:r>
      <w:r w:rsidR="00E10029">
        <w:rPr>
          <w:rFonts w:ascii="Verdana" w:eastAsia="Times New Roman" w:hAnsi="Verdana"/>
          <w:sz w:val="18"/>
          <w:szCs w:val="18"/>
          <w:lang w:eastAsia="nl-NL"/>
        </w:rPr>
        <w:t>het volgende opgemerkt:</w:t>
      </w:r>
      <w:r w:rsidR="00755FDF">
        <w:rPr>
          <w:rFonts w:ascii="Verdana" w:eastAsia="Times New Roman" w:hAnsi="Verdana"/>
          <w:sz w:val="18"/>
          <w:szCs w:val="18"/>
          <w:lang w:eastAsia="nl-NL"/>
        </w:rPr>
        <w:t xml:space="preserve"> </w:t>
      </w:r>
      <w:r w:rsidR="00E10029">
        <w:rPr>
          <w:rFonts w:ascii="Verdana" w:eastAsia="Times New Roman" w:hAnsi="Verdana"/>
          <w:i/>
          <w:sz w:val="18"/>
          <w:szCs w:val="18"/>
          <w:lang w:eastAsia="nl-NL"/>
        </w:rPr>
        <w:t>‘… de verblijfsvergunning regulier voor onbepaalde tijd heeft een zuiver nationaalrechtelijk karakter, waarbij enkel</w:t>
      </w:r>
      <w:r w:rsidR="00755FDF">
        <w:rPr>
          <w:rFonts w:ascii="Verdana" w:eastAsia="Times New Roman" w:hAnsi="Verdana"/>
          <w:i/>
          <w:sz w:val="18"/>
          <w:szCs w:val="18"/>
          <w:lang w:eastAsia="nl-NL"/>
        </w:rPr>
        <w:t xml:space="preserve"> het nationale openbare-ordebeleid van toepassing is.</w:t>
      </w:r>
      <w:r w:rsidR="007F53DD">
        <w:rPr>
          <w:rFonts w:ascii="Verdana" w:eastAsia="Times New Roman" w:hAnsi="Verdana"/>
          <w:i/>
          <w:sz w:val="18"/>
          <w:szCs w:val="18"/>
          <w:lang w:eastAsia="nl-NL"/>
        </w:rPr>
        <w:t xml:space="preserve"> De Richtlijn 2004/38 heeft betrekking op burgers van de Unie. Het ziet niet op de definitie van openbare orde ingeval van het intrekken van reguliere verblijfsvergunningen van derdelanders, zoals dat wordt toegepast in het nationale recht.</w:t>
      </w:r>
      <w:r w:rsidR="00E10029">
        <w:rPr>
          <w:rFonts w:ascii="Verdana" w:eastAsia="Times New Roman" w:hAnsi="Verdana"/>
          <w:i/>
          <w:sz w:val="18"/>
          <w:szCs w:val="18"/>
          <w:lang w:eastAsia="nl-NL"/>
        </w:rPr>
        <w:t>’’</w:t>
      </w:r>
      <w:r w:rsidR="00C428E5" w:rsidRPr="00C428E5">
        <w:rPr>
          <w:rStyle w:val="Voetnootmarkering"/>
          <w:rFonts w:ascii="Verdana" w:eastAsia="Times New Roman" w:hAnsi="Verdana"/>
          <w:i/>
          <w:sz w:val="18"/>
          <w:szCs w:val="18"/>
          <w:lang w:eastAsia="nl-NL"/>
        </w:rPr>
        <w:t xml:space="preserve"> </w:t>
      </w:r>
      <w:r w:rsidR="00C428E5">
        <w:rPr>
          <w:rStyle w:val="Voetnootmarkering"/>
          <w:rFonts w:ascii="Verdana" w:eastAsia="Times New Roman" w:hAnsi="Verdana"/>
          <w:i/>
          <w:sz w:val="18"/>
          <w:szCs w:val="18"/>
          <w:lang w:eastAsia="nl-NL"/>
        </w:rPr>
        <w:footnoteReference w:id="113"/>
      </w:r>
      <w:r w:rsidR="008E7FBA">
        <w:rPr>
          <w:rFonts w:ascii="Verdana" w:eastAsia="Times New Roman" w:hAnsi="Verdana"/>
          <w:i/>
          <w:sz w:val="18"/>
          <w:szCs w:val="18"/>
          <w:lang w:eastAsia="nl-NL"/>
        </w:rPr>
        <w:t xml:space="preserve"> </w:t>
      </w:r>
    </w:p>
    <w:p w14:paraId="14C3B3BF" w14:textId="77777777" w:rsidR="00A96722" w:rsidRDefault="00A96722" w:rsidP="00260F14">
      <w:pPr>
        <w:spacing w:after="0" w:line="360" w:lineRule="auto"/>
        <w:jc w:val="both"/>
        <w:rPr>
          <w:rFonts w:ascii="Verdana" w:eastAsia="Times New Roman" w:hAnsi="Verdana"/>
          <w:sz w:val="18"/>
          <w:szCs w:val="18"/>
          <w:lang w:eastAsia="nl-NL"/>
        </w:rPr>
      </w:pPr>
    </w:p>
    <w:p w14:paraId="1216E312" w14:textId="050BABC4" w:rsidR="0090469D" w:rsidRDefault="00EB2D82" w:rsidP="00260F14">
      <w:pPr>
        <w:spacing w:after="0" w:line="360" w:lineRule="auto"/>
        <w:jc w:val="both"/>
        <w:rPr>
          <w:rFonts w:ascii="Verdana" w:eastAsia="Times New Roman" w:hAnsi="Verdana"/>
          <w:sz w:val="18"/>
          <w:szCs w:val="18"/>
          <w:lang w:eastAsia="nl-NL"/>
        </w:rPr>
      </w:pPr>
      <w:r>
        <w:rPr>
          <w:rFonts w:ascii="Verdana" w:eastAsia="Times New Roman" w:hAnsi="Verdana"/>
          <w:sz w:val="18"/>
          <w:szCs w:val="18"/>
          <w:lang w:eastAsia="nl-NL"/>
        </w:rPr>
        <w:t xml:space="preserve">In alle </w:t>
      </w:r>
      <w:r w:rsidR="00064E49">
        <w:rPr>
          <w:rFonts w:ascii="Verdana" w:eastAsia="Times New Roman" w:hAnsi="Verdana"/>
          <w:sz w:val="18"/>
          <w:szCs w:val="18"/>
          <w:lang w:eastAsia="nl-NL"/>
        </w:rPr>
        <w:t xml:space="preserve">dertien </w:t>
      </w:r>
      <w:r>
        <w:rPr>
          <w:rFonts w:ascii="Verdana" w:eastAsia="Times New Roman" w:hAnsi="Verdana"/>
          <w:sz w:val="18"/>
          <w:szCs w:val="18"/>
          <w:lang w:eastAsia="nl-NL"/>
        </w:rPr>
        <w:t xml:space="preserve">dossiers was het </w:t>
      </w:r>
      <w:r w:rsidR="00CD2F95">
        <w:rPr>
          <w:rFonts w:ascii="Verdana" w:eastAsia="Times New Roman" w:hAnsi="Verdana"/>
          <w:sz w:val="18"/>
          <w:szCs w:val="18"/>
          <w:lang w:eastAsia="nl-NL"/>
        </w:rPr>
        <w:t xml:space="preserve">laatste strafbare </w:t>
      </w:r>
      <w:r>
        <w:rPr>
          <w:rFonts w:ascii="Verdana" w:eastAsia="Times New Roman" w:hAnsi="Verdana"/>
          <w:sz w:val="18"/>
          <w:szCs w:val="18"/>
          <w:lang w:eastAsia="nl-NL"/>
        </w:rPr>
        <w:t xml:space="preserve">feit al van </w:t>
      </w:r>
      <w:r w:rsidR="00CD2F95" w:rsidRPr="00064E49">
        <w:rPr>
          <w:rFonts w:ascii="Verdana" w:eastAsia="Times New Roman" w:hAnsi="Verdana"/>
          <w:sz w:val="18"/>
          <w:szCs w:val="18"/>
          <w:lang w:eastAsia="nl-NL"/>
        </w:rPr>
        <w:t xml:space="preserve">minstens </w:t>
      </w:r>
      <w:r w:rsidR="00CD2F95">
        <w:rPr>
          <w:rFonts w:ascii="Verdana" w:eastAsia="Times New Roman" w:hAnsi="Verdana"/>
          <w:sz w:val="18"/>
          <w:szCs w:val="18"/>
          <w:lang w:eastAsia="nl-NL"/>
        </w:rPr>
        <w:t>een jaar geleden.</w:t>
      </w:r>
      <w:r w:rsidR="00E74E9B">
        <w:rPr>
          <w:rFonts w:ascii="Verdana" w:eastAsia="Times New Roman" w:hAnsi="Verdana"/>
          <w:sz w:val="18"/>
          <w:szCs w:val="18"/>
          <w:lang w:eastAsia="nl-NL"/>
        </w:rPr>
        <w:t xml:space="preserve"> In de meeste gevallen</w:t>
      </w:r>
      <w:r w:rsidR="00E74E9B">
        <w:rPr>
          <w:rStyle w:val="Voetnootmarkering"/>
          <w:rFonts w:ascii="Verdana" w:eastAsia="Times New Roman" w:hAnsi="Verdana"/>
          <w:sz w:val="18"/>
          <w:szCs w:val="18"/>
          <w:lang w:eastAsia="nl-NL"/>
        </w:rPr>
        <w:footnoteReference w:id="114"/>
      </w:r>
      <w:r>
        <w:rPr>
          <w:rFonts w:ascii="Verdana" w:eastAsia="Times New Roman" w:hAnsi="Verdana"/>
          <w:sz w:val="18"/>
          <w:szCs w:val="18"/>
          <w:lang w:eastAsia="nl-NL"/>
        </w:rPr>
        <w:t xml:space="preserve"> zelfs van twee tot </w:t>
      </w:r>
      <w:r w:rsidR="00FA53BD">
        <w:rPr>
          <w:rFonts w:ascii="Verdana" w:eastAsia="Times New Roman" w:hAnsi="Verdana"/>
          <w:sz w:val="18"/>
          <w:szCs w:val="18"/>
          <w:lang w:eastAsia="nl-NL"/>
        </w:rPr>
        <w:t xml:space="preserve">vijf </w:t>
      </w:r>
      <w:r w:rsidR="00CD2F95">
        <w:rPr>
          <w:rFonts w:ascii="Verdana" w:eastAsia="Times New Roman" w:hAnsi="Verdana"/>
          <w:sz w:val="18"/>
          <w:szCs w:val="18"/>
          <w:lang w:eastAsia="nl-NL"/>
        </w:rPr>
        <w:t>jaren geleden.</w:t>
      </w:r>
      <w:r w:rsidR="008F074F">
        <w:rPr>
          <w:rFonts w:ascii="Verdana" w:eastAsia="Times New Roman" w:hAnsi="Verdana"/>
          <w:sz w:val="18"/>
          <w:szCs w:val="18"/>
          <w:lang w:eastAsia="nl-NL"/>
        </w:rPr>
        <w:t xml:space="preserve"> </w:t>
      </w:r>
      <w:r w:rsidR="009A15ED">
        <w:rPr>
          <w:rFonts w:ascii="Verdana" w:eastAsia="Times New Roman" w:hAnsi="Verdana"/>
          <w:sz w:val="18"/>
          <w:szCs w:val="18"/>
          <w:lang w:eastAsia="nl-NL"/>
        </w:rPr>
        <w:t>Hierdoor kon</w:t>
      </w:r>
      <w:r w:rsidR="006E4CB3">
        <w:rPr>
          <w:rFonts w:ascii="Verdana" w:eastAsia="Times New Roman" w:hAnsi="Verdana"/>
          <w:sz w:val="18"/>
          <w:szCs w:val="18"/>
          <w:lang w:eastAsia="nl-NL"/>
        </w:rPr>
        <w:t xml:space="preserve"> </w:t>
      </w:r>
      <w:r w:rsidR="00B62E20">
        <w:rPr>
          <w:rFonts w:ascii="Verdana" w:eastAsia="Times New Roman" w:hAnsi="Verdana"/>
          <w:sz w:val="18"/>
          <w:szCs w:val="18"/>
          <w:lang w:eastAsia="nl-NL"/>
        </w:rPr>
        <w:t xml:space="preserve">in alle zaken </w:t>
      </w:r>
      <w:r w:rsidR="009A15ED">
        <w:rPr>
          <w:rFonts w:ascii="Verdana" w:eastAsia="Times New Roman" w:hAnsi="Verdana"/>
          <w:sz w:val="18"/>
          <w:szCs w:val="18"/>
          <w:lang w:eastAsia="nl-NL"/>
        </w:rPr>
        <w:t xml:space="preserve">beargumenteerd </w:t>
      </w:r>
      <w:r w:rsidR="00EE5E5C">
        <w:rPr>
          <w:rFonts w:ascii="Verdana" w:eastAsia="Times New Roman" w:hAnsi="Verdana"/>
          <w:sz w:val="18"/>
          <w:szCs w:val="18"/>
          <w:lang w:eastAsia="nl-NL"/>
        </w:rPr>
        <w:t xml:space="preserve">worden </w:t>
      </w:r>
      <w:r w:rsidR="006E4CB3">
        <w:rPr>
          <w:rFonts w:ascii="Verdana" w:eastAsia="Times New Roman" w:hAnsi="Verdana"/>
          <w:sz w:val="18"/>
          <w:szCs w:val="18"/>
          <w:lang w:eastAsia="nl-NL"/>
        </w:rPr>
        <w:t xml:space="preserve">dat </w:t>
      </w:r>
      <w:r w:rsidR="00B62E20">
        <w:rPr>
          <w:rFonts w:ascii="Verdana" w:eastAsia="Times New Roman" w:hAnsi="Verdana"/>
          <w:sz w:val="18"/>
          <w:szCs w:val="18"/>
          <w:lang w:eastAsia="nl-NL"/>
        </w:rPr>
        <w:t xml:space="preserve">de vreemdeling geen actueel gevaar </w:t>
      </w:r>
      <w:r w:rsidR="00E13780">
        <w:rPr>
          <w:rFonts w:ascii="Verdana" w:eastAsia="Times New Roman" w:hAnsi="Verdana"/>
          <w:sz w:val="18"/>
          <w:szCs w:val="18"/>
          <w:lang w:eastAsia="nl-NL"/>
        </w:rPr>
        <w:t xml:space="preserve">voor de openbare orde </w:t>
      </w:r>
      <w:r w:rsidR="00B62E20">
        <w:rPr>
          <w:rFonts w:ascii="Verdana" w:eastAsia="Times New Roman" w:hAnsi="Verdana"/>
          <w:sz w:val="18"/>
          <w:szCs w:val="18"/>
          <w:lang w:eastAsia="nl-NL"/>
        </w:rPr>
        <w:t xml:space="preserve">(meer) is. </w:t>
      </w:r>
      <w:r w:rsidR="008F074F">
        <w:rPr>
          <w:rFonts w:ascii="Verdana" w:eastAsia="Times New Roman" w:hAnsi="Verdana"/>
          <w:sz w:val="18"/>
          <w:szCs w:val="18"/>
          <w:lang w:eastAsia="nl-NL"/>
        </w:rPr>
        <w:t xml:space="preserve">Daarbij konden in alle dossiers </w:t>
      </w:r>
      <w:r w:rsidR="000B7594">
        <w:rPr>
          <w:rFonts w:ascii="Verdana" w:eastAsia="Times New Roman" w:hAnsi="Verdana"/>
          <w:sz w:val="18"/>
          <w:szCs w:val="18"/>
          <w:lang w:eastAsia="nl-NL"/>
        </w:rPr>
        <w:t xml:space="preserve">individuele </w:t>
      </w:r>
      <w:r w:rsidR="008F074F">
        <w:rPr>
          <w:rFonts w:ascii="Verdana" w:eastAsia="Times New Roman" w:hAnsi="Verdana"/>
          <w:sz w:val="18"/>
          <w:szCs w:val="18"/>
          <w:lang w:eastAsia="nl-NL"/>
        </w:rPr>
        <w:t xml:space="preserve">belangen aangevoerd worden, die </w:t>
      </w:r>
      <w:r w:rsidR="009653C5">
        <w:rPr>
          <w:rFonts w:ascii="Verdana" w:eastAsia="Times New Roman" w:hAnsi="Verdana"/>
          <w:sz w:val="18"/>
          <w:szCs w:val="18"/>
          <w:lang w:eastAsia="nl-NL"/>
        </w:rPr>
        <w:t xml:space="preserve">mogelijk </w:t>
      </w:r>
      <w:r w:rsidR="000B7594">
        <w:rPr>
          <w:rFonts w:ascii="Verdana" w:eastAsia="Times New Roman" w:hAnsi="Verdana"/>
          <w:sz w:val="18"/>
          <w:szCs w:val="18"/>
          <w:lang w:eastAsia="nl-NL"/>
        </w:rPr>
        <w:t>zouden</w:t>
      </w:r>
      <w:r w:rsidR="008F074F">
        <w:rPr>
          <w:rFonts w:ascii="Verdana" w:eastAsia="Times New Roman" w:hAnsi="Verdana"/>
          <w:sz w:val="18"/>
          <w:szCs w:val="18"/>
          <w:lang w:eastAsia="nl-NL"/>
        </w:rPr>
        <w:t xml:space="preserve"> </w:t>
      </w:r>
      <w:r w:rsidR="009A15ED">
        <w:rPr>
          <w:rFonts w:ascii="Verdana" w:eastAsia="Times New Roman" w:hAnsi="Verdana"/>
          <w:sz w:val="18"/>
          <w:szCs w:val="18"/>
          <w:lang w:eastAsia="nl-NL"/>
        </w:rPr>
        <w:t xml:space="preserve">kunnen </w:t>
      </w:r>
      <w:r w:rsidR="008F074F">
        <w:rPr>
          <w:rFonts w:ascii="Verdana" w:eastAsia="Times New Roman" w:hAnsi="Verdana"/>
          <w:sz w:val="18"/>
          <w:szCs w:val="18"/>
          <w:lang w:eastAsia="nl-NL"/>
        </w:rPr>
        <w:t xml:space="preserve">leiden tot achterwegelating van de intrekking van de </w:t>
      </w:r>
      <w:r w:rsidR="006B001D">
        <w:rPr>
          <w:rFonts w:ascii="Verdana" w:eastAsia="Times New Roman" w:hAnsi="Verdana"/>
          <w:sz w:val="18"/>
          <w:szCs w:val="18"/>
          <w:lang w:eastAsia="nl-NL"/>
        </w:rPr>
        <w:t>verblijfs</w:t>
      </w:r>
      <w:r w:rsidR="008F074F">
        <w:rPr>
          <w:rFonts w:ascii="Verdana" w:eastAsia="Times New Roman" w:hAnsi="Verdana"/>
          <w:sz w:val="18"/>
          <w:szCs w:val="18"/>
          <w:lang w:eastAsia="nl-NL"/>
        </w:rPr>
        <w:t xml:space="preserve">vergunning en </w:t>
      </w:r>
      <w:r w:rsidR="00394AE9">
        <w:rPr>
          <w:rFonts w:ascii="Verdana" w:eastAsia="Times New Roman" w:hAnsi="Verdana"/>
          <w:sz w:val="18"/>
          <w:szCs w:val="18"/>
          <w:lang w:eastAsia="nl-NL"/>
        </w:rPr>
        <w:t xml:space="preserve">de </w:t>
      </w:r>
      <w:r w:rsidR="007D4DB5">
        <w:rPr>
          <w:rFonts w:ascii="Verdana" w:eastAsia="Times New Roman" w:hAnsi="Verdana"/>
          <w:sz w:val="18"/>
          <w:szCs w:val="18"/>
          <w:lang w:eastAsia="nl-NL"/>
        </w:rPr>
        <w:t xml:space="preserve">uitvaardiging van </w:t>
      </w:r>
      <w:r w:rsidR="007559A0">
        <w:rPr>
          <w:rFonts w:ascii="Verdana" w:eastAsia="Times New Roman" w:hAnsi="Verdana"/>
          <w:sz w:val="18"/>
          <w:szCs w:val="18"/>
          <w:lang w:eastAsia="nl-NL"/>
        </w:rPr>
        <w:t>het terug</w:t>
      </w:r>
      <w:r w:rsidR="007D4DB5">
        <w:rPr>
          <w:rFonts w:ascii="Verdana" w:eastAsia="Times New Roman" w:hAnsi="Verdana"/>
          <w:sz w:val="18"/>
          <w:szCs w:val="18"/>
          <w:lang w:eastAsia="nl-NL"/>
        </w:rPr>
        <w:t>keerbesluit.</w:t>
      </w:r>
      <w:r w:rsidR="00EE356E">
        <w:rPr>
          <w:rFonts w:ascii="Verdana" w:eastAsia="Times New Roman" w:hAnsi="Verdana"/>
          <w:sz w:val="18"/>
          <w:szCs w:val="18"/>
          <w:lang w:eastAsia="nl-NL"/>
        </w:rPr>
        <w:t xml:space="preserve"> De meest voorkomende belangen die </w:t>
      </w:r>
      <w:r w:rsidR="002B562E">
        <w:rPr>
          <w:rFonts w:ascii="Verdana" w:eastAsia="Times New Roman" w:hAnsi="Verdana"/>
          <w:sz w:val="18"/>
          <w:szCs w:val="18"/>
          <w:lang w:eastAsia="nl-NL"/>
        </w:rPr>
        <w:t xml:space="preserve">in dit verband </w:t>
      </w:r>
      <w:r w:rsidR="00EE356E">
        <w:rPr>
          <w:rFonts w:ascii="Verdana" w:eastAsia="Times New Roman" w:hAnsi="Verdana"/>
          <w:sz w:val="18"/>
          <w:szCs w:val="18"/>
          <w:lang w:eastAsia="nl-NL"/>
        </w:rPr>
        <w:t>aangevoerd konden</w:t>
      </w:r>
      <w:r w:rsidR="002B562E">
        <w:rPr>
          <w:rFonts w:ascii="Verdana" w:eastAsia="Times New Roman" w:hAnsi="Verdana"/>
          <w:sz w:val="18"/>
          <w:szCs w:val="18"/>
          <w:lang w:eastAsia="nl-NL"/>
        </w:rPr>
        <w:t xml:space="preserve"> worden</w:t>
      </w:r>
      <w:r w:rsidR="00EE356E">
        <w:rPr>
          <w:rFonts w:ascii="Verdana" w:eastAsia="Times New Roman" w:hAnsi="Verdana"/>
          <w:sz w:val="18"/>
          <w:szCs w:val="18"/>
          <w:lang w:eastAsia="nl-NL"/>
        </w:rPr>
        <w:t xml:space="preserve"> </w:t>
      </w:r>
      <w:r w:rsidR="00EE356E">
        <w:rPr>
          <w:rFonts w:ascii="Verdana" w:eastAsia="Times New Roman" w:hAnsi="Verdana"/>
          <w:sz w:val="18"/>
          <w:szCs w:val="18"/>
          <w:lang w:eastAsia="nl-NL"/>
        </w:rPr>
        <w:lastRenderedPageBreak/>
        <w:t xml:space="preserve">waren: 1) er was een lage straf opgelegd door de strafrechter, </w:t>
      </w:r>
      <w:r w:rsidR="00CC7F76">
        <w:rPr>
          <w:rFonts w:ascii="Verdana" w:eastAsia="Times New Roman" w:hAnsi="Verdana"/>
          <w:sz w:val="18"/>
          <w:szCs w:val="18"/>
          <w:lang w:eastAsia="nl-NL"/>
        </w:rPr>
        <w:t xml:space="preserve">2) er was sprake van strafverlichtende omstandigheden, </w:t>
      </w:r>
      <w:r w:rsidR="00EE356E">
        <w:rPr>
          <w:rFonts w:ascii="Verdana" w:eastAsia="Times New Roman" w:hAnsi="Verdana"/>
          <w:sz w:val="18"/>
          <w:szCs w:val="18"/>
          <w:lang w:eastAsia="nl-NL"/>
        </w:rPr>
        <w:t>2) tijdsverloop, 3) hulp gezocht en gekregen en 4) sinds het delict gaat het aantoonbaar goed op het gebied van onder meer wonen, werken en/of gezin.</w:t>
      </w:r>
      <w:r w:rsidR="002B562E">
        <w:rPr>
          <w:rStyle w:val="Voetnootmarkering"/>
          <w:rFonts w:ascii="Verdana" w:eastAsia="Times New Roman" w:hAnsi="Verdana"/>
          <w:sz w:val="18"/>
          <w:szCs w:val="18"/>
          <w:lang w:eastAsia="nl-NL"/>
        </w:rPr>
        <w:footnoteReference w:id="115"/>
      </w:r>
    </w:p>
    <w:p w14:paraId="0F99DB52" w14:textId="77777777" w:rsidR="00EE356E" w:rsidRDefault="00EE356E" w:rsidP="00260F14">
      <w:pPr>
        <w:spacing w:after="0" w:line="360" w:lineRule="auto"/>
        <w:jc w:val="both"/>
        <w:rPr>
          <w:rFonts w:ascii="Verdana" w:eastAsia="Times New Roman" w:hAnsi="Verdana"/>
          <w:sz w:val="18"/>
          <w:szCs w:val="18"/>
          <w:lang w:eastAsia="nl-NL"/>
        </w:rPr>
      </w:pPr>
    </w:p>
    <w:p w14:paraId="1AA7C339" w14:textId="2814BD77" w:rsidR="00C64293" w:rsidRDefault="0090469D" w:rsidP="00260F14">
      <w:pPr>
        <w:spacing w:after="0" w:line="360" w:lineRule="auto"/>
        <w:jc w:val="both"/>
        <w:rPr>
          <w:rFonts w:ascii="Verdana" w:eastAsia="Times New Roman" w:hAnsi="Verdana"/>
          <w:sz w:val="18"/>
          <w:szCs w:val="18"/>
          <w:lang w:eastAsia="nl-NL"/>
        </w:rPr>
      </w:pPr>
      <w:r>
        <w:rPr>
          <w:rFonts w:ascii="Verdana" w:eastAsia="Times New Roman" w:hAnsi="Verdana"/>
          <w:sz w:val="18"/>
          <w:szCs w:val="18"/>
          <w:lang w:eastAsia="nl-NL"/>
        </w:rPr>
        <w:t>Voorts</w:t>
      </w:r>
      <w:r w:rsidR="007A41CF">
        <w:rPr>
          <w:rFonts w:ascii="Verdana" w:eastAsia="Times New Roman" w:hAnsi="Verdana"/>
          <w:sz w:val="18"/>
          <w:szCs w:val="18"/>
          <w:lang w:eastAsia="nl-NL"/>
        </w:rPr>
        <w:t xml:space="preserve"> is uit de analyse gebleken dat </w:t>
      </w:r>
      <w:r>
        <w:rPr>
          <w:rFonts w:ascii="Verdana" w:eastAsia="Times New Roman" w:hAnsi="Verdana"/>
          <w:sz w:val="18"/>
          <w:szCs w:val="18"/>
          <w:lang w:eastAsia="nl-NL"/>
        </w:rPr>
        <w:t>er slechts in drie</w:t>
      </w:r>
      <w:r w:rsidR="00866621">
        <w:rPr>
          <w:rStyle w:val="Voetnootmarkering"/>
          <w:rFonts w:ascii="Verdana" w:eastAsia="Times New Roman" w:hAnsi="Verdana"/>
          <w:sz w:val="18"/>
          <w:szCs w:val="18"/>
          <w:lang w:eastAsia="nl-NL"/>
        </w:rPr>
        <w:footnoteReference w:id="116"/>
      </w:r>
      <w:r>
        <w:rPr>
          <w:rFonts w:ascii="Verdana" w:eastAsia="Times New Roman" w:hAnsi="Verdana"/>
          <w:sz w:val="18"/>
          <w:szCs w:val="18"/>
          <w:lang w:eastAsia="nl-NL"/>
        </w:rPr>
        <w:t xml:space="preserve"> </w:t>
      </w:r>
      <w:r w:rsidR="00ED4E4A">
        <w:rPr>
          <w:rFonts w:ascii="Verdana" w:eastAsia="Times New Roman" w:hAnsi="Verdana"/>
          <w:sz w:val="18"/>
          <w:szCs w:val="18"/>
          <w:lang w:eastAsia="nl-NL"/>
        </w:rPr>
        <w:t xml:space="preserve">van de dertien </w:t>
      </w:r>
      <w:r>
        <w:rPr>
          <w:rFonts w:ascii="Verdana" w:eastAsia="Times New Roman" w:hAnsi="Verdana"/>
          <w:sz w:val="18"/>
          <w:szCs w:val="18"/>
          <w:lang w:eastAsia="nl-NL"/>
        </w:rPr>
        <w:t>dossiers</w:t>
      </w:r>
      <w:r w:rsidR="00ED4E4A">
        <w:rPr>
          <w:rFonts w:ascii="Verdana" w:eastAsia="Times New Roman" w:hAnsi="Verdana"/>
          <w:sz w:val="18"/>
          <w:szCs w:val="18"/>
          <w:lang w:eastAsia="nl-NL"/>
        </w:rPr>
        <w:t xml:space="preserve"> een kenbare belangenafweging heeft plaatsgevonden </w:t>
      </w:r>
      <w:r w:rsidR="00A46B75">
        <w:rPr>
          <w:rFonts w:ascii="Verdana" w:eastAsia="Times New Roman" w:hAnsi="Verdana"/>
          <w:sz w:val="18"/>
          <w:szCs w:val="18"/>
          <w:lang w:eastAsia="nl-NL"/>
        </w:rPr>
        <w:t xml:space="preserve">ten aanzien van de intrekking van de verblijfsvergunning </w:t>
      </w:r>
      <w:r w:rsidR="00B37032">
        <w:rPr>
          <w:rFonts w:ascii="Verdana" w:eastAsia="Times New Roman" w:hAnsi="Verdana"/>
          <w:sz w:val="18"/>
          <w:szCs w:val="18"/>
          <w:lang w:eastAsia="nl-NL"/>
        </w:rPr>
        <w:t>die voldoet</w:t>
      </w:r>
      <w:r w:rsidR="00ED4E4A">
        <w:rPr>
          <w:rFonts w:ascii="Verdana" w:eastAsia="Times New Roman" w:hAnsi="Verdana"/>
          <w:sz w:val="18"/>
          <w:szCs w:val="18"/>
          <w:lang w:eastAsia="nl-NL"/>
        </w:rPr>
        <w:t xml:space="preserve"> aan de Unierechtelijke criteri</w:t>
      </w:r>
      <w:r w:rsidR="003B7F20">
        <w:rPr>
          <w:rFonts w:ascii="Verdana" w:eastAsia="Times New Roman" w:hAnsi="Verdana"/>
          <w:sz w:val="18"/>
          <w:szCs w:val="18"/>
          <w:lang w:eastAsia="nl-NL"/>
        </w:rPr>
        <w:t>a en aan de guiding principles.</w:t>
      </w:r>
      <w:r w:rsidR="00F97184">
        <w:rPr>
          <w:rFonts w:ascii="Verdana" w:eastAsia="Times New Roman" w:hAnsi="Verdana"/>
          <w:sz w:val="18"/>
          <w:szCs w:val="18"/>
          <w:lang w:eastAsia="nl-NL"/>
        </w:rPr>
        <w:t xml:space="preserve"> </w:t>
      </w:r>
      <w:r w:rsidR="002B2CAD">
        <w:rPr>
          <w:rFonts w:ascii="Verdana" w:eastAsia="Times New Roman" w:hAnsi="Verdana"/>
          <w:sz w:val="18"/>
          <w:szCs w:val="18"/>
          <w:lang w:eastAsia="nl-NL"/>
        </w:rPr>
        <w:t xml:space="preserve">In deze zaken werd de intrekking door de IND getoetst aan artikel 8 EVRM </w:t>
      </w:r>
      <w:r w:rsidR="00B34188">
        <w:rPr>
          <w:rFonts w:ascii="Verdana" w:eastAsia="Times New Roman" w:hAnsi="Verdana"/>
          <w:sz w:val="18"/>
          <w:szCs w:val="18"/>
          <w:lang w:eastAsia="nl-NL"/>
        </w:rPr>
        <w:t>en werden de guiding principles</w:t>
      </w:r>
      <w:r w:rsidR="00253724">
        <w:rPr>
          <w:rFonts w:ascii="Verdana" w:eastAsia="Times New Roman" w:hAnsi="Verdana"/>
          <w:sz w:val="18"/>
          <w:szCs w:val="18"/>
          <w:lang w:eastAsia="nl-NL"/>
        </w:rPr>
        <w:t xml:space="preserve"> </w:t>
      </w:r>
      <w:r w:rsidR="002B2CAD">
        <w:rPr>
          <w:rFonts w:ascii="Verdana" w:eastAsia="Times New Roman" w:hAnsi="Verdana"/>
          <w:sz w:val="18"/>
          <w:szCs w:val="18"/>
          <w:lang w:eastAsia="nl-NL"/>
        </w:rPr>
        <w:t xml:space="preserve">betrokken bij de beoordeling. </w:t>
      </w:r>
      <w:r w:rsidR="00762C35">
        <w:rPr>
          <w:rFonts w:ascii="Verdana" w:eastAsia="Times New Roman" w:hAnsi="Verdana"/>
          <w:sz w:val="18"/>
          <w:szCs w:val="18"/>
          <w:lang w:eastAsia="nl-NL"/>
        </w:rPr>
        <w:t xml:space="preserve">Desondanks </w:t>
      </w:r>
      <w:r w:rsidR="00D41281">
        <w:rPr>
          <w:rFonts w:ascii="Verdana" w:eastAsia="Times New Roman" w:hAnsi="Verdana"/>
          <w:sz w:val="18"/>
          <w:szCs w:val="18"/>
          <w:lang w:eastAsia="nl-NL"/>
        </w:rPr>
        <w:t>waren hiertegen</w:t>
      </w:r>
      <w:r w:rsidR="00762C35">
        <w:rPr>
          <w:rFonts w:ascii="Verdana" w:eastAsia="Times New Roman" w:hAnsi="Verdana"/>
          <w:sz w:val="18"/>
          <w:szCs w:val="18"/>
          <w:lang w:eastAsia="nl-NL"/>
        </w:rPr>
        <w:t xml:space="preserve"> </w:t>
      </w:r>
      <w:r w:rsidR="00A618B4">
        <w:rPr>
          <w:rFonts w:ascii="Verdana" w:eastAsia="Times New Roman" w:hAnsi="Verdana"/>
          <w:sz w:val="18"/>
          <w:szCs w:val="18"/>
          <w:lang w:eastAsia="nl-NL"/>
        </w:rPr>
        <w:t xml:space="preserve">– </w:t>
      </w:r>
      <w:r w:rsidR="00762C35">
        <w:rPr>
          <w:rFonts w:ascii="Verdana" w:eastAsia="Times New Roman" w:hAnsi="Verdana"/>
          <w:sz w:val="18"/>
          <w:szCs w:val="18"/>
          <w:lang w:eastAsia="nl-NL"/>
        </w:rPr>
        <w:t>i</w:t>
      </w:r>
      <w:r w:rsidR="00A618B4">
        <w:rPr>
          <w:rFonts w:ascii="Verdana" w:eastAsia="Times New Roman" w:hAnsi="Verdana"/>
          <w:sz w:val="18"/>
          <w:szCs w:val="18"/>
          <w:lang w:eastAsia="nl-NL"/>
        </w:rPr>
        <w:t>n alle drie de dossiers – nog diverse argumenten in te brengen in</w:t>
      </w:r>
      <w:r w:rsidR="0039625C">
        <w:rPr>
          <w:rFonts w:ascii="Verdana" w:eastAsia="Times New Roman" w:hAnsi="Verdana"/>
          <w:sz w:val="18"/>
          <w:szCs w:val="18"/>
          <w:lang w:eastAsia="nl-NL"/>
        </w:rPr>
        <w:t xml:space="preserve"> de</w:t>
      </w:r>
      <w:r w:rsidR="00A618B4">
        <w:rPr>
          <w:rFonts w:ascii="Verdana" w:eastAsia="Times New Roman" w:hAnsi="Verdana"/>
          <w:sz w:val="18"/>
          <w:szCs w:val="18"/>
          <w:lang w:eastAsia="nl-NL"/>
        </w:rPr>
        <w:t xml:space="preserve"> beroep</w:t>
      </w:r>
      <w:r w:rsidR="0039625C">
        <w:rPr>
          <w:rFonts w:ascii="Verdana" w:eastAsia="Times New Roman" w:hAnsi="Verdana"/>
          <w:sz w:val="18"/>
          <w:szCs w:val="18"/>
          <w:lang w:eastAsia="nl-NL"/>
        </w:rPr>
        <w:t>sprocedure</w:t>
      </w:r>
      <w:r w:rsidR="00C71EB7">
        <w:rPr>
          <w:rFonts w:ascii="Verdana" w:eastAsia="Times New Roman" w:hAnsi="Verdana"/>
          <w:sz w:val="18"/>
          <w:szCs w:val="18"/>
          <w:lang w:eastAsia="nl-NL"/>
        </w:rPr>
        <w:t>.</w:t>
      </w:r>
      <w:r w:rsidR="00C64293">
        <w:rPr>
          <w:rFonts w:ascii="Verdana" w:eastAsia="Times New Roman" w:hAnsi="Verdana"/>
          <w:sz w:val="18"/>
          <w:szCs w:val="18"/>
          <w:lang w:eastAsia="nl-NL"/>
        </w:rPr>
        <w:t xml:space="preserve"> Zo werden</w:t>
      </w:r>
      <w:r w:rsidR="001F0AEA">
        <w:rPr>
          <w:rFonts w:ascii="Verdana" w:eastAsia="Times New Roman" w:hAnsi="Verdana"/>
          <w:sz w:val="18"/>
          <w:szCs w:val="18"/>
          <w:lang w:eastAsia="nl-NL"/>
        </w:rPr>
        <w:t xml:space="preserve"> door de IND enkele</w:t>
      </w:r>
      <w:r w:rsidR="00C64293">
        <w:rPr>
          <w:rFonts w:ascii="Verdana" w:eastAsia="Times New Roman" w:hAnsi="Verdana"/>
          <w:sz w:val="18"/>
          <w:szCs w:val="18"/>
          <w:lang w:eastAsia="nl-NL"/>
        </w:rPr>
        <w:t xml:space="preserve"> belangrijke </w:t>
      </w:r>
      <w:r w:rsidR="009E0F5A">
        <w:rPr>
          <w:rFonts w:ascii="Verdana" w:eastAsia="Times New Roman" w:hAnsi="Verdana"/>
          <w:sz w:val="18"/>
          <w:szCs w:val="18"/>
          <w:lang w:eastAsia="nl-NL"/>
        </w:rPr>
        <w:t>belangen</w:t>
      </w:r>
      <w:r w:rsidR="00C64293">
        <w:rPr>
          <w:rStyle w:val="Voetnootmarkering"/>
          <w:rFonts w:ascii="Verdana" w:eastAsia="Times New Roman" w:hAnsi="Verdana"/>
          <w:sz w:val="18"/>
          <w:szCs w:val="18"/>
          <w:lang w:eastAsia="nl-NL"/>
        </w:rPr>
        <w:footnoteReference w:id="117"/>
      </w:r>
      <w:r w:rsidR="00C64293">
        <w:rPr>
          <w:rFonts w:ascii="Verdana" w:eastAsia="Times New Roman" w:hAnsi="Verdana"/>
          <w:sz w:val="18"/>
          <w:szCs w:val="18"/>
          <w:lang w:eastAsia="nl-NL"/>
        </w:rPr>
        <w:t xml:space="preserve"> wel benoemd in de beschikking, maar vervolgens </w:t>
      </w:r>
      <w:r w:rsidR="001F0AEA">
        <w:rPr>
          <w:rFonts w:ascii="Verdana" w:eastAsia="Times New Roman" w:hAnsi="Verdana"/>
          <w:sz w:val="18"/>
          <w:szCs w:val="18"/>
          <w:lang w:eastAsia="nl-NL"/>
        </w:rPr>
        <w:t>niet helder afgewogen</w:t>
      </w:r>
      <w:r w:rsidR="0015727F">
        <w:rPr>
          <w:rFonts w:ascii="Verdana" w:eastAsia="Times New Roman" w:hAnsi="Verdana"/>
          <w:sz w:val="18"/>
          <w:szCs w:val="18"/>
          <w:lang w:eastAsia="nl-NL"/>
        </w:rPr>
        <w:t xml:space="preserve"> tegen de belangen van de vreemdeling</w:t>
      </w:r>
      <w:r w:rsidR="00C64293">
        <w:rPr>
          <w:rFonts w:ascii="Verdana" w:eastAsia="Times New Roman" w:hAnsi="Verdana"/>
          <w:sz w:val="18"/>
          <w:szCs w:val="18"/>
          <w:lang w:eastAsia="nl-NL"/>
        </w:rPr>
        <w:t xml:space="preserve">. In de beschikking was dan bijvoorbeeld slechts terug te lezen </w:t>
      </w:r>
      <w:r w:rsidR="00C64293" w:rsidRPr="00611C02">
        <w:rPr>
          <w:rFonts w:ascii="Verdana" w:eastAsia="Times New Roman" w:hAnsi="Verdana"/>
          <w:i/>
          <w:sz w:val="18"/>
          <w:szCs w:val="18"/>
          <w:lang w:eastAsia="nl-NL"/>
        </w:rPr>
        <w:t xml:space="preserve">dat </w:t>
      </w:r>
      <w:r w:rsidR="00C64293">
        <w:rPr>
          <w:rFonts w:ascii="Verdana" w:eastAsia="Times New Roman" w:hAnsi="Verdana"/>
          <w:i/>
          <w:sz w:val="18"/>
          <w:szCs w:val="18"/>
          <w:lang w:eastAsia="nl-NL"/>
        </w:rPr>
        <w:t>de belangenafweging uiteindelijk in het nadeel van betrokkene uitvalt</w:t>
      </w:r>
      <w:r w:rsidR="00611C02">
        <w:rPr>
          <w:rFonts w:ascii="Verdana" w:eastAsia="Times New Roman" w:hAnsi="Verdana"/>
          <w:i/>
          <w:sz w:val="18"/>
          <w:szCs w:val="18"/>
          <w:lang w:eastAsia="nl-NL"/>
        </w:rPr>
        <w:t xml:space="preserve"> </w:t>
      </w:r>
      <w:r w:rsidR="00611C02">
        <w:rPr>
          <w:rFonts w:ascii="Verdana" w:eastAsia="Times New Roman" w:hAnsi="Verdana"/>
          <w:sz w:val="18"/>
          <w:szCs w:val="18"/>
          <w:lang w:eastAsia="nl-NL"/>
        </w:rPr>
        <w:t xml:space="preserve">en/of </w:t>
      </w:r>
      <w:r w:rsidR="00611C02">
        <w:rPr>
          <w:rFonts w:ascii="Verdana" w:eastAsia="Times New Roman" w:hAnsi="Verdana"/>
          <w:i/>
          <w:sz w:val="18"/>
          <w:szCs w:val="18"/>
          <w:lang w:eastAsia="nl-NL"/>
        </w:rPr>
        <w:t>dat na afweging van alle belangen geconcludeerd wordt dat de inmenging in het privéleven en familieleven van de vreemdeling toegestaan is in het belang van de bescherming van de openbare orde</w:t>
      </w:r>
      <w:r w:rsidR="006319A4">
        <w:rPr>
          <w:rFonts w:ascii="Verdana" w:eastAsia="Times New Roman" w:hAnsi="Verdana"/>
          <w:sz w:val="18"/>
          <w:szCs w:val="18"/>
          <w:lang w:eastAsia="nl-NL"/>
        </w:rPr>
        <w:t>.</w:t>
      </w:r>
      <w:r w:rsidR="00A659AD">
        <w:rPr>
          <w:rStyle w:val="Voetnootmarkering"/>
          <w:rFonts w:ascii="Verdana" w:eastAsia="Times New Roman" w:hAnsi="Verdana"/>
          <w:sz w:val="18"/>
          <w:szCs w:val="18"/>
          <w:lang w:eastAsia="nl-NL"/>
        </w:rPr>
        <w:footnoteReference w:id="118"/>
      </w:r>
      <w:r w:rsidR="006319A4">
        <w:rPr>
          <w:rFonts w:ascii="Verdana" w:eastAsia="Times New Roman" w:hAnsi="Verdana"/>
          <w:sz w:val="18"/>
          <w:szCs w:val="18"/>
          <w:lang w:eastAsia="nl-NL"/>
        </w:rPr>
        <w:t xml:space="preserve"> </w:t>
      </w:r>
      <w:r w:rsidR="00C64293">
        <w:rPr>
          <w:rFonts w:ascii="Verdana" w:eastAsia="Times New Roman" w:hAnsi="Verdana"/>
          <w:sz w:val="18"/>
          <w:szCs w:val="18"/>
          <w:lang w:eastAsia="nl-NL"/>
        </w:rPr>
        <w:t>Redenen hiervoor worden vervolgens niet, dan wel niet goed, beargumenteerd</w:t>
      </w:r>
      <w:r w:rsidR="007C1FB2">
        <w:rPr>
          <w:rFonts w:ascii="Verdana" w:eastAsia="Times New Roman" w:hAnsi="Verdana"/>
          <w:sz w:val="18"/>
          <w:szCs w:val="18"/>
          <w:lang w:eastAsia="nl-NL"/>
        </w:rPr>
        <w:t xml:space="preserve"> door de IND</w:t>
      </w:r>
      <w:r w:rsidR="00C64293">
        <w:rPr>
          <w:rFonts w:ascii="Verdana" w:eastAsia="Times New Roman" w:hAnsi="Verdana"/>
          <w:sz w:val="18"/>
          <w:szCs w:val="18"/>
          <w:lang w:eastAsia="nl-NL"/>
        </w:rPr>
        <w:t>.</w:t>
      </w:r>
      <w:r w:rsidR="00C64293">
        <w:rPr>
          <w:rStyle w:val="Voetnootmarkering"/>
          <w:rFonts w:ascii="Verdana" w:eastAsia="Times New Roman" w:hAnsi="Verdana"/>
          <w:sz w:val="18"/>
          <w:szCs w:val="18"/>
          <w:lang w:eastAsia="nl-NL"/>
        </w:rPr>
        <w:footnoteReference w:id="119"/>
      </w:r>
    </w:p>
    <w:p w14:paraId="4E072568" w14:textId="77777777" w:rsidR="00E2561D" w:rsidRDefault="00E2561D" w:rsidP="00260F14">
      <w:pPr>
        <w:spacing w:after="0" w:line="360" w:lineRule="auto"/>
        <w:jc w:val="both"/>
        <w:rPr>
          <w:rFonts w:ascii="Verdana" w:eastAsia="Times New Roman" w:hAnsi="Verdana"/>
          <w:sz w:val="18"/>
          <w:szCs w:val="18"/>
          <w:lang w:eastAsia="nl-NL"/>
        </w:rPr>
      </w:pPr>
    </w:p>
    <w:p w14:paraId="79B53D9F" w14:textId="76B5C7F5" w:rsidR="00823288" w:rsidRDefault="00E2561D" w:rsidP="00F01888">
      <w:pPr>
        <w:spacing w:after="0" w:line="360" w:lineRule="auto"/>
        <w:jc w:val="both"/>
        <w:rPr>
          <w:rFonts w:ascii="Verdana" w:eastAsia="Times New Roman" w:hAnsi="Verdana"/>
          <w:sz w:val="18"/>
          <w:szCs w:val="18"/>
          <w:lang w:eastAsia="nl-NL"/>
        </w:rPr>
      </w:pPr>
      <w:r>
        <w:rPr>
          <w:rFonts w:ascii="Verdana" w:eastAsia="Times New Roman" w:hAnsi="Verdana"/>
          <w:sz w:val="18"/>
          <w:szCs w:val="18"/>
          <w:lang w:eastAsia="nl-NL"/>
        </w:rPr>
        <w:t xml:space="preserve">Daarbij zijn in tien dossiers de belangen niet afgewogen met inachtneming van de Unierechtelijke factoren en guiding principles. </w:t>
      </w:r>
      <w:r w:rsidR="00F6498E">
        <w:rPr>
          <w:rFonts w:ascii="Verdana" w:eastAsia="Times New Roman" w:hAnsi="Verdana"/>
          <w:sz w:val="18"/>
          <w:szCs w:val="18"/>
          <w:lang w:eastAsia="nl-NL"/>
        </w:rPr>
        <w:t xml:space="preserve">Opmerkelijk is bijvoorbeeld de volgende motivering van de IND: </w:t>
      </w:r>
      <w:r w:rsidR="00823288" w:rsidRPr="00823288">
        <w:rPr>
          <w:rFonts w:ascii="Verdana" w:eastAsia="Times New Roman" w:hAnsi="Verdana"/>
          <w:i/>
          <w:sz w:val="18"/>
          <w:szCs w:val="18"/>
          <w:lang w:eastAsia="nl-NL"/>
        </w:rPr>
        <w:t>‘‘</w:t>
      </w:r>
      <w:r w:rsidR="00823288">
        <w:rPr>
          <w:rFonts w:ascii="Verdana" w:eastAsia="Times New Roman" w:hAnsi="Verdana"/>
          <w:i/>
          <w:sz w:val="18"/>
          <w:szCs w:val="18"/>
          <w:lang w:eastAsia="nl-NL"/>
        </w:rPr>
        <w:t>Sinds het Project Stroomlijning Toelatingsprocedures wordt er in asielzaken ambtshalv</w:t>
      </w:r>
      <w:r w:rsidR="00CE4342">
        <w:rPr>
          <w:rFonts w:ascii="Verdana" w:eastAsia="Times New Roman" w:hAnsi="Verdana"/>
          <w:i/>
          <w:sz w:val="18"/>
          <w:szCs w:val="18"/>
          <w:lang w:eastAsia="nl-NL"/>
        </w:rPr>
        <w:t>e getoetst aan reguliere gronden, waaronder artikel 8 EVRM. Er is echter een beleidsmatige keuze gemaakt om in het geval van een intrekking van een verblijfsvergunning voor onbepaalde tijd en/of bij het opleggen van een zwaar inreisverbod deze toets achterwege te laten.</w:t>
      </w:r>
      <w:r w:rsidR="00823288" w:rsidRPr="00823288">
        <w:rPr>
          <w:rFonts w:ascii="Verdana" w:eastAsia="Times New Roman" w:hAnsi="Verdana"/>
          <w:i/>
          <w:sz w:val="18"/>
          <w:szCs w:val="18"/>
          <w:lang w:eastAsia="nl-NL"/>
        </w:rPr>
        <w:t>’’</w:t>
      </w:r>
      <w:r w:rsidR="00F6498E">
        <w:rPr>
          <w:rStyle w:val="Voetnootmarkering"/>
          <w:rFonts w:ascii="Verdana" w:eastAsia="Times New Roman" w:hAnsi="Verdana"/>
          <w:i/>
          <w:sz w:val="18"/>
          <w:szCs w:val="18"/>
          <w:lang w:eastAsia="nl-NL"/>
        </w:rPr>
        <w:footnoteReference w:id="120"/>
      </w:r>
    </w:p>
    <w:p w14:paraId="5514FA14" w14:textId="77777777" w:rsidR="00823288" w:rsidRDefault="00823288" w:rsidP="00F01888">
      <w:pPr>
        <w:spacing w:after="0" w:line="360" w:lineRule="auto"/>
        <w:jc w:val="both"/>
        <w:rPr>
          <w:rFonts w:ascii="Verdana" w:eastAsia="Times New Roman" w:hAnsi="Verdana"/>
          <w:sz w:val="18"/>
          <w:szCs w:val="18"/>
          <w:lang w:eastAsia="nl-NL"/>
        </w:rPr>
      </w:pPr>
    </w:p>
    <w:p w14:paraId="50A34367" w14:textId="0C1B9B9C" w:rsidR="00015710" w:rsidRDefault="00BA5627" w:rsidP="00F01888">
      <w:pPr>
        <w:spacing w:after="0" w:line="360" w:lineRule="auto"/>
        <w:jc w:val="both"/>
        <w:rPr>
          <w:rFonts w:ascii="Verdana" w:eastAsia="Times New Roman" w:hAnsi="Verdana"/>
          <w:sz w:val="18"/>
          <w:szCs w:val="18"/>
          <w:lang w:eastAsia="nl-NL"/>
        </w:rPr>
      </w:pPr>
      <w:r>
        <w:rPr>
          <w:rFonts w:ascii="Verdana" w:eastAsia="Times New Roman" w:hAnsi="Verdana"/>
          <w:sz w:val="18"/>
          <w:szCs w:val="18"/>
          <w:lang w:eastAsia="nl-NL"/>
        </w:rPr>
        <w:t>Uit de analyse is echter</w:t>
      </w:r>
      <w:r w:rsidR="00250E36">
        <w:rPr>
          <w:rFonts w:ascii="Verdana" w:eastAsia="Times New Roman" w:hAnsi="Verdana"/>
          <w:sz w:val="18"/>
          <w:szCs w:val="18"/>
          <w:lang w:eastAsia="nl-NL"/>
        </w:rPr>
        <w:t xml:space="preserve"> ook</w:t>
      </w:r>
      <w:r>
        <w:rPr>
          <w:rFonts w:ascii="Verdana" w:eastAsia="Times New Roman" w:hAnsi="Verdana"/>
          <w:sz w:val="18"/>
          <w:szCs w:val="18"/>
          <w:lang w:eastAsia="nl-NL"/>
        </w:rPr>
        <w:t xml:space="preserve"> geb</w:t>
      </w:r>
      <w:r w:rsidR="00AB20D0">
        <w:rPr>
          <w:rFonts w:ascii="Verdana" w:eastAsia="Times New Roman" w:hAnsi="Verdana"/>
          <w:sz w:val="18"/>
          <w:szCs w:val="18"/>
          <w:lang w:eastAsia="nl-NL"/>
        </w:rPr>
        <w:t>leken dat de</w:t>
      </w:r>
      <w:r w:rsidR="008D0DDE">
        <w:rPr>
          <w:rFonts w:ascii="Verdana" w:eastAsia="Times New Roman" w:hAnsi="Verdana"/>
          <w:sz w:val="18"/>
          <w:szCs w:val="18"/>
          <w:lang w:eastAsia="nl-NL"/>
        </w:rPr>
        <w:t xml:space="preserve"> kans </w:t>
      </w:r>
      <w:r w:rsidR="00AB20D0">
        <w:rPr>
          <w:rFonts w:ascii="Verdana" w:eastAsia="Times New Roman" w:hAnsi="Verdana"/>
          <w:sz w:val="18"/>
          <w:szCs w:val="18"/>
          <w:lang w:eastAsia="nl-NL"/>
        </w:rPr>
        <w:t xml:space="preserve">om de intrekking en het daarbij behorende terugkeerbesluit van tafel te krijgen, </w:t>
      </w:r>
      <w:r w:rsidR="00250E36">
        <w:rPr>
          <w:rFonts w:ascii="Verdana" w:eastAsia="Times New Roman" w:hAnsi="Verdana"/>
          <w:sz w:val="18"/>
          <w:szCs w:val="18"/>
          <w:lang w:eastAsia="nl-NL"/>
        </w:rPr>
        <w:t xml:space="preserve">in de praktijk </w:t>
      </w:r>
      <w:r w:rsidR="00F17BA6">
        <w:rPr>
          <w:rFonts w:ascii="Verdana" w:eastAsia="Times New Roman" w:hAnsi="Verdana"/>
          <w:sz w:val="18"/>
          <w:szCs w:val="18"/>
          <w:lang w:eastAsia="nl-NL"/>
        </w:rPr>
        <w:t xml:space="preserve">eigenlijk </w:t>
      </w:r>
      <w:r w:rsidR="00250E36">
        <w:rPr>
          <w:rFonts w:ascii="Verdana" w:eastAsia="Times New Roman" w:hAnsi="Verdana"/>
          <w:sz w:val="18"/>
          <w:szCs w:val="18"/>
          <w:lang w:eastAsia="nl-NL"/>
        </w:rPr>
        <w:t>niet bestaat</w:t>
      </w:r>
      <w:r w:rsidR="008D0DDE">
        <w:rPr>
          <w:rFonts w:ascii="Verdana" w:eastAsia="Times New Roman" w:hAnsi="Verdana"/>
          <w:sz w:val="18"/>
          <w:szCs w:val="18"/>
          <w:lang w:eastAsia="nl-NL"/>
        </w:rPr>
        <w:t xml:space="preserve">. In </w:t>
      </w:r>
      <w:r w:rsidR="00C11794">
        <w:rPr>
          <w:rFonts w:ascii="Verdana" w:eastAsia="Times New Roman" w:hAnsi="Verdana"/>
          <w:sz w:val="18"/>
          <w:szCs w:val="18"/>
          <w:lang w:eastAsia="nl-NL"/>
        </w:rPr>
        <w:t>alle</w:t>
      </w:r>
      <w:r w:rsidR="00250E36">
        <w:rPr>
          <w:rFonts w:ascii="Verdana" w:eastAsia="Times New Roman" w:hAnsi="Verdana"/>
          <w:sz w:val="18"/>
          <w:szCs w:val="18"/>
          <w:lang w:eastAsia="nl-NL"/>
        </w:rPr>
        <w:t xml:space="preserve"> acht</w:t>
      </w:r>
      <w:r w:rsidR="00F111B1">
        <w:rPr>
          <w:rFonts w:ascii="Verdana" w:eastAsia="Times New Roman" w:hAnsi="Verdana"/>
          <w:sz w:val="18"/>
          <w:szCs w:val="18"/>
          <w:lang w:eastAsia="nl-NL"/>
        </w:rPr>
        <w:t xml:space="preserve"> dossiers </w:t>
      </w:r>
      <w:r w:rsidR="00960219">
        <w:rPr>
          <w:rFonts w:ascii="Verdana" w:eastAsia="Times New Roman" w:hAnsi="Verdana"/>
          <w:sz w:val="18"/>
          <w:szCs w:val="18"/>
          <w:lang w:eastAsia="nl-NL"/>
        </w:rPr>
        <w:t xml:space="preserve">die </w:t>
      </w:r>
      <w:r w:rsidR="00C11794">
        <w:rPr>
          <w:rFonts w:ascii="Verdana" w:eastAsia="Times New Roman" w:hAnsi="Verdana"/>
          <w:sz w:val="18"/>
          <w:szCs w:val="18"/>
          <w:lang w:eastAsia="nl-NL"/>
        </w:rPr>
        <w:t>zien op de beroepsprocedure</w:t>
      </w:r>
      <w:r w:rsidR="007A3FFA">
        <w:rPr>
          <w:rStyle w:val="Voetnootmarkering"/>
          <w:rFonts w:ascii="Verdana" w:eastAsia="Times New Roman" w:hAnsi="Verdana"/>
          <w:sz w:val="18"/>
          <w:szCs w:val="18"/>
          <w:lang w:eastAsia="nl-NL"/>
        </w:rPr>
        <w:footnoteReference w:id="121"/>
      </w:r>
      <w:r w:rsidR="00C11794">
        <w:rPr>
          <w:rFonts w:ascii="Verdana" w:eastAsia="Times New Roman" w:hAnsi="Verdana"/>
          <w:sz w:val="18"/>
          <w:szCs w:val="18"/>
          <w:lang w:eastAsia="nl-NL"/>
        </w:rPr>
        <w:t xml:space="preserve"> werd namelijk geen </w:t>
      </w:r>
      <w:r w:rsidR="008D0DDE">
        <w:rPr>
          <w:rFonts w:ascii="Verdana" w:eastAsia="Times New Roman" w:hAnsi="Verdana"/>
          <w:sz w:val="18"/>
          <w:szCs w:val="18"/>
          <w:lang w:eastAsia="nl-NL"/>
        </w:rPr>
        <w:t>procesbelang aangenomen door de bestuursrechter ten aanzien van het</w:t>
      </w:r>
      <w:r w:rsidR="00840432">
        <w:rPr>
          <w:rFonts w:ascii="Verdana" w:eastAsia="Times New Roman" w:hAnsi="Verdana"/>
          <w:sz w:val="18"/>
          <w:szCs w:val="18"/>
          <w:lang w:eastAsia="nl-NL"/>
        </w:rPr>
        <w:t xml:space="preserve"> de intrekking van de verblijfsvergunning</w:t>
      </w:r>
      <w:r w:rsidR="00F01888">
        <w:rPr>
          <w:rFonts w:ascii="Verdana" w:eastAsia="Times New Roman" w:hAnsi="Verdana"/>
          <w:sz w:val="18"/>
          <w:szCs w:val="18"/>
          <w:lang w:eastAsia="nl-NL"/>
        </w:rPr>
        <w:t xml:space="preserve">, waardoor </w:t>
      </w:r>
      <w:r w:rsidR="00840432">
        <w:rPr>
          <w:rFonts w:ascii="Verdana" w:eastAsia="Times New Roman" w:hAnsi="Verdana"/>
          <w:sz w:val="18"/>
          <w:szCs w:val="18"/>
          <w:lang w:eastAsia="nl-NL"/>
        </w:rPr>
        <w:t>de intrekking</w:t>
      </w:r>
      <w:r w:rsidR="00F01888">
        <w:rPr>
          <w:rFonts w:ascii="Verdana" w:eastAsia="Times New Roman" w:hAnsi="Verdana"/>
          <w:sz w:val="18"/>
          <w:szCs w:val="18"/>
          <w:lang w:eastAsia="nl-NL"/>
        </w:rPr>
        <w:t xml:space="preserve"> ook niet vol werd getoetst</w:t>
      </w:r>
      <w:r w:rsidR="008D0DDE">
        <w:rPr>
          <w:rFonts w:ascii="Verdana" w:eastAsia="Times New Roman" w:hAnsi="Verdana"/>
          <w:sz w:val="18"/>
          <w:szCs w:val="18"/>
          <w:lang w:eastAsia="nl-NL"/>
        </w:rPr>
        <w:t>.</w:t>
      </w:r>
      <w:r w:rsidR="00960219">
        <w:rPr>
          <w:rFonts w:ascii="Verdana" w:eastAsia="Times New Roman" w:hAnsi="Verdana"/>
          <w:sz w:val="18"/>
          <w:szCs w:val="18"/>
          <w:lang w:eastAsia="nl-NL"/>
        </w:rPr>
        <w:t xml:space="preserve"> Sterker nog, </w:t>
      </w:r>
      <w:r w:rsidR="00840432">
        <w:rPr>
          <w:rFonts w:ascii="Verdana" w:eastAsia="Times New Roman" w:hAnsi="Verdana"/>
          <w:sz w:val="18"/>
          <w:szCs w:val="18"/>
          <w:lang w:eastAsia="nl-NL"/>
        </w:rPr>
        <w:t>de intrekking werd</w:t>
      </w:r>
      <w:r w:rsidR="00960219">
        <w:rPr>
          <w:rFonts w:ascii="Verdana" w:eastAsia="Times New Roman" w:hAnsi="Verdana"/>
          <w:sz w:val="18"/>
          <w:szCs w:val="18"/>
          <w:lang w:eastAsia="nl-NL"/>
        </w:rPr>
        <w:t xml:space="preserve"> in deze gevallen helemaal niet getoetst.</w:t>
      </w:r>
      <w:r w:rsidR="00015710">
        <w:rPr>
          <w:rFonts w:ascii="Verdana" w:eastAsia="Times New Roman" w:hAnsi="Verdana"/>
          <w:sz w:val="18"/>
          <w:szCs w:val="18"/>
          <w:lang w:eastAsia="nl-NL"/>
        </w:rPr>
        <w:t xml:space="preserve"> De motivering hiervan was </w:t>
      </w:r>
      <w:r w:rsidR="00350FE6">
        <w:rPr>
          <w:rFonts w:ascii="Verdana" w:eastAsia="Times New Roman" w:hAnsi="Verdana"/>
          <w:sz w:val="18"/>
          <w:szCs w:val="18"/>
          <w:lang w:eastAsia="nl-NL"/>
        </w:rPr>
        <w:t xml:space="preserve">bijvoorbeeld </w:t>
      </w:r>
      <w:r w:rsidR="006037AA">
        <w:rPr>
          <w:rFonts w:ascii="Verdana" w:eastAsia="Times New Roman" w:hAnsi="Verdana"/>
          <w:sz w:val="18"/>
          <w:szCs w:val="18"/>
          <w:lang w:eastAsia="nl-NL"/>
        </w:rPr>
        <w:t>als volgt:</w:t>
      </w:r>
    </w:p>
    <w:p w14:paraId="7FF8F1B1" w14:textId="77777777" w:rsidR="00015710" w:rsidRDefault="00015710" w:rsidP="00F01888">
      <w:pPr>
        <w:spacing w:after="0" w:line="360" w:lineRule="auto"/>
        <w:jc w:val="both"/>
        <w:rPr>
          <w:rFonts w:ascii="Verdana" w:eastAsia="Times New Roman" w:hAnsi="Verdana"/>
          <w:sz w:val="18"/>
          <w:szCs w:val="18"/>
          <w:lang w:eastAsia="nl-NL"/>
        </w:rPr>
      </w:pPr>
    </w:p>
    <w:p w14:paraId="6A7A0555" w14:textId="6D22A4A5" w:rsidR="00015710" w:rsidRDefault="00015710" w:rsidP="00F01888">
      <w:pPr>
        <w:spacing w:after="0" w:line="360" w:lineRule="auto"/>
        <w:jc w:val="both"/>
        <w:rPr>
          <w:rFonts w:ascii="Verdana" w:eastAsia="Times New Roman" w:hAnsi="Verdana"/>
          <w:i/>
          <w:sz w:val="18"/>
          <w:szCs w:val="18"/>
          <w:lang w:eastAsia="nl-NL"/>
        </w:rPr>
      </w:pPr>
      <w:r>
        <w:rPr>
          <w:rFonts w:ascii="Verdana" w:eastAsia="Times New Roman" w:hAnsi="Verdana"/>
          <w:i/>
          <w:sz w:val="18"/>
          <w:szCs w:val="18"/>
          <w:lang w:eastAsia="nl-NL"/>
        </w:rPr>
        <w:t>‘‘Nu verweerder tegen eiser een zwaar inreisverbod heeft uitgevaardigd, kan eiser geen rechtmatig verblijf hebben. Gelet op de uitspraak van de Afdeling</w:t>
      </w:r>
      <w:r w:rsidR="00EC1069">
        <w:rPr>
          <w:rFonts w:ascii="Verdana" w:eastAsia="Times New Roman" w:hAnsi="Verdana"/>
          <w:i/>
          <w:sz w:val="18"/>
          <w:szCs w:val="18"/>
          <w:lang w:eastAsia="nl-NL"/>
        </w:rPr>
        <w:t xml:space="preserve"> bestuursrechtspraak van de Raad van State</w:t>
      </w:r>
      <w:r>
        <w:rPr>
          <w:rFonts w:ascii="Verdana" w:eastAsia="Times New Roman" w:hAnsi="Verdana"/>
          <w:i/>
          <w:sz w:val="18"/>
          <w:szCs w:val="18"/>
          <w:lang w:eastAsia="nl-NL"/>
        </w:rPr>
        <w:t xml:space="preserve"> d.d. 9 juli 2013 heeft eiser</w:t>
      </w:r>
      <w:r w:rsidR="00EC1069">
        <w:rPr>
          <w:rFonts w:ascii="Verdana" w:eastAsia="Times New Roman" w:hAnsi="Verdana"/>
          <w:i/>
          <w:sz w:val="18"/>
          <w:szCs w:val="18"/>
          <w:lang w:eastAsia="nl-NL"/>
        </w:rPr>
        <w:t>, zolang voornoemd inreisverbod voortduurt,</w:t>
      </w:r>
      <w:r>
        <w:rPr>
          <w:rFonts w:ascii="Verdana" w:eastAsia="Times New Roman" w:hAnsi="Verdana"/>
          <w:i/>
          <w:sz w:val="18"/>
          <w:szCs w:val="18"/>
          <w:lang w:eastAsia="nl-NL"/>
        </w:rPr>
        <w:t xml:space="preserve"> geen belang bij de </w:t>
      </w:r>
      <w:r>
        <w:rPr>
          <w:rFonts w:ascii="Verdana" w:eastAsia="Times New Roman" w:hAnsi="Verdana"/>
          <w:i/>
          <w:sz w:val="18"/>
          <w:szCs w:val="18"/>
          <w:lang w:eastAsia="nl-NL"/>
        </w:rPr>
        <w:lastRenderedPageBreak/>
        <w:t>beoordeling van het beroep gericht tegen de intrek</w:t>
      </w:r>
      <w:r w:rsidR="00F27CA9">
        <w:rPr>
          <w:rFonts w:ascii="Verdana" w:eastAsia="Times New Roman" w:hAnsi="Verdana"/>
          <w:i/>
          <w:sz w:val="18"/>
          <w:szCs w:val="18"/>
          <w:lang w:eastAsia="nl-NL"/>
        </w:rPr>
        <w:t>king van de verblijfsvergunning, zodat het beroep in zoverre niet-ontvankelijk moet worden verklaard</w:t>
      </w:r>
      <w:r w:rsidR="00F43AD9">
        <w:rPr>
          <w:rFonts w:ascii="Verdana" w:eastAsia="Times New Roman" w:hAnsi="Verdana"/>
          <w:i/>
          <w:sz w:val="18"/>
          <w:szCs w:val="18"/>
          <w:lang w:eastAsia="nl-NL"/>
        </w:rPr>
        <w:t xml:space="preserve"> (…) de intrekking kan ten volle worden getoetst in het kader van het beroep tegen het inreisverbod</w:t>
      </w:r>
      <w:r w:rsidR="00F27CA9">
        <w:rPr>
          <w:rFonts w:ascii="Verdana" w:eastAsia="Times New Roman" w:hAnsi="Verdana"/>
          <w:i/>
          <w:sz w:val="18"/>
          <w:szCs w:val="18"/>
          <w:lang w:eastAsia="nl-NL"/>
        </w:rPr>
        <w:t>.</w:t>
      </w:r>
      <w:r>
        <w:rPr>
          <w:rFonts w:ascii="Verdana" w:eastAsia="Times New Roman" w:hAnsi="Verdana"/>
          <w:i/>
          <w:sz w:val="18"/>
          <w:szCs w:val="18"/>
          <w:lang w:eastAsia="nl-NL"/>
        </w:rPr>
        <w:t>’’</w:t>
      </w:r>
      <w:r w:rsidR="00AC54B7">
        <w:rPr>
          <w:rStyle w:val="Voetnootmarkering"/>
          <w:rFonts w:ascii="Verdana" w:eastAsia="Times New Roman" w:hAnsi="Verdana"/>
          <w:i/>
          <w:sz w:val="18"/>
          <w:szCs w:val="18"/>
          <w:lang w:eastAsia="nl-NL"/>
        </w:rPr>
        <w:footnoteReference w:id="122"/>
      </w:r>
    </w:p>
    <w:p w14:paraId="650D65E5" w14:textId="77777777" w:rsidR="00960219" w:rsidRDefault="00960219" w:rsidP="00F01888">
      <w:pPr>
        <w:spacing w:after="0" w:line="360" w:lineRule="auto"/>
        <w:jc w:val="both"/>
        <w:rPr>
          <w:rFonts w:ascii="Verdana" w:eastAsia="Times New Roman" w:hAnsi="Verdana"/>
          <w:sz w:val="18"/>
          <w:szCs w:val="18"/>
          <w:lang w:eastAsia="nl-NL"/>
        </w:rPr>
      </w:pPr>
    </w:p>
    <w:p w14:paraId="5213551B" w14:textId="3AA0C17F" w:rsidR="00EA4773" w:rsidRDefault="00E34AE2" w:rsidP="00F01888">
      <w:pPr>
        <w:spacing w:after="0" w:line="360" w:lineRule="auto"/>
        <w:jc w:val="both"/>
        <w:rPr>
          <w:rFonts w:ascii="Verdana" w:eastAsia="Times New Roman" w:hAnsi="Verdana"/>
          <w:sz w:val="18"/>
          <w:szCs w:val="18"/>
          <w:lang w:eastAsia="nl-NL"/>
        </w:rPr>
      </w:pPr>
      <w:r>
        <w:rPr>
          <w:rFonts w:ascii="Verdana" w:eastAsia="Times New Roman" w:hAnsi="Verdana"/>
          <w:sz w:val="18"/>
          <w:szCs w:val="18"/>
          <w:lang w:eastAsia="nl-NL"/>
        </w:rPr>
        <w:t>Het inreisverbod werd in</w:t>
      </w:r>
      <w:r w:rsidR="006037AA">
        <w:rPr>
          <w:rFonts w:ascii="Verdana" w:eastAsia="Times New Roman" w:hAnsi="Verdana"/>
          <w:sz w:val="18"/>
          <w:szCs w:val="18"/>
          <w:lang w:eastAsia="nl-NL"/>
        </w:rPr>
        <w:t xml:space="preserve"> alle</w:t>
      </w:r>
      <w:r>
        <w:rPr>
          <w:rFonts w:ascii="Verdana" w:eastAsia="Times New Roman" w:hAnsi="Verdana"/>
          <w:sz w:val="18"/>
          <w:szCs w:val="18"/>
          <w:lang w:eastAsia="nl-NL"/>
        </w:rPr>
        <w:t xml:space="preserve"> </w:t>
      </w:r>
      <w:r w:rsidR="00FB2841">
        <w:rPr>
          <w:rFonts w:ascii="Verdana" w:eastAsia="Times New Roman" w:hAnsi="Verdana"/>
          <w:sz w:val="18"/>
          <w:szCs w:val="18"/>
          <w:lang w:eastAsia="nl-NL"/>
        </w:rPr>
        <w:t xml:space="preserve">acht beroepsprocedures wel vol getoetst. Dit leidde echter slechts in </w:t>
      </w:r>
      <w:r w:rsidR="00894D67">
        <w:rPr>
          <w:rFonts w:ascii="Verdana" w:eastAsia="Times New Roman" w:hAnsi="Verdana"/>
          <w:sz w:val="18"/>
          <w:szCs w:val="18"/>
          <w:lang w:eastAsia="nl-NL"/>
        </w:rPr>
        <w:t>één zaak</w:t>
      </w:r>
      <w:r w:rsidR="00894D67">
        <w:rPr>
          <w:rStyle w:val="Voetnootmarkering"/>
          <w:rFonts w:ascii="Verdana" w:eastAsia="Times New Roman" w:hAnsi="Verdana"/>
          <w:sz w:val="18"/>
          <w:szCs w:val="18"/>
          <w:lang w:eastAsia="nl-NL"/>
        </w:rPr>
        <w:footnoteReference w:id="123"/>
      </w:r>
      <w:r w:rsidR="00894D67">
        <w:rPr>
          <w:rFonts w:ascii="Verdana" w:eastAsia="Times New Roman" w:hAnsi="Verdana"/>
          <w:sz w:val="18"/>
          <w:szCs w:val="18"/>
          <w:lang w:eastAsia="nl-NL"/>
        </w:rPr>
        <w:t xml:space="preserve"> tot een gegrondverklaring.</w:t>
      </w:r>
      <w:r w:rsidR="003104F2">
        <w:rPr>
          <w:rFonts w:ascii="Verdana" w:eastAsia="Times New Roman" w:hAnsi="Verdana"/>
          <w:sz w:val="18"/>
          <w:szCs w:val="18"/>
          <w:lang w:eastAsia="nl-NL"/>
        </w:rPr>
        <w:t xml:space="preserve"> </w:t>
      </w:r>
      <w:r w:rsidR="00460F19">
        <w:rPr>
          <w:rFonts w:ascii="Verdana" w:eastAsia="Times New Roman" w:hAnsi="Verdana"/>
          <w:sz w:val="18"/>
          <w:szCs w:val="18"/>
          <w:lang w:eastAsia="nl-NL"/>
        </w:rPr>
        <w:t>In de overige zeven zaken</w:t>
      </w:r>
      <w:r w:rsidR="008A1012">
        <w:rPr>
          <w:rStyle w:val="Voetnootmarkering"/>
          <w:rFonts w:ascii="Verdana" w:eastAsia="Times New Roman" w:hAnsi="Verdana"/>
          <w:sz w:val="18"/>
          <w:szCs w:val="18"/>
          <w:lang w:eastAsia="nl-NL"/>
        </w:rPr>
        <w:footnoteReference w:id="124"/>
      </w:r>
      <w:r w:rsidR="00460F19">
        <w:rPr>
          <w:rFonts w:ascii="Verdana" w:eastAsia="Times New Roman" w:hAnsi="Verdana"/>
          <w:sz w:val="18"/>
          <w:szCs w:val="18"/>
          <w:lang w:eastAsia="nl-NL"/>
        </w:rPr>
        <w:t xml:space="preserve"> werd het beroep tegen het inreisverbod ongeg</w:t>
      </w:r>
      <w:r w:rsidR="00FE3591">
        <w:rPr>
          <w:rFonts w:ascii="Verdana" w:eastAsia="Times New Roman" w:hAnsi="Verdana"/>
          <w:sz w:val="18"/>
          <w:szCs w:val="18"/>
          <w:lang w:eastAsia="nl-NL"/>
        </w:rPr>
        <w:t>rond verklaard en werd het inreisverbod in stand gehouden, waardoor de vreemdeling volgens de rechtbank ook geen belang zou hebben bij de beoordeling van zijn beroep dat gericht is tegen de intrekk</w:t>
      </w:r>
      <w:r w:rsidR="0061737C">
        <w:rPr>
          <w:rFonts w:ascii="Verdana" w:eastAsia="Times New Roman" w:hAnsi="Verdana"/>
          <w:sz w:val="18"/>
          <w:szCs w:val="18"/>
          <w:lang w:eastAsia="nl-NL"/>
        </w:rPr>
        <w:t xml:space="preserve">ing van de verblijfsvergunning. Belangrijk is dat de vreemdelingen in voornoemde zaken het grondgebied van de lidstaten ten tijde van de procedure </w:t>
      </w:r>
      <w:r w:rsidR="005646E2">
        <w:rPr>
          <w:rFonts w:ascii="Verdana" w:eastAsia="Times New Roman" w:hAnsi="Verdana"/>
          <w:sz w:val="18"/>
          <w:szCs w:val="18"/>
          <w:lang w:eastAsia="nl-NL"/>
        </w:rPr>
        <w:t xml:space="preserve">nimmer hadden verlaten. </w:t>
      </w:r>
      <w:r w:rsidR="00657DAD">
        <w:rPr>
          <w:rFonts w:ascii="Verdana" w:eastAsia="Times New Roman" w:hAnsi="Verdana"/>
          <w:sz w:val="18"/>
          <w:szCs w:val="18"/>
          <w:lang w:eastAsia="nl-NL"/>
        </w:rPr>
        <w:t>Daarnaast is opmerkelijk dat</w:t>
      </w:r>
      <w:r w:rsidR="006F3EE4">
        <w:rPr>
          <w:rFonts w:ascii="Verdana" w:eastAsia="Times New Roman" w:hAnsi="Verdana"/>
          <w:sz w:val="18"/>
          <w:szCs w:val="18"/>
          <w:lang w:eastAsia="nl-NL"/>
        </w:rPr>
        <w:t xml:space="preserve"> in de vier</w:t>
      </w:r>
      <w:r w:rsidR="00D779CE">
        <w:rPr>
          <w:rFonts w:ascii="Verdana" w:eastAsia="Times New Roman" w:hAnsi="Verdana"/>
          <w:sz w:val="18"/>
          <w:szCs w:val="18"/>
          <w:lang w:eastAsia="nl-NL"/>
        </w:rPr>
        <w:t xml:space="preserve"> dossiers</w:t>
      </w:r>
      <w:r w:rsidR="006F3EE4">
        <w:rPr>
          <w:rStyle w:val="Voetnootmarkering"/>
          <w:rFonts w:ascii="Verdana" w:eastAsia="Times New Roman" w:hAnsi="Verdana"/>
          <w:sz w:val="18"/>
          <w:szCs w:val="18"/>
          <w:lang w:eastAsia="nl-NL"/>
        </w:rPr>
        <w:footnoteReference w:id="125"/>
      </w:r>
      <w:r w:rsidR="00D779CE">
        <w:rPr>
          <w:rFonts w:ascii="Verdana" w:eastAsia="Times New Roman" w:hAnsi="Verdana"/>
          <w:sz w:val="18"/>
          <w:szCs w:val="18"/>
          <w:lang w:eastAsia="nl-NL"/>
        </w:rPr>
        <w:t xml:space="preserve"> die zien op de zienswijzeprocedure </w:t>
      </w:r>
      <w:r w:rsidR="006F3EE4">
        <w:rPr>
          <w:rFonts w:ascii="Verdana" w:eastAsia="Times New Roman" w:hAnsi="Verdana"/>
          <w:sz w:val="18"/>
          <w:szCs w:val="18"/>
          <w:lang w:eastAsia="nl-NL"/>
        </w:rPr>
        <w:t>het voornemen na indiening van de zienswijz</w:t>
      </w:r>
      <w:r w:rsidR="00B6117D">
        <w:rPr>
          <w:rFonts w:ascii="Verdana" w:eastAsia="Times New Roman" w:hAnsi="Verdana"/>
          <w:sz w:val="18"/>
          <w:szCs w:val="18"/>
          <w:lang w:eastAsia="nl-NL"/>
        </w:rPr>
        <w:t xml:space="preserve">e </w:t>
      </w:r>
      <w:r w:rsidR="00096C0B">
        <w:rPr>
          <w:rFonts w:ascii="Verdana" w:eastAsia="Times New Roman" w:hAnsi="Verdana"/>
          <w:sz w:val="18"/>
          <w:szCs w:val="18"/>
          <w:lang w:eastAsia="nl-NL"/>
        </w:rPr>
        <w:t>uiteindelijk is ingetrokken.</w:t>
      </w:r>
    </w:p>
    <w:p w14:paraId="1F637228" w14:textId="77777777" w:rsidR="00B6117D" w:rsidRDefault="00B6117D" w:rsidP="00F01888">
      <w:pPr>
        <w:spacing w:after="0" w:line="360" w:lineRule="auto"/>
        <w:jc w:val="both"/>
        <w:rPr>
          <w:rFonts w:ascii="Verdana" w:eastAsia="Times New Roman" w:hAnsi="Verdana"/>
          <w:sz w:val="18"/>
          <w:szCs w:val="18"/>
          <w:lang w:eastAsia="nl-NL"/>
        </w:rPr>
      </w:pPr>
    </w:p>
    <w:p w14:paraId="1D988DB9" w14:textId="5F87E30B" w:rsidR="00E90598" w:rsidRPr="00EA2291" w:rsidRDefault="00F20865" w:rsidP="00E90598">
      <w:pPr>
        <w:spacing w:line="360" w:lineRule="auto"/>
        <w:jc w:val="both"/>
        <w:rPr>
          <w:rFonts w:ascii="Verdana" w:eastAsia="Times New Roman" w:hAnsi="Verdana"/>
          <w:i/>
          <w:sz w:val="18"/>
          <w:szCs w:val="18"/>
          <w:lang w:eastAsia="nl-NL"/>
        </w:rPr>
      </w:pPr>
      <w:r>
        <w:rPr>
          <w:rFonts w:ascii="Verdana" w:eastAsia="Times New Roman" w:hAnsi="Verdana"/>
          <w:i/>
          <w:sz w:val="18"/>
          <w:szCs w:val="18"/>
          <w:lang w:eastAsia="nl-NL"/>
        </w:rPr>
        <w:t>3.1.1</w:t>
      </w:r>
      <w:r w:rsidR="00E90598">
        <w:rPr>
          <w:rFonts w:ascii="Verdana" w:eastAsia="Times New Roman" w:hAnsi="Verdana"/>
          <w:i/>
          <w:sz w:val="18"/>
          <w:szCs w:val="18"/>
          <w:lang w:eastAsia="nl-NL"/>
        </w:rPr>
        <w:t xml:space="preserve"> </w:t>
      </w:r>
      <w:r w:rsidR="00EB7FC9">
        <w:rPr>
          <w:rFonts w:ascii="Verdana" w:eastAsia="Times New Roman" w:hAnsi="Verdana"/>
          <w:i/>
          <w:sz w:val="18"/>
          <w:szCs w:val="18"/>
          <w:lang w:eastAsia="nl-NL"/>
        </w:rPr>
        <w:t>Conclusie</w:t>
      </w:r>
    </w:p>
    <w:p w14:paraId="24D34F64" w14:textId="5999711D" w:rsidR="0095179A" w:rsidRDefault="00EB7FC9" w:rsidP="00E90598">
      <w:pPr>
        <w:spacing w:after="0" w:line="360" w:lineRule="auto"/>
        <w:jc w:val="both"/>
        <w:rPr>
          <w:rFonts w:ascii="Verdana" w:eastAsia="Times New Roman" w:hAnsi="Verdana"/>
          <w:sz w:val="18"/>
          <w:szCs w:val="18"/>
          <w:lang w:eastAsia="nl-NL"/>
        </w:rPr>
      </w:pPr>
      <w:r>
        <w:rPr>
          <w:rFonts w:ascii="Verdana" w:eastAsia="Times New Roman" w:hAnsi="Verdana"/>
          <w:sz w:val="18"/>
          <w:szCs w:val="18"/>
          <w:lang w:eastAsia="nl-NL"/>
        </w:rPr>
        <w:t>Uit de hierboven besproken resultaten</w:t>
      </w:r>
      <w:r w:rsidR="00173D6E">
        <w:rPr>
          <w:rFonts w:ascii="Verdana" w:eastAsia="Times New Roman" w:hAnsi="Verdana"/>
          <w:sz w:val="18"/>
          <w:szCs w:val="18"/>
          <w:lang w:eastAsia="nl-NL"/>
        </w:rPr>
        <w:t xml:space="preserve"> </w:t>
      </w:r>
      <w:r w:rsidR="008E6E39">
        <w:rPr>
          <w:rFonts w:ascii="Verdana" w:eastAsia="Times New Roman" w:hAnsi="Verdana"/>
          <w:sz w:val="18"/>
          <w:szCs w:val="18"/>
          <w:lang w:eastAsia="nl-NL"/>
        </w:rPr>
        <w:t xml:space="preserve">zijn de onderdelen gebleken </w:t>
      </w:r>
      <w:r w:rsidR="00746D00">
        <w:rPr>
          <w:rFonts w:ascii="Verdana" w:eastAsia="Times New Roman" w:hAnsi="Verdana"/>
          <w:sz w:val="18"/>
          <w:szCs w:val="18"/>
          <w:lang w:eastAsia="nl-NL"/>
        </w:rPr>
        <w:t xml:space="preserve">die </w:t>
      </w:r>
      <w:r w:rsidR="00996E07">
        <w:rPr>
          <w:rFonts w:ascii="Verdana" w:eastAsia="Times New Roman" w:hAnsi="Verdana"/>
          <w:sz w:val="18"/>
          <w:szCs w:val="18"/>
          <w:lang w:eastAsia="nl-NL"/>
        </w:rPr>
        <w:t>in zaken met betrekking tot de intrekking van een verblijfsvergunning en de oplegging van een terugkeerbesluit</w:t>
      </w:r>
      <w:r w:rsidR="007274B2">
        <w:rPr>
          <w:rFonts w:ascii="Verdana" w:eastAsia="Times New Roman" w:hAnsi="Verdana"/>
          <w:sz w:val="18"/>
          <w:szCs w:val="18"/>
          <w:lang w:eastAsia="nl-NL"/>
        </w:rPr>
        <w:t xml:space="preserve"> </w:t>
      </w:r>
      <w:r w:rsidR="00746D00">
        <w:rPr>
          <w:rFonts w:ascii="Verdana" w:eastAsia="Times New Roman" w:hAnsi="Verdana"/>
          <w:sz w:val="18"/>
          <w:szCs w:val="18"/>
          <w:lang w:eastAsia="nl-NL"/>
        </w:rPr>
        <w:t>aan de hand van het Ouhrami arrest anders (hadden) moeten worden getoetst.</w:t>
      </w:r>
      <w:r w:rsidR="00207B7E">
        <w:rPr>
          <w:rFonts w:ascii="Verdana" w:eastAsia="Times New Roman" w:hAnsi="Verdana"/>
          <w:sz w:val="18"/>
          <w:szCs w:val="18"/>
          <w:lang w:eastAsia="nl-NL"/>
        </w:rPr>
        <w:t xml:space="preserve"> </w:t>
      </w:r>
      <w:r w:rsidR="00C966AD">
        <w:rPr>
          <w:rFonts w:ascii="Verdana" w:eastAsia="Times New Roman" w:hAnsi="Verdana"/>
          <w:sz w:val="18"/>
          <w:szCs w:val="18"/>
          <w:lang w:eastAsia="nl-NL"/>
        </w:rPr>
        <w:t>Uiteengezet gaat het om de volgende onderdelen:</w:t>
      </w:r>
    </w:p>
    <w:p w14:paraId="7169A0FD" w14:textId="77777777" w:rsidR="005806FF" w:rsidRDefault="005806FF" w:rsidP="00E90598">
      <w:pPr>
        <w:spacing w:after="0" w:line="360" w:lineRule="auto"/>
        <w:jc w:val="both"/>
        <w:rPr>
          <w:rFonts w:ascii="Verdana" w:eastAsia="Times New Roman" w:hAnsi="Verdana"/>
          <w:sz w:val="18"/>
          <w:szCs w:val="18"/>
          <w:lang w:eastAsia="nl-NL"/>
        </w:rPr>
      </w:pPr>
    </w:p>
    <w:p w14:paraId="7C5209A9" w14:textId="76965732" w:rsidR="005806FF" w:rsidRDefault="0012004A" w:rsidP="005806FF">
      <w:pPr>
        <w:pStyle w:val="Lijstalinea"/>
        <w:numPr>
          <w:ilvl w:val="0"/>
          <w:numId w:val="18"/>
        </w:numPr>
        <w:spacing w:after="0" w:line="360" w:lineRule="auto"/>
        <w:jc w:val="both"/>
        <w:rPr>
          <w:rFonts w:ascii="Verdana" w:eastAsia="Times New Roman" w:hAnsi="Verdana"/>
          <w:sz w:val="18"/>
          <w:szCs w:val="18"/>
          <w:lang w:eastAsia="nl-NL"/>
        </w:rPr>
      </w:pPr>
      <w:r>
        <w:rPr>
          <w:rFonts w:ascii="Verdana" w:eastAsia="Times New Roman" w:hAnsi="Verdana"/>
          <w:sz w:val="18"/>
          <w:szCs w:val="18"/>
          <w:lang w:eastAsia="nl-NL"/>
        </w:rPr>
        <w:t xml:space="preserve">Het Unierecht </w:t>
      </w:r>
      <w:r w:rsidR="008659CE">
        <w:rPr>
          <w:rFonts w:ascii="Verdana" w:eastAsia="Times New Roman" w:hAnsi="Verdana"/>
          <w:sz w:val="18"/>
          <w:szCs w:val="18"/>
          <w:lang w:eastAsia="nl-NL"/>
        </w:rPr>
        <w:t xml:space="preserve">wordt </w:t>
      </w:r>
      <w:r w:rsidR="00762235">
        <w:rPr>
          <w:rFonts w:ascii="Verdana" w:eastAsia="Times New Roman" w:hAnsi="Verdana"/>
          <w:sz w:val="18"/>
          <w:szCs w:val="18"/>
          <w:lang w:eastAsia="nl-NL"/>
        </w:rPr>
        <w:t xml:space="preserve">onterecht </w:t>
      </w:r>
      <w:r w:rsidR="008659CE">
        <w:rPr>
          <w:rFonts w:ascii="Verdana" w:eastAsia="Times New Roman" w:hAnsi="Verdana"/>
          <w:sz w:val="18"/>
          <w:szCs w:val="18"/>
          <w:lang w:eastAsia="nl-NL"/>
        </w:rPr>
        <w:t>niet van toepassing verklaard</w:t>
      </w:r>
      <w:r w:rsidR="00B655E0">
        <w:rPr>
          <w:rFonts w:ascii="Verdana" w:eastAsia="Times New Roman" w:hAnsi="Verdana"/>
          <w:sz w:val="18"/>
          <w:szCs w:val="18"/>
          <w:lang w:eastAsia="nl-NL"/>
        </w:rPr>
        <w:t xml:space="preserve"> door de IND</w:t>
      </w:r>
      <w:r w:rsidR="008659CE">
        <w:rPr>
          <w:rFonts w:ascii="Verdana" w:eastAsia="Times New Roman" w:hAnsi="Verdana"/>
          <w:sz w:val="18"/>
          <w:szCs w:val="18"/>
          <w:lang w:eastAsia="nl-NL"/>
        </w:rPr>
        <w:t>;</w:t>
      </w:r>
    </w:p>
    <w:p w14:paraId="7A3F372A" w14:textId="009C16D3" w:rsidR="00496E70" w:rsidRDefault="00496E70" w:rsidP="005806FF">
      <w:pPr>
        <w:pStyle w:val="Lijstalinea"/>
        <w:numPr>
          <w:ilvl w:val="0"/>
          <w:numId w:val="18"/>
        </w:numPr>
        <w:spacing w:after="0" w:line="360" w:lineRule="auto"/>
        <w:jc w:val="both"/>
        <w:rPr>
          <w:rFonts w:ascii="Verdana" w:eastAsia="Times New Roman" w:hAnsi="Verdana"/>
          <w:sz w:val="18"/>
          <w:szCs w:val="18"/>
          <w:lang w:eastAsia="nl-NL"/>
        </w:rPr>
      </w:pPr>
      <w:r>
        <w:rPr>
          <w:rFonts w:ascii="Verdana" w:eastAsia="Times New Roman" w:hAnsi="Verdana"/>
          <w:sz w:val="18"/>
          <w:szCs w:val="18"/>
          <w:lang w:eastAsia="nl-NL"/>
        </w:rPr>
        <w:t xml:space="preserve">De Unierechtelijke actuele-bedreigingstoetst wordt </w:t>
      </w:r>
      <w:r w:rsidR="00762235">
        <w:rPr>
          <w:rFonts w:ascii="Verdana" w:eastAsia="Times New Roman" w:hAnsi="Verdana"/>
          <w:sz w:val="18"/>
          <w:szCs w:val="18"/>
          <w:lang w:eastAsia="nl-NL"/>
        </w:rPr>
        <w:t xml:space="preserve">onterecht </w:t>
      </w:r>
      <w:r>
        <w:rPr>
          <w:rFonts w:ascii="Verdana" w:eastAsia="Times New Roman" w:hAnsi="Verdana"/>
          <w:sz w:val="18"/>
          <w:szCs w:val="18"/>
          <w:lang w:eastAsia="nl-NL"/>
        </w:rPr>
        <w:t>niet toegepast</w:t>
      </w:r>
      <w:r w:rsidR="00B655E0">
        <w:rPr>
          <w:rFonts w:ascii="Verdana" w:eastAsia="Times New Roman" w:hAnsi="Verdana"/>
          <w:sz w:val="18"/>
          <w:szCs w:val="18"/>
          <w:lang w:eastAsia="nl-NL"/>
        </w:rPr>
        <w:t xml:space="preserve"> door de IND</w:t>
      </w:r>
      <w:r>
        <w:rPr>
          <w:rFonts w:ascii="Verdana" w:eastAsia="Times New Roman" w:hAnsi="Verdana"/>
          <w:sz w:val="18"/>
          <w:szCs w:val="18"/>
          <w:lang w:eastAsia="nl-NL"/>
        </w:rPr>
        <w:t>;</w:t>
      </w:r>
    </w:p>
    <w:p w14:paraId="7E45A1A8" w14:textId="7F24414A" w:rsidR="008659CE" w:rsidRDefault="0050528C" w:rsidP="005806FF">
      <w:pPr>
        <w:pStyle w:val="Lijstalinea"/>
        <w:numPr>
          <w:ilvl w:val="0"/>
          <w:numId w:val="18"/>
        </w:numPr>
        <w:spacing w:after="0" w:line="360" w:lineRule="auto"/>
        <w:jc w:val="both"/>
        <w:rPr>
          <w:rFonts w:ascii="Verdana" w:eastAsia="Times New Roman" w:hAnsi="Verdana"/>
          <w:sz w:val="18"/>
          <w:szCs w:val="18"/>
          <w:lang w:eastAsia="nl-NL"/>
        </w:rPr>
      </w:pPr>
      <w:r>
        <w:rPr>
          <w:rFonts w:ascii="Verdana" w:eastAsia="Times New Roman" w:hAnsi="Verdana"/>
          <w:sz w:val="18"/>
          <w:szCs w:val="18"/>
          <w:lang w:eastAsia="nl-NL"/>
        </w:rPr>
        <w:t>De Unierechtelijke criteria en guiding principles worden in het grotendeel van de dossiers</w:t>
      </w:r>
      <w:r w:rsidR="00ED12F1">
        <w:rPr>
          <w:rFonts w:ascii="Verdana" w:eastAsia="Times New Roman" w:hAnsi="Verdana"/>
          <w:sz w:val="18"/>
          <w:szCs w:val="18"/>
          <w:lang w:eastAsia="nl-NL"/>
        </w:rPr>
        <w:t xml:space="preserve"> </w:t>
      </w:r>
      <w:r w:rsidR="00762235">
        <w:rPr>
          <w:rFonts w:ascii="Verdana" w:eastAsia="Times New Roman" w:hAnsi="Verdana"/>
          <w:sz w:val="18"/>
          <w:szCs w:val="18"/>
          <w:lang w:eastAsia="nl-NL"/>
        </w:rPr>
        <w:t xml:space="preserve">onterecht </w:t>
      </w:r>
      <w:r w:rsidR="00ED12F1">
        <w:rPr>
          <w:rFonts w:ascii="Verdana" w:eastAsia="Times New Roman" w:hAnsi="Verdana"/>
          <w:sz w:val="18"/>
          <w:szCs w:val="18"/>
          <w:lang w:eastAsia="nl-NL"/>
        </w:rPr>
        <w:t>niet betrokken bij de belangenafweging</w:t>
      </w:r>
      <w:r w:rsidR="00B655E0">
        <w:rPr>
          <w:rFonts w:ascii="Verdana" w:eastAsia="Times New Roman" w:hAnsi="Verdana"/>
          <w:sz w:val="18"/>
          <w:szCs w:val="18"/>
          <w:lang w:eastAsia="nl-NL"/>
        </w:rPr>
        <w:t xml:space="preserve"> door de IND</w:t>
      </w:r>
      <w:r w:rsidR="00ED12F1">
        <w:rPr>
          <w:rFonts w:ascii="Verdana" w:eastAsia="Times New Roman" w:hAnsi="Verdana"/>
          <w:sz w:val="18"/>
          <w:szCs w:val="18"/>
          <w:lang w:eastAsia="nl-NL"/>
        </w:rPr>
        <w:t>;</w:t>
      </w:r>
      <w:r w:rsidR="00496E70">
        <w:rPr>
          <w:rFonts w:ascii="Verdana" w:eastAsia="Times New Roman" w:hAnsi="Verdana"/>
          <w:sz w:val="18"/>
          <w:szCs w:val="18"/>
          <w:lang w:eastAsia="nl-NL"/>
        </w:rPr>
        <w:t xml:space="preserve"> </w:t>
      </w:r>
    </w:p>
    <w:p w14:paraId="6C3B2FC4" w14:textId="30A9C160" w:rsidR="00FA5D86" w:rsidRDefault="00DB72F4" w:rsidP="00FA5D86">
      <w:pPr>
        <w:pStyle w:val="Lijstalinea"/>
        <w:numPr>
          <w:ilvl w:val="0"/>
          <w:numId w:val="18"/>
        </w:numPr>
        <w:spacing w:after="0" w:line="360" w:lineRule="auto"/>
        <w:jc w:val="both"/>
        <w:rPr>
          <w:rFonts w:ascii="Verdana" w:eastAsia="Times New Roman" w:hAnsi="Verdana"/>
          <w:sz w:val="18"/>
          <w:szCs w:val="18"/>
          <w:lang w:eastAsia="nl-NL"/>
        </w:rPr>
      </w:pPr>
      <w:r>
        <w:rPr>
          <w:rFonts w:ascii="Verdana" w:eastAsia="Times New Roman" w:hAnsi="Verdana"/>
          <w:sz w:val="18"/>
          <w:szCs w:val="18"/>
          <w:lang w:eastAsia="nl-NL"/>
        </w:rPr>
        <w:t xml:space="preserve">Ten aanzien van </w:t>
      </w:r>
      <w:r w:rsidR="00B165BA">
        <w:rPr>
          <w:rFonts w:ascii="Verdana" w:eastAsia="Times New Roman" w:hAnsi="Verdana"/>
          <w:sz w:val="18"/>
          <w:szCs w:val="18"/>
          <w:lang w:eastAsia="nl-NL"/>
        </w:rPr>
        <w:t xml:space="preserve">intrekkingen van verblijfsvergunningen en terugkeerbesluiten wordt door de bestuursrechter </w:t>
      </w:r>
      <w:r w:rsidR="00911485">
        <w:rPr>
          <w:rFonts w:ascii="Verdana" w:eastAsia="Times New Roman" w:hAnsi="Verdana"/>
          <w:sz w:val="18"/>
          <w:szCs w:val="18"/>
          <w:lang w:eastAsia="nl-NL"/>
        </w:rPr>
        <w:t xml:space="preserve">onterecht </w:t>
      </w:r>
      <w:r w:rsidR="00B165BA">
        <w:rPr>
          <w:rFonts w:ascii="Verdana" w:eastAsia="Times New Roman" w:hAnsi="Verdana"/>
          <w:sz w:val="18"/>
          <w:szCs w:val="18"/>
          <w:lang w:eastAsia="nl-NL"/>
        </w:rPr>
        <w:t>geen procesbelang aangenomen</w:t>
      </w:r>
      <w:r w:rsidR="00780AE7">
        <w:rPr>
          <w:rFonts w:ascii="Verdana" w:eastAsia="Times New Roman" w:hAnsi="Verdana"/>
          <w:sz w:val="18"/>
          <w:szCs w:val="18"/>
          <w:lang w:eastAsia="nl-NL"/>
        </w:rPr>
        <w:t>, waardoor voornoemde ook niet (vol) wordt getoetst</w:t>
      </w:r>
      <w:r w:rsidR="00930FE5">
        <w:rPr>
          <w:rFonts w:ascii="Verdana" w:eastAsia="Times New Roman" w:hAnsi="Verdana"/>
          <w:sz w:val="18"/>
          <w:szCs w:val="18"/>
          <w:lang w:eastAsia="nl-NL"/>
        </w:rPr>
        <w:t>.</w:t>
      </w:r>
    </w:p>
    <w:p w14:paraId="7B6C3FA3" w14:textId="77777777" w:rsidR="00B43749" w:rsidRDefault="00B43749" w:rsidP="00B43749">
      <w:pPr>
        <w:spacing w:after="0" w:line="360" w:lineRule="auto"/>
        <w:jc w:val="both"/>
        <w:rPr>
          <w:rFonts w:ascii="Verdana" w:eastAsia="Times New Roman" w:hAnsi="Verdana"/>
          <w:sz w:val="18"/>
          <w:szCs w:val="18"/>
          <w:lang w:eastAsia="nl-NL"/>
        </w:rPr>
      </w:pPr>
    </w:p>
    <w:p w14:paraId="23F202CB" w14:textId="13559BE7" w:rsidR="001B672E" w:rsidRDefault="00A85BA0" w:rsidP="00B43749">
      <w:pPr>
        <w:spacing w:after="0" w:line="360" w:lineRule="auto"/>
        <w:jc w:val="both"/>
        <w:rPr>
          <w:rFonts w:ascii="Verdana" w:eastAsia="Times New Roman" w:hAnsi="Verdana"/>
          <w:sz w:val="18"/>
          <w:szCs w:val="18"/>
          <w:lang w:eastAsia="nl-NL"/>
        </w:rPr>
      </w:pPr>
      <w:r>
        <w:rPr>
          <w:rFonts w:ascii="Verdana" w:eastAsia="Times New Roman" w:hAnsi="Verdana"/>
          <w:sz w:val="18"/>
          <w:szCs w:val="18"/>
          <w:lang w:eastAsia="nl-NL"/>
        </w:rPr>
        <w:t>Tegen</w:t>
      </w:r>
      <w:r w:rsidR="00615D1C">
        <w:rPr>
          <w:rFonts w:ascii="Verdana" w:eastAsia="Times New Roman" w:hAnsi="Verdana"/>
          <w:sz w:val="18"/>
          <w:szCs w:val="18"/>
          <w:lang w:eastAsia="nl-NL"/>
        </w:rPr>
        <w:t xml:space="preserve"> de eerste drie onderdelen </w:t>
      </w:r>
      <w:r w:rsidR="003977BE">
        <w:rPr>
          <w:rFonts w:ascii="Verdana" w:eastAsia="Times New Roman" w:hAnsi="Verdana"/>
          <w:sz w:val="18"/>
          <w:szCs w:val="18"/>
          <w:lang w:eastAsia="nl-NL"/>
        </w:rPr>
        <w:t xml:space="preserve">is, kijkend </w:t>
      </w:r>
      <w:r w:rsidR="00727DBF">
        <w:rPr>
          <w:rFonts w:ascii="Verdana" w:eastAsia="Times New Roman" w:hAnsi="Verdana"/>
          <w:sz w:val="18"/>
          <w:szCs w:val="18"/>
          <w:lang w:eastAsia="nl-NL"/>
        </w:rPr>
        <w:t>naar de</w:t>
      </w:r>
      <w:r w:rsidR="003977BE">
        <w:rPr>
          <w:rFonts w:ascii="Verdana" w:eastAsia="Times New Roman" w:hAnsi="Verdana"/>
          <w:sz w:val="18"/>
          <w:szCs w:val="18"/>
          <w:lang w:eastAsia="nl-NL"/>
        </w:rPr>
        <w:t xml:space="preserve"> resulta</w:t>
      </w:r>
      <w:r w:rsidR="00331248">
        <w:rPr>
          <w:rFonts w:ascii="Verdana" w:eastAsia="Times New Roman" w:hAnsi="Verdana"/>
          <w:sz w:val="18"/>
          <w:szCs w:val="18"/>
          <w:lang w:eastAsia="nl-NL"/>
        </w:rPr>
        <w:t xml:space="preserve">ten en het literatuuronderzoek, </w:t>
      </w:r>
      <w:r>
        <w:rPr>
          <w:rFonts w:ascii="Verdana" w:eastAsia="Times New Roman" w:hAnsi="Verdana"/>
          <w:sz w:val="18"/>
          <w:szCs w:val="18"/>
          <w:lang w:eastAsia="nl-NL"/>
        </w:rPr>
        <w:t>in bezwaar en/of (hoger)</w:t>
      </w:r>
      <w:r w:rsidR="00122F46">
        <w:rPr>
          <w:rFonts w:ascii="Verdana" w:eastAsia="Times New Roman" w:hAnsi="Verdana"/>
          <w:sz w:val="18"/>
          <w:szCs w:val="18"/>
          <w:lang w:eastAsia="nl-NL"/>
        </w:rPr>
        <w:t>beroep voldoende in te brengen.</w:t>
      </w:r>
      <w:r w:rsidR="00827A53">
        <w:rPr>
          <w:rFonts w:ascii="Verdana" w:eastAsia="Times New Roman" w:hAnsi="Verdana"/>
          <w:sz w:val="18"/>
          <w:szCs w:val="18"/>
          <w:lang w:eastAsia="nl-NL"/>
        </w:rPr>
        <w:t xml:space="preserve"> Met andere woorden: in alle </w:t>
      </w:r>
      <w:r w:rsidR="00EA7F1C">
        <w:rPr>
          <w:rFonts w:ascii="Verdana" w:eastAsia="Times New Roman" w:hAnsi="Verdana"/>
          <w:sz w:val="18"/>
          <w:szCs w:val="18"/>
          <w:lang w:eastAsia="nl-NL"/>
        </w:rPr>
        <w:t>openbare-orde</w:t>
      </w:r>
      <w:r w:rsidR="00827A53">
        <w:rPr>
          <w:rFonts w:ascii="Verdana" w:eastAsia="Times New Roman" w:hAnsi="Verdana"/>
          <w:sz w:val="18"/>
          <w:szCs w:val="18"/>
          <w:lang w:eastAsia="nl-NL"/>
        </w:rPr>
        <w:t>dossiers was er een reële mogelijkheid om de intrekking en het terugkeerbesluit van tafel te krijgen.</w:t>
      </w:r>
      <w:r w:rsidR="00122F46">
        <w:rPr>
          <w:rFonts w:ascii="Verdana" w:eastAsia="Times New Roman" w:hAnsi="Verdana"/>
          <w:sz w:val="18"/>
          <w:szCs w:val="18"/>
          <w:lang w:eastAsia="nl-NL"/>
        </w:rPr>
        <w:t xml:space="preserve"> Uit het onderzoek is echter gebleken dat </w:t>
      </w:r>
      <w:r w:rsidR="00827A53">
        <w:rPr>
          <w:rFonts w:ascii="Verdana" w:eastAsia="Times New Roman" w:hAnsi="Verdana"/>
          <w:sz w:val="18"/>
          <w:szCs w:val="18"/>
          <w:lang w:eastAsia="nl-NL"/>
        </w:rPr>
        <w:t>de bestuursrechter nimmer procesbelang aanneemt ten a</w:t>
      </w:r>
      <w:r w:rsidR="0084416D">
        <w:rPr>
          <w:rFonts w:ascii="Verdana" w:eastAsia="Times New Roman" w:hAnsi="Verdana"/>
          <w:sz w:val="18"/>
          <w:szCs w:val="18"/>
          <w:lang w:eastAsia="nl-NL"/>
        </w:rPr>
        <w:t>anzien van de intrekking van de</w:t>
      </w:r>
      <w:r w:rsidR="00827A53">
        <w:rPr>
          <w:rFonts w:ascii="Verdana" w:eastAsia="Times New Roman" w:hAnsi="Verdana"/>
          <w:sz w:val="18"/>
          <w:szCs w:val="18"/>
          <w:lang w:eastAsia="nl-NL"/>
        </w:rPr>
        <w:t xml:space="preserve"> verblijfsvergunning en het terugkeerbesluit. </w:t>
      </w:r>
      <w:r w:rsidR="00515E97">
        <w:rPr>
          <w:rFonts w:ascii="Verdana" w:eastAsia="Times New Roman" w:hAnsi="Verdana"/>
          <w:sz w:val="18"/>
          <w:szCs w:val="18"/>
          <w:lang w:eastAsia="nl-NL"/>
        </w:rPr>
        <w:t xml:space="preserve">Voornoemde resulteert in het volgende: </w:t>
      </w:r>
      <w:r w:rsidR="006727D7">
        <w:rPr>
          <w:rFonts w:ascii="Verdana" w:eastAsia="Times New Roman" w:hAnsi="Verdana"/>
          <w:sz w:val="18"/>
          <w:szCs w:val="18"/>
          <w:lang w:eastAsia="nl-NL"/>
        </w:rPr>
        <w:t>de vreemdeling wiens verblijfsvergunning door de IND is ingetrokken</w:t>
      </w:r>
      <w:r w:rsidR="00EA7F1C">
        <w:rPr>
          <w:rFonts w:ascii="Verdana" w:eastAsia="Times New Roman" w:hAnsi="Verdana"/>
          <w:sz w:val="18"/>
          <w:szCs w:val="18"/>
          <w:lang w:eastAsia="nl-NL"/>
        </w:rPr>
        <w:t xml:space="preserve"> in verband met de openbare orde </w:t>
      </w:r>
      <w:r w:rsidR="006727D7">
        <w:rPr>
          <w:rFonts w:ascii="Verdana" w:eastAsia="Times New Roman" w:hAnsi="Verdana"/>
          <w:sz w:val="18"/>
          <w:szCs w:val="18"/>
          <w:lang w:eastAsia="nl-NL"/>
        </w:rPr>
        <w:t>en jegens wie een terugkeerbesluit is uitgevaardigd, kan hier momenteel in beroep feitelijk niets meer tegen doen.</w:t>
      </w:r>
      <w:r w:rsidR="001B672E">
        <w:rPr>
          <w:rFonts w:ascii="Verdana" w:eastAsia="Times New Roman" w:hAnsi="Verdana"/>
          <w:sz w:val="18"/>
          <w:szCs w:val="18"/>
          <w:lang w:eastAsia="nl-NL"/>
        </w:rPr>
        <w:t xml:space="preserve"> Hierdoor ontstaat er ook geen relevante jurisprudentie op dit gebied.</w:t>
      </w:r>
      <w:r w:rsidR="00A76D99">
        <w:rPr>
          <w:rFonts w:ascii="Verdana" w:eastAsia="Times New Roman" w:hAnsi="Verdana"/>
          <w:sz w:val="18"/>
          <w:szCs w:val="18"/>
          <w:lang w:eastAsia="nl-NL"/>
        </w:rPr>
        <w:t xml:space="preserve"> Aan de hand van het Ouhrami arrest zal de bestuursrechter wel procesbelang aan moeten nemen, waardoor de eerste drie onderdelen vol door de bestuursrechter moeten worden getoetst.</w:t>
      </w:r>
    </w:p>
    <w:p w14:paraId="702796A5" w14:textId="442C0439" w:rsidR="00A76D99" w:rsidRDefault="00A76D99" w:rsidP="00A76D99">
      <w:pPr>
        <w:spacing w:after="0" w:line="360" w:lineRule="auto"/>
        <w:jc w:val="both"/>
        <w:rPr>
          <w:rFonts w:ascii="Verdana" w:eastAsia="Times New Roman" w:hAnsi="Verdana"/>
          <w:i/>
          <w:sz w:val="18"/>
          <w:szCs w:val="18"/>
          <w:lang w:eastAsia="nl-NL"/>
        </w:rPr>
      </w:pPr>
    </w:p>
    <w:p w14:paraId="253561B4" w14:textId="39CB3AB1" w:rsidR="00387E72" w:rsidRPr="00FC2436" w:rsidRDefault="00387E72" w:rsidP="00A76D99">
      <w:pPr>
        <w:pBdr>
          <w:bottom w:val="single" w:sz="4" w:space="1" w:color="auto"/>
        </w:pBdr>
        <w:spacing w:after="0" w:line="360" w:lineRule="auto"/>
        <w:jc w:val="both"/>
        <w:rPr>
          <w:rFonts w:ascii="Verdana" w:eastAsia="Times New Roman" w:hAnsi="Verdana"/>
          <w:i/>
          <w:sz w:val="18"/>
          <w:szCs w:val="18"/>
          <w:lang w:eastAsia="nl-NL"/>
        </w:rPr>
      </w:pPr>
      <w:r>
        <w:rPr>
          <w:rFonts w:ascii="Verdana" w:eastAsia="Times New Roman" w:hAnsi="Verdana"/>
          <w:i/>
          <w:sz w:val="18"/>
          <w:szCs w:val="18"/>
          <w:lang w:eastAsia="nl-NL"/>
        </w:rPr>
        <w:lastRenderedPageBreak/>
        <w:t>3.2 Resultaten jurisprudentieonderzoek</w:t>
      </w:r>
    </w:p>
    <w:p w14:paraId="4AD53177" w14:textId="77777777" w:rsidR="00477EF3" w:rsidRDefault="00477EF3" w:rsidP="00260F14">
      <w:pPr>
        <w:spacing w:after="0" w:line="360" w:lineRule="auto"/>
        <w:jc w:val="both"/>
        <w:rPr>
          <w:rFonts w:ascii="Verdana" w:eastAsia="Times New Roman" w:hAnsi="Verdana"/>
          <w:sz w:val="18"/>
          <w:szCs w:val="18"/>
          <w:highlight w:val="yellow"/>
          <w:lang w:eastAsia="nl-NL"/>
        </w:rPr>
      </w:pPr>
    </w:p>
    <w:p w14:paraId="1D6D7B0F" w14:textId="33B7D6B6" w:rsidR="00FA3B83" w:rsidRDefault="00C8671D" w:rsidP="00C8671D">
      <w:pPr>
        <w:spacing w:after="0" w:line="360" w:lineRule="auto"/>
        <w:jc w:val="both"/>
        <w:rPr>
          <w:rFonts w:ascii="Verdana" w:eastAsia="Times New Roman" w:hAnsi="Verdana"/>
          <w:sz w:val="18"/>
          <w:szCs w:val="18"/>
          <w:lang w:eastAsia="nl-NL"/>
        </w:rPr>
      </w:pPr>
      <w:r>
        <w:rPr>
          <w:rFonts w:ascii="Verdana" w:eastAsia="Times New Roman" w:hAnsi="Verdana"/>
          <w:sz w:val="18"/>
          <w:szCs w:val="18"/>
          <w:lang w:eastAsia="nl-NL"/>
        </w:rPr>
        <w:t xml:space="preserve">Het schema van de analyse met de daarbij behorende topics is opgenomen in </w:t>
      </w:r>
      <w:r>
        <w:rPr>
          <w:rFonts w:ascii="Verdana" w:eastAsia="Times New Roman" w:hAnsi="Verdana"/>
          <w:sz w:val="18"/>
          <w:szCs w:val="18"/>
          <w:u w:val="dotDotDash"/>
          <w:lang w:eastAsia="nl-NL"/>
        </w:rPr>
        <w:t>bijlage 5</w:t>
      </w:r>
      <w:r w:rsidRPr="00775E55">
        <w:rPr>
          <w:rFonts w:ascii="Verdana" w:eastAsia="Times New Roman" w:hAnsi="Verdana"/>
          <w:sz w:val="18"/>
          <w:szCs w:val="18"/>
          <w:lang w:eastAsia="nl-NL"/>
        </w:rPr>
        <w:t>.</w:t>
      </w:r>
      <w:r>
        <w:rPr>
          <w:rFonts w:ascii="Verdana" w:eastAsia="Times New Roman" w:hAnsi="Verdana"/>
          <w:sz w:val="18"/>
          <w:szCs w:val="18"/>
          <w:lang w:eastAsia="nl-NL"/>
        </w:rPr>
        <w:t xml:space="preserve"> Ook dit schema is tijdens de analyse ingevuld aan de hand van een legenda. De exacte resultaten zullen hieronder gemotiveerd worden uiteengezet.</w:t>
      </w:r>
      <w:r w:rsidR="00660E3F">
        <w:rPr>
          <w:rFonts w:ascii="Verdana" w:eastAsia="Times New Roman" w:hAnsi="Verdana"/>
          <w:sz w:val="18"/>
          <w:szCs w:val="18"/>
          <w:lang w:eastAsia="nl-NL"/>
        </w:rPr>
        <w:t xml:space="preserve"> </w:t>
      </w:r>
    </w:p>
    <w:p w14:paraId="514055FE" w14:textId="77777777" w:rsidR="0015716D" w:rsidRDefault="0015716D" w:rsidP="00C8671D">
      <w:pPr>
        <w:spacing w:after="0" w:line="360" w:lineRule="auto"/>
        <w:jc w:val="both"/>
        <w:rPr>
          <w:rFonts w:ascii="Verdana" w:eastAsia="Times New Roman" w:hAnsi="Verdana"/>
          <w:sz w:val="18"/>
          <w:szCs w:val="18"/>
          <w:lang w:eastAsia="nl-NL"/>
        </w:rPr>
      </w:pPr>
    </w:p>
    <w:p w14:paraId="0F230F38" w14:textId="63631CBD" w:rsidR="004E361C" w:rsidRPr="00D333BE" w:rsidRDefault="0048385E" w:rsidP="00C8671D">
      <w:pPr>
        <w:spacing w:after="0" w:line="360" w:lineRule="auto"/>
        <w:jc w:val="both"/>
        <w:rPr>
          <w:rFonts w:ascii="Verdana" w:eastAsia="Times New Roman" w:hAnsi="Verdana"/>
          <w:sz w:val="18"/>
          <w:szCs w:val="18"/>
          <w:lang w:eastAsia="nl-NL"/>
        </w:rPr>
      </w:pPr>
      <w:r>
        <w:rPr>
          <w:rFonts w:ascii="Verdana" w:eastAsia="Times New Roman" w:hAnsi="Verdana"/>
          <w:sz w:val="18"/>
          <w:szCs w:val="18"/>
          <w:lang w:eastAsia="nl-NL"/>
        </w:rPr>
        <w:t>Uit het onderzoek is gebleken dat van de twintig geanalyseerde uitspraken</w:t>
      </w:r>
      <w:r w:rsidR="004C00F1">
        <w:rPr>
          <w:rFonts w:ascii="Verdana" w:eastAsia="Times New Roman" w:hAnsi="Verdana"/>
          <w:sz w:val="18"/>
          <w:szCs w:val="18"/>
          <w:lang w:eastAsia="nl-NL"/>
        </w:rPr>
        <w:t>,</w:t>
      </w:r>
      <w:r w:rsidR="00154604">
        <w:rPr>
          <w:rFonts w:ascii="Verdana" w:eastAsia="Times New Roman" w:hAnsi="Verdana"/>
          <w:sz w:val="18"/>
          <w:szCs w:val="18"/>
          <w:lang w:eastAsia="nl-NL"/>
        </w:rPr>
        <w:t xml:space="preserve"> er maar twee</w:t>
      </w:r>
      <w:r w:rsidR="00534684">
        <w:rPr>
          <w:rStyle w:val="Voetnootmarkering"/>
          <w:rFonts w:ascii="Verdana" w:eastAsia="Times New Roman" w:hAnsi="Verdana"/>
          <w:sz w:val="18"/>
          <w:szCs w:val="18"/>
          <w:lang w:eastAsia="nl-NL"/>
        </w:rPr>
        <w:footnoteReference w:id="126"/>
      </w:r>
      <w:r>
        <w:rPr>
          <w:rFonts w:ascii="Verdana" w:eastAsia="Times New Roman" w:hAnsi="Verdana"/>
          <w:sz w:val="18"/>
          <w:szCs w:val="18"/>
          <w:lang w:eastAsia="nl-NL"/>
        </w:rPr>
        <w:t xml:space="preserve"> in lijn met het </w:t>
      </w:r>
      <w:r w:rsidR="0007436D">
        <w:rPr>
          <w:rFonts w:ascii="Verdana" w:eastAsia="Times New Roman" w:hAnsi="Verdana"/>
          <w:sz w:val="18"/>
          <w:szCs w:val="18"/>
          <w:lang w:eastAsia="nl-NL"/>
        </w:rPr>
        <w:t>Ouhrami arrest zijn beoordeeld.</w:t>
      </w:r>
      <w:r w:rsidR="009A2D6E">
        <w:rPr>
          <w:rFonts w:ascii="Verdana" w:eastAsia="Times New Roman" w:hAnsi="Verdana"/>
          <w:sz w:val="18"/>
          <w:szCs w:val="18"/>
          <w:lang w:eastAsia="nl-NL"/>
        </w:rPr>
        <w:t xml:space="preserve"> </w:t>
      </w:r>
      <w:r w:rsidR="006663A6">
        <w:rPr>
          <w:rFonts w:ascii="Verdana" w:eastAsia="Times New Roman" w:hAnsi="Verdana"/>
          <w:sz w:val="18"/>
          <w:szCs w:val="18"/>
          <w:lang w:eastAsia="nl-NL"/>
        </w:rPr>
        <w:t>Dit had in beide uitspraken</w:t>
      </w:r>
      <w:r w:rsidR="009A2D6E">
        <w:rPr>
          <w:rFonts w:ascii="Verdana" w:eastAsia="Times New Roman" w:hAnsi="Verdana"/>
          <w:sz w:val="18"/>
          <w:szCs w:val="18"/>
          <w:lang w:eastAsia="nl-NL"/>
        </w:rPr>
        <w:t xml:space="preserve"> </w:t>
      </w:r>
      <w:r w:rsidR="009A2D6E" w:rsidRPr="009A2D6E">
        <w:rPr>
          <w:rFonts w:ascii="Verdana" w:eastAsia="Times New Roman" w:hAnsi="Verdana"/>
          <w:sz w:val="18"/>
          <w:szCs w:val="18"/>
          <w:lang w:eastAsia="nl-NL"/>
        </w:rPr>
        <w:t>te maken met het feit dat de vreemdeling reeds was teruggeke</w:t>
      </w:r>
      <w:r w:rsidR="009A2D6E">
        <w:rPr>
          <w:rFonts w:ascii="Verdana" w:eastAsia="Times New Roman" w:hAnsi="Verdana"/>
          <w:sz w:val="18"/>
          <w:szCs w:val="18"/>
          <w:lang w:eastAsia="nl-NL"/>
        </w:rPr>
        <w:t xml:space="preserve">erd naar het land van herkomst. </w:t>
      </w:r>
      <w:r w:rsidR="004E361C">
        <w:rPr>
          <w:rFonts w:ascii="Verdana" w:eastAsia="Times New Roman" w:hAnsi="Verdana"/>
          <w:sz w:val="18"/>
          <w:szCs w:val="18"/>
          <w:lang w:eastAsia="nl-NL"/>
        </w:rPr>
        <w:t xml:space="preserve">Dit bleek bijvoorbeeld uit de volgende motivering in de uitspraak: </w:t>
      </w:r>
      <w:r w:rsidR="004E361C">
        <w:rPr>
          <w:rFonts w:ascii="Verdana" w:eastAsia="Times New Roman" w:hAnsi="Verdana"/>
          <w:i/>
          <w:sz w:val="18"/>
          <w:szCs w:val="18"/>
          <w:lang w:eastAsia="nl-NL"/>
        </w:rPr>
        <w:t>‘‘</w:t>
      </w:r>
      <w:r w:rsidR="00D333BE">
        <w:rPr>
          <w:rFonts w:ascii="Verdana" w:eastAsia="Times New Roman" w:hAnsi="Verdana"/>
          <w:i/>
          <w:sz w:val="18"/>
          <w:szCs w:val="18"/>
          <w:lang w:eastAsia="nl-NL"/>
        </w:rPr>
        <w:t>Nadat de verdachte op 9 augustus 2013 uit Nederland was verwijderd, is hij Nederland weer binnengekomen en op 3 februari 2015 het land weer uitgezet, waarna hij wederom Nederland is binnengekomen.</w:t>
      </w:r>
      <w:r w:rsidR="004E361C">
        <w:rPr>
          <w:rFonts w:ascii="Verdana" w:eastAsia="Times New Roman" w:hAnsi="Verdana"/>
          <w:i/>
          <w:sz w:val="18"/>
          <w:szCs w:val="18"/>
          <w:lang w:eastAsia="nl-NL"/>
        </w:rPr>
        <w:t>’’</w:t>
      </w:r>
      <w:r w:rsidR="00D333BE">
        <w:rPr>
          <w:rStyle w:val="Voetnootmarkering"/>
          <w:rFonts w:ascii="Verdana" w:eastAsia="Times New Roman" w:hAnsi="Verdana"/>
          <w:i/>
          <w:sz w:val="18"/>
          <w:szCs w:val="18"/>
          <w:lang w:eastAsia="nl-NL"/>
        </w:rPr>
        <w:footnoteReference w:id="127"/>
      </w:r>
    </w:p>
    <w:p w14:paraId="3DA543C5" w14:textId="77777777" w:rsidR="004E361C" w:rsidRDefault="004E361C" w:rsidP="00C8671D">
      <w:pPr>
        <w:spacing w:after="0" w:line="360" w:lineRule="auto"/>
        <w:jc w:val="both"/>
        <w:rPr>
          <w:rFonts w:ascii="Verdana" w:eastAsia="Times New Roman" w:hAnsi="Verdana"/>
          <w:sz w:val="18"/>
          <w:szCs w:val="18"/>
          <w:lang w:eastAsia="nl-NL"/>
        </w:rPr>
      </w:pPr>
    </w:p>
    <w:p w14:paraId="657C5403" w14:textId="77E06CF2" w:rsidR="00603599" w:rsidRDefault="00072A8F" w:rsidP="00C8671D">
      <w:pPr>
        <w:spacing w:after="0" w:line="360" w:lineRule="auto"/>
        <w:jc w:val="both"/>
        <w:rPr>
          <w:rFonts w:ascii="Verdana" w:eastAsia="Times New Roman" w:hAnsi="Verdana"/>
          <w:sz w:val="18"/>
          <w:szCs w:val="18"/>
          <w:lang w:eastAsia="nl-NL"/>
        </w:rPr>
      </w:pPr>
      <w:r>
        <w:rPr>
          <w:rFonts w:ascii="Verdana" w:eastAsia="Times New Roman" w:hAnsi="Verdana"/>
          <w:sz w:val="18"/>
          <w:szCs w:val="18"/>
          <w:lang w:eastAsia="nl-NL"/>
        </w:rPr>
        <w:t>In</w:t>
      </w:r>
      <w:r w:rsidR="00B730AA">
        <w:rPr>
          <w:rFonts w:ascii="Verdana" w:eastAsia="Times New Roman" w:hAnsi="Verdana"/>
          <w:sz w:val="18"/>
          <w:szCs w:val="18"/>
          <w:lang w:eastAsia="nl-NL"/>
        </w:rPr>
        <w:t xml:space="preserve"> </w:t>
      </w:r>
      <w:r w:rsidR="003A3A8E">
        <w:rPr>
          <w:rFonts w:ascii="Verdana" w:eastAsia="Times New Roman" w:hAnsi="Verdana"/>
          <w:sz w:val="18"/>
          <w:szCs w:val="18"/>
          <w:lang w:eastAsia="nl-NL"/>
        </w:rPr>
        <w:t>vijftien</w:t>
      </w:r>
      <w:r>
        <w:rPr>
          <w:rFonts w:ascii="Verdana" w:eastAsia="Times New Roman" w:hAnsi="Verdana"/>
          <w:sz w:val="18"/>
          <w:szCs w:val="18"/>
          <w:lang w:eastAsia="nl-NL"/>
        </w:rPr>
        <w:t xml:space="preserve"> </w:t>
      </w:r>
      <w:r w:rsidR="00B730AA">
        <w:rPr>
          <w:rFonts w:ascii="Verdana" w:eastAsia="Times New Roman" w:hAnsi="Verdana"/>
          <w:sz w:val="18"/>
          <w:szCs w:val="18"/>
          <w:lang w:eastAsia="nl-NL"/>
        </w:rPr>
        <w:t xml:space="preserve">andere </w:t>
      </w:r>
      <w:r w:rsidR="00D65EC4">
        <w:rPr>
          <w:rFonts w:ascii="Verdana" w:eastAsia="Times New Roman" w:hAnsi="Verdana"/>
          <w:sz w:val="18"/>
          <w:szCs w:val="18"/>
          <w:lang w:eastAsia="nl-NL"/>
        </w:rPr>
        <w:t>uitspraken</w:t>
      </w:r>
      <w:r w:rsidR="009F3A6D">
        <w:rPr>
          <w:rFonts w:ascii="Verdana" w:eastAsia="Times New Roman" w:hAnsi="Verdana"/>
          <w:sz w:val="18"/>
          <w:szCs w:val="18"/>
          <w:lang w:eastAsia="nl-NL"/>
        </w:rPr>
        <w:t xml:space="preserve"> waren de vreemde</w:t>
      </w:r>
      <w:r w:rsidR="00564D5F">
        <w:rPr>
          <w:rFonts w:ascii="Verdana" w:eastAsia="Times New Roman" w:hAnsi="Verdana"/>
          <w:sz w:val="18"/>
          <w:szCs w:val="18"/>
          <w:lang w:eastAsia="nl-NL"/>
        </w:rPr>
        <w:t xml:space="preserve">lingen nog niet teruggekeerd, waardoor </w:t>
      </w:r>
      <w:r>
        <w:rPr>
          <w:rFonts w:ascii="Verdana" w:eastAsia="Times New Roman" w:hAnsi="Verdana"/>
          <w:sz w:val="18"/>
          <w:szCs w:val="18"/>
          <w:lang w:eastAsia="nl-NL"/>
        </w:rPr>
        <w:t>het inreisverbod</w:t>
      </w:r>
      <w:r w:rsidR="00B91BF6">
        <w:rPr>
          <w:rFonts w:ascii="Verdana" w:eastAsia="Times New Roman" w:hAnsi="Verdana"/>
          <w:sz w:val="18"/>
          <w:szCs w:val="18"/>
          <w:lang w:eastAsia="nl-NL"/>
        </w:rPr>
        <w:t xml:space="preserve"> </w:t>
      </w:r>
      <w:r w:rsidR="00534684">
        <w:rPr>
          <w:rFonts w:ascii="Verdana" w:eastAsia="Times New Roman" w:hAnsi="Verdana"/>
          <w:sz w:val="18"/>
          <w:szCs w:val="18"/>
          <w:lang w:eastAsia="nl-NL"/>
        </w:rPr>
        <w:t xml:space="preserve">volgens het Ouhrami arrest </w:t>
      </w:r>
      <w:r w:rsidR="009A2D6E">
        <w:rPr>
          <w:rFonts w:ascii="Verdana" w:eastAsia="Times New Roman" w:hAnsi="Verdana"/>
          <w:sz w:val="18"/>
          <w:szCs w:val="18"/>
          <w:lang w:eastAsia="nl-NL"/>
        </w:rPr>
        <w:t xml:space="preserve">nog niet in werking </w:t>
      </w:r>
      <w:r w:rsidR="00564D5F">
        <w:rPr>
          <w:rFonts w:ascii="Verdana" w:eastAsia="Times New Roman" w:hAnsi="Verdana"/>
          <w:sz w:val="18"/>
          <w:szCs w:val="18"/>
          <w:lang w:eastAsia="nl-NL"/>
        </w:rPr>
        <w:t xml:space="preserve">was </w:t>
      </w:r>
      <w:r w:rsidR="009A2D6E">
        <w:rPr>
          <w:rFonts w:ascii="Verdana" w:eastAsia="Times New Roman" w:hAnsi="Verdana"/>
          <w:sz w:val="18"/>
          <w:szCs w:val="18"/>
          <w:lang w:eastAsia="nl-NL"/>
        </w:rPr>
        <w:t xml:space="preserve">getreden, </w:t>
      </w:r>
      <w:r w:rsidR="00B91BF6">
        <w:rPr>
          <w:rFonts w:ascii="Verdana" w:eastAsia="Times New Roman" w:hAnsi="Verdana"/>
          <w:sz w:val="18"/>
          <w:szCs w:val="18"/>
          <w:lang w:eastAsia="nl-NL"/>
        </w:rPr>
        <w:t>maar werd er wel een onvoorwaardelijke gevangenisstraf opgelegd.</w:t>
      </w:r>
      <w:r w:rsidR="00B91BF6">
        <w:rPr>
          <w:rStyle w:val="Voetnootmarkering"/>
          <w:rFonts w:ascii="Verdana" w:eastAsia="Times New Roman" w:hAnsi="Verdana"/>
          <w:sz w:val="18"/>
          <w:szCs w:val="18"/>
          <w:lang w:eastAsia="nl-NL"/>
        </w:rPr>
        <w:footnoteReference w:id="128"/>
      </w:r>
      <w:r w:rsidR="003362FA">
        <w:rPr>
          <w:rFonts w:ascii="Verdana" w:eastAsia="Times New Roman" w:hAnsi="Verdana"/>
          <w:sz w:val="18"/>
          <w:szCs w:val="18"/>
          <w:lang w:eastAsia="nl-NL"/>
        </w:rPr>
        <w:t xml:space="preserve"> </w:t>
      </w:r>
      <w:r w:rsidR="000D6B02">
        <w:rPr>
          <w:rFonts w:ascii="Verdana" w:eastAsia="Times New Roman" w:hAnsi="Verdana"/>
          <w:sz w:val="18"/>
          <w:szCs w:val="18"/>
          <w:lang w:eastAsia="nl-NL"/>
        </w:rPr>
        <w:t>Daarnaast</w:t>
      </w:r>
      <w:r w:rsidR="003362FA">
        <w:rPr>
          <w:rFonts w:ascii="Verdana" w:eastAsia="Times New Roman" w:hAnsi="Verdana"/>
          <w:sz w:val="18"/>
          <w:szCs w:val="18"/>
          <w:lang w:eastAsia="nl-NL"/>
        </w:rPr>
        <w:t xml:space="preserve"> werd </w:t>
      </w:r>
      <w:r w:rsidR="004E0A0B">
        <w:rPr>
          <w:rFonts w:ascii="Verdana" w:eastAsia="Times New Roman" w:hAnsi="Verdana"/>
          <w:sz w:val="18"/>
          <w:szCs w:val="18"/>
          <w:lang w:eastAsia="nl-NL"/>
        </w:rPr>
        <w:t>in één</w:t>
      </w:r>
      <w:r w:rsidR="003362FA">
        <w:rPr>
          <w:rFonts w:ascii="Verdana" w:eastAsia="Times New Roman" w:hAnsi="Verdana"/>
          <w:sz w:val="18"/>
          <w:szCs w:val="18"/>
          <w:lang w:eastAsia="nl-NL"/>
        </w:rPr>
        <w:t xml:space="preserve"> </w:t>
      </w:r>
      <w:r w:rsidR="001C44DF">
        <w:rPr>
          <w:rFonts w:ascii="Verdana" w:eastAsia="Times New Roman" w:hAnsi="Verdana"/>
          <w:sz w:val="18"/>
          <w:szCs w:val="18"/>
          <w:lang w:eastAsia="nl-NL"/>
        </w:rPr>
        <w:t>zaak</w:t>
      </w:r>
      <w:r w:rsidR="000559F9">
        <w:rPr>
          <w:rStyle w:val="Voetnootmarkering"/>
          <w:rFonts w:ascii="Verdana" w:eastAsia="Times New Roman" w:hAnsi="Verdana"/>
          <w:sz w:val="18"/>
          <w:szCs w:val="18"/>
          <w:lang w:eastAsia="nl-NL"/>
        </w:rPr>
        <w:footnoteReference w:id="129"/>
      </w:r>
      <w:r w:rsidR="003362FA">
        <w:rPr>
          <w:rFonts w:ascii="Verdana" w:eastAsia="Times New Roman" w:hAnsi="Verdana"/>
          <w:sz w:val="18"/>
          <w:szCs w:val="18"/>
          <w:lang w:eastAsia="nl-NL"/>
        </w:rPr>
        <w:t xml:space="preserve"> – ook hier was het inreisverbod </w:t>
      </w:r>
      <w:r w:rsidR="00D65EC4">
        <w:rPr>
          <w:rFonts w:ascii="Verdana" w:eastAsia="Times New Roman" w:hAnsi="Verdana"/>
          <w:sz w:val="18"/>
          <w:szCs w:val="18"/>
          <w:lang w:eastAsia="nl-NL"/>
        </w:rPr>
        <w:t xml:space="preserve">volgens het Ouhrami arrest </w:t>
      </w:r>
      <w:r w:rsidR="003362FA">
        <w:rPr>
          <w:rFonts w:ascii="Verdana" w:eastAsia="Times New Roman" w:hAnsi="Verdana"/>
          <w:sz w:val="18"/>
          <w:szCs w:val="18"/>
          <w:lang w:eastAsia="nl-NL"/>
        </w:rPr>
        <w:t xml:space="preserve">nog niet in werking getreden – </w:t>
      </w:r>
      <w:r w:rsidR="004E0A0B">
        <w:rPr>
          <w:rFonts w:ascii="Verdana" w:eastAsia="Times New Roman" w:hAnsi="Verdana"/>
          <w:sz w:val="18"/>
          <w:szCs w:val="18"/>
          <w:lang w:eastAsia="nl-NL"/>
        </w:rPr>
        <w:t>gee</w:t>
      </w:r>
      <w:r w:rsidR="003362FA">
        <w:rPr>
          <w:rFonts w:ascii="Verdana" w:eastAsia="Times New Roman" w:hAnsi="Verdana"/>
          <w:sz w:val="18"/>
          <w:szCs w:val="18"/>
          <w:lang w:eastAsia="nl-NL"/>
        </w:rPr>
        <w:t>n gevangenisstraf opgelegd.</w:t>
      </w:r>
      <w:r w:rsidR="003362FA">
        <w:rPr>
          <w:rStyle w:val="Voetnootmarkering"/>
          <w:rFonts w:ascii="Verdana" w:eastAsia="Times New Roman" w:hAnsi="Verdana"/>
          <w:sz w:val="18"/>
          <w:szCs w:val="18"/>
          <w:lang w:eastAsia="nl-NL"/>
        </w:rPr>
        <w:footnoteReference w:id="130"/>
      </w:r>
      <w:r w:rsidR="004E0A0B">
        <w:rPr>
          <w:rFonts w:ascii="Verdana" w:eastAsia="Times New Roman" w:hAnsi="Verdana"/>
          <w:sz w:val="18"/>
          <w:szCs w:val="18"/>
          <w:lang w:eastAsia="nl-NL"/>
        </w:rPr>
        <w:t xml:space="preserve"> </w:t>
      </w:r>
      <w:r w:rsidR="00603599">
        <w:rPr>
          <w:rFonts w:ascii="Verdana" w:eastAsia="Times New Roman" w:hAnsi="Verdana"/>
          <w:sz w:val="18"/>
          <w:szCs w:val="18"/>
          <w:lang w:eastAsia="nl-NL"/>
        </w:rPr>
        <w:t>Benoemingswaardig is dat de vreemdeling in deze zaak uiteindelijk wel werd veroordeeld.</w:t>
      </w:r>
    </w:p>
    <w:p w14:paraId="646DC5C3" w14:textId="77777777" w:rsidR="00BC0A14" w:rsidRDefault="00BC0A14" w:rsidP="00C8671D">
      <w:pPr>
        <w:spacing w:after="0" w:line="360" w:lineRule="auto"/>
        <w:jc w:val="both"/>
        <w:rPr>
          <w:rFonts w:ascii="Verdana" w:eastAsia="Times New Roman" w:hAnsi="Verdana"/>
          <w:sz w:val="18"/>
          <w:szCs w:val="18"/>
          <w:lang w:eastAsia="nl-NL"/>
        </w:rPr>
      </w:pPr>
    </w:p>
    <w:p w14:paraId="0D3AC8F9" w14:textId="77AAB12D" w:rsidR="00181186" w:rsidRDefault="00EE6276" w:rsidP="00C8671D">
      <w:pPr>
        <w:spacing w:after="0" w:line="360" w:lineRule="auto"/>
        <w:jc w:val="both"/>
        <w:rPr>
          <w:rFonts w:ascii="Verdana" w:eastAsia="Times New Roman" w:hAnsi="Verdana"/>
          <w:sz w:val="18"/>
          <w:szCs w:val="18"/>
          <w:lang w:eastAsia="nl-NL"/>
        </w:rPr>
      </w:pPr>
      <w:r>
        <w:rPr>
          <w:rFonts w:ascii="Verdana" w:eastAsia="Times New Roman" w:hAnsi="Verdana"/>
          <w:sz w:val="18"/>
          <w:szCs w:val="18"/>
          <w:lang w:eastAsia="nl-NL"/>
        </w:rPr>
        <w:t xml:space="preserve">Voorts is uit het onderzoek gebleken dat de rechtsoverwegingen van de rechters en de raadsheren niet (veel) </w:t>
      </w:r>
      <w:r w:rsidR="00BA2F1D">
        <w:rPr>
          <w:rFonts w:ascii="Verdana" w:eastAsia="Times New Roman" w:hAnsi="Verdana"/>
          <w:sz w:val="18"/>
          <w:szCs w:val="18"/>
          <w:lang w:eastAsia="nl-NL"/>
        </w:rPr>
        <w:t>van elkaar afwijken.</w:t>
      </w:r>
      <w:r w:rsidR="00B06E5C">
        <w:rPr>
          <w:rFonts w:ascii="Verdana" w:eastAsia="Times New Roman" w:hAnsi="Verdana"/>
          <w:sz w:val="18"/>
          <w:szCs w:val="18"/>
          <w:lang w:eastAsia="nl-NL"/>
        </w:rPr>
        <w:t xml:space="preserve"> </w:t>
      </w:r>
      <w:r w:rsidR="00BA2F1D">
        <w:rPr>
          <w:rFonts w:ascii="Verdana" w:eastAsia="Times New Roman" w:hAnsi="Verdana"/>
          <w:sz w:val="18"/>
          <w:szCs w:val="18"/>
          <w:lang w:eastAsia="nl-NL"/>
        </w:rPr>
        <w:t xml:space="preserve">Wel is van belang om op te merken dat de drie uitspraken die in lijn met het Ouhrami arrest zijn beoordeeld, </w:t>
      </w:r>
      <w:r w:rsidR="00D50C85">
        <w:rPr>
          <w:rFonts w:ascii="Verdana" w:eastAsia="Times New Roman" w:hAnsi="Verdana"/>
          <w:sz w:val="18"/>
          <w:szCs w:val="18"/>
          <w:lang w:eastAsia="nl-NL"/>
        </w:rPr>
        <w:t xml:space="preserve">van het gerechtshof </w:t>
      </w:r>
      <w:r w:rsidR="00EB14A8">
        <w:rPr>
          <w:rFonts w:ascii="Verdana" w:eastAsia="Times New Roman" w:hAnsi="Verdana"/>
          <w:sz w:val="18"/>
          <w:szCs w:val="18"/>
          <w:lang w:eastAsia="nl-NL"/>
        </w:rPr>
        <w:t>afkomstig zijn. Aan deze resultaten wordt echter de conclusie</w:t>
      </w:r>
      <w:r w:rsidR="00D50C85">
        <w:rPr>
          <w:rFonts w:ascii="Verdana" w:eastAsia="Times New Roman" w:hAnsi="Verdana"/>
          <w:sz w:val="18"/>
          <w:szCs w:val="18"/>
          <w:lang w:eastAsia="nl-NL"/>
        </w:rPr>
        <w:t xml:space="preserve"> verbonden dat dit pure toeval is geweest. Uit alle bestudeerde rechtsoverwegingen</w:t>
      </w:r>
      <w:r w:rsidR="00B00300">
        <w:rPr>
          <w:rFonts w:ascii="Verdana" w:eastAsia="Times New Roman" w:hAnsi="Verdana"/>
          <w:sz w:val="18"/>
          <w:szCs w:val="18"/>
          <w:lang w:eastAsia="nl-NL"/>
        </w:rPr>
        <w:t>, van zowel de rechtbank als het gerechtshof,</w:t>
      </w:r>
      <w:r w:rsidR="00D50C85">
        <w:rPr>
          <w:rFonts w:ascii="Verdana" w:eastAsia="Times New Roman" w:hAnsi="Verdana"/>
          <w:sz w:val="18"/>
          <w:szCs w:val="18"/>
          <w:lang w:eastAsia="nl-NL"/>
        </w:rPr>
        <w:t xml:space="preserve"> blijkt namelijk niet dat de vraag </w:t>
      </w:r>
      <w:r w:rsidR="00D50C85">
        <w:rPr>
          <w:rFonts w:ascii="Verdana" w:eastAsia="Times New Roman" w:hAnsi="Verdana"/>
          <w:i/>
          <w:sz w:val="18"/>
          <w:szCs w:val="18"/>
          <w:lang w:eastAsia="nl-NL"/>
        </w:rPr>
        <w:t xml:space="preserve">of de </w:t>
      </w:r>
      <w:r w:rsidR="00D13776">
        <w:rPr>
          <w:rFonts w:ascii="Verdana" w:eastAsia="Times New Roman" w:hAnsi="Verdana"/>
          <w:i/>
          <w:sz w:val="18"/>
          <w:szCs w:val="18"/>
          <w:lang w:eastAsia="nl-NL"/>
        </w:rPr>
        <w:t>vreemdeling Nederland reeds heeft verlaten</w:t>
      </w:r>
      <w:r w:rsidR="006560AE">
        <w:rPr>
          <w:rFonts w:ascii="Verdana" w:eastAsia="Times New Roman" w:hAnsi="Verdana"/>
          <w:i/>
          <w:sz w:val="18"/>
          <w:szCs w:val="18"/>
          <w:lang w:eastAsia="nl-NL"/>
        </w:rPr>
        <w:t xml:space="preserve"> en het inreisverbod daardoor in werking is getreden</w:t>
      </w:r>
      <w:r w:rsidR="00D50C85">
        <w:rPr>
          <w:rFonts w:ascii="Verdana" w:eastAsia="Times New Roman" w:hAnsi="Verdana"/>
          <w:i/>
          <w:sz w:val="18"/>
          <w:szCs w:val="18"/>
          <w:lang w:eastAsia="nl-NL"/>
        </w:rPr>
        <w:t xml:space="preserve"> </w:t>
      </w:r>
      <w:r w:rsidR="00D50C85">
        <w:rPr>
          <w:rFonts w:ascii="Verdana" w:eastAsia="Times New Roman" w:hAnsi="Verdana"/>
          <w:sz w:val="18"/>
          <w:szCs w:val="18"/>
          <w:lang w:eastAsia="nl-NL"/>
        </w:rPr>
        <w:t xml:space="preserve">bewust en </w:t>
      </w:r>
      <w:r w:rsidR="00966AD2">
        <w:rPr>
          <w:rFonts w:ascii="Verdana" w:eastAsia="Times New Roman" w:hAnsi="Verdana"/>
          <w:sz w:val="18"/>
          <w:szCs w:val="18"/>
          <w:lang w:eastAsia="nl-NL"/>
        </w:rPr>
        <w:t>in lijn met het Ouhrami arrest</w:t>
      </w:r>
      <w:r w:rsidR="00D50C85">
        <w:rPr>
          <w:rFonts w:ascii="Verdana" w:eastAsia="Times New Roman" w:hAnsi="Verdana"/>
          <w:sz w:val="18"/>
          <w:szCs w:val="18"/>
          <w:lang w:eastAsia="nl-NL"/>
        </w:rPr>
        <w:t xml:space="preserve"> bij de beoordeling </w:t>
      </w:r>
      <w:r w:rsidR="0014709F">
        <w:rPr>
          <w:rFonts w:ascii="Verdana" w:eastAsia="Times New Roman" w:hAnsi="Verdana"/>
          <w:sz w:val="18"/>
          <w:szCs w:val="18"/>
          <w:lang w:eastAsia="nl-NL"/>
        </w:rPr>
        <w:t xml:space="preserve">is </w:t>
      </w:r>
      <w:r w:rsidR="00D50C85">
        <w:rPr>
          <w:rFonts w:ascii="Verdana" w:eastAsia="Times New Roman" w:hAnsi="Verdana"/>
          <w:sz w:val="18"/>
          <w:szCs w:val="18"/>
          <w:lang w:eastAsia="nl-NL"/>
        </w:rPr>
        <w:t>betrokken.</w:t>
      </w:r>
      <w:r w:rsidR="00B00300">
        <w:rPr>
          <w:rFonts w:ascii="Verdana" w:eastAsia="Times New Roman" w:hAnsi="Verdana"/>
          <w:sz w:val="18"/>
          <w:szCs w:val="18"/>
          <w:lang w:eastAsia="nl-NL"/>
        </w:rPr>
        <w:t xml:space="preserve"> </w:t>
      </w:r>
    </w:p>
    <w:p w14:paraId="6C62C18D" w14:textId="77777777" w:rsidR="00181186" w:rsidRDefault="00181186" w:rsidP="00C8671D">
      <w:pPr>
        <w:spacing w:after="0" w:line="360" w:lineRule="auto"/>
        <w:jc w:val="both"/>
        <w:rPr>
          <w:rFonts w:ascii="Verdana" w:eastAsia="Times New Roman" w:hAnsi="Verdana"/>
          <w:sz w:val="18"/>
          <w:szCs w:val="18"/>
          <w:lang w:eastAsia="nl-NL"/>
        </w:rPr>
      </w:pPr>
    </w:p>
    <w:p w14:paraId="6B2969C4" w14:textId="5AF6C9FC" w:rsidR="00D65EF0" w:rsidRDefault="00181186" w:rsidP="00C8671D">
      <w:pPr>
        <w:spacing w:after="0" w:line="360" w:lineRule="auto"/>
        <w:jc w:val="both"/>
        <w:rPr>
          <w:rFonts w:ascii="Verdana" w:eastAsia="Times New Roman" w:hAnsi="Verdana"/>
          <w:sz w:val="18"/>
          <w:szCs w:val="18"/>
          <w:lang w:eastAsia="nl-NL"/>
        </w:rPr>
      </w:pPr>
      <w:r>
        <w:rPr>
          <w:rFonts w:ascii="Verdana" w:eastAsia="Times New Roman" w:hAnsi="Verdana"/>
          <w:sz w:val="18"/>
          <w:szCs w:val="18"/>
          <w:lang w:eastAsia="nl-NL"/>
        </w:rPr>
        <w:t>In alle twintig uitspraken</w:t>
      </w:r>
      <w:r w:rsidR="00374B32">
        <w:rPr>
          <w:rFonts w:ascii="Verdana" w:eastAsia="Times New Roman" w:hAnsi="Verdana"/>
          <w:sz w:val="18"/>
          <w:szCs w:val="18"/>
          <w:lang w:eastAsia="nl-NL"/>
        </w:rPr>
        <w:t xml:space="preserve"> werd</w:t>
      </w:r>
      <w:r w:rsidR="00316F0E">
        <w:rPr>
          <w:rFonts w:ascii="Verdana" w:eastAsia="Times New Roman" w:hAnsi="Verdana"/>
          <w:sz w:val="18"/>
          <w:szCs w:val="18"/>
          <w:lang w:eastAsia="nl-NL"/>
        </w:rPr>
        <w:t>en</w:t>
      </w:r>
      <w:r w:rsidR="00374B32">
        <w:rPr>
          <w:rFonts w:ascii="Verdana" w:eastAsia="Times New Roman" w:hAnsi="Verdana"/>
          <w:sz w:val="18"/>
          <w:szCs w:val="18"/>
          <w:lang w:eastAsia="nl-NL"/>
        </w:rPr>
        <w:t xml:space="preserve"> door zowel de rechtbank als</w:t>
      </w:r>
      <w:r w:rsidR="00316F0E">
        <w:rPr>
          <w:rFonts w:ascii="Verdana" w:eastAsia="Times New Roman" w:hAnsi="Verdana"/>
          <w:sz w:val="18"/>
          <w:szCs w:val="18"/>
          <w:lang w:eastAsia="nl-NL"/>
        </w:rPr>
        <w:t xml:space="preserve"> het gerechtshof eerst de bewijsoverwegingen besproken. Hierbij ging het in het bijzonder om de overwegingen of de verdachte op het moment van de aanhouding in Nederland was toen er bijvoorbeeld een inreisverbod gold</w:t>
      </w:r>
      <w:r w:rsidR="00122015">
        <w:rPr>
          <w:rFonts w:ascii="Verdana" w:eastAsia="Times New Roman" w:hAnsi="Verdana"/>
          <w:sz w:val="18"/>
          <w:szCs w:val="18"/>
          <w:lang w:eastAsia="nl-NL"/>
        </w:rPr>
        <w:t>,</w:t>
      </w:r>
      <w:r w:rsidR="00316F0E">
        <w:rPr>
          <w:rFonts w:ascii="Verdana" w:eastAsia="Times New Roman" w:hAnsi="Verdana"/>
          <w:sz w:val="18"/>
          <w:szCs w:val="18"/>
          <w:lang w:eastAsia="nl-NL"/>
        </w:rPr>
        <w:t xml:space="preserve"> </w:t>
      </w:r>
      <w:r w:rsidR="000C72CE">
        <w:rPr>
          <w:rFonts w:ascii="Verdana" w:eastAsia="Times New Roman" w:hAnsi="Verdana"/>
          <w:sz w:val="18"/>
          <w:szCs w:val="18"/>
          <w:lang w:eastAsia="nl-NL"/>
        </w:rPr>
        <w:t xml:space="preserve">of de grondslag van het inreisverbod of de ongewenstverklaring rechtmatig was </w:t>
      </w:r>
      <w:r w:rsidR="00316F0E">
        <w:rPr>
          <w:rFonts w:ascii="Verdana" w:eastAsia="Times New Roman" w:hAnsi="Verdana"/>
          <w:sz w:val="18"/>
          <w:szCs w:val="18"/>
          <w:lang w:eastAsia="nl-NL"/>
        </w:rPr>
        <w:t>en of de verdachte wist of ernstige redenen had om te vermoeden dat tegen hem een inreisverbod was uitgevaardigd.</w:t>
      </w:r>
      <w:r w:rsidR="00B06E5C">
        <w:rPr>
          <w:rStyle w:val="Voetnootmarkering"/>
          <w:rFonts w:ascii="Verdana" w:eastAsia="Times New Roman" w:hAnsi="Verdana"/>
          <w:sz w:val="18"/>
          <w:szCs w:val="18"/>
          <w:lang w:eastAsia="nl-NL"/>
        </w:rPr>
        <w:footnoteReference w:id="131"/>
      </w:r>
      <w:r w:rsidR="00122015">
        <w:rPr>
          <w:rFonts w:ascii="Verdana" w:eastAsia="Times New Roman" w:hAnsi="Verdana"/>
          <w:sz w:val="18"/>
          <w:szCs w:val="18"/>
          <w:lang w:eastAsia="nl-NL"/>
        </w:rPr>
        <w:t xml:space="preserve"> </w:t>
      </w:r>
      <w:r w:rsidR="00091101">
        <w:rPr>
          <w:rFonts w:ascii="Verdana" w:eastAsia="Times New Roman" w:hAnsi="Verdana"/>
          <w:sz w:val="18"/>
          <w:szCs w:val="18"/>
          <w:lang w:eastAsia="nl-NL"/>
        </w:rPr>
        <w:t xml:space="preserve">In alle uitspraken werd </w:t>
      </w:r>
      <w:r w:rsidR="00E12C37">
        <w:rPr>
          <w:rFonts w:ascii="Verdana" w:eastAsia="Times New Roman" w:hAnsi="Verdana"/>
          <w:sz w:val="18"/>
          <w:szCs w:val="18"/>
          <w:lang w:eastAsia="nl-NL"/>
        </w:rPr>
        <w:t xml:space="preserve">op </w:t>
      </w:r>
      <w:r w:rsidR="00091101">
        <w:rPr>
          <w:rFonts w:ascii="Verdana" w:eastAsia="Times New Roman" w:hAnsi="Verdana"/>
          <w:sz w:val="18"/>
          <w:szCs w:val="18"/>
          <w:lang w:eastAsia="nl-NL"/>
        </w:rPr>
        <w:t xml:space="preserve">het </w:t>
      </w:r>
      <w:r w:rsidR="00E12C37">
        <w:rPr>
          <w:rFonts w:ascii="Verdana" w:eastAsia="Times New Roman" w:hAnsi="Verdana"/>
          <w:sz w:val="18"/>
          <w:szCs w:val="18"/>
          <w:lang w:eastAsia="nl-NL"/>
        </w:rPr>
        <w:t xml:space="preserve">voornoemde </w:t>
      </w:r>
      <w:r w:rsidR="003C6B69">
        <w:rPr>
          <w:rFonts w:ascii="Verdana" w:eastAsia="Times New Roman" w:hAnsi="Verdana"/>
          <w:sz w:val="18"/>
          <w:szCs w:val="18"/>
          <w:lang w:eastAsia="nl-NL"/>
        </w:rPr>
        <w:t>bevestigend geantwoord.</w:t>
      </w:r>
      <w:r w:rsidR="006560AE">
        <w:rPr>
          <w:rFonts w:ascii="Verdana" w:eastAsia="Times New Roman" w:hAnsi="Verdana"/>
          <w:sz w:val="18"/>
          <w:szCs w:val="18"/>
          <w:lang w:eastAsia="nl-NL"/>
        </w:rPr>
        <w:t xml:space="preserve"> </w:t>
      </w:r>
      <w:r w:rsidR="00293CAB">
        <w:rPr>
          <w:rFonts w:ascii="Verdana" w:eastAsia="Times New Roman" w:hAnsi="Verdana"/>
          <w:sz w:val="18"/>
          <w:szCs w:val="18"/>
          <w:lang w:eastAsia="nl-NL"/>
        </w:rPr>
        <w:t>Vervolgens ke</w:t>
      </w:r>
      <w:r w:rsidR="000B57F7">
        <w:rPr>
          <w:rFonts w:ascii="Verdana" w:eastAsia="Times New Roman" w:hAnsi="Verdana"/>
          <w:sz w:val="18"/>
          <w:szCs w:val="18"/>
          <w:lang w:eastAsia="nl-NL"/>
        </w:rPr>
        <w:t>k</w:t>
      </w:r>
      <w:r w:rsidR="003C6B69">
        <w:rPr>
          <w:rFonts w:ascii="Verdana" w:eastAsia="Times New Roman" w:hAnsi="Verdana"/>
          <w:sz w:val="18"/>
          <w:szCs w:val="18"/>
          <w:lang w:eastAsia="nl-NL"/>
        </w:rPr>
        <w:t>en de rechtbanken en de gerechtshoven naar de strafoplegging, waarbij zij beiden toets</w:t>
      </w:r>
      <w:r w:rsidR="00293CAB">
        <w:rPr>
          <w:rFonts w:ascii="Verdana" w:eastAsia="Times New Roman" w:hAnsi="Verdana"/>
          <w:sz w:val="18"/>
          <w:szCs w:val="18"/>
          <w:lang w:eastAsia="nl-NL"/>
        </w:rPr>
        <w:t>t</w:t>
      </w:r>
      <w:r w:rsidR="003C6B69">
        <w:rPr>
          <w:rFonts w:ascii="Verdana" w:eastAsia="Times New Roman" w:hAnsi="Verdana"/>
          <w:sz w:val="18"/>
          <w:szCs w:val="18"/>
          <w:lang w:eastAsia="nl-NL"/>
        </w:rPr>
        <w:t xml:space="preserve">en of alle stappen van de terugkeerprocedure volledig </w:t>
      </w:r>
      <w:r w:rsidR="004E183E">
        <w:rPr>
          <w:rFonts w:ascii="Verdana" w:eastAsia="Times New Roman" w:hAnsi="Verdana"/>
          <w:sz w:val="18"/>
          <w:szCs w:val="18"/>
          <w:lang w:eastAsia="nl-NL"/>
        </w:rPr>
        <w:t>doorlopen zijn.</w:t>
      </w:r>
      <w:r w:rsidR="004E183E">
        <w:rPr>
          <w:rStyle w:val="Voetnootmarkering"/>
          <w:rFonts w:ascii="Verdana" w:eastAsia="Times New Roman" w:hAnsi="Verdana"/>
          <w:sz w:val="18"/>
          <w:szCs w:val="18"/>
          <w:lang w:eastAsia="nl-NL"/>
        </w:rPr>
        <w:footnoteReference w:id="132"/>
      </w:r>
      <w:r w:rsidR="00C168D9">
        <w:rPr>
          <w:rFonts w:ascii="Verdana" w:eastAsia="Times New Roman" w:hAnsi="Verdana"/>
          <w:sz w:val="18"/>
          <w:szCs w:val="18"/>
          <w:lang w:eastAsia="nl-NL"/>
        </w:rPr>
        <w:t xml:space="preserve"> De</w:t>
      </w:r>
      <w:r w:rsidR="00293CAB">
        <w:rPr>
          <w:rFonts w:ascii="Verdana" w:eastAsia="Times New Roman" w:hAnsi="Verdana"/>
          <w:sz w:val="18"/>
          <w:szCs w:val="18"/>
          <w:lang w:eastAsia="nl-NL"/>
        </w:rPr>
        <w:t xml:space="preserve"> rechtbank en het gerechtshof </w:t>
      </w:r>
      <w:r w:rsidR="00293CAB">
        <w:rPr>
          <w:rFonts w:ascii="Verdana" w:eastAsia="Times New Roman" w:hAnsi="Verdana"/>
          <w:sz w:val="18"/>
          <w:szCs w:val="18"/>
          <w:lang w:eastAsia="nl-NL"/>
        </w:rPr>
        <w:lastRenderedPageBreak/>
        <w:t>kwa</w:t>
      </w:r>
      <w:r w:rsidR="00C168D9">
        <w:rPr>
          <w:rFonts w:ascii="Verdana" w:eastAsia="Times New Roman" w:hAnsi="Verdana"/>
          <w:sz w:val="18"/>
          <w:szCs w:val="18"/>
          <w:lang w:eastAsia="nl-NL"/>
        </w:rPr>
        <w:t>men uiteindelijk in alle onderzochte uitspraken tot de concl</w:t>
      </w:r>
      <w:r w:rsidR="00293CAB">
        <w:rPr>
          <w:rFonts w:ascii="Verdana" w:eastAsia="Times New Roman" w:hAnsi="Verdana"/>
          <w:sz w:val="18"/>
          <w:szCs w:val="18"/>
          <w:lang w:eastAsia="nl-NL"/>
        </w:rPr>
        <w:t>usie dat de terugkeerprocedure was</w:t>
      </w:r>
      <w:r w:rsidR="00C168D9">
        <w:rPr>
          <w:rFonts w:ascii="Verdana" w:eastAsia="Times New Roman" w:hAnsi="Verdana"/>
          <w:sz w:val="18"/>
          <w:szCs w:val="18"/>
          <w:lang w:eastAsia="nl-NL"/>
        </w:rPr>
        <w:t xml:space="preserve"> doorlopen.</w:t>
      </w:r>
      <w:r w:rsidR="00477474">
        <w:rPr>
          <w:rFonts w:ascii="Verdana" w:eastAsia="Times New Roman" w:hAnsi="Verdana"/>
          <w:sz w:val="18"/>
          <w:szCs w:val="18"/>
          <w:lang w:eastAsia="nl-NL"/>
        </w:rPr>
        <w:t xml:space="preserve"> </w:t>
      </w:r>
    </w:p>
    <w:p w14:paraId="0B184945" w14:textId="77777777" w:rsidR="001F2E8C" w:rsidRDefault="001F2E8C" w:rsidP="00C8671D">
      <w:pPr>
        <w:spacing w:after="0" w:line="360" w:lineRule="auto"/>
        <w:jc w:val="both"/>
        <w:rPr>
          <w:rFonts w:ascii="Verdana" w:eastAsia="Times New Roman" w:hAnsi="Verdana"/>
          <w:sz w:val="18"/>
          <w:szCs w:val="18"/>
          <w:lang w:eastAsia="nl-NL"/>
        </w:rPr>
      </w:pPr>
    </w:p>
    <w:p w14:paraId="115B402E" w14:textId="1F1BD028" w:rsidR="00712DC5" w:rsidRDefault="006560AE" w:rsidP="00C8671D">
      <w:pPr>
        <w:spacing w:after="0" w:line="360" w:lineRule="auto"/>
        <w:jc w:val="both"/>
        <w:rPr>
          <w:rFonts w:ascii="Verdana" w:eastAsia="Times New Roman" w:hAnsi="Verdana"/>
          <w:sz w:val="18"/>
          <w:szCs w:val="18"/>
          <w:lang w:eastAsia="nl-NL"/>
        </w:rPr>
      </w:pPr>
      <w:r>
        <w:rPr>
          <w:rFonts w:ascii="Verdana" w:eastAsia="Times New Roman" w:hAnsi="Verdana"/>
          <w:sz w:val="18"/>
          <w:szCs w:val="18"/>
          <w:lang w:eastAsia="nl-NL"/>
        </w:rPr>
        <w:t xml:space="preserve">Opgemerkt wordt dat in de onderzochte uitspraken wel de vraag wordt gesteld of er ten tijde van </w:t>
      </w:r>
      <w:r w:rsidR="00293CAB">
        <w:rPr>
          <w:rFonts w:ascii="Verdana" w:eastAsia="Times New Roman" w:hAnsi="Verdana"/>
          <w:sz w:val="18"/>
          <w:szCs w:val="18"/>
          <w:lang w:eastAsia="nl-NL"/>
        </w:rPr>
        <w:t xml:space="preserve">de </w:t>
      </w:r>
      <w:r>
        <w:rPr>
          <w:rFonts w:ascii="Verdana" w:eastAsia="Times New Roman" w:hAnsi="Verdana"/>
          <w:sz w:val="18"/>
          <w:szCs w:val="18"/>
          <w:lang w:eastAsia="nl-NL"/>
        </w:rPr>
        <w:t xml:space="preserve">tenlastelegging een </w:t>
      </w:r>
      <w:r w:rsidR="00293CAB">
        <w:rPr>
          <w:rFonts w:ascii="Verdana" w:eastAsia="Times New Roman" w:hAnsi="Verdana"/>
          <w:sz w:val="18"/>
          <w:szCs w:val="18"/>
          <w:lang w:eastAsia="nl-NL"/>
        </w:rPr>
        <w:t xml:space="preserve">geldig </w:t>
      </w:r>
      <w:r>
        <w:rPr>
          <w:rFonts w:ascii="Verdana" w:eastAsia="Times New Roman" w:hAnsi="Verdana"/>
          <w:sz w:val="18"/>
          <w:szCs w:val="18"/>
          <w:lang w:eastAsia="nl-NL"/>
        </w:rPr>
        <w:t>inreisverbod</w:t>
      </w:r>
      <w:r w:rsidR="00293CAB">
        <w:rPr>
          <w:rFonts w:ascii="Verdana" w:eastAsia="Times New Roman" w:hAnsi="Verdana"/>
          <w:sz w:val="18"/>
          <w:szCs w:val="18"/>
          <w:lang w:eastAsia="nl-NL"/>
        </w:rPr>
        <w:t xml:space="preserve"> (of ongewenstverklaring) was.</w:t>
      </w:r>
      <w:r w:rsidR="007A6A48">
        <w:rPr>
          <w:rFonts w:ascii="Verdana" w:eastAsia="Times New Roman" w:hAnsi="Verdana"/>
          <w:sz w:val="18"/>
          <w:szCs w:val="18"/>
          <w:lang w:eastAsia="nl-NL"/>
        </w:rPr>
        <w:t xml:space="preserve"> Ter bean</w:t>
      </w:r>
      <w:r w:rsidR="00D13776">
        <w:rPr>
          <w:rFonts w:ascii="Verdana" w:eastAsia="Times New Roman" w:hAnsi="Verdana"/>
          <w:sz w:val="18"/>
          <w:szCs w:val="18"/>
          <w:lang w:eastAsia="nl-NL"/>
        </w:rPr>
        <w:t xml:space="preserve">twoording van deze vraag wordt </w:t>
      </w:r>
      <w:r w:rsidR="007A6A48">
        <w:rPr>
          <w:rFonts w:ascii="Verdana" w:eastAsia="Times New Roman" w:hAnsi="Verdana"/>
          <w:sz w:val="18"/>
          <w:szCs w:val="18"/>
          <w:lang w:eastAsia="nl-NL"/>
        </w:rPr>
        <w:t xml:space="preserve">slechts aangegeven per welke datum aan de verdachte een inreisverbod is uitgevaardigd en wanneer en waar </w:t>
      </w:r>
      <w:r w:rsidR="00D13776">
        <w:rPr>
          <w:rFonts w:ascii="Verdana" w:eastAsia="Times New Roman" w:hAnsi="Verdana"/>
          <w:sz w:val="18"/>
          <w:szCs w:val="18"/>
          <w:lang w:eastAsia="nl-NL"/>
        </w:rPr>
        <w:t>hij is aangehouden. De vraag die blijkens het Ouhrami arrest nog gesteld zou moeten worden, te weten of de vreemdeling Nederland reeds heeft verlaten, wordt echter niet bij deze beoordeling bet</w:t>
      </w:r>
      <w:r w:rsidR="00293CAB">
        <w:rPr>
          <w:rFonts w:ascii="Verdana" w:eastAsia="Times New Roman" w:hAnsi="Verdana"/>
          <w:sz w:val="18"/>
          <w:szCs w:val="18"/>
          <w:lang w:eastAsia="nl-NL"/>
        </w:rPr>
        <w:t>rokken.</w:t>
      </w:r>
    </w:p>
    <w:p w14:paraId="66A073C2" w14:textId="77777777" w:rsidR="00415D0D" w:rsidRDefault="00415D0D" w:rsidP="00712DC5">
      <w:pPr>
        <w:spacing w:after="0" w:line="360" w:lineRule="auto"/>
        <w:jc w:val="both"/>
        <w:rPr>
          <w:rFonts w:ascii="Verdana" w:eastAsia="Times New Roman" w:hAnsi="Verdana"/>
          <w:sz w:val="18"/>
          <w:szCs w:val="18"/>
          <w:lang w:eastAsia="nl-NL"/>
        </w:rPr>
      </w:pPr>
    </w:p>
    <w:p w14:paraId="6673DD78" w14:textId="19ECC454" w:rsidR="00E8515F" w:rsidRPr="00EA2291" w:rsidRDefault="00E8515F" w:rsidP="00E8515F">
      <w:pPr>
        <w:spacing w:line="360" w:lineRule="auto"/>
        <w:jc w:val="both"/>
        <w:rPr>
          <w:rFonts w:ascii="Verdana" w:eastAsia="Times New Roman" w:hAnsi="Verdana"/>
          <w:i/>
          <w:sz w:val="18"/>
          <w:szCs w:val="18"/>
          <w:lang w:eastAsia="nl-NL"/>
        </w:rPr>
      </w:pPr>
      <w:r>
        <w:rPr>
          <w:rFonts w:ascii="Verdana" w:eastAsia="Times New Roman" w:hAnsi="Verdana"/>
          <w:i/>
          <w:sz w:val="18"/>
          <w:szCs w:val="18"/>
          <w:lang w:eastAsia="nl-NL"/>
        </w:rPr>
        <w:t>3.2.1 Conclusie</w:t>
      </w:r>
    </w:p>
    <w:p w14:paraId="02B87353" w14:textId="77777777" w:rsidR="00111D40" w:rsidRDefault="00E8515F" w:rsidP="00E8515F">
      <w:pPr>
        <w:spacing w:after="0" w:line="360" w:lineRule="auto"/>
        <w:jc w:val="both"/>
        <w:rPr>
          <w:rFonts w:ascii="Verdana" w:eastAsia="Times New Roman" w:hAnsi="Verdana"/>
          <w:sz w:val="18"/>
          <w:szCs w:val="18"/>
          <w:lang w:eastAsia="nl-NL"/>
        </w:rPr>
      </w:pPr>
      <w:r>
        <w:rPr>
          <w:rFonts w:ascii="Verdana" w:eastAsia="Times New Roman" w:hAnsi="Verdana"/>
          <w:sz w:val="18"/>
          <w:szCs w:val="18"/>
          <w:lang w:eastAsia="nl-NL"/>
        </w:rPr>
        <w:t>Geconcludeerd kan worden dat</w:t>
      </w:r>
      <w:r w:rsidR="002138A4">
        <w:rPr>
          <w:rFonts w:ascii="Verdana" w:eastAsia="Times New Roman" w:hAnsi="Verdana"/>
          <w:sz w:val="18"/>
          <w:szCs w:val="18"/>
          <w:lang w:eastAsia="nl-NL"/>
        </w:rPr>
        <w:t xml:space="preserve"> </w:t>
      </w:r>
      <w:r w:rsidR="00F829E0">
        <w:rPr>
          <w:rFonts w:ascii="Verdana" w:eastAsia="Times New Roman" w:hAnsi="Verdana"/>
          <w:sz w:val="18"/>
          <w:szCs w:val="18"/>
          <w:lang w:eastAsia="nl-NL"/>
        </w:rPr>
        <w:t xml:space="preserve">blijkens de analyse </w:t>
      </w:r>
      <w:r w:rsidR="002138A4">
        <w:rPr>
          <w:rFonts w:ascii="Verdana" w:eastAsia="Times New Roman" w:hAnsi="Verdana"/>
          <w:sz w:val="18"/>
          <w:szCs w:val="18"/>
          <w:lang w:eastAsia="nl-NL"/>
        </w:rPr>
        <w:t xml:space="preserve">de </w:t>
      </w:r>
      <w:r w:rsidR="00A45008">
        <w:rPr>
          <w:rFonts w:ascii="Verdana" w:eastAsia="Times New Roman" w:hAnsi="Verdana"/>
          <w:sz w:val="18"/>
          <w:szCs w:val="18"/>
          <w:lang w:eastAsia="nl-NL"/>
        </w:rPr>
        <w:t>veroordelingen</w:t>
      </w:r>
      <w:r w:rsidR="00F829E0">
        <w:rPr>
          <w:rFonts w:ascii="Verdana" w:eastAsia="Times New Roman" w:hAnsi="Verdana"/>
          <w:sz w:val="18"/>
          <w:szCs w:val="18"/>
          <w:lang w:eastAsia="nl-NL"/>
        </w:rPr>
        <w:t xml:space="preserve"> op grond van artikel 197 Sr, van zowel de rechtbanken als de gerechtshoven, niet in lijn zijn met het Ouhrami arrest.</w:t>
      </w:r>
      <w:r w:rsidR="004C7644">
        <w:rPr>
          <w:rFonts w:ascii="Verdana" w:eastAsia="Times New Roman" w:hAnsi="Verdana"/>
          <w:sz w:val="18"/>
          <w:szCs w:val="18"/>
          <w:lang w:eastAsia="nl-NL"/>
        </w:rPr>
        <w:t xml:space="preserve"> In het grootste gedeelte van de uitspraken had de vreemdeling Nederland </w:t>
      </w:r>
      <w:r w:rsidR="00CC6C19">
        <w:rPr>
          <w:rFonts w:ascii="Verdana" w:eastAsia="Times New Roman" w:hAnsi="Verdana"/>
          <w:sz w:val="18"/>
          <w:szCs w:val="18"/>
          <w:lang w:eastAsia="nl-NL"/>
        </w:rPr>
        <w:t xml:space="preserve">op het moment van de veroordeling </w:t>
      </w:r>
      <w:r w:rsidR="004C7644">
        <w:rPr>
          <w:rFonts w:ascii="Verdana" w:eastAsia="Times New Roman" w:hAnsi="Verdana"/>
          <w:sz w:val="18"/>
          <w:szCs w:val="18"/>
          <w:lang w:eastAsia="nl-NL"/>
        </w:rPr>
        <w:t>namelijk nog niet verlaten</w:t>
      </w:r>
      <w:r w:rsidR="00CC6C19">
        <w:rPr>
          <w:rFonts w:ascii="Verdana" w:eastAsia="Times New Roman" w:hAnsi="Verdana"/>
          <w:sz w:val="18"/>
          <w:szCs w:val="18"/>
          <w:lang w:eastAsia="nl-NL"/>
        </w:rPr>
        <w:t>.</w:t>
      </w:r>
      <w:r w:rsidR="00F81960">
        <w:rPr>
          <w:rFonts w:ascii="Verdana" w:eastAsia="Times New Roman" w:hAnsi="Verdana"/>
          <w:sz w:val="18"/>
          <w:szCs w:val="18"/>
          <w:lang w:eastAsia="nl-NL"/>
        </w:rPr>
        <w:t xml:space="preserve"> Toch werden deze vreemdelingen veroordeeld tot een </w:t>
      </w:r>
      <w:r w:rsidR="00313CD5">
        <w:rPr>
          <w:rFonts w:ascii="Verdana" w:eastAsia="Times New Roman" w:hAnsi="Verdana"/>
          <w:sz w:val="18"/>
          <w:szCs w:val="18"/>
          <w:lang w:eastAsia="nl-NL"/>
        </w:rPr>
        <w:t>gevangenisstraf, hetgeen blijkens de uitleg van het HvJEU in het Ouhrami arrest in str</w:t>
      </w:r>
      <w:r w:rsidR="00111D40">
        <w:rPr>
          <w:rFonts w:ascii="Verdana" w:eastAsia="Times New Roman" w:hAnsi="Verdana"/>
          <w:sz w:val="18"/>
          <w:szCs w:val="18"/>
          <w:lang w:eastAsia="nl-NL"/>
        </w:rPr>
        <w:t>ijd is met de Terugkeerrichtlijn nu er geen adequate wettelijke grondslag is voor de veroordeling</w:t>
      </w:r>
      <w:r w:rsidR="00313CD5">
        <w:rPr>
          <w:rFonts w:ascii="Verdana" w:eastAsia="Times New Roman" w:hAnsi="Verdana"/>
          <w:sz w:val="18"/>
          <w:szCs w:val="18"/>
          <w:lang w:eastAsia="nl-NL"/>
        </w:rPr>
        <w:t>.</w:t>
      </w:r>
      <w:r w:rsidR="00111D40">
        <w:rPr>
          <w:rFonts w:ascii="Verdana" w:eastAsia="Times New Roman" w:hAnsi="Verdana"/>
          <w:sz w:val="18"/>
          <w:szCs w:val="18"/>
          <w:lang w:eastAsia="nl-NL"/>
        </w:rPr>
        <w:t xml:space="preserve"> Het feit dat de Terugkeerprocedure in deze zaken als doorlopen kon worden beschouwd, doet hier niet aan af.</w:t>
      </w:r>
      <w:r w:rsidR="00D8334D">
        <w:rPr>
          <w:rFonts w:ascii="Verdana" w:eastAsia="Times New Roman" w:hAnsi="Verdana"/>
          <w:sz w:val="18"/>
          <w:szCs w:val="18"/>
          <w:lang w:eastAsia="nl-NL"/>
        </w:rPr>
        <w:t xml:space="preserve"> </w:t>
      </w:r>
    </w:p>
    <w:p w14:paraId="4B125596" w14:textId="77777777" w:rsidR="00111D40" w:rsidRDefault="00111D40" w:rsidP="00E8515F">
      <w:pPr>
        <w:spacing w:after="0" w:line="360" w:lineRule="auto"/>
        <w:jc w:val="both"/>
        <w:rPr>
          <w:rFonts w:ascii="Verdana" w:eastAsia="Times New Roman" w:hAnsi="Verdana"/>
          <w:sz w:val="18"/>
          <w:szCs w:val="18"/>
          <w:lang w:eastAsia="nl-NL"/>
        </w:rPr>
      </w:pPr>
    </w:p>
    <w:p w14:paraId="078FB5A2" w14:textId="6AD6791D" w:rsidR="00E94C8F" w:rsidRDefault="00D8334D" w:rsidP="00EA2291">
      <w:pPr>
        <w:spacing w:after="0" w:line="360" w:lineRule="auto"/>
        <w:jc w:val="both"/>
        <w:rPr>
          <w:rFonts w:ascii="Verdana" w:eastAsia="Times New Roman" w:hAnsi="Verdana"/>
          <w:sz w:val="18"/>
          <w:szCs w:val="18"/>
          <w:lang w:eastAsia="nl-NL"/>
        </w:rPr>
      </w:pPr>
      <w:r>
        <w:rPr>
          <w:rFonts w:ascii="Verdana" w:eastAsia="Times New Roman" w:hAnsi="Verdana"/>
          <w:sz w:val="18"/>
          <w:szCs w:val="18"/>
          <w:lang w:eastAsia="nl-NL"/>
        </w:rPr>
        <w:t xml:space="preserve">Voorts kan worden geconcludeerd dat </w:t>
      </w:r>
      <w:r w:rsidR="00D72A12">
        <w:rPr>
          <w:rFonts w:ascii="Verdana" w:eastAsia="Times New Roman" w:hAnsi="Verdana"/>
          <w:sz w:val="18"/>
          <w:szCs w:val="18"/>
          <w:lang w:eastAsia="nl-NL"/>
        </w:rPr>
        <w:t>de veroordeling</w:t>
      </w:r>
      <w:r w:rsidR="005F02C7">
        <w:rPr>
          <w:rFonts w:ascii="Verdana" w:eastAsia="Times New Roman" w:hAnsi="Verdana"/>
          <w:sz w:val="18"/>
          <w:szCs w:val="18"/>
          <w:lang w:eastAsia="nl-NL"/>
        </w:rPr>
        <w:t>en</w:t>
      </w:r>
      <w:r w:rsidR="00D72A12">
        <w:rPr>
          <w:rFonts w:ascii="Verdana" w:eastAsia="Times New Roman" w:hAnsi="Verdana"/>
          <w:sz w:val="18"/>
          <w:szCs w:val="18"/>
          <w:lang w:eastAsia="nl-NL"/>
        </w:rPr>
        <w:t xml:space="preserve"> in t</w:t>
      </w:r>
      <w:r w:rsidR="005F02C7">
        <w:rPr>
          <w:rFonts w:ascii="Verdana" w:eastAsia="Times New Roman" w:hAnsi="Verdana"/>
          <w:sz w:val="18"/>
          <w:szCs w:val="18"/>
          <w:lang w:eastAsia="nl-NL"/>
        </w:rPr>
        <w:t>wee zaken per toeval in lijn waren</w:t>
      </w:r>
      <w:r w:rsidR="00D72A12">
        <w:rPr>
          <w:rFonts w:ascii="Verdana" w:eastAsia="Times New Roman" w:hAnsi="Verdana"/>
          <w:sz w:val="18"/>
          <w:szCs w:val="18"/>
          <w:lang w:eastAsia="nl-NL"/>
        </w:rPr>
        <w:t xml:space="preserve"> met het Ouhrami arrest. </w:t>
      </w:r>
      <w:r w:rsidR="003C235E">
        <w:rPr>
          <w:rFonts w:ascii="Verdana" w:eastAsia="Times New Roman" w:hAnsi="Verdana"/>
          <w:sz w:val="18"/>
          <w:szCs w:val="18"/>
          <w:lang w:eastAsia="nl-NL"/>
        </w:rPr>
        <w:t xml:space="preserve">Het gerechtshof heeft in deze zaken namelijk niet bewust getoetst of de vreemdeling </w:t>
      </w:r>
      <w:r w:rsidR="008D58F0">
        <w:rPr>
          <w:rFonts w:ascii="Verdana" w:eastAsia="Times New Roman" w:hAnsi="Verdana"/>
          <w:sz w:val="18"/>
          <w:szCs w:val="18"/>
          <w:lang w:eastAsia="nl-NL"/>
        </w:rPr>
        <w:t>Nederland reeds had verlaten.</w:t>
      </w:r>
      <w:r w:rsidR="00487F8B">
        <w:rPr>
          <w:rFonts w:ascii="Verdana" w:eastAsia="Times New Roman" w:hAnsi="Verdana"/>
          <w:sz w:val="18"/>
          <w:szCs w:val="18"/>
          <w:lang w:eastAsia="nl-NL"/>
        </w:rPr>
        <w:t xml:space="preserve"> </w:t>
      </w:r>
      <w:r w:rsidR="00955553">
        <w:rPr>
          <w:rFonts w:ascii="Verdana" w:eastAsia="Times New Roman" w:hAnsi="Verdana"/>
          <w:sz w:val="18"/>
          <w:szCs w:val="18"/>
          <w:lang w:eastAsia="nl-NL"/>
        </w:rPr>
        <w:t>Daarnaast kan</w:t>
      </w:r>
      <w:r w:rsidR="001B45C2">
        <w:rPr>
          <w:rFonts w:ascii="Verdana" w:eastAsia="Times New Roman" w:hAnsi="Verdana"/>
          <w:sz w:val="18"/>
          <w:szCs w:val="18"/>
          <w:lang w:eastAsia="nl-NL"/>
        </w:rPr>
        <w:t xml:space="preserve"> </w:t>
      </w:r>
      <w:r w:rsidR="0008635E">
        <w:rPr>
          <w:rFonts w:ascii="Verdana" w:eastAsia="Times New Roman" w:hAnsi="Verdana"/>
          <w:sz w:val="18"/>
          <w:szCs w:val="18"/>
          <w:lang w:eastAsia="nl-NL"/>
        </w:rPr>
        <w:t>de conclusie worden getrokken</w:t>
      </w:r>
      <w:r w:rsidR="001B45C2">
        <w:rPr>
          <w:rFonts w:ascii="Verdana" w:eastAsia="Times New Roman" w:hAnsi="Verdana"/>
          <w:sz w:val="18"/>
          <w:szCs w:val="18"/>
          <w:lang w:eastAsia="nl-NL"/>
        </w:rPr>
        <w:t xml:space="preserve"> dat de enkele zaak waar het inreisverbod blijkens het Ouhrami arrest ook n</w:t>
      </w:r>
      <w:r w:rsidR="000559F9">
        <w:rPr>
          <w:rFonts w:ascii="Verdana" w:eastAsia="Times New Roman" w:hAnsi="Verdana"/>
          <w:sz w:val="18"/>
          <w:szCs w:val="18"/>
          <w:lang w:eastAsia="nl-NL"/>
        </w:rPr>
        <w:t xml:space="preserve">og niet in werking was getreden, maar waar door </w:t>
      </w:r>
      <w:r w:rsidR="005D5B73">
        <w:rPr>
          <w:rFonts w:ascii="Verdana" w:eastAsia="Times New Roman" w:hAnsi="Verdana"/>
          <w:sz w:val="18"/>
          <w:szCs w:val="18"/>
          <w:lang w:eastAsia="nl-NL"/>
        </w:rPr>
        <w:t>het gerechtshof geen gevangenisstraf werd opgelegd, eveneens niet in lijn is met het Ouhrami arrest.</w:t>
      </w:r>
      <w:r w:rsidR="0088741E">
        <w:rPr>
          <w:rFonts w:ascii="Verdana" w:eastAsia="Times New Roman" w:hAnsi="Verdana"/>
          <w:sz w:val="18"/>
          <w:szCs w:val="18"/>
          <w:lang w:eastAsia="nl-NL"/>
        </w:rPr>
        <w:t xml:space="preserve"> D</w:t>
      </w:r>
      <w:r w:rsidR="00FE69D1">
        <w:rPr>
          <w:rFonts w:ascii="Verdana" w:eastAsia="Times New Roman" w:hAnsi="Verdana"/>
          <w:sz w:val="18"/>
          <w:szCs w:val="18"/>
          <w:lang w:eastAsia="nl-NL"/>
        </w:rPr>
        <w:t>e</w:t>
      </w:r>
      <w:r w:rsidR="00111D40">
        <w:rPr>
          <w:rFonts w:ascii="Verdana" w:eastAsia="Times New Roman" w:hAnsi="Verdana"/>
          <w:sz w:val="18"/>
          <w:szCs w:val="18"/>
          <w:lang w:eastAsia="nl-NL"/>
        </w:rPr>
        <w:t>ze</w:t>
      </w:r>
      <w:r w:rsidR="00FE69D1">
        <w:rPr>
          <w:rFonts w:ascii="Verdana" w:eastAsia="Times New Roman" w:hAnsi="Verdana"/>
          <w:sz w:val="18"/>
          <w:szCs w:val="18"/>
          <w:lang w:eastAsia="nl-NL"/>
        </w:rPr>
        <w:t xml:space="preserve"> vreemdeling </w:t>
      </w:r>
      <w:r w:rsidR="00111D40">
        <w:rPr>
          <w:rFonts w:ascii="Verdana" w:eastAsia="Times New Roman" w:hAnsi="Verdana"/>
          <w:sz w:val="18"/>
          <w:szCs w:val="18"/>
          <w:lang w:eastAsia="nl-NL"/>
        </w:rPr>
        <w:t xml:space="preserve">had Nederland immers nog niet verlaten, waardoor ook voor deze vervolging adequate wettelijke grondslag ontbrak. </w:t>
      </w:r>
    </w:p>
    <w:p w14:paraId="694D6F1D" w14:textId="77777777" w:rsidR="00894E79" w:rsidRDefault="00894E79">
      <w:pPr>
        <w:spacing w:after="0" w:line="240" w:lineRule="auto"/>
        <w:rPr>
          <w:rFonts w:ascii="Verdana" w:eastAsia="Times New Roman" w:hAnsi="Verdana"/>
          <w:b/>
          <w:sz w:val="18"/>
          <w:szCs w:val="18"/>
          <w:lang w:eastAsia="nl-NL"/>
        </w:rPr>
      </w:pPr>
      <w:r>
        <w:rPr>
          <w:rFonts w:ascii="Verdana" w:eastAsia="Times New Roman" w:hAnsi="Verdana"/>
          <w:b/>
          <w:sz w:val="18"/>
          <w:szCs w:val="18"/>
          <w:lang w:eastAsia="nl-NL"/>
        </w:rPr>
        <w:br w:type="page"/>
      </w:r>
    </w:p>
    <w:p w14:paraId="799DDBF3" w14:textId="12C66A34" w:rsidR="00027D14" w:rsidRPr="00E94C8F" w:rsidRDefault="002F4A66" w:rsidP="00EA2291">
      <w:pPr>
        <w:spacing w:after="0" w:line="360" w:lineRule="auto"/>
        <w:jc w:val="both"/>
        <w:rPr>
          <w:rFonts w:ascii="Verdana" w:eastAsia="Times New Roman" w:hAnsi="Verdana"/>
          <w:sz w:val="18"/>
          <w:szCs w:val="18"/>
          <w:lang w:eastAsia="nl-NL"/>
        </w:rPr>
      </w:pPr>
      <w:r>
        <w:rPr>
          <w:rFonts w:ascii="Verdana" w:eastAsia="Times New Roman" w:hAnsi="Verdana"/>
          <w:b/>
          <w:sz w:val="18"/>
          <w:szCs w:val="18"/>
          <w:lang w:eastAsia="nl-NL"/>
        </w:rPr>
        <w:lastRenderedPageBreak/>
        <w:t>Hoofstuk 4</w:t>
      </w:r>
    </w:p>
    <w:p w14:paraId="092B034C" w14:textId="77777777" w:rsidR="008E6A7C" w:rsidRDefault="008E6A7C" w:rsidP="00EA2291">
      <w:pPr>
        <w:spacing w:after="0" w:line="360" w:lineRule="auto"/>
        <w:jc w:val="both"/>
        <w:rPr>
          <w:rFonts w:ascii="Verdana" w:eastAsia="Times New Roman" w:hAnsi="Verdana"/>
          <w:sz w:val="18"/>
          <w:szCs w:val="18"/>
          <w:lang w:eastAsia="nl-NL"/>
        </w:rPr>
      </w:pPr>
    </w:p>
    <w:p w14:paraId="07C5E90C" w14:textId="5CB4CC7E" w:rsidR="00D2389F" w:rsidRPr="00D2389F" w:rsidRDefault="00D2389F" w:rsidP="00D2389F">
      <w:pPr>
        <w:pBdr>
          <w:bottom w:val="single" w:sz="4" w:space="1" w:color="auto"/>
        </w:pBdr>
        <w:spacing w:after="0" w:line="360" w:lineRule="auto"/>
        <w:jc w:val="both"/>
        <w:rPr>
          <w:rFonts w:ascii="Verdana" w:eastAsia="Times New Roman" w:hAnsi="Verdana"/>
          <w:i/>
          <w:sz w:val="18"/>
          <w:szCs w:val="18"/>
          <w:lang w:eastAsia="nl-NL"/>
        </w:rPr>
      </w:pPr>
      <w:r w:rsidRPr="00D2389F">
        <w:rPr>
          <w:rFonts w:ascii="Verdana" w:eastAsia="Times New Roman" w:hAnsi="Verdana"/>
          <w:i/>
          <w:sz w:val="18"/>
          <w:szCs w:val="18"/>
          <w:lang w:eastAsia="nl-NL"/>
        </w:rPr>
        <w:t xml:space="preserve">4.1 </w:t>
      </w:r>
      <w:r w:rsidR="00390B53">
        <w:rPr>
          <w:rFonts w:ascii="Verdana" w:eastAsia="Times New Roman" w:hAnsi="Verdana"/>
          <w:i/>
          <w:sz w:val="18"/>
          <w:szCs w:val="18"/>
          <w:lang w:eastAsia="nl-NL"/>
        </w:rPr>
        <w:t>Conclusies</w:t>
      </w:r>
    </w:p>
    <w:p w14:paraId="26F0DB8C" w14:textId="77777777" w:rsidR="00D2389F" w:rsidRDefault="00D2389F" w:rsidP="00EA2291">
      <w:pPr>
        <w:spacing w:after="0" w:line="360" w:lineRule="auto"/>
        <w:jc w:val="both"/>
        <w:rPr>
          <w:rFonts w:ascii="Verdana" w:eastAsia="Times New Roman" w:hAnsi="Verdana"/>
          <w:sz w:val="18"/>
          <w:szCs w:val="18"/>
          <w:lang w:eastAsia="nl-NL"/>
        </w:rPr>
      </w:pPr>
    </w:p>
    <w:p w14:paraId="344E4C92" w14:textId="15C57858" w:rsidR="00013F0E" w:rsidRDefault="001202D8" w:rsidP="001202D8">
      <w:pPr>
        <w:spacing w:after="0" w:line="360" w:lineRule="auto"/>
        <w:jc w:val="both"/>
        <w:rPr>
          <w:rFonts w:ascii="Verdana" w:eastAsia="Times New Roman" w:hAnsi="Verdana"/>
          <w:sz w:val="18"/>
          <w:szCs w:val="18"/>
          <w:lang w:eastAsia="nl-NL"/>
        </w:rPr>
      </w:pPr>
      <w:r>
        <w:rPr>
          <w:rFonts w:ascii="Verdana" w:eastAsia="Times New Roman" w:hAnsi="Verdana"/>
          <w:sz w:val="18"/>
          <w:szCs w:val="18"/>
          <w:lang w:eastAsia="nl-NL"/>
        </w:rPr>
        <w:t>De zeven deelvragen zijn in de voorgaand</w:t>
      </w:r>
      <w:r w:rsidR="00A24D85">
        <w:rPr>
          <w:rFonts w:ascii="Verdana" w:eastAsia="Times New Roman" w:hAnsi="Verdana"/>
          <w:sz w:val="18"/>
          <w:szCs w:val="18"/>
          <w:lang w:eastAsia="nl-NL"/>
        </w:rPr>
        <w:t xml:space="preserve">e hoofstukken reeds beantwoord. </w:t>
      </w:r>
      <w:r>
        <w:rPr>
          <w:rFonts w:ascii="Verdana" w:eastAsia="Times New Roman" w:hAnsi="Verdana"/>
          <w:sz w:val="18"/>
          <w:szCs w:val="18"/>
          <w:lang w:eastAsia="nl-NL"/>
        </w:rPr>
        <w:t>In dit hoofdstuk</w:t>
      </w:r>
      <w:r w:rsidR="00013F0E">
        <w:rPr>
          <w:rFonts w:ascii="Verdana" w:eastAsia="Times New Roman" w:hAnsi="Verdana"/>
          <w:sz w:val="18"/>
          <w:szCs w:val="18"/>
          <w:lang w:eastAsia="nl-NL"/>
        </w:rPr>
        <w:t xml:space="preserve"> wordt </w:t>
      </w:r>
      <w:r w:rsidR="00B96C43">
        <w:rPr>
          <w:rFonts w:ascii="Verdana" w:eastAsia="Times New Roman" w:hAnsi="Verdana"/>
          <w:sz w:val="18"/>
          <w:szCs w:val="18"/>
          <w:lang w:eastAsia="nl-NL"/>
        </w:rPr>
        <w:t>aan de hand van alle resultaten van dit onderzoek een advies g</w:t>
      </w:r>
      <w:r w:rsidR="00807DD1">
        <w:rPr>
          <w:rFonts w:ascii="Verdana" w:eastAsia="Times New Roman" w:hAnsi="Verdana"/>
          <w:sz w:val="18"/>
          <w:szCs w:val="18"/>
          <w:lang w:eastAsia="nl-NL"/>
        </w:rPr>
        <w:t xml:space="preserve">egeven bij wijze van conclusies, met betrekking </w:t>
      </w:r>
      <w:r w:rsidR="00013F0E">
        <w:rPr>
          <w:rFonts w:ascii="Verdana" w:eastAsia="Times New Roman" w:hAnsi="Verdana"/>
          <w:sz w:val="18"/>
          <w:szCs w:val="18"/>
          <w:lang w:eastAsia="nl-NL"/>
        </w:rPr>
        <w:t>tot de gronden die</w:t>
      </w:r>
      <w:r w:rsidR="00390B53">
        <w:rPr>
          <w:rFonts w:ascii="Verdana" w:eastAsia="Times New Roman" w:hAnsi="Verdana"/>
          <w:sz w:val="18"/>
          <w:szCs w:val="18"/>
          <w:lang w:eastAsia="nl-NL"/>
        </w:rPr>
        <w:t xml:space="preserve"> in zowel vreemdelingen- als strafprocedures</w:t>
      </w:r>
      <w:r w:rsidR="00013F0E">
        <w:rPr>
          <w:rFonts w:ascii="Verdana" w:eastAsia="Times New Roman" w:hAnsi="Verdana"/>
          <w:sz w:val="18"/>
          <w:szCs w:val="18"/>
          <w:lang w:eastAsia="nl-NL"/>
        </w:rPr>
        <w:t xml:space="preserve"> aangevoerd kunnen </w:t>
      </w:r>
      <w:r w:rsidR="00C62DB6">
        <w:rPr>
          <w:rFonts w:ascii="Verdana" w:eastAsia="Times New Roman" w:hAnsi="Verdana"/>
          <w:sz w:val="18"/>
          <w:szCs w:val="18"/>
          <w:lang w:eastAsia="nl-NL"/>
        </w:rPr>
        <w:t xml:space="preserve">worden </w:t>
      </w:r>
      <w:r w:rsidR="00013F0E">
        <w:rPr>
          <w:rFonts w:ascii="Verdana" w:eastAsia="Times New Roman" w:hAnsi="Verdana"/>
          <w:sz w:val="18"/>
          <w:szCs w:val="18"/>
          <w:lang w:eastAsia="nl-NL"/>
        </w:rPr>
        <w:t>naar aanleiding van het Ouhrami arrest.</w:t>
      </w:r>
      <w:r w:rsidR="00390B53">
        <w:rPr>
          <w:rFonts w:ascii="Verdana" w:eastAsia="Times New Roman" w:hAnsi="Verdana"/>
          <w:sz w:val="18"/>
          <w:szCs w:val="18"/>
          <w:lang w:eastAsia="nl-NL"/>
        </w:rPr>
        <w:t xml:space="preserve"> Hiermee wordt antwoord gegeven op de volgende centrale onderzoeksvraag:</w:t>
      </w:r>
    </w:p>
    <w:p w14:paraId="7DFC504F" w14:textId="77777777" w:rsidR="00390B53" w:rsidRDefault="00390B53" w:rsidP="00B4476E">
      <w:pPr>
        <w:spacing w:after="0" w:line="360" w:lineRule="auto"/>
        <w:jc w:val="both"/>
        <w:rPr>
          <w:rFonts w:ascii="Verdana" w:eastAsia="Times New Roman" w:hAnsi="Verdana"/>
          <w:sz w:val="18"/>
          <w:szCs w:val="18"/>
          <w:lang w:eastAsia="nl-NL"/>
        </w:rPr>
      </w:pPr>
    </w:p>
    <w:p w14:paraId="1796ABF8" w14:textId="1A08EF40" w:rsidR="001202D8" w:rsidRDefault="001202D8" w:rsidP="00B4476E">
      <w:pPr>
        <w:spacing w:after="0" w:line="360" w:lineRule="auto"/>
        <w:jc w:val="both"/>
        <w:rPr>
          <w:rFonts w:ascii="Verdana" w:eastAsia="Times New Roman" w:hAnsi="Verdana"/>
          <w:i/>
          <w:sz w:val="18"/>
          <w:szCs w:val="18"/>
          <w:lang w:eastAsia="nl-NL"/>
        </w:rPr>
      </w:pPr>
      <w:r w:rsidRPr="00BB74D6">
        <w:rPr>
          <w:rFonts w:ascii="Verdana" w:eastAsia="Times New Roman" w:hAnsi="Verdana"/>
          <w:i/>
          <w:sz w:val="18"/>
          <w:szCs w:val="18"/>
          <w:lang w:eastAsia="nl-NL"/>
        </w:rPr>
        <w:t xml:space="preserve">‘‘Welk advies kan aan SVK-advocaten worden verschaft, middels wetsanalyse, dossier-, jurisprudentie- en literatuuronderzoek, met betrekking tot de gronden die naar aanleiding van het Ouhrami arrest aangevoerd kunnen worden in zowel vreemdelingen- als strafzaken, teneinde een positieve uitkomst te bewerkstelligen, namelijk dat de intrekking, niet-verlenging of weigering van de verblijfsvergunning </w:t>
      </w:r>
      <w:r w:rsidR="00D96FDE">
        <w:rPr>
          <w:rFonts w:ascii="Verdana" w:eastAsia="Times New Roman" w:hAnsi="Verdana"/>
          <w:i/>
          <w:sz w:val="18"/>
          <w:szCs w:val="18"/>
          <w:lang w:eastAsia="nl-NL"/>
        </w:rPr>
        <w:t xml:space="preserve">in openbare-orde zaken </w:t>
      </w:r>
      <w:r w:rsidRPr="00BB74D6">
        <w:rPr>
          <w:rFonts w:ascii="Verdana" w:eastAsia="Times New Roman" w:hAnsi="Verdana"/>
          <w:i/>
          <w:sz w:val="18"/>
          <w:szCs w:val="18"/>
          <w:lang w:eastAsia="nl-NL"/>
        </w:rPr>
        <w:t>samen met het terugkeerbesluit</w:t>
      </w:r>
      <w:r>
        <w:rPr>
          <w:rFonts w:ascii="Verdana" w:eastAsia="Times New Roman" w:hAnsi="Verdana"/>
          <w:i/>
          <w:sz w:val="18"/>
          <w:szCs w:val="18"/>
          <w:lang w:eastAsia="nl-NL"/>
        </w:rPr>
        <w:t xml:space="preserve"> in beroep</w:t>
      </w:r>
      <w:r w:rsidRPr="00BB74D6">
        <w:rPr>
          <w:rFonts w:ascii="Verdana" w:eastAsia="Times New Roman" w:hAnsi="Verdana"/>
          <w:i/>
          <w:sz w:val="18"/>
          <w:szCs w:val="18"/>
          <w:lang w:eastAsia="nl-NL"/>
        </w:rPr>
        <w:t xml:space="preserve"> vol </w:t>
      </w:r>
      <w:r>
        <w:rPr>
          <w:rFonts w:ascii="Verdana" w:eastAsia="Times New Roman" w:hAnsi="Verdana"/>
          <w:i/>
          <w:sz w:val="18"/>
          <w:szCs w:val="18"/>
          <w:lang w:eastAsia="nl-NL"/>
        </w:rPr>
        <w:t>wordt getoetst en dat</w:t>
      </w:r>
      <w:r w:rsidR="00B4476E">
        <w:rPr>
          <w:rFonts w:ascii="Verdana" w:eastAsia="Times New Roman" w:hAnsi="Verdana"/>
          <w:i/>
          <w:sz w:val="18"/>
          <w:szCs w:val="18"/>
          <w:lang w:eastAsia="nl-NL"/>
        </w:rPr>
        <w:t xml:space="preserve"> in strafzaken</w:t>
      </w:r>
      <w:r>
        <w:rPr>
          <w:rFonts w:ascii="Verdana" w:eastAsia="Times New Roman" w:hAnsi="Verdana"/>
          <w:i/>
          <w:sz w:val="18"/>
          <w:szCs w:val="18"/>
          <w:lang w:eastAsia="nl-NL"/>
        </w:rPr>
        <w:t xml:space="preserve"> een veroordeling voor</w:t>
      </w:r>
      <w:r w:rsidRPr="00BB74D6">
        <w:rPr>
          <w:rFonts w:ascii="Verdana" w:eastAsia="Times New Roman" w:hAnsi="Verdana"/>
          <w:i/>
          <w:sz w:val="18"/>
          <w:szCs w:val="18"/>
          <w:lang w:eastAsia="nl-NL"/>
        </w:rPr>
        <w:t xml:space="preserve"> artikel 197 Sr achterwege blijft?’’</w:t>
      </w:r>
    </w:p>
    <w:p w14:paraId="26A588E7" w14:textId="77777777" w:rsidR="00997127" w:rsidRDefault="00997127" w:rsidP="001202D8">
      <w:pPr>
        <w:spacing w:after="0" w:line="360" w:lineRule="auto"/>
        <w:jc w:val="both"/>
        <w:rPr>
          <w:rFonts w:ascii="Verdana" w:eastAsia="Times New Roman" w:hAnsi="Verdana"/>
          <w:i/>
          <w:sz w:val="18"/>
          <w:szCs w:val="18"/>
          <w:lang w:eastAsia="nl-NL"/>
        </w:rPr>
      </w:pPr>
    </w:p>
    <w:p w14:paraId="3932522E" w14:textId="6B4B2405" w:rsidR="00A7560D" w:rsidRDefault="00A7560D" w:rsidP="00A7560D">
      <w:pPr>
        <w:spacing w:line="360" w:lineRule="auto"/>
        <w:jc w:val="both"/>
        <w:rPr>
          <w:rFonts w:ascii="Verdana" w:eastAsia="Times New Roman" w:hAnsi="Verdana"/>
          <w:i/>
          <w:sz w:val="18"/>
          <w:szCs w:val="18"/>
          <w:lang w:eastAsia="nl-NL"/>
        </w:rPr>
      </w:pPr>
      <w:r>
        <w:rPr>
          <w:rFonts w:ascii="Verdana" w:eastAsia="Times New Roman" w:hAnsi="Verdana"/>
          <w:i/>
          <w:sz w:val="18"/>
          <w:szCs w:val="18"/>
          <w:lang w:eastAsia="nl-NL"/>
        </w:rPr>
        <w:t xml:space="preserve">4.1.1 </w:t>
      </w:r>
      <w:r w:rsidR="00390B53">
        <w:rPr>
          <w:rFonts w:ascii="Verdana" w:eastAsia="Times New Roman" w:hAnsi="Verdana"/>
          <w:i/>
          <w:sz w:val="18"/>
          <w:szCs w:val="18"/>
          <w:lang w:eastAsia="nl-NL"/>
        </w:rPr>
        <w:t>Advies v</w:t>
      </w:r>
      <w:r>
        <w:rPr>
          <w:rFonts w:ascii="Verdana" w:eastAsia="Times New Roman" w:hAnsi="Verdana"/>
          <w:i/>
          <w:sz w:val="18"/>
          <w:szCs w:val="18"/>
          <w:lang w:eastAsia="nl-NL"/>
        </w:rPr>
        <w:t>reemdelingenzaken</w:t>
      </w:r>
    </w:p>
    <w:p w14:paraId="772E86CB" w14:textId="5827A32B" w:rsidR="00EA4CC9" w:rsidRDefault="00553BED" w:rsidP="00A7560D">
      <w:pPr>
        <w:spacing w:line="360" w:lineRule="auto"/>
        <w:jc w:val="both"/>
        <w:rPr>
          <w:rFonts w:ascii="Verdana" w:eastAsia="Times New Roman" w:hAnsi="Verdana"/>
          <w:sz w:val="18"/>
          <w:szCs w:val="18"/>
          <w:lang w:eastAsia="nl-NL"/>
        </w:rPr>
      </w:pPr>
      <w:r>
        <w:rPr>
          <w:rFonts w:ascii="Verdana" w:eastAsia="Times New Roman" w:hAnsi="Verdana"/>
          <w:sz w:val="18"/>
          <w:szCs w:val="18"/>
          <w:lang w:eastAsia="nl-NL"/>
        </w:rPr>
        <w:t>Allereerst</w:t>
      </w:r>
      <w:r w:rsidR="004714D0">
        <w:rPr>
          <w:rFonts w:ascii="Verdana" w:eastAsia="Times New Roman" w:hAnsi="Verdana"/>
          <w:sz w:val="18"/>
          <w:szCs w:val="18"/>
          <w:lang w:eastAsia="nl-NL"/>
        </w:rPr>
        <w:t xml:space="preserve"> wordt SVK-advocaten geadviseerd</w:t>
      </w:r>
      <w:r w:rsidR="00A80204">
        <w:rPr>
          <w:rFonts w:ascii="Verdana" w:eastAsia="Times New Roman" w:hAnsi="Verdana"/>
          <w:sz w:val="18"/>
          <w:szCs w:val="18"/>
          <w:lang w:eastAsia="nl-NL"/>
        </w:rPr>
        <w:t xml:space="preserve"> om </w:t>
      </w:r>
      <w:r w:rsidR="00502498">
        <w:rPr>
          <w:rFonts w:ascii="Verdana" w:eastAsia="Times New Roman" w:hAnsi="Verdana"/>
          <w:sz w:val="18"/>
          <w:szCs w:val="18"/>
          <w:lang w:eastAsia="nl-NL"/>
        </w:rPr>
        <w:t>in beroepsprocedures</w:t>
      </w:r>
      <w:r w:rsidR="00E75A73">
        <w:rPr>
          <w:rFonts w:ascii="Verdana" w:eastAsia="Times New Roman" w:hAnsi="Verdana"/>
          <w:sz w:val="18"/>
          <w:szCs w:val="18"/>
          <w:lang w:eastAsia="nl-NL"/>
        </w:rPr>
        <w:t xml:space="preserve"> met betrekking tot </w:t>
      </w:r>
      <w:r w:rsidR="00A420D1">
        <w:rPr>
          <w:rFonts w:ascii="Verdana" w:eastAsia="Times New Roman" w:hAnsi="Verdana"/>
          <w:sz w:val="18"/>
          <w:szCs w:val="18"/>
          <w:lang w:eastAsia="nl-NL"/>
        </w:rPr>
        <w:t>de intrekking, niet-verlenging of weigering van verblijfsvergunningen</w:t>
      </w:r>
      <w:r w:rsidR="001B43D1">
        <w:rPr>
          <w:rFonts w:ascii="Verdana" w:eastAsia="Times New Roman" w:hAnsi="Verdana"/>
          <w:sz w:val="18"/>
          <w:szCs w:val="18"/>
          <w:lang w:eastAsia="nl-NL"/>
        </w:rPr>
        <w:t xml:space="preserve"> </w:t>
      </w:r>
      <w:r w:rsidR="00170A07">
        <w:rPr>
          <w:rFonts w:ascii="Verdana" w:eastAsia="Times New Roman" w:hAnsi="Verdana"/>
          <w:sz w:val="18"/>
          <w:szCs w:val="18"/>
          <w:lang w:eastAsia="nl-NL"/>
        </w:rPr>
        <w:t>in verband met de openbare orde, alsmede</w:t>
      </w:r>
      <w:r w:rsidR="001B43D1">
        <w:rPr>
          <w:rFonts w:ascii="Verdana" w:eastAsia="Times New Roman" w:hAnsi="Verdana"/>
          <w:sz w:val="18"/>
          <w:szCs w:val="18"/>
          <w:lang w:eastAsia="nl-NL"/>
        </w:rPr>
        <w:t xml:space="preserve"> de daarbij behorende</w:t>
      </w:r>
      <w:r w:rsidR="00A420D1">
        <w:rPr>
          <w:rFonts w:ascii="Verdana" w:eastAsia="Times New Roman" w:hAnsi="Verdana"/>
          <w:sz w:val="18"/>
          <w:szCs w:val="18"/>
          <w:lang w:eastAsia="nl-NL"/>
        </w:rPr>
        <w:t xml:space="preserve"> </w:t>
      </w:r>
      <w:r w:rsidR="0092571D">
        <w:rPr>
          <w:rFonts w:ascii="Verdana" w:eastAsia="Times New Roman" w:hAnsi="Verdana"/>
          <w:sz w:val="18"/>
          <w:szCs w:val="18"/>
          <w:lang w:eastAsia="nl-NL"/>
        </w:rPr>
        <w:t>terugkeerbesluiten</w:t>
      </w:r>
      <w:r w:rsidR="00E75A73">
        <w:rPr>
          <w:rFonts w:ascii="Verdana" w:eastAsia="Times New Roman" w:hAnsi="Verdana"/>
          <w:sz w:val="18"/>
          <w:szCs w:val="18"/>
          <w:lang w:eastAsia="nl-NL"/>
        </w:rPr>
        <w:t xml:space="preserve"> </w:t>
      </w:r>
      <w:r w:rsidR="00EA4CC9">
        <w:rPr>
          <w:rFonts w:ascii="Verdana" w:eastAsia="Times New Roman" w:hAnsi="Verdana"/>
          <w:sz w:val="18"/>
          <w:szCs w:val="18"/>
          <w:lang w:eastAsia="nl-NL"/>
        </w:rPr>
        <w:t>de volgende gronden aan te voeren ten aanzien van het procesbelang:</w:t>
      </w:r>
      <w:r w:rsidR="00993A59">
        <w:rPr>
          <w:rStyle w:val="Voetnootmarkering"/>
          <w:rFonts w:ascii="Verdana" w:eastAsia="Times New Roman" w:hAnsi="Verdana"/>
          <w:sz w:val="18"/>
          <w:szCs w:val="18"/>
          <w:lang w:eastAsia="nl-NL"/>
        </w:rPr>
        <w:footnoteReference w:id="133"/>
      </w:r>
    </w:p>
    <w:p w14:paraId="1EAF6D1E" w14:textId="4FDB0A36" w:rsidR="006103E6" w:rsidRDefault="00090D6E" w:rsidP="00A7560D">
      <w:pPr>
        <w:spacing w:line="360" w:lineRule="auto"/>
        <w:jc w:val="both"/>
        <w:rPr>
          <w:rFonts w:ascii="Verdana" w:eastAsia="Times New Roman" w:hAnsi="Verdana"/>
          <w:sz w:val="18"/>
          <w:szCs w:val="18"/>
          <w:lang w:eastAsia="nl-NL"/>
        </w:rPr>
      </w:pPr>
      <w:r>
        <w:rPr>
          <w:rFonts w:ascii="Verdana" w:eastAsia="Times New Roman" w:hAnsi="Verdana"/>
          <w:sz w:val="18"/>
          <w:szCs w:val="18"/>
          <w:lang w:eastAsia="nl-NL"/>
        </w:rPr>
        <w:t xml:space="preserve">1) </w:t>
      </w:r>
      <w:r w:rsidR="006103E6">
        <w:rPr>
          <w:rFonts w:ascii="Verdana" w:eastAsia="Times New Roman" w:hAnsi="Verdana"/>
          <w:sz w:val="18"/>
          <w:szCs w:val="18"/>
          <w:lang w:eastAsia="nl-NL"/>
        </w:rPr>
        <w:t>Een vaste ongeschreven regel in het bestuursrecht is dat de belanghebbende voldoende procesbelang moet hebben bij het door hem of haar ingestelde beroep</w:t>
      </w:r>
      <w:r w:rsidR="000975D8">
        <w:rPr>
          <w:rFonts w:ascii="Verdana" w:eastAsia="Times New Roman" w:hAnsi="Verdana"/>
          <w:sz w:val="18"/>
          <w:szCs w:val="18"/>
          <w:lang w:eastAsia="nl-NL"/>
        </w:rPr>
        <w:t>.</w:t>
      </w:r>
      <w:r w:rsidR="006103E6">
        <w:rPr>
          <w:rFonts w:ascii="Verdana" w:eastAsia="Times New Roman" w:hAnsi="Verdana"/>
          <w:sz w:val="18"/>
          <w:szCs w:val="18"/>
          <w:lang w:eastAsia="nl-NL"/>
        </w:rPr>
        <w:t xml:space="preserve"> </w:t>
      </w:r>
      <w:r w:rsidR="000975D8">
        <w:rPr>
          <w:rFonts w:ascii="Verdana" w:eastAsia="Times New Roman" w:hAnsi="Verdana"/>
          <w:sz w:val="18"/>
          <w:szCs w:val="18"/>
          <w:lang w:eastAsia="nl-NL"/>
        </w:rPr>
        <w:t>Dit</w:t>
      </w:r>
      <w:r w:rsidR="006103E6">
        <w:rPr>
          <w:rFonts w:ascii="Verdana" w:eastAsia="Times New Roman" w:hAnsi="Verdana"/>
          <w:sz w:val="18"/>
          <w:szCs w:val="18"/>
          <w:lang w:eastAsia="nl-NL"/>
        </w:rPr>
        <w:t xml:space="preserve"> procesbelang </w:t>
      </w:r>
      <w:r w:rsidR="000975D8">
        <w:rPr>
          <w:rFonts w:ascii="Verdana" w:eastAsia="Times New Roman" w:hAnsi="Verdana"/>
          <w:sz w:val="18"/>
          <w:szCs w:val="18"/>
          <w:lang w:eastAsia="nl-NL"/>
        </w:rPr>
        <w:t xml:space="preserve">ontstaat </w:t>
      </w:r>
      <w:r w:rsidR="006103E6">
        <w:rPr>
          <w:rFonts w:ascii="Verdana" w:eastAsia="Times New Roman" w:hAnsi="Verdana"/>
          <w:sz w:val="18"/>
          <w:szCs w:val="18"/>
          <w:lang w:eastAsia="nl-NL"/>
        </w:rPr>
        <w:t>niet door het</w:t>
      </w:r>
      <w:r w:rsidR="000975D8">
        <w:rPr>
          <w:rFonts w:ascii="Verdana" w:eastAsia="Times New Roman" w:hAnsi="Verdana"/>
          <w:sz w:val="18"/>
          <w:szCs w:val="18"/>
          <w:lang w:eastAsia="nl-NL"/>
        </w:rPr>
        <w:t xml:space="preserve"> louter instellen van het beroep</w:t>
      </w:r>
      <w:r w:rsidR="00F454C7">
        <w:rPr>
          <w:rFonts w:ascii="Verdana" w:eastAsia="Times New Roman" w:hAnsi="Verdana"/>
          <w:sz w:val="18"/>
          <w:szCs w:val="18"/>
          <w:lang w:eastAsia="nl-NL"/>
        </w:rPr>
        <w:t>. De betrokkene moet namelijk</w:t>
      </w:r>
      <w:r w:rsidR="00303BD3">
        <w:rPr>
          <w:rFonts w:ascii="Verdana" w:eastAsia="Times New Roman" w:hAnsi="Verdana"/>
          <w:sz w:val="18"/>
          <w:szCs w:val="18"/>
          <w:lang w:eastAsia="nl-NL"/>
        </w:rPr>
        <w:t xml:space="preserve"> aantoonbaar maken </w:t>
      </w:r>
      <w:r w:rsidR="00F454C7">
        <w:rPr>
          <w:rFonts w:ascii="Verdana" w:eastAsia="Times New Roman" w:hAnsi="Verdana"/>
          <w:sz w:val="18"/>
          <w:szCs w:val="18"/>
          <w:lang w:eastAsia="nl-NL"/>
        </w:rPr>
        <w:t xml:space="preserve">dat het door hem of haar beoogde resultaat door de beroepsprocedure ook daadwerkelijk behaald </w:t>
      </w:r>
      <w:r w:rsidR="00303BD3">
        <w:rPr>
          <w:rFonts w:ascii="Verdana" w:eastAsia="Times New Roman" w:hAnsi="Verdana"/>
          <w:sz w:val="18"/>
          <w:szCs w:val="18"/>
          <w:lang w:eastAsia="nl-NL"/>
        </w:rPr>
        <w:t>kan worden.</w:t>
      </w:r>
    </w:p>
    <w:p w14:paraId="43D62D62" w14:textId="3965850D" w:rsidR="007959C1" w:rsidRDefault="009E444D" w:rsidP="00A7560D">
      <w:pPr>
        <w:spacing w:line="360" w:lineRule="auto"/>
        <w:jc w:val="both"/>
        <w:rPr>
          <w:rFonts w:ascii="Verdana" w:eastAsia="Times New Roman" w:hAnsi="Verdana"/>
          <w:sz w:val="18"/>
          <w:szCs w:val="18"/>
          <w:lang w:eastAsia="nl-NL"/>
        </w:rPr>
      </w:pPr>
      <w:r>
        <w:rPr>
          <w:rFonts w:ascii="Verdana" w:eastAsia="Times New Roman" w:hAnsi="Verdana"/>
          <w:sz w:val="18"/>
          <w:szCs w:val="18"/>
          <w:lang w:eastAsia="nl-NL"/>
        </w:rPr>
        <w:t>In de huidige rechtspraak</w:t>
      </w:r>
      <w:r w:rsidR="008D3BA7">
        <w:rPr>
          <w:rFonts w:ascii="Verdana" w:eastAsia="Times New Roman" w:hAnsi="Verdana"/>
          <w:sz w:val="18"/>
          <w:szCs w:val="18"/>
          <w:lang w:eastAsia="nl-NL"/>
        </w:rPr>
        <w:t>, voordat de betekenis van het Ouhrami arrest tot ons doordrong,</w:t>
      </w:r>
      <w:r>
        <w:rPr>
          <w:rFonts w:ascii="Verdana" w:eastAsia="Times New Roman" w:hAnsi="Verdana"/>
          <w:sz w:val="18"/>
          <w:szCs w:val="18"/>
          <w:lang w:eastAsia="nl-NL"/>
        </w:rPr>
        <w:t xml:space="preserve"> was de motivering in voornoemde zaken altijd </w:t>
      </w:r>
      <w:r w:rsidR="008D3BA7">
        <w:rPr>
          <w:rFonts w:ascii="Verdana" w:eastAsia="Times New Roman" w:hAnsi="Verdana"/>
          <w:sz w:val="18"/>
          <w:szCs w:val="18"/>
          <w:lang w:eastAsia="nl-NL"/>
        </w:rPr>
        <w:t>dat er geen (proces)belang was ten aanzien van het beroep gericht tegen de intrekking, niet-verlenging of weigering van de verblijfsvergunning</w:t>
      </w:r>
      <w:r w:rsidR="00EE3D64">
        <w:rPr>
          <w:rFonts w:ascii="Verdana" w:eastAsia="Times New Roman" w:hAnsi="Verdana"/>
          <w:sz w:val="18"/>
          <w:szCs w:val="18"/>
          <w:lang w:eastAsia="nl-NL"/>
        </w:rPr>
        <w:t xml:space="preserve"> en het terugkeerbesluit, aangezien er ook </w:t>
      </w:r>
      <w:r w:rsidR="000A0BAA">
        <w:rPr>
          <w:rFonts w:ascii="Verdana" w:eastAsia="Times New Roman" w:hAnsi="Verdana"/>
          <w:sz w:val="18"/>
          <w:szCs w:val="18"/>
          <w:lang w:eastAsia="nl-NL"/>
        </w:rPr>
        <w:t xml:space="preserve">een </w:t>
      </w:r>
      <w:r w:rsidR="00EE3D64">
        <w:rPr>
          <w:rFonts w:ascii="Verdana" w:eastAsia="Times New Roman" w:hAnsi="Verdana"/>
          <w:sz w:val="18"/>
          <w:szCs w:val="18"/>
          <w:lang w:eastAsia="nl-NL"/>
        </w:rPr>
        <w:t>inreisverbod uitgevaardigd was.</w:t>
      </w:r>
      <w:r w:rsidR="009B00CD">
        <w:rPr>
          <w:rFonts w:ascii="Verdana" w:eastAsia="Times New Roman" w:hAnsi="Verdana"/>
          <w:sz w:val="18"/>
          <w:szCs w:val="18"/>
          <w:lang w:eastAsia="nl-NL"/>
        </w:rPr>
        <w:t xml:space="preserve"> De vreemdeling kon </w:t>
      </w:r>
      <w:r w:rsidR="007959C1">
        <w:rPr>
          <w:rFonts w:ascii="Verdana" w:eastAsia="Times New Roman" w:hAnsi="Verdana"/>
          <w:sz w:val="18"/>
          <w:szCs w:val="18"/>
          <w:lang w:eastAsia="nl-NL"/>
        </w:rPr>
        <w:t>door de uitvaardiging van het inreisverbod namelijk geen rechtmatig verblijf in Nederland hebben,</w:t>
      </w:r>
      <w:r w:rsidR="007E3AA6">
        <w:rPr>
          <w:rFonts w:ascii="Verdana" w:eastAsia="Times New Roman" w:hAnsi="Verdana"/>
          <w:sz w:val="18"/>
          <w:szCs w:val="18"/>
          <w:lang w:eastAsia="nl-NL"/>
        </w:rPr>
        <w:t xml:space="preserve"> hetgeen blijkt uit artikel 66a lid 6 Vw 2000,</w:t>
      </w:r>
      <w:r w:rsidR="007959C1">
        <w:rPr>
          <w:rFonts w:ascii="Verdana" w:eastAsia="Times New Roman" w:hAnsi="Verdana"/>
          <w:sz w:val="18"/>
          <w:szCs w:val="18"/>
          <w:lang w:eastAsia="nl-NL"/>
        </w:rPr>
        <w:t xml:space="preserve"> waardoor hij volgens de bestuursrechter ook geen belang had bij de beoordeling van het beroep gericht tegen de verblijfsaanspraken en het terugkeerbesluit.</w:t>
      </w:r>
    </w:p>
    <w:p w14:paraId="0FE3717F" w14:textId="77AEE64D" w:rsidR="00303BD3" w:rsidRDefault="000A0BAA" w:rsidP="00A7560D">
      <w:pPr>
        <w:spacing w:line="360" w:lineRule="auto"/>
        <w:jc w:val="both"/>
        <w:rPr>
          <w:rFonts w:ascii="Verdana" w:eastAsia="Times New Roman" w:hAnsi="Verdana"/>
          <w:sz w:val="18"/>
          <w:szCs w:val="18"/>
          <w:lang w:eastAsia="nl-NL"/>
        </w:rPr>
      </w:pPr>
      <w:r>
        <w:rPr>
          <w:rFonts w:ascii="Verdana" w:eastAsia="Times New Roman" w:hAnsi="Verdana"/>
          <w:sz w:val="18"/>
          <w:szCs w:val="18"/>
          <w:lang w:eastAsia="nl-NL"/>
        </w:rPr>
        <w:t xml:space="preserve">Geconcludeerd kan worden dat voornoemde gang van zaken niet in lijn </w:t>
      </w:r>
      <w:r w:rsidR="002D649B">
        <w:rPr>
          <w:rFonts w:ascii="Verdana" w:eastAsia="Times New Roman" w:hAnsi="Verdana"/>
          <w:sz w:val="18"/>
          <w:szCs w:val="18"/>
          <w:lang w:eastAsia="nl-NL"/>
        </w:rPr>
        <w:t>is</w:t>
      </w:r>
      <w:r>
        <w:rPr>
          <w:rFonts w:ascii="Verdana" w:eastAsia="Times New Roman" w:hAnsi="Verdana"/>
          <w:sz w:val="18"/>
          <w:szCs w:val="18"/>
          <w:lang w:eastAsia="nl-NL"/>
        </w:rPr>
        <w:t xml:space="preserve"> met het Ouhrami arrest</w:t>
      </w:r>
      <w:r w:rsidR="00170A07">
        <w:rPr>
          <w:rFonts w:ascii="Verdana" w:eastAsia="Times New Roman" w:hAnsi="Verdana"/>
          <w:sz w:val="18"/>
          <w:szCs w:val="18"/>
          <w:lang w:eastAsia="nl-NL"/>
        </w:rPr>
        <w:t xml:space="preserve"> en geen stand meer kan houden</w:t>
      </w:r>
      <w:r>
        <w:rPr>
          <w:rFonts w:ascii="Verdana" w:eastAsia="Times New Roman" w:hAnsi="Verdana"/>
          <w:sz w:val="18"/>
          <w:szCs w:val="18"/>
          <w:lang w:eastAsia="nl-NL"/>
        </w:rPr>
        <w:t xml:space="preserve">.  </w:t>
      </w:r>
      <w:r w:rsidR="001E6D8D">
        <w:rPr>
          <w:rFonts w:ascii="Verdana" w:eastAsia="Times New Roman" w:hAnsi="Verdana"/>
          <w:sz w:val="18"/>
          <w:szCs w:val="18"/>
          <w:lang w:eastAsia="nl-NL"/>
        </w:rPr>
        <w:t xml:space="preserve">In het Ouhrami arrest </w:t>
      </w:r>
      <w:r w:rsidR="00CB6D02">
        <w:rPr>
          <w:rFonts w:ascii="Verdana" w:eastAsia="Times New Roman" w:hAnsi="Verdana"/>
          <w:sz w:val="18"/>
          <w:szCs w:val="18"/>
          <w:lang w:eastAsia="nl-NL"/>
        </w:rPr>
        <w:t xml:space="preserve">is </w:t>
      </w:r>
      <w:r w:rsidR="00170A07">
        <w:rPr>
          <w:rFonts w:ascii="Verdana" w:eastAsia="Times New Roman" w:hAnsi="Verdana"/>
          <w:sz w:val="18"/>
          <w:szCs w:val="18"/>
          <w:lang w:eastAsia="nl-NL"/>
        </w:rPr>
        <w:t xml:space="preserve">immers </w:t>
      </w:r>
      <w:r w:rsidR="00CB6D02">
        <w:rPr>
          <w:rFonts w:ascii="Verdana" w:eastAsia="Times New Roman" w:hAnsi="Verdana"/>
          <w:sz w:val="18"/>
          <w:szCs w:val="18"/>
          <w:lang w:eastAsia="nl-NL"/>
        </w:rPr>
        <w:t xml:space="preserve">een duidelijk onderscheid gemaakt tussen enerzijds een terugkeerbesluit en anderzijds een inreisverbod. </w:t>
      </w:r>
      <w:r w:rsidR="00A147E7">
        <w:rPr>
          <w:rFonts w:ascii="Verdana" w:eastAsia="Times New Roman" w:hAnsi="Verdana"/>
          <w:sz w:val="18"/>
          <w:szCs w:val="18"/>
          <w:lang w:eastAsia="nl-NL"/>
        </w:rPr>
        <w:t>Hierbij is door het HvJEU bepaald dat het inreisverbod</w:t>
      </w:r>
      <w:r w:rsidR="00CB6D02">
        <w:rPr>
          <w:rFonts w:ascii="Verdana" w:eastAsia="Times New Roman" w:hAnsi="Verdana"/>
          <w:sz w:val="18"/>
          <w:szCs w:val="18"/>
          <w:lang w:eastAsia="nl-NL"/>
        </w:rPr>
        <w:t xml:space="preserve"> </w:t>
      </w:r>
      <w:r w:rsidR="00A147E7">
        <w:rPr>
          <w:rFonts w:ascii="Verdana" w:eastAsia="Times New Roman" w:hAnsi="Verdana"/>
          <w:sz w:val="18"/>
          <w:szCs w:val="18"/>
          <w:lang w:eastAsia="nl-NL"/>
        </w:rPr>
        <w:t xml:space="preserve">het terugkeerbesluit aanvult en pas ingaat op het moment dat de </w:t>
      </w:r>
      <w:r w:rsidR="00A147E7">
        <w:rPr>
          <w:rFonts w:ascii="Verdana" w:eastAsia="Times New Roman" w:hAnsi="Verdana"/>
          <w:sz w:val="18"/>
          <w:szCs w:val="18"/>
          <w:lang w:eastAsia="nl-NL"/>
        </w:rPr>
        <w:lastRenderedPageBreak/>
        <w:t xml:space="preserve">vreemdeling </w:t>
      </w:r>
      <w:r w:rsidR="00A147E7" w:rsidRPr="00A147E7">
        <w:rPr>
          <w:rFonts w:ascii="Verdana" w:eastAsia="Times New Roman" w:hAnsi="Verdana"/>
          <w:sz w:val="18"/>
          <w:szCs w:val="18"/>
          <w:lang w:eastAsia="nl-NL"/>
        </w:rPr>
        <w:t>terugkeert</w:t>
      </w:r>
      <w:r w:rsidR="00A147E7" w:rsidRPr="00A147E7">
        <w:rPr>
          <w:rFonts w:ascii="Verdana" w:eastAsia="Times New Roman" w:hAnsi="Verdana"/>
          <w:i/>
          <w:sz w:val="18"/>
          <w:szCs w:val="18"/>
          <w:lang w:eastAsia="nl-NL"/>
        </w:rPr>
        <w:t xml:space="preserve"> </w:t>
      </w:r>
      <w:r w:rsidR="00A147E7">
        <w:rPr>
          <w:rFonts w:ascii="Verdana" w:eastAsia="Times New Roman" w:hAnsi="Verdana"/>
          <w:sz w:val="18"/>
          <w:szCs w:val="18"/>
          <w:lang w:eastAsia="nl-NL"/>
        </w:rPr>
        <w:t>op het grondgebied van de lidstaten.</w:t>
      </w:r>
      <w:r w:rsidR="00CA49F4">
        <w:rPr>
          <w:rFonts w:ascii="Verdana" w:eastAsia="Times New Roman" w:hAnsi="Verdana"/>
          <w:sz w:val="18"/>
          <w:szCs w:val="18"/>
          <w:lang w:eastAsia="nl-NL"/>
        </w:rPr>
        <w:t xml:space="preserve"> De vreemdeling moet de lidstaten eerst dus hebben verlaten. Indien dit (nog) niet het geval is, heeft het inre</w:t>
      </w:r>
      <w:r w:rsidR="0079066B">
        <w:rPr>
          <w:rFonts w:ascii="Verdana" w:eastAsia="Times New Roman" w:hAnsi="Verdana"/>
          <w:sz w:val="18"/>
          <w:szCs w:val="18"/>
          <w:lang w:eastAsia="nl-NL"/>
        </w:rPr>
        <w:t xml:space="preserve">isverbod nog geen rechtskracht, waardoor deze ook niet meer in de weg staat voor toekenning van procesbelang in de beroepsprocedure gericht tegen de verblijfsaanspraken en het terugkeerbesluit. </w:t>
      </w:r>
      <w:r w:rsidR="009C3738">
        <w:rPr>
          <w:rFonts w:ascii="Verdana" w:eastAsia="Times New Roman" w:hAnsi="Verdana"/>
          <w:sz w:val="18"/>
          <w:szCs w:val="18"/>
          <w:lang w:eastAsia="nl-NL"/>
        </w:rPr>
        <w:t xml:space="preserve">De bestuursrechter zal artikel 66a lid 6 Vw 2000 volledig buiten beschouwing moeten laten, nu dit artikel pas van </w:t>
      </w:r>
      <w:r w:rsidR="001B55FD">
        <w:rPr>
          <w:rFonts w:ascii="Verdana" w:eastAsia="Times New Roman" w:hAnsi="Verdana"/>
          <w:sz w:val="18"/>
          <w:szCs w:val="18"/>
          <w:lang w:eastAsia="nl-NL"/>
        </w:rPr>
        <w:t>toepassing</w:t>
      </w:r>
      <w:r w:rsidR="009C3738">
        <w:rPr>
          <w:rFonts w:ascii="Verdana" w:eastAsia="Times New Roman" w:hAnsi="Verdana"/>
          <w:sz w:val="18"/>
          <w:szCs w:val="18"/>
          <w:lang w:eastAsia="nl-NL"/>
        </w:rPr>
        <w:t xml:space="preserve"> is op het moment dat het inreisverbod daad</w:t>
      </w:r>
      <w:r w:rsidR="001B55FD">
        <w:rPr>
          <w:rFonts w:ascii="Verdana" w:eastAsia="Times New Roman" w:hAnsi="Verdana"/>
          <w:sz w:val="18"/>
          <w:szCs w:val="18"/>
          <w:lang w:eastAsia="nl-NL"/>
        </w:rPr>
        <w:t>werkelijk in werking is getreden.</w:t>
      </w:r>
    </w:p>
    <w:p w14:paraId="047D2E35" w14:textId="01CE350F" w:rsidR="00181867" w:rsidRDefault="00161C1B" w:rsidP="00A7560D">
      <w:pPr>
        <w:spacing w:line="360" w:lineRule="auto"/>
        <w:jc w:val="both"/>
        <w:rPr>
          <w:rFonts w:ascii="Verdana" w:eastAsia="Times New Roman" w:hAnsi="Verdana"/>
          <w:sz w:val="18"/>
          <w:szCs w:val="18"/>
          <w:lang w:eastAsia="nl-NL"/>
        </w:rPr>
      </w:pPr>
      <w:r>
        <w:rPr>
          <w:rFonts w:ascii="Verdana" w:eastAsia="Times New Roman" w:hAnsi="Verdana"/>
          <w:sz w:val="18"/>
          <w:szCs w:val="18"/>
          <w:lang w:eastAsia="nl-NL"/>
        </w:rPr>
        <w:t xml:space="preserve">Met andere woorden: </w:t>
      </w:r>
      <w:r w:rsidR="00C23C39">
        <w:rPr>
          <w:rFonts w:ascii="Verdana" w:eastAsia="Times New Roman" w:hAnsi="Verdana"/>
          <w:sz w:val="18"/>
          <w:szCs w:val="18"/>
          <w:lang w:eastAsia="nl-NL"/>
        </w:rPr>
        <w:t xml:space="preserve">het inreisverbod is weliswaar opgelegd aan de vreemdeling, maar in voornoemde gevallen nog niet in werking getreden. Hierdoor heeft het inreisverbod in de beroepsprocedure (nog) geen rechtskracht, waardoor deze ook niet getoetst kan worden door de bestuursrechter. Dit maakt dat de </w:t>
      </w:r>
      <w:r>
        <w:rPr>
          <w:rFonts w:ascii="Verdana" w:eastAsia="Times New Roman" w:hAnsi="Verdana"/>
          <w:sz w:val="18"/>
          <w:szCs w:val="18"/>
          <w:lang w:eastAsia="nl-NL"/>
        </w:rPr>
        <w:t>bestuursrechter per definitie genoodzaakt is om de intrekking, niet-verlenging of weigering van de verblijfsvergunning samen met het terugkeerbesluit</w:t>
      </w:r>
      <w:r w:rsidR="00C23C39">
        <w:rPr>
          <w:rFonts w:ascii="Verdana" w:eastAsia="Times New Roman" w:hAnsi="Verdana"/>
          <w:sz w:val="18"/>
          <w:szCs w:val="18"/>
          <w:lang w:eastAsia="nl-NL"/>
        </w:rPr>
        <w:t xml:space="preserve"> te toetsen</w:t>
      </w:r>
      <w:r>
        <w:rPr>
          <w:rFonts w:ascii="Verdana" w:eastAsia="Times New Roman" w:hAnsi="Verdana"/>
          <w:sz w:val="18"/>
          <w:szCs w:val="18"/>
          <w:lang w:eastAsia="nl-NL"/>
        </w:rPr>
        <w:t xml:space="preserve">. </w:t>
      </w:r>
      <w:r w:rsidR="00365594">
        <w:rPr>
          <w:rFonts w:ascii="Verdana" w:eastAsia="Times New Roman" w:hAnsi="Verdana"/>
          <w:sz w:val="18"/>
          <w:szCs w:val="18"/>
          <w:lang w:eastAsia="nl-NL"/>
        </w:rPr>
        <w:t xml:space="preserve">Dit zijn immers de enige besluiten die </w:t>
      </w:r>
      <w:r w:rsidR="005E0E09">
        <w:rPr>
          <w:rFonts w:ascii="Verdana" w:eastAsia="Times New Roman" w:hAnsi="Verdana"/>
          <w:sz w:val="18"/>
          <w:szCs w:val="18"/>
          <w:lang w:eastAsia="nl-NL"/>
        </w:rPr>
        <w:t>op dat moment rechtskracht hebben</w:t>
      </w:r>
      <w:r w:rsidR="00C23C39">
        <w:rPr>
          <w:rFonts w:ascii="Verdana" w:eastAsia="Times New Roman" w:hAnsi="Verdana"/>
          <w:sz w:val="18"/>
          <w:szCs w:val="18"/>
          <w:lang w:eastAsia="nl-NL"/>
        </w:rPr>
        <w:t xml:space="preserve"> en überhaupt door de bestuursrechter getoetst kunnen worden</w:t>
      </w:r>
      <w:r w:rsidR="005E0E09">
        <w:rPr>
          <w:rFonts w:ascii="Verdana" w:eastAsia="Times New Roman" w:hAnsi="Verdana"/>
          <w:sz w:val="18"/>
          <w:szCs w:val="18"/>
          <w:lang w:eastAsia="nl-NL"/>
        </w:rPr>
        <w:t>.</w:t>
      </w:r>
      <w:r w:rsidR="000F0A7D">
        <w:rPr>
          <w:rFonts w:ascii="Verdana" w:eastAsia="Times New Roman" w:hAnsi="Verdana"/>
          <w:sz w:val="18"/>
          <w:szCs w:val="18"/>
          <w:lang w:eastAsia="nl-NL"/>
        </w:rPr>
        <w:t xml:space="preserve"> Daarbij </w:t>
      </w:r>
      <w:r w:rsidR="00EA0371">
        <w:rPr>
          <w:rFonts w:ascii="Verdana" w:eastAsia="Times New Roman" w:hAnsi="Verdana"/>
          <w:sz w:val="18"/>
          <w:szCs w:val="18"/>
          <w:lang w:eastAsia="nl-NL"/>
        </w:rPr>
        <w:t>kan de vreemdeling bij het instellen van beroep nu wél in een gunstiger positie raken, aangezien het inreisverbod het rechtmatige verblijf van deze vreemdeling in Nederland niet meer onmogelijk maakt.</w:t>
      </w:r>
    </w:p>
    <w:p w14:paraId="5ED63220" w14:textId="264656DB" w:rsidR="004544C2" w:rsidRPr="004544C2" w:rsidRDefault="004544C2" w:rsidP="00A7560D">
      <w:pPr>
        <w:spacing w:line="360" w:lineRule="auto"/>
        <w:jc w:val="both"/>
        <w:rPr>
          <w:rFonts w:ascii="Verdana" w:eastAsia="Times New Roman" w:hAnsi="Verdana"/>
          <w:sz w:val="18"/>
          <w:szCs w:val="18"/>
          <w:lang w:eastAsia="nl-NL"/>
        </w:rPr>
      </w:pPr>
      <w:r>
        <w:rPr>
          <w:rFonts w:ascii="Verdana" w:eastAsia="Times New Roman" w:hAnsi="Verdana"/>
          <w:sz w:val="18"/>
          <w:szCs w:val="18"/>
          <w:lang w:eastAsia="nl-NL"/>
        </w:rPr>
        <w:t>--------------------------------------------------------------------------------------------------------------</w:t>
      </w:r>
    </w:p>
    <w:p w14:paraId="2D0A7B87" w14:textId="023F3032" w:rsidR="00672121" w:rsidRDefault="00BF735A" w:rsidP="00A7560D">
      <w:pPr>
        <w:spacing w:line="360" w:lineRule="auto"/>
        <w:jc w:val="both"/>
        <w:rPr>
          <w:rFonts w:ascii="Verdana" w:eastAsia="Times New Roman" w:hAnsi="Verdana"/>
          <w:sz w:val="18"/>
          <w:szCs w:val="18"/>
          <w:lang w:eastAsia="nl-NL"/>
        </w:rPr>
      </w:pPr>
      <w:r>
        <w:rPr>
          <w:rFonts w:ascii="Verdana" w:eastAsia="Times New Roman" w:hAnsi="Verdana"/>
          <w:sz w:val="18"/>
          <w:szCs w:val="18"/>
          <w:lang w:eastAsia="nl-NL"/>
        </w:rPr>
        <w:t>In het licht van het voorgaande</w:t>
      </w:r>
      <w:r w:rsidR="00672121">
        <w:rPr>
          <w:rFonts w:ascii="Verdana" w:eastAsia="Times New Roman" w:hAnsi="Verdana"/>
          <w:sz w:val="18"/>
          <w:szCs w:val="18"/>
          <w:lang w:eastAsia="nl-NL"/>
        </w:rPr>
        <w:t xml:space="preserve"> wordt ten aanzien van </w:t>
      </w:r>
      <w:r w:rsidR="00EF2B96">
        <w:rPr>
          <w:rFonts w:ascii="Verdana" w:eastAsia="Times New Roman" w:hAnsi="Verdana"/>
          <w:sz w:val="18"/>
          <w:szCs w:val="18"/>
          <w:lang w:eastAsia="nl-NL"/>
        </w:rPr>
        <w:t xml:space="preserve">de volle rechterlijke toetsing </w:t>
      </w:r>
      <w:r w:rsidR="00371533">
        <w:rPr>
          <w:rFonts w:ascii="Verdana" w:eastAsia="Times New Roman" w:hAnsi="Verdana"/>
          <w:sz w:val="18"/>
          <w:szCs w:val="18"/>
          <w:lang w:eastAsia="nl-NL"/>
        </w:rPr>
        <w:t xml:space="preserve">in de hierboven reeds besproken zaken </w:t>
      </w:r>
      <w:r w:rsidR="00EF2B96">
        <w:rPr>
          <w:rFonts w:ascii="Verdana" w:eastAsia="Times New Roman" w:hAnsi="Verdana"/>
          <w:sz w:val="18"/>
          <w:szCs w:val="18"/>
          <w:lang w:eastAsia="nl-NL"/>
        </w:rPr>
        <w:t>geadviseerd om de volgende gronden aan te voeren:</w:t>
      </w:r>
      <w:r w:rsidR="00F56C15">
        <w:rPr>
          <w:rStyle w:val="Voetnootmarkering"/>
          <w:rFonts w:ascii="Verdana" w:eastAsia="Times New Roman" w:hAnsi="Verdana"/>
          <w:sz w:val="18"/>
          <w:szCs w:val="18"/>
          <w:lang w:eastAsia="nl-NL"/>
        </w:rPr>
        <w:footnoteReference w:id="134"/>
      </w:r>
    </w:p>
    <w:p w14:paraId="258F5AA9" w14:textId="45E2A185" w:rsidR="004544C2" w:rsidRDefault="00DA4AC4" w:rsidP="00A7560D">
      <w:pPr>
        <w:spacing w:line="360" w:lineRule="auto"/>
        <w:jc w:val="both"/>
        <w:rPr>
          <w:rFonts w:ascii="Verdana" w:eastAsia="Times New Roman" w:hAnsi="Verdana"/>
          <w:sz w:val="18"/>
          <w:szCs w:val="18"/>
          <w:lang w:eastAsia="nl-NL"/>
        </w:rPr>
      </w:pPr>
      <w:r>
        <w:rPr>
          <w:rFonts w:ascii="Verdana" w:eastAsia="Times New Roman" w:hAnsi="Verdana"/>
          <w:sz w:val="18"/>
          <w:szCs w:val="18"/>
          <w:lang w:eastAsia="nl-NL"/>
        </w:rPr>
        <w:t xml:space="preserve">1) </w:t>
      </w:r>
      <w:r w:rsidR="00290E92">
        <w:rPr>
          <w:rFonts w:ascii="Verdana" w:eastAsia="Times New Roman" w:hAnsi="Verdana"/>
          <w:sz w:val="18"/>
          <w:szCs w:val="18"/>
          <w:lang w:eastAsia="nl-NL"/>
        </w:rPr>
        <w:t>De regel in het Nederlandse bestuursrecht is dat de bestuursrechter een marginale (terughoudende) t</w:t>
      </w:r>
      <w:r w:rsidR="006E4A01">
        <w:rPr>
          <w:rFonts w:ascii="Verdana" w:eastAsia="Times New Roman" w:hAnsi="Verdana"/>
          <w:sz w:val="18"/>
          <w:szCs w:val="18"/>
          <w:lang w:eastAsia="nl-NL"/>
        </w:rPr>
        <w:t xml:space="preserve">oetst hanteert, tenzij het Unierecht van toepassing is. </w:t>
      </w:r>
      <w:r w:rsidR="00627727">
        <w:rPr>
          <w:rFonts w:ascii="Verdana" w:eastAsia="Times New Roman" w:hAnsi="Verdana"/>
          <w:sz w:val="18"/>
          <w:szCs w:val="18"/>
          <w:lang w:eastAsia="nl-NL"/>
        </w:rPr>
        <w:t>In het laatste geval moet een volle toetst worden gehanteerd, waarbij de bestuursrechter de toets van het bestuursorgaan (in dit geval de IND) zelf als het ware volledig opnieuw uitvoert en beoordeelt of zijn uitkomst afwijkt van de uitkomst van het bestuursorgaan.</w:t>
      </w:r>
      <w:r w:rsidR="009D20DA">
        <w:rPr>
          <w:rFonts w:ascii="Verdana" w:eastAsia="Times New Roman" w:hAnsi="Verdana"/>
          <w:sz w:val="18"/>
          <w:szCs w:val="18"/>
          <w:lang w:eastAsia="nl-NL"/>
        </w:rPr>
        <w:t xml:space="preserve"> In de huidige praktijk wordt enkel het inreisverbod vol getoetst door de bestuursrechter</w:t>
      </w:r>
      <w:r w:rsidR="00340C99">
        <w:rPr>
          <w:rFonts w:ascii="Verdana" w:eastAsia="Times New Roman" w:hAnsi="Verdana"/>
          <w:sz w:val="18"/>
          <w:szCs w:val="18"/>
          <w:lang w:eastAsia="nl-NL"/>
        </w:rPr>
        <w:t>, waarbij wordt gesteld dat de verblijfsaanspraken en het terugkeerbesluit vol getoetst kunnen worden ‘</w:t>
      </w:r>
      <w:r w:rsidR="00340C99" w:rsidRPr="00340C99">
        <w:rPr>
          <w:rFonts w:ascii="Verdana" w:eastAsia="Times New Roman" w:hAnsi="Verdana"/>
          <w:i/>
          <w:sz w:val="18"/>
          <w:szCs w:val="18"/>
          <w:lang w:eastAsia="nl-NL"/>
        </w:rPr>
        <w:t>in het kader van het inreisverbod’</w:t>
      </w:r>
      <w:r w:rsidR="00340C99">
        <w:rPr>
          <w:rFonts w:ascii="Verdana" w:eastAsia="Times New Roman" w:hAnsi="Verdana"/>
          <w:sz w:val="18"/>
          <w:szCs w:val="18"/>
          <w:lang w:eastAsia="nl-NL"/>
        </w:rPr>
        <w:t xml:space="preserve">. Feitelijk gezien betekent dit </w:t>
      </w:r>
      <w:r w:rsidR="008407C5">
        <w:rPr>
          <w:rFonts w:ascii="Verdana" w:eastAsia="Times New Roman" w:hAnsi="Verdana"/>
          <w:sz w:val="18"/>
          <w:szCs w:val="18"/>
          <w:lang w:eastAsia="nl-NL"/>
        </w:rPr>
        <w:t xml:space="preserve">dat slechts het inreisverbod </w:t>
      </w:r>
      <w:r w:rsidR="0042733A">
        <w:rPr>
          <w:rFonts w:ascii="Verdana" w:eastAsia="Times New Roman" w:hAnsi="Verdana"/>
          <w:sz w:val="18"/>
          <w:szCs w:val="18"/>
          <w:lang w:eastAsia="nl-NL"/>
        </w:rPr>
        <w:t xml:space="preserve">(vol) </w:t>
      </w:r>
      <w:r w:rsidR="008407C5">
        <w:rPr>
          <w:rFonts w:ascii="Verdana" w:eastAsia="Times New Roman" w:hAnsi="Verdana"/>
          <w:sz w:val="18"/>
          <w:szCs w:val="18"/>
          <w:lang w:eastAsia="nl-NL"/>
        </w:rPr>
        <w:t xml:space="preserve">wordt getoetst, terwijl tegen het inreisverbod veelal </w:t>
      </w:r>
      <w:r w:rsidR="0042733A">
        <w:rPr>
          <w:rFonts w:ascii="Verdana" w:eastAsia="Times New Roman" w:hAnsi="Verdana"/>
          <w:sz w:val="18"/>
          <w:szCs w:val="18"/>
          <w:lang w:eastAsia="nl-NL"/>
        </w:rPr>
        <w:t xml:space="preserve">een stuk </w:t>
      </w:r>
      <w:r w:rsidR="008407C5">
        <w:rPr>
          <w:rFonts w:ascii="Verdana" w:eastAsia="Times New Roman" w:hAnsi="Verdana"/>
          <w:sz w:val="18"/>
          <w:szCs w:val="18"/>
          <w:lang w:eastAsia="nl-NL"/>
        </w:rPr>
        <w:t xml:space="preserve">minder in te brengen is dan tegen </w:t>
      </w:r>
      <w:r w:rsidR="0042733A">
        <w:rPr>
          <w:rFonts w:ascii="Verdana" w:eastAsia="Times New Roman" w:hAnsi="Verdana"/>
          <w:sz w:val="18"/>
          <w:szCs w:val="18"/>
          <w:lang w:eastAsia="nl-NL"/>
        </w:rPr>
        <w:t xml:space="preserve">het beroep betreffende </w:t>
      </w:r>
      <w:r w:rsidR="008407C5">
        <w:rPr>
          <w:rFonts w:ascii="Verdana" w:eastAsia="Times New Roman" w:hAnsi="Verdana"/>
          <w:sz w:val="18"/>
          <w:szCs w:val="18"/>
          <w:lang w:eastAsia="nl-NL"/>
        </w:rPr>
        <w:t xml:space="preserve">de verblijfsaanspraken en het terugkeerbesluit. </w:t>
      </w:r>
    </w:p>
    <w:p w14:paraId="1E98692D" w14:textId="36F80763" w:rsidR="005B3D8E" w:rsidRPr="000760DD" w:rsidRDefault="00B4497D" w:rsidP="00A7560D">
      <w:pPr>
        <w:spacing w:line="360" w:lineRule="auto"/>
        <w:jc w:val="both"/>
        <w:rPr>
          <w:rFonts w:ascii="Verdana" w:eastAsia="Times New Roman" w:hAnsi="Verdana"/>
          <w:sz w:val="18"/>
          <w:szCs w:val="18"/>
          <w:lang w:eastAsia="nl-NL"/>
        </w:rPr>
      </w:pPr>
      <w:r>
        <w:rPr>
          <w:rFonts w:ascii="Verdana" w:eastAsia="Times New Roman" w:hAnsi="Verdana"/>
          <w:sz w:val="18"/>
          <w:szCs w:val="18"/>
          <w:lang w:eastAsia="nl-NL"/>
        </w:rPr>
        <w:t>Geconcludeerd kan worden dat o</w:t>
      </w:r>
      <w:r w:rsidR="00D519CA">
        <w:rPr>
          <w:rFonts w:ascii="Verdana" w:eastAsia="Times New Roman" w:hAnsi="Verdana"/>
          <w:sz w:val="18"/>
          <w:szCs w:val="18"/>
          <w:lang w:eastAsia="nl-NL"/>
        </w:rPr>
        <w:t>p het moment dat de bestuursrechter</w:t>
      </w:r>
      <w:r w:rsidR="00436A2C">
        <w:rPr>
          <w:rFonts w:ascii="Verdana" w:eastAsia="Times New Roman" w:hAnsi="Verdana"/>
          <w:sz w:val="18"/>
          <w:szCs w:val="18"/>
          <w:lang w:eastAsia="nl-NL"/>
        </w:rPr>
        <w:t xml:space="preserve"> naar aanleiding van het Ouhrami arrest </w:t>
      </w:r>
      <w:r w:rsidR="00D519CA">
        <w:rPr>
          <w:rFonts w:ascii="Verdana" w:eastAsia="Times New Roman" w:hAnsi="Verdana"/>
          <w:sz w:val="18"/>
          <w:szCs w:val="18"/>
          <w:lang w:eastAsia="nl-NL"/>
        </w:rPr>
        <w:t>procesbelang aanneemt ten aanzien van de verblijfsaanspraken</w:t>
      </w:r>
      <w:r w:rsidR="007053B9">
        <w:rPr>
          <w:rFonts w:ascii="Verdana" w:eastAsia="Times New Roman" w:hAnsi="Verdana"/>
          <w:sz w:val="18"/>
          <w:szCs w:val="18"/>
          <w:lang w:eastAsia="nl-NL"/>
        </w:rPr>
        <w:t xml:space="preserve"> die zien op zaken met betrekking tot de openbare orde alsmede</w:t>
      </w:r>
      <w:r w:rsidR="00D519CA">
        <w:rPr>
          <w:rFonts w:ascii="Verdana" w:eastAsia="Times New Roman" w:hAnsi="Verdana"/>
          <w:sz w:val="18"/>
          <w:szCs w:val="18"/>
          <w:lang w:eastAsia="nl-NL"/>
        </w:rPr>
        <w:t xml:space="preserve"> het </w:t>
      </w:r>
      <w:r w:rsidR="007053B9">
        <w:rPr>
          <w:rFonts w:ascii="Verdana" w:eastAsia="Times New Roman" w:hAnsi="Verdana"/>
          <w:sz w:val="18"/>
          <w:szCs w:val="18"/>
          <w:lang w:eastAsia="nl-NL"/>
        </w:rPr>
        <w:t xml:space="preserve">daarbij behorende </w:t>
      </w:r>
      <w:r w:rsidR="00D519CA">
        <w:rPr>
          <w:rFonts w:ascii="Verdana" w:eastAsia="Times New Roman" w:hAnsi="Verdana"/>
          <w:sz w:val="18"/>
          <w:szCs w:val="18"/>
          <w:lang w:eastAsia="nl-NL"/>
        </w:rPr>
        <w:t>terugkeerbesluit</w:t>
      </w:r>
      <w:r w:rsidR="008E4757">
        <w:rPr>
          <w:rFonts w:ascii="Verdana" w:eastAsia="Times New Roman" w:hAnsi="Verdana"/>
          <w:sz w:val="18"/>
          <w:szCs w:val="18"/>
          <w:lang w:eastAsia="nl-NL"/>
        </w:rPr>
        <w:t>,</w:t>
      </w:r>
      <w:r w:rsidR="007053B9">
        <w:rPr>
          <w:rFonts w:ascii="Verdana" w:eastAsia="Times New Roman" w:hAnsi="Verdana"/>
          <w:sz w:val="18"/>
          <w:szCs w:val="18"/>
          <w:lang w:eastAsia="nl-NL"/>
        </w:rPr>
        <w:t xml:space="preserve"> </w:t>
      </w:r>
      <w:r>
        <w:rPr>
          <w:rFonts w:ascii="Verdana" w:eastAsia="Times New Roman" w:hAnsi="Verdana"/>
          <w:sz w:val="18"/>
          <w:szCs w:val="18"/>
          <w:lang w:eastAsia="nl-NL"/>
        </w:rPr>
        <w:t>d</w:t>
      </w:r>
      <w:r w:rsidR="00436A2C">
        <w:rPr>
          <w:rFonts w:ascii="Verdana" w:eastAsia="Times New Roman" w:hAnsi="Verdana"/>
          <w:sz w:val="18"/>
          <w:szCs w:val="18"/>
          <w:lang w:eastAsia="nl-NL"/>
        </w:rPr>
        <w:t xml:space="preserve">eze besluiten </w:t>
      </w:r>
      <w:r w:rsidR="006065B6">
        <w:rPr>
          <w:rFonts w:ascii="Verdana" w:eastAsia="Times New Roman" w:hAnsi="Verdana"/>
          <w:sz w:val="18"/>
          <w:szCs w:val="18"/>
          <w:lang w:eastAsia="nl-NL"/>
        </w:rPr>
        <w:t xml:space="preserve">vol moet toetsen. Dit betekent dat de huidige praktijk, waar enkel het inreisverbod vol wordt getoetst, </w:t>
      </w:r>
      <w:r w:rsidR="0042610F">
        <w:rPr>
          <w:rFonts w:ascii="Verdana" w:eastAsia="Times New Roman" w:hAnsi="Verdana"/>
          <w:sz w:val="18"/>
          <w:szCs w:val="18"/>
          <w:lang w:eastAsia="nl-NL"/>
        </w:rPr>
        <w:t xml:space="preserve">geheel </w:t>
      </w:r>
      <w:r w:rsidR="006065B6">
        <w:rPr>
          <w:rFonts w:ascii="Verdana" w:eastAsia="Times New Roman" w:hAnsi="Verdana"/>
          <w:sz w:val="18"/>
          <w:szCs w:val="18"/>
          <w:lang w:eastAsia="nl-NL"/>
        </w:rPr>
        <w:t xml:space="preserve">niet in lijn </w:t>
      </w:r>
      <w:r w:rsidR="000760DD">
        <w:rPr>
          <w:rFonts w:ascii="Verdana" w:eastAsia="Times New Roman" w:hAnsi="Verdana"/>
          <w:sz w:val="18"/>
          <w:szCs w:val="18"/>
          <w:lang w:eastAsia="nl-NL"/>
        </w:rPr>
        <w:t xml:space="preserve">is met het Ouhrami arrest. </w:t>
      </w:r>
      <w:r w:rsidR="005B3D8E">
        <w:rPr>
          <w:rFonts w:ascii="Verdana" w:eastAsia="Times New Roman" w:hAnsi="Verdana"/>
          <w:sz w:val="18"/>
          <w:szCs w:val="18"/>
          <w:lang w:eastAsia="nl-NL"/>
        </w:rPr>
        <w:t>De rechtmatigheid van v</w:t>
      </w:r>
      <w:r w:rsidR="00F62A19">
        <w:rPr>
          <w:rFonts w:ascii="Verdana" w:eastAsia="Times New Roman" w:hAnsi="Verdana"/>
          <w:sz w:val="18"/>
          <w:szCs w:val="18"/>
          <w:lang w:eastAsia="nl-NL"/>
        </w:rPr>
        <w:t>oornoemde besluiten kan</w:t>
      </w:r>
      <w:r w:rsidR="00FE5676">
        <w:rPr>
          <w:rFonts w:ascii="Verdana" w:eastAsia="Times New Roman" w:hAnsi="Verdana"/>
          <w:sz w:val="18"/>
          <w:szCs w:val="18"/>
          <w:lang w:eastAsia="nl-NL"/>
        </w:rPr>
        <w:t xml:space="preserve"> immers niet meer </w:t>
      </w:r>
      <w:r w:rsidR="005B3D8E">
        <w:rPr>
          <w:rFonts w:ascii="Verdana" w:eastAsia="Times New Roman" w:hAnsi="Verdana"/>
          <w:sz w:val="18"/>
          <w:szCs w:val="18"/>
          <w:lang w:eastAsia="nl-NL"/>
        </w:rPr>
        <w:t xml:space="preserve">ten volle </w:t>
      </w:r>
      <w:r w:rsidR="00FE5676">
        <w:rPr>
          <w:rFonts w:ascii="Verdana" w:eastAsia="Times New Roman" w:hAnsi="Verdana"/>
          <w:sz w:val="18"/>
          <w:szCs w:val="18"/>
          <w:lang w:eastAsia="nl-NL"/>
        </w:rPr>
        <w:t xml:space="preserve">worden getoetst </w:t>
      </w:r>
      <w:r w:rsidR="00FE5676">
        <w:rPr>
          <w:rFonts w:ascii="Verdana" w:eastAsia="Times New Roman" w:hAnsi="Verdana"/>
          <w:i/>
          <w:sz w:val="18"/>
          <w:szCs w:val="18"/>
          <w:lang w:eastAsia="nl-NL"/>
        </w:rPr>
        <w:t xml:space="preserve">‘in het kader van </w:t>
      </w:r>
      <w:r w:rsidR="005B3D8E">
        <w:rPr>
          <w:rFonts w:ascii="Verdana" w:eastAsia="Times New Roman" w:hAnsi="Verdana"/>
          <w:i/>
          <w:sz w:val="18"/>
          <w:szCs w:val="18"/>
          <w:lang w:eastAsia="nl-NL"/>
        </w:rPr>
        <w:t>het inreisverbod</w:t>
      </w:r>
      <w:r w:rsidR="00FE5676">
        <w:rPr>
          <w:rFonts w:ascii="Verdana" w:eastAsia="Times New Roman" w:hAnsi="Verdana"/>
          <w:i/>
          <w:sz w:val="18"/>
          <w:szCs w:val="18"/>
          <w:lang w:eastAsia="nl-NL"/>
        </w:rPr>
        <w:t>’</w:t>
      </w:r>
      <w:r w:rsidR="00F62A19">
        <w:rPr>
          <w:rFonts w:ascii="Verdana" w:eastAsia="Times New Roman" w:hAnsi="Verdana"/>
          <w:sz w:val="18"/>
          <w:szCs w:val="18"/>
          <w:lang w:eastAsia="nl-NL"/>
        </w:rPr>
        <w:t xml:space="preserve">, </w:t>
      </w:r>
      <w:r w:rsidR="0042610F">
        <w:rPr>
          <w:rFonts w:ascii="Verdana" w:eastAsia="Times New Roman" w:hAnsi="Verdana"/>
          <w:sz w:val="18"/>
          <w:szCs w:val="18"/>
          <w:lang w:eastAsia="nl-NL"/>
        </w:rPr>
        <w:t>nu het inreisverbod geen rechtskracht heeft</w:t>
      </w:r>
      <w:r w:rsidR="004C173E">
        <w:rPr>
          <w:rFonts w:ascii="Verdana" w:eastAsia="Times New Roman" w:hAnsi="Verdana"/>
          <w:sz w:val="18"/>
          <w:szCs w:val="18"/>
          <w:lang w:eastAsia="nl-NL"/>
        </w:rPr>
        <w:t xml:space="preserve"> op het moment dat de vreemdeling Nederland nog niet heeft verlaten, waardoor het inreisverbod ook </w:t>
      </w:r>
      <w:r w:rsidR="0042610F">
        <w:rPr>
          <w:rFonts w:ascii="Verdana" w:eastAsia="Times New Roman" w:hAnsi="Verdana"/>
          <w:sz w:val="18"/>
          <w:szCs w:val="18"/>
          <w:lang w:eastAsia="nl-NL"/>
        </w:rPr>
        <w:t>niet vol getoetst kan worden</w:t>
      </w:r>
      <w:r w:rsidR="00F62A19">
        <w:rPr>
          <w:rFonts w:ascii="Verdana" w:eastAsia="Times New Roman" w:hAnsi="Verdana"/>
          <w:sz w:val="18"/>
          <w:szCs w:val="18"/>
          <w:lang w:eastAsia="nl-NL"/>
        </w:rPr>
        <w:t xml:space="preserve"> door de bestuursrechter</w:t>
      </w:r>
      <w:r w:rsidR="0042610F">
        <w:rPr>
          <w:rFonts w:ascii="Verdana" w:eastAsia="Times New Roman" w:hAnsi="Verdana"/>
          <w:sz w:val="18"/>
          <w:szCs w:val="18"/>
          <w:lang w:eastAsia="nl-NL"/>
        </w:rPr>
        <w:t>.</w:t>
      </w:r>
    </w:p>
    <w:p w14:paraId="05BDC104" w14:textId="77777777" w:rsidR="0042610F" w:rsidRDefault="0042610F" w:rsidP="00A7560D">
      <w:pPr>
        <w:spacing w:line="360" w:lineRule="auto"/>
        <w:jc w:val="both"/>
        <w:rPr>
          <w:rFonts w:ascii="Verdana" w:eastAsia="Times New Roman" w:hAnsi="Verdana"/>
          <w:color w:val="FF0000"/>
          <w:sz w:val="18"/>
          <w:szCs w:val="18"/>
          <w:lang w:eastAsia="nl-NL"/>
        </w:rPr>
      </w:pPr>
    </w:p>
    <w:p w14:paraId="502273C1" w14:textId="7B5E2FAC" w:rsidR="005826B1" w:rsidRDefault="005B3D8E" w:rsidP="00A7560D">
      <w:pPr>
        <w:spacing w:line="360" w:lineRule="auto"/>
        <w:jc w:val="both"/>
        <w:rPr>
          <w:rFonts w:ascii="Verdana" w:eastAsia="Times New Roman" w:hAnsi="Verdana"/>
          <w:sz w:val="18"/>
          <w:szCs w:val="18"/>
          <w:lang w:eastAsia="nl-NL"/>
        </w:rPr>
      </w:pPr>
      <w:r>
        <w:rPr>
          <w:rFonts w:ascii="Verdana" w:eastAsia="Times New Roman" w:hAnsi="Verdana"/>
          <w:sz w:val="18"/>
          <w:szCs w:val="18"/>
          <w:lang w:eastAsia="nl-NL"/>
        </w:rPr>
        <w:lastRenderedPageBreak/>
        <w:t xml:space="preserve">2) </w:t>
      </w:r>
      <w:r w:rsidR="00D14095">
        <w:rPr>
          <w:rFonts w:ascii="Verdana" w:eastAsia="Times New Roman" w:hAnsi="Verdana"/>
          <w:sz w:val="18"/>
          <w:szCs w:val="18"/>
          <w:lang w:eastAsia="nl-NL"/>
        </w:rPr>
        <w:t>Bovengenoemd</w:t>
      </w:r>
      <w:r w:rsidR="009F450D">
        <w:rPr>
          <w:rFonts w:ascii="Verdana" w:eastAsia="Times New Roman" w:hAnsi="Verdana"/>
          <w:sz w:val="18"/>
          <w:szCs w:val="18"/>
          <w:lang w:eastAsia="nl-NL"/>
        </w:rPr>
        <w:t xml:space="preserve"> argument gaat </w:t>
      </w:r>
      <w:r w:rsidR="00411079">
        <w:rPr>
          <w:rFonts w:ascii="Verdana" w:eastAsia="Times New Roman" w:hAnsi="Verdana"/>
          <w:sz w:val="18"/>
          <w:szCs w:val="18"/>
          <w:lang w:eastAsia="nl-NL"/>
        </w:rPr>
        <w:t xml:space="preserve">telkens </w:t>
      </w:r>
      <w:r w:rsidR="009F450D">
        <w:rPr>
          <w:rFonts w:ascii="Verdana" w:eastAsia="Times New Roman" w:hAnsi="Verdana"/>
          <w:sz w:val="18"/>
          <w:szCs w:val="18"/>
          <w:lang w:eastAsia="nl-NL"/>
        </w:rPr>
        <w:t>samen met de voorwaarde</w:t>
      </w:r>
      <w:r w:rsidR="005377E5">
        <w:rPr>
          <w:rFonts w:ascii="Verdana" w:eastAsia="Times New Roman" w:hAnsi="Verdana"/>
          <w:sz w:val="18"/>
          <w:szCs w:val="18"/>
          <w:lang w:eastAsia="nl-NL"/>
        </w:rPr>
        <w:t xml:space="preserve"> dat </w:t>
      </w:r>
      <w:r w:rsidR="002012ED">
        <w:rPr>
          <w:rFonts w:ascii="Verdana" w:eastAsia="Times New Roman" w:hAnsi="Verdana"/>
          <w:sz w:val="18"/>
          <w:szCs w:val="18"/>
          <w:lang w:eastAsia="nl-NL"/>
        </w:rPr>
        <w:t>de weigering, niet-verlenging of intrekking van de verblijfsvergunning</w:t>
      </w:r>
      <w:r w:rsidR="005377E5">
        <w:rPr>
          <w:rFonts w:ascii="Verdana" w:eastAsia="Times New Roman" w:hAnsi="Verdana"/>
          <w:sz w:val="18"/>
          <w:szCs w:val="18"/>
          <w:lang w:eastAsia="nl-NL"/>
        </w:rPr>
        <w:t xml:space="preserve"> waartegen de vreemdeling beroep indient, gebaseerd moet zijn op het Unierecht. </w:t>
      </w:r>
      <w:r w:rsidR="00562293">
        <w:rPr>
          <w:rFonts w:ascii="Verdana" w:eastAsia="Times New Roman" w:hAnsi="Verdana"/>
          <w:sz w:val="18"/>
          <w:szCs w:val="18"/>
          <w:lang w:eastAsia="nl-NL"/>
        </w:rPr>
        <w:t>Zodra het Unierecht van toepassing is, moet de bestuursrechter immers optreden als Unierechter en het besluit vol toetsen.</w:t>
      </w:r>
      <w:r w:rsidR="009B77F0">
        <w:rPr>
          <w:rFonts w:ascii="Verdana" w:eastAsia="Times New Roman" w:hAnsi="Verdana"/>
          <w:sz w:val="18"/>
          <w:szCs w:val="18"/>
          <w:lang w:eastAsia="nl-NL"/>
        </w:rPr>
        <w:t xml:space="preserve"> </w:t>
      </w:r>
      <w:r w:rsidR="005826B1">
        <w:rPr>
          <w:rFonts w:ascii="Verdana" w:eastAsia="Times New Roman" w:hAnsi="Verdana"/>
          <w:sz w:val="18"/>
          <w:szCs w:val="18"/>
          <w:lang w:eastAsia="nl-NL"/>
        </w:rPr>
        <w:t xml:space="preserve">Inmiddels wordt een groot deel van het migratierecht beheerst door het Unierecht, wat ook meteen impliceert dat de bestuursrechter in veel zaken deze volle toets moet uitvoeren. </w:t>
      </w:r>
      <w:r w:rsidR="008C3145">
        <w:rPr>
          <w:rFonts w:ascii="Verdana" w:eastAsia="Times New Roman" w:hAnsi="Verdana"/>
          <w:sz w:val="18"/>
          <w:szCs w:val="18"/>
          <w:lang w:eastAsia="nl-NL"/>
        </w:rPr>
        <w:t xml:space="preserve">Wanneer het Unierecht al dan niet van toepassing is licht echter in veel gevallen niet voor de hand. Daarbij wordt momenteel bijvoorbeeld ten aanzien van de verblijfsvergunning regulier voor onbepaalde tijd (door de IND) niet aangenomen dat het Unierecht van toepassing is. Uit dit onderzoek is echter gebleken dat </w:t>
      </w:r>
      <w:r w:rsidR="007300C8">
        <w:rPr>
          <w:rFonts w:ascii="Verdana" w:eastAsia="Times New Roman" w:hAnsi="Verdana"/>
          <w:sz w:val="18"/>
          <w:szCs w:val="18"/>
          <w:lang w:eastAsia="nl-NL"/>
        </w:rPr>
        <w:t>dit wel het geval is. De motiveringen zullen hieronder worden uiteengezet:</w:t>
      </w:r>
      <w:r w:rsidR="008C3145">
        <w:rPr>
          <w:rFonts w:ascii="Verdana" w:eastAsia="Times New Roman" w:hAnsi="Verdana"/>
          <w:sz w:val="18"/>
          <w:szCs w:val="18"/>
          <w:lang w:eastAsia="nl-NL"/>
        </w:rPr>
        <w:t xml:space="preserve"> </w:t>
      </w:r>
    </w:p>
    <w:p w14:paraId="2E8D7BCA" w14:textId="58169A77" w:rsidR="00C5359A" w:rsidRPr="008C3145" w:rsidRDefault="00F32FF0" w:rsidP="008C3145">
      <w:pPr>
        <w:pStyle w:val="Lijstalinea"/>
        <w:numPr>
          <w:ilvl w:val="0"/>
          <w:numId w:val="24"/>
        </w:numPr>
        <w:spacing w:line="360" w:lineRule="auto"/>
        <w:jc w:val="both"/>
        <w:rPr>
          <w:rFonts w:ascii="Verdana" w:eastAsia="Times New Roman" w:hAnsi="Verdana"/>
          <w:sz w:val="18"/>
          <w:szCs w:val="18"/>
          <w:lang w:eastAsia="nl-NL"/>
        </w:rPr>
      </w:pPr>
      <w:r>
        <w:rPr>
          <w:rFonts w:ascii="Verdana" w:eastAsia="Times New Roman" w:hAnsi="Verdana"/>
          <w:sz w:val="18"/>
          <w:szCs w:val="18"/>
          <w:lang w:eastAsia="nl-NL"/>
        </w:rPr>
        <w:t>Indien het</w:t>
      </w:r>
      <w:r w:rsidR="00F304AE">
        <w:rPr>
          <w:rFonts w:ascii="Verdana" w:eastAsia="Times New Roman" w:hAnsi="Verdana"/>
          <w:sz w:val="18"/>
          <w:szCs w:val="18"/>
          <w:lang w:eastAsia="nl-NL"/>
        </w:rPr>
        <w:t xml:space="preserve"> </w:t>
      </w:r>
      <w:r>
        <w:rPr>
          <w:rFonts w:ascii="Verdana" w:eastAsia="Times New Roman" w:hAnsi="Verdana"/>
          <w:sz w:val="18"/>
          <w:szCs w:val="18"/>
          <w:lang w:eastAsia="nl-NL"/>
        </w:rPr>
        <w:t>gaat</w:t>
      </w:r>
      <w:r w:rsidR="007036C1">
        <w:rPr>
          <w:rFonts w:ascii="Verdana" w:eastAsia="Times New Roman" w:hAnsi="Verdana"/>
          <w:sz w:val="18"/>
          <w:szCs w:val="18"/>
          <w:lang w:eastAsia="nl-NL"/>
        </w:rPr>
        <w:t xml:space="preserve"> om een</w:t>
      </w:r>
      <w:r w:rsidR="006C305C" w:rsidRPr="008C3145">
        <w:rPr>
          <w:rFonts w:ascii="Verdana" w:eastAsia="Times New Roman" w:hAnsi="Verdana"/>
          <w:sz w:val="18"/>
          <w:szCs w:val="18"/>
          <w:lang w:eastAsia="nl-NL"/>
        </w:rPr>
        <w:t xml:space="preserve"> verblijfsvergunning regulier voor bepaalde tijd </w:t>
      </w:r>
      <w:r w:rsidR="002862A4">
        <w:rPr>
          <w:rFonts w:ascii="Verdana" w:eastAsia="Times New Roman" w:hAnsi="Verdana"/>
          <w:sz w:val="18"/>
          <w:szCs w:val="18"/>
          <w:lang w:eastAsia="nl-NL"/>
        </w:rPr>
        <w:t xml:space="preserve">in de zin van artikel </w:t>
      </w:r>
      <w:r w:rsidR="00F304AE">
        <w:rPr>
          <w:rFonts w:ascii="Verdana" w:eastAsia="Times New Roman" w:hAnsi="Verdana"/>
          <w:sz w:val="18"/>
          <w:szCs w:val="18"/>
          <w:lang w:eastAsia="nl-NL"/>
        </w:rPr>
        <w:t xml:space="preserve">28 Vw 2000 juncto </w:t>
      </w:r>
      <w:r w:rsidR="002862A4">
        <w:rPr>
          <w:rFonts w:ascii="Verdana" w:eastAsia="Times New Roman" w:hAnsi="Verdana"/>
          <w:sz w:val="18"/>
          <w:szCs w:val="18"/>
          <w:lang w:eastAsia="nl-NL"/>
        </w:rPr>
        <w:t>3.4 Vb 2000</w:t>
      </w:r>
      <w:r w:rsidR="00411D80">
        <w:rPr>
          <w:rFonts w:ascii="Verdana" w:eastAsia="Times New Roman" w:hAnsi="Verdana"/>
          <w:sz w:val="18"/>
          <w:szCs w:val="18"/>
          <w:lang w:eastAsia="nl-NL"/>
        </w:rPr>
        <w:t>,</w:t>
      </w:r>
      <w:r w:rsidR="002862A4">
        <w:rPr>
          <w:rFonts w:ascii="Verdana" w:eastAsia="Times New Roman" w:hAnsi="Verdana"/>
          <w:sz w:val="18"/>
          <w:szCs w:val="18"/>
          <w:lang w:eastAsia="nl-NL"/>
        </w:rPr>
        <w:t xml:space="preserve"> </w:t>
      </w:r>
      <w:r w:rsidR="006C305C" w:rsidRPr="008C3145">
        <w:rPr>
          <w:rFonts w:ascii="Verdana" w:eastAsia="Times New Roman" w:hAnsi="Verdana"/>
          <w:sz w:val="18"/>
          <w:szCs w:val="18"/>
          <w:lang w:eastAsia="nl-NL"/>
        </w:rPr>
        <w:t>wordt geadviseerd om bijlage 2</w:t>
      </w:r>
      <w:r w:rsidR="007300C8">
        <w:rPr>
          <w:rFonts w:ascii="Verdana" w:eastAsia="Times New Roman" w:hAnsi="Verdana"/>
          <w:sz w:val="18"/>
          <w:szCs w:val="18"/>
          <w:lang w:eastAsia="nl-NL"/>
        </w:rPr>
        <w:t xml:space="preserve"> van dit onderzoek</w:t>
      </w:r>
      <w:r w:rsidR="006C305C" w:rsidRPr="008C3145">
        <w:rPr>
          <w:rFonts w:ascii="Verdana" w:eastAsia="Times New Roman" w:hAnsi="Verdana"/>
          <w:sz w:val="18"/>
          <w:szCs w:val="18"/>
          <w:lang w:eastAsia="nl-NL"/>
        </w:rPr>
        <w:t xml:space="preserve"> te betrekken bij de argumentatie.</w:t>
      </w:r>
      <w:r w:rsidR="000515E0" w:rsidRPr="008C3145">
        <w:rPr>
          <w:rFonts w:ascii="Verdana" w:eastAsia="Times New Roman" w:hAnsi="Verdana"/>
          <w:sz w:val="18"/>
          <w:szCs w:val="18"/>
          <w:lang w:eastAsia="nl-NL"/>
        </w:rPr>
        <w:t xml:space="preserve"> Dit is inmiddels een belangrijke lijst, waaruit </w:t>
      </w:r>
      <w:r w:rsidR="00091116">
        <w:rPr>
          <w:rFonts w:ascii="Verdana" w:eastAsia="Times New Roman" w:hAnsi="Verdana"/>
          <w:sz w:val="18"/>
          <w:szCs w:val="18"/>
          <w:lang w:eastAsia="nl-NL"/>
        </w:rPr>
        <w:t xml:space="preserve">duidelijk per verblijfsvergunning </w:t>
      </w:r>
      <w:r w:rsidR="000515E0" w:rsidRPr="008C3145">
        <w:rPr>
          <w:rFonts w:ascii="Verdana" w:eastAsia="Times New Roman" w:hAnsi="Verdana"/>
          <w:sz w:val="18"/>
          <w:szCs w:val="18"/>
          <w:lang w:eastAsia="nl-NL"/>
        </w:rPr>
        <w:t>blijkt</w:t>
      </w:r>
      <w:r w:rsidR="00915D1F" w:rsidRPr="008C3145">
        <w:rPr>
          <w:rFonts w:ascii="Verdana" w:eastAsia="Times New Roman" w:hAnsi="Verdana"/>
          <w:sz w:val="18"/>
          <w:szCs w:val="18"/>
          <w:lang w:eastAsia="nl-NL"/>
        </w:rPr>
        <w:t xml:space="preserve"> welke richtlijn</w:t>
      </w:r>
      <w:r w:rsidR="000515E0" w:rsidRPr="008C3145">
        <w:rPr>
          <w:rFonts w:ascii="Verdana" w:eastAsia="Times New Roman" w:hAnsi="Verdana"/>
          <w:sz w:val="18"/>
          <w:szCs w:val="18"/>
          <w:lang w:eastAsia="nl-NL"/>
        </w:rPr>
        <w:t xml:space="preserve"> al dan niet van toepassing is.</w:t>
      </w:r>
    </w:p>
    <w:p w14:paraId="7351EAEA" w14:textId="77777777" w:rsidR="00B95358" w:rsidRPr="00B95358" w:rsidRDefault="00B95358" w:rsidP="00B95358">
      <w:pPr>
        <w:pStyle w:val="Lijstalinea"/>
        <w:spacing w:line="360" w:lineRule="auto"/>
        <w:jc w:val="both"/>
        <w:rPr>
          <w:rFonts w:ascii="Verdana" w:eastAsia="Times New Roman" w:hAnsi="Verdana"/>
          <w:sz w:val="18"/>
          <w:szCs w:val="18"/>
          <w:lang w:eastAsia="nl-NL"/>
        </w:rPr>
      </w:pPr>
    </w:p>
    <w:p w14:paraId="4904D505" w14:textId="2321B6C1" w:rsidR="0057174A" w:rsidRDefault="00617F90" w:rsidP="00C5359A">
      <w:pPr>
        <w:pStyle w:val="Lijstalinea"/>
        <w:numPr>
          <w:ilvl w:val="0"/>
          <w:numId w:val="21"/>
        </w:numPr>
        <w:spacing w:line="360" w:lineRule="auto"/>
        <w:jc w:val="both"/>
        <w:rPr>
          <w:rFonts w:ascii="Verdana" w:eastAsia="Times New Roman" w:hAnsi="Verdana"/>
          <w:sz w:val="18"/>
          <w:szCs w:val="18"/>
          <w:lang w:eastAsia="nl-NL"/>
        </w:rPr>
      </w:pPr>
      <w:r>
        <w:rPr>
          <w:rFonts w:ascii="Verdana" w:eastAsia="Times New Roman" w:hAnsi="Verdana"/>
          <w:sz w:val="18"/>
          <w:szCs w:val="18"/>
          <w:lang w:eastAsia="nl-NL"/>
        </w:rPr>
        <w:t>Bij de hierboven ge</w:t>
      </w:r>
      <w:r w:rsidR="00DD16CB">
        <w:rPr>
          <w:rFonts w:ascii="Verdana" w:eastAsia="Times New Roman" w:hAnsi="Verdana"/>
          <w:sz w:val="18"/>
          <w:szCs w:val="18"/>
          <w:lang w:eastAsia="nl-NL"/>
        </w:rPr>
        <w:t>noemde verblijfsvergunningen was</w:t>
      </w:r>
      <w:r>
        <w:rPr>
          <w:rFonts w:ascii="Verdana" w:eastAsia="Times New Roman" w:hAnsi="Verdana"/>
          <w:sz w:val="18"/>
          <w:szCs w:val="18"/>
          <w:lang w:eastAsia="nl-NL"/>
        </w:rPr>
        <w:t xml:space="preserve"> het reeds duidelijk welke verblijfsvergunningen beheerst worden door het Unierecht. Bij de verblijfsvergunning regulier voor onbepaalde tijd </w:t>
      </w:r>
      <w:r w:rsidR="00F304AE">
        <w:rPr>
          <w:rFonts w:ascii="Verdana" w:eastAsia="Times New Roman" w:hAnsi="Verdana"/>
          <w:sz w:val="18"/>
          <w:szCs w:val="18"/>
          <w:lang w:eastAsia="nl-NL"/>
        </w:rPr>
        <w:t xml:space="preserve">in de zin van artikel 20 Vw 2000 </w:t>
      </w:r>
      <w:r w:rsidR="00693A22">
        <w:rPr>
          <w:rFonts w:ascii="Verdana" w:eastAsia="Times New Roman" w:hAnsi="Verdana"/>
          <w:sz w:val="18"/>
          <w:szCs w:val="18"/>
          <w:lang w:eastAsia="nl-NL"/>
        </w:rPr>
        <w:t>werd tot heden echter altijd ontkent dat</w:t>
      </w:r>
      <w:r w:rsidR="00D72248">
        <w:rPr>
          <w:rFonts w:ascii="Verdana" w:eastAsia="Times New Roman" w:hAnsi="Verdana"/>
          <w:sz w:val="18"/>
          <w:szCs w:val="18"/>
          <w:lang w:eastAsia="nl-NL"/>
        </w:rPr>
        <w:t xml:space="preserve"> het Unierecht van toepassing is</w:t>
      </w:r>
      <w:r w:rsidR="0057174A">
        <w:rPr>
          <w:rFonts w:ascii="Verdana" w:eastAsia="Times New Roman" w:hAnsi="Verdana"/>
          <w:sz w:val="18"/>
          <w:szCs w:val="18"/>
          <w:lang w:eastAsia="nl-NL"/>
        </w:rPr>
        <w:t xml:space="preserve"> in procedures met betrekking tot de intrekking, niet-verlenging of weigering van deze verblijfsvergunning en de oplegging van het terugkeerbesluit in verband met schending van de openbare orde. Reden hiervoor is dat voornoemde verblijfsvergunning wordt gezien als een nationale status, die apert valt onder het nationale recht.</w:t>
      </w:r>
    </w:p>
    <w:p w14:paraId="0060F849" w14:textId="77777777" w:rsidR="0057174A" w:rsidRDefault="0057174A" w:rsidP="0057174A">
      <w:pPr>
        <w:pStyle w:val="Lijstalinea"/>
        <w:spacing w:line="360" w:lineRule="auto"/>
        <w:jc w:val="both"/>
        <w:rPr>
          <w:rFonts w:ascii="Verdana" w:eastAsia="Times New Roman" w:hAnsi="Verdana"/>
          <w:sz w:val="18"/>
          <w:szCs w:val="18"/>
          <w:lang w:eastAsia="nl-NL"/>
        </w:rPr>
      </w:pPr>
    </w:p>
    <w:p w14:paraId="0D200CD8" w14:textId="4A71FA06" w:rsidR="00617F90" w:rsidRDefault="0061727D" w:rsidP="0062654F">
      <w:pPr>
        <w:pStyle w:val="Lijstalinea"/>
        <w:spacing w:line="360" w:lineRule="auto"/>
        <w:jc w:val="both"/>
        <w:rPr>
          <w:rFonts w:ascii="Verdana" w:eastAsia="Times New Roman" w:hAnsi="Verdana"/>
          <w:sz w:val="18"/>
          <w:szCs w:val="18"/>
          <w:lang w:eastAsia="nl-NL"/>
        </w:rPr>
      </w:pPr>
      <w:r>
        <w:rPr>
          <w:rFonts w:ascii="Verdana" w:eastAsia="Times New Roman" w:hAnsi="Verdana"/>
          <w:sz w:val="18"/>
          <w:szCs w:val="18"/>
          <w:lang w:eastAsia="nl-NL"/>
        </w:rPr>
        <w:t>Geconcludeerd wordt dat</w:t>
      </w:r>
      <w:r w:rsidR="0062654F">
        <w:rPr>
          <w:rFonts w:ascii="Verdana" w:eastAsia="Times New Roman" w:hAnsi="Verdana"/>
          <w:sz w:val="18"/>
          <w:szCs w:val="18"/>
          <w:lang w:eastAsia="nl-NL"/>
        </w:rPr>
        <w:t xml:space="preserve"> voornoemde redenering niet klopt en dat ook deze verblijfsvergunning</w:t>
      </w:r>
      <w:r w:rsidR="0057174A" w:rsidRPr="0062654F">
        <w:rPr>
          <w:rFonts w:ascii="Verdana" w:eastAsia="Times New Roman" w:hAnsi="Verdana"/>
          <w:sz w:val="18"/>
          <w:szCs w:val="18"/>
          <w:lang w:eastAsia="nl-NL"/>
        </w:rPr>
        <w:t xml:space="preserve"> beheerst </w:t>
      </w:r>
      <w:r w:rsidR="0062654F">
        <w:rPr>
          <w:rFonts w:ascii="Verdana" w:eastAsia="Times New Roman" w:hAnsi="Verdana"/>
          <w:sz w:val="18"/>
          <w:szCs w:val="18"/>
          <w:lang w:eastAsia="nl-NL"/>
        </w:rPr>
        <w:t xml:space="preserve">wordt </w:t>
      </w:r>
      <w:r w:rsidR="0057174A" w:rsidRPr="0062654F">
        <w:rPr>
          <w:rFonts w:ascii="Verdana" w:eastAsia="Times New Roman" w:hAnsi="Verdana"/>
          <w:sz w:val="18"/>
          <w:szCs w:val="18"/>
          <w:lang w:eastAsia="nl-NL"/>
        </w:rPr>
        <w:t>door het Unierecht.</w:t>
      </w:r>
      <w:r w:rsidR="000D1ED0">
        <w:rPr>
          <w:rFonts w:ascii="Verdana" w:eastAsia="Times New Roman" w:hAnsi="Verdana"/>
          <w:sz w:val="18"/>
          <w:szCs w:val="18"/>
          <w:lang w:eastAsia="nl-NL"/>
        </w:rPr>
        <w:t xml:space="preserve"> Regel is namelijk dat bij de verblijfsvergunning voor langdurig ingezetene</w:t>
      </w:r>
      <w:r w:rsidR="00411D80">
        <w:rPr>
          <w:rFonts w:ascii="Verdana" w:eastAsia="Times New Roman" w:hAnsi="Verdana"/>
          <w:sz w:val="18"/>
          <w:szCs w:val="18"/>
          <w:lang w:eastAsia="nl-NL"/>
        </w:rPr>
        <w:t>,</w:t>
      </w:r>
      <w:r w:rsidR="000D1ED0">
        <w:rPr>
          <w:rFonts w:ascii="Verdana" w:eastAsia="Times New Roman" w:hAnsi="Verdana"/>
          <w:sz w:val="18"/>
          <w:szCs w:val="18"/>
          <w:lang w:eastAsia="nl-NL"/>
        </w:rPr>
        <w:t xml:space="preserve"> als bedoeld in artikel </w:t>
      </w:r>
      <w:r w:rsidR="00411D80">
        <w:rPr>
          <w:rFonts w:ascii="Verdana" w:eastAsia="Times New Roman" w:hAnsi="Verdana"/>
          <w:sz w:val="18"/>
          <w:szCs w:val="18"/>
          <w:lang w:eastAsia="nl-NL"/>
        </w:rPr>
        <w:t xml:space="preserve">45a Vw 2000, </w:t>
      </w:r>
      <w:r w:rsidR="000D1ED0">
        <w:rPr>
          <w:rFonts w:ascii="Verdana" w:eastAsia="Times New Roman" w:hAnsi="Verdana"/>
          <w:sz w:val="18"/>
          <w:szCs w:val="18"/>
          <w:lang w:eastAsia="nl-NL"/>
        </w:rPr>
        <w:t>het Unierecht per definitie van toepassing is, nu deze titel werd ingevoerd in de Vw 2000 bij de implementatie van de Richtlijn</w:t>
      </w:r>
      <w:r w:rsidR="00E57AB1">
        <w:rPr>
          <w:rFonts w:ascii="Verdana" w:eastAsia="Times New Roman" w:hAnsi="Verdana"/>
          <w:sz w:val="18"/>
          <w:szCs w:val="18"/>
          <w:lang w:eastAsia="nl-NL"/>
        </w:rPr>
        <w:t xml:space="preserve"> langdurig ingezetene. Derhalve wordt bij deze verblijfsvergunningen </w:t>
      </w:r>
      <w:r w:rsidR="000432A3">
        <w:rPr>
          <w:rFonts w:ascii="Verdana" w:eastAsia="Times New Roman" w:hAnsi="Verdana"/>
          <w:sz w:val="18"/>
          <w:szCs w:val="18"/>
          <w:lang w:eastAsia="nl-NL"/>
        </w:rPr>
        <w:t>in procedures met betrekking tot verblijfsaanspraken en terugkeerbesluiten die te maken hebben met openbare-ordeschending wé</w:t>
      </w:r>
      <w:r w:rsidR="00E57AB1">
        <w:rPr>
          <w:rFonts w:ascii="Verdana" w:eastAsia="Times New Roman" w:hAnsi="Verdana"/>
          <w:sz w:val="18"/>
          <w:szCs w:val="18"/>
          <w:lang w:eastAsia="nl-NL"/>
        </w:rPr>
        <w:t xml:space="preserve">l altijd </w:t>
      </w:r>
      <w:r w:rsidR="000432A3">
        <w:rPr>
          <w:rFonts w:ascii="Verdana" w:eastAsia="Times New Roman" w:hAnsi="Verdana"/>
          <w:sz w:val="18"/>
          <w:szCs w:val="18"/>
          <w:lang w:eastAsia="nl-NL"/>
        </w:rPr>
        <w:t xml:space="preserve">getoetst aan het Unierecht.  </w:t>
      </w:r>
    </w:p>
    <w:p w14:paraId="1191A607" w14:textId="77777777" w:rsidR="000432A3" w:rsidRDefault="000432A3" w:rsidP="0062654F">
      <w:pPr>
        <w:pStyle w:val="Lijstalinea"/>
        <w:spacing w:line="360" w:lineRule="auto"/>
        <w:jc w:val="both"/>
        <w:rPr>
          <w:rFonts w:ascii="Verdana" w:eastAsia="Times New Roman" w:hAnsi="Verdana"/>
          <w:sz w:val="18"/>
          <w:szCs w:val="18"/>
          <w:lang w:eastAsia="nl-NL"/>
        </w:rPr>
      </w:pPr>
    </w:p>
    <w:p w14:paraId="1B9B18F6" w14:textId="7C128257" w:rsidR="000432A3" w:rsidRDefault="004B101D" w:rsidP="0062654F">
      <w:pPr>
        <w:pStyle w:val="Lijstalinea"/>
        <w:spacing w:line="360" w:lineRule="auto"/>
        <w:jc w:val="both"/>
        <w:rPr>
          <w:rFonts w:ascii="Verdana" w:eastAsia="Times New Roman" w:hAnsi="Verdana"/>
          <w:sz w:val="18"/>
          <w:szCs w:val="18"/>
          <w:lang w:eastAsia="nl-NL"/>
        </w:rPr>
      </w:pPr>
      <w:r>
        <w:rPr>
          <w:rFonts w:ascii="Verdana" w:eastAsia="Times New Roman" w:hAnsi="Verdana"/>
          <w:sz w:val="18"/>
          <w:szCs w:val="18"/>
          <w:lang w:eastAsia="nl-NL"/>
        </w:rPr>
        <w:t xml:space="preserve">Artikel 20 lid 1 onder c Vw 2000 schrijft voor dat ambtshalve een verblijfsvergunning voor onbepaalde tijd wordt verleend aan de vreemdeling wiens EU-verblijfsvergunning voor langdurig ingezetene is ingetrokken op gronden van openbare orde. </w:t>
      </w:r>
      <w:r w:rsidR="00726D58">
        <w:rPr>
          <w:rFonts w:ascii="Verdana" w:eastAsia="Times New Roman" w:hAnsi="Verdana"/>
          <w:sz w:val="18"/>
          <w:szCs w:val="18"/>
          <w:lang w:eastAsia="nl-NL"/>
        </w:rPr>
        <w:t>In dit kader is van eminent belang dat voornoemde bepaling in de Vw 2000 een omzetting is van artikel 9 Richtlijn langdurig ingezetene. Hierdo</w:t>
      </w:r>
      <w:r w:rsidR="00013E3B">
        <w:rPr>
          <w:rFonts w:ascii="Verdana" w:eastAsia="Times New Roman" w:hAnsi="Verdana"/>
          <w:sz w:val="18"/>
          <w:szCs w:val="18"/>
          <w:lang w:eastAsia="nl-NL"/>
        </w:rPr>
        <w:t xml:space="preserve">or kan </w:t>
      </w:r>
      <w:r w:rsidR="003F140F">
        <w:rPr>
          <w:rFonts w:ascii="Verdana" w:eastAsia="Times New Roman" w:hAnsi="Verdana"/>
          <w:sz w:val="18"/>
          <w:szCs w:val="18"/>
          <w:lang w:eastAsia="nl-NL"/>
        </w:rPr>
        <w:t xml:space="preserve">simpelweg </w:t>
      </w:r>
      <w:r w:rsidR="00013E3B">
        <w:rPr>
          <w:rFonts w:ascii="Verdana" w:eastAsia="Times New Roman" w:hAnsi="Verdana"/>
          <w:sz w:val="18"/>
          <w:szCs w:val="18"/>
          <w:lang w:eastAsia="nl-NL"/>
        </w:rPr>
        <w:t xml:space="preserve">niet meer worden </w:t>
      </w:r>
      <w:r w:rsidR="003F140F">
        <w:rPr>
          <w:rFonts w:ascii="Verdana" w:eastAsia="Times New Roman" w:hAnsi="Verdana"/>
          <w:sz w:val="18"/>
          <w:szCs w:val="18"/>
          <w:lang w:eastAsia="nl-NL"/>
        </w:rPr>
        <w:t>ontkend</w:t>
      </w:r>
      <w:r w:rsidR="00013E3B">
        <w:rPr>
          <w:rFonts w:ascii="Verdana" w:eastAsia="Times New Roman" w:hAnsi="Verdana"/>
          <w:sz w:val="18"/>
          <w:szCs w:val="18"/>
          <w:lang w:eastAsia="nl-NL"/>
        </w:rPr>
        <w:t xml:space="preserve"> dat het Unierecht niet van toepassing is. </w:t>
      </w:r>
      <w:r w:rsidR="00654FFD">
        <w:rPr>
          <w:rFonts w:ascii="Verdana" w:eastAsia="Times New Roman" w:hAnsi="Verdana"/>
          <w:sz w:val="18"/>
          <w:szCs w:val="18"/>
          <w:lang w:eastAsia="nl-NL"/>
        </w:rPr>
        <w:t xml:space="preserve">In conclusie zal de </w:t>
      </w:r>
      <w:r w:rsidR="004505A8">
        <w:rPr>
          <w:rFonts w:ascii="Verdana" w:eastAsia="Times New Roman" w:hAnsi="Verdana"/>
          <w:sz w:val="18"/>
          <w:szCs w:val="18"/>
          <w:lang w:eastAsia="nl-NL"/>
        </w:rPr>
        <w:t xml:space="preserve">bestuursrechter </w:t>
      </w:r>
      <w:r w:rsidR="00071B30">
        <w:rPr>
          <w:rFonts w:ascii="Verdana" w:eastAsia="Times New Roman" w:hAnsi="Verdana"/>
          <w:sz w:val="18"/>
          <w:szCs w:val="18"/>
          <w:lang w:eastAsia="nl-NL"/>
        </w:rPr>
        <w:t>ook de nationale status voor onbepaalde tijd moeten beoordelen als een status die beheerst wordt door het Unierecht.</w:t>
      </w:r>
      <w:r w:rsidR="00AB4E63">
        <w:rPr>
          <w:rFonts w:ascii="Verdana" w:eastAsia="Times New Roman" w:hAnsi="Verdana"/>
          <w:sz w:val="18"/>
          <w:szCs w:val="18"/>
          <w:lang w:eastAsia="nl-NL"/>
        </w:rPr>
        <w:t xml:space="preserve"> Anders dan tot nu toe, zullen de verblijfsaanspraken en terugkeerbesluiten in </w:t>
      </w:r>
      <w:r w:rsidR="00AB4E63">
        <w:rPr>
          <w:rFonts w:ascii="Verdana" w:eastAsia="Times New Roman" w:hAnsi="Verdana"/>
          <w:sz w:val="18"/>
          <w:szCs w:val="18"/>
          <w:lang w:eastAsia="nl-NL"/>
        </w:rPr>
        <w:lastRenderedPageBreak/>
        <w:t>beroepsprocedures met betrekking tot de openbare orde vol getoetst moeten worden aan het Unierecht.</w:t>
      </w:r>
    </w:p>
    <w:p w14:paraId="601DB48A" w14:textId="77777777" w:rsidR="00AB4E63" w:rsidRDefault="00AB4E63" w:rsidP="0062654F">
      <w:pPr>
        <w:pStyle w:val="Lijstalinea"/>
        <w:spacing w:line="360" w:lineRule="auto"/>
        <w:jc w:val="both"/>
        <w:rPr>
          <w:rFonts w:ascii="Verdana" w:eastAsia="Times New Roman" w:hAnsi="Verdana"/>
          <w:sz w:val="18"/>
          <w:szCs w:val="18"/>
          <w:lang w:eastAsia="nl-NL"/>
        </w:rPr>
      </w:pPr>
    </w:p>
    <w:p w14:paraId="169FE8A4" w14:textId="19190D21" w:rsidR="00617F90" w:rsidRDefault="00153DCA" w:rsidP="00A76EE8">
      <w:pPr>
        <w:pStyle w:val="Lijstalinea"/>
        <w:numPr>
          <w:ilvl w:val="0"/>
          <w:numId w:val="21"/>
        </w:numPr>
        <w:spacing w:line="360" w:lineRule="auto"/>
        <w:jc w:val="both"/>
        <w:rPr>
          <w:rFonts w:ascii="Verdana" w:eastAsia="Times New Roman" w:hAnsi="Verdana"/>
          <w:sz w:val="18"/>
          <w:szCs w:val="18"/>
          <w:lang w:eastAsia="nl-NL"/>
        </w:rPr>
      </w:pPr>
      <w:r>
        <w:rPr>
          <w:rFonts w:ascii="Verdana" w:eastAsia="Times New Roman" w:hAnsi="Verdana"/>
          <w:sz w:val="18"/>
          <w:szCs w:val="18"/>
          <w:lang w:eastAsia="nl-NL"/>
        </w:rPr>
        <w:t>Ten aanzien van de verblijfsvergun</w:t>
      </w:r>
      <w:r w:rsidR="003C1B3B">
        <w:rPr>
          <w:rFonts w:ascii="Verdana" w:eastAsia="Times New Roman" w:hAnsi="Verdana"/>
          <w:sz w:val="18"/>
          <w:szCs w:val="18"/>
          <w:lang w:eastAsia="nl-NL"/>
        </w:rPr>
        <w:t>ning asiel voor onbepaalde tijd, als bed</w:t>
      </w:r>
      <w:r w:rsidR="007A2C3B">
        <w:rPr>
          <w:rFonts w:ascii="Verdana" w:eastAsia="Times New Roman" w:hAnsi="Verdana"/>
          <w:sz w:val="18"/>
          <w:szCs w:val="18"/>
          <w:lang w:eastAsia="nl-NL"/>
        </w:rPr>
        <w:t xml:space="preserve">oeld in artikel 28 Vw 2000, </w:t>
      </w:r>
      <w:r w:rsidR="009B442C">
        <w:rPr>
          <w:rFonts w:ascii="Verdana" w:eastAsia="Times New Roman" w:hAnsi="Verdana"/>
          <w:sz w:val="18"/>
          <w:szCs w:val="18"/>
          <w:lang w:eastAsia="nl-NL"/>
        </w:rPr>
        <w:t>wordt het Unierecht</w:t>
      </w:r>
      <w:r w:rsidR="00CD6CF8">
        <w:rPr>
          <w:rFonts w:ascii="Verdana" w:eastAsia="Times New Roman" w:hAnsi="Verdana"/>
          <w:sz w:val="18"/>
          <w:szCs w:val="18"/>
          <w:lang w:eastAsia="nl-NL"/>
        </w:rPr>
        <w:t xml:space="preserve"> momenteel door de IND</w:t>
      </w:r>
      <w:r w:rsidR="009B442C">
        <w:rPr>
          <w:rFonts w:ascii="Verdana" w:eastAsia="Times New Roman" w:hAnsi="Verdana"/>
          <w:sz w:val="18"/>
          <w:szCs w:val="18"/>
          <w:lang w:eastAsia="nl-NL"/>
        </w:rPr>
        <w:t xml:space="preserve"> </w:t>
      </w:r>
      <w:r w:rsidR="00572493" w:rsidRPr="00C92D88">
        <w:rPr>
          <w:rFonts w:ascii="Verdana" w:eastAsia="Times New Roman" w:hAnsi="Verdana"/>
          <w:i/>
          <w:sz w:val="18"/>
          <w:szCs w:val="18"/>
          <w:lang w:eastAsia="nl-NL"/>
        </w:rPr>
        <w:t>‘</w:t>
      </w:r>
      <w:r w:rsidR="00CD6CF8">
        <w:rPr>
          <w:rFonts w:ascii="Verdana" w:eastAsia="Times New Roman" w:hAnsi="Verdana"/>
          <w:i/>
          <w:sz w:val="18"/>
          <w:szCs w:val="18"/>
          <w:lang w:eastAsia="nl-NL"/>
        </w:rPr>
        <w:t>wegens een</w:t>
      </w:r>
      <w:r w:rsidR="00572493" w:rsidRPr="00C92D88">
        <w:rPr>
          <w:rFonts w:ascii="Verdana" w:eastAsia="Times New Roman" w:hAnsi="Verdana"/>
          <w:i/>
          <w:sz w:val="18"/>
          <w:szCs w:val="18"/>
          <w:lang w:eastAsia="nl-NL"/>
        </w:rPr>
        <w:t xml:space="preserve"> </w:t>
      </w:r>
      <w:r w:rsidR="00C92D88" w:rsidRPr="00C92D88">
        <w:rPr>
          <w:rFonts w:ascii="Verdana" w:eastAsia="Times New Roman" w:hAnsi="Verdana"/>
          <w:i/>
          <w:sz w:val="18"/>
          <w:szCs w:val="18"/>
          <w:lang w:eastAsia="nl-NL"/>
        </w:rPr>
        <w:t>beleidsmatige</w:t>
      </w:r>
      <w:r w:rsidR="00CD6CF8">
        <w:rPr>
          <w:rFonts w:ascii="Verdana" w:eastAsia="Times New Roman" w:hAnsi="Verdana"/>
          <w:i/>
          <w:sz w:val="18"/>
          <w:szCs w:val="18"/>
          <w:lang w:eastAsia="nl-NL"/>
        </w:rPr>
        <w:t xml:space="preserve"> keuze</w:t>
      </w:r>
      <w:r w:rsidR="00572493" w:rsidRPr="00C92D88">
        <w:rPr>
          <w:rFonts w:ascii="Verdana" w:eastAsia="Times New Roman" w:hAnsi="Verdana"/>
          <w:i/>
          <w:sz w:val="18"/>
          <w:szCs w:val="18"/>
          <w:lang w:eastAsia="nl-NL"/>
        </w:rPr>
        <w:t>’</w:t>
      </w:r>
      <w:r w:rsidR="00CD6CF8">
        <w:rPr>
          <w:rFonts w:ascii="Verdana" w:eastAsia="Times New Roman" w:hAnsi="Verdana"/>
          <w:i/>
          <w:sz w:val="18"/>
          <w:szCs w:val="18"/>
          <w:lang w:eastAsia="nl-NL"/>
        </w:rPr>
        <w:t xml:space="preserve"> </w:t>
      </w:r>
      <w:r w:rsidR="00CD6CF8">
        <w:rPr>
          <w:rFonts w:ascii="Verdana" w:eastAsia="Times New Roman" w:hAnsi="Verdana"/>
          <w:sz w:val="18"/>
          <w:szCs w:val="18"/>
          <w:lang w:eastAsia="nl-NL"/>
        </w:rPr>
        <w:t>in het geval van (onder meer) de intrekking van een verblijfsvergunning asiel voor onbepaalde tijd</w:t>
      </w:r>
      <w:r w:rsidR="0010153B">
        <w:rPr>
          <w:rFonts w:ascii="Verdana" w:eastAsia="Times New Roman" w:hAnsi="Verdana"/>
          <w:sz w:val="18"/>
          <w:szCs w:val="18"/>
          <w:lang w:eastAsia="nl-NL"/>
        </w:rPr>
        <w:t xml:space="preserve"> in openbare-orde zaken</w:t>
      </w:r>
      <w:r w:rsidR="00CD6CF8">
        <w:rPr>
          <w:rFonts w:ascii="Verdana" w:eastAsia="Times New Roman" w:hAnsi="Verdana"/>
          <w:sz w:val="18"/>
          <w:szCs w:val="18"/>
          <w:lang w:eastAsia="nl-NL"/>
        </w:rPr>
        <w:t xml:space="preserve"> en/of bij het opleggen van een zwaar inreisverbod volledig achterwege gelaten</w:t>
      </w:r>
      <w:r w:rsidR="00337C14">
        <w:rPr>
          <w:rFonts w:ascii="Verdana" w:eastAsia="Times New Roman" w:hAnsi="Verdana"/>
          <w:sz w:val="18"/>
          <w:szCs w:val="18"/>
          <w:lang w:eastAsia="nl-NL"/>
        </w:rPr>
        <w:t xml:space="preserve">, terwijl wél aan het Unierecht wordt getoetst </w:t>
      </w:r>
      <w:r w:rsidR="00EF75C0">
        <w:rPr>
          <w:rFonts w:ascii="Verdana" w:eastAsia="Times New Roman" w:hAnsi="Verdana"/>
          <w:sz w:val="18"/>
          <w:szCs w:val="18"/>
          <w:lang w:eastAsia="nl-NL"/>
        </w:rPr>
        <w:t>bij de verlening van een dergelijke verblijfsvergunning</w:t>
      </w:r>
      <w:r w:rsidR="00CD6CF8">
        <w:rPr>
          <w:rFonts w:ascii="Verdana" w:eastAsia="Times New Roman" w:hAnsi="Verdana"/>
          <w:sz w:val="18"/>
          <w:szCs w:val="18"/>
          <w:lang w:eastAsia="nl-NL"/>
        </w:rPr>
        <w:t>.</w:t>
      </w:r>
      <w:r w:rsidR="00174BB3">
        <w:rPr>
          <w:rFonts w:ascii="Verdana" w:eastAsia="Times New Roman" w:hAnsi="Verdana"/>
          <w:sz w:val="18"/>
          <w:szCs w:val="18"/>
          <w:lang w:eastAsia="nl-NL"/>
        </w:rPr>
        <w:t xml:space="preserve"> </w:t>
      </w:r>
      <w:r w:rsidR="0010153B">
        <w:rPr>
          <w:rFonts w:ascii="Verdana" w:eastAsia="Times New Roman" w:hAnsi="Verdana"/>
          <w:sz w:val="18"/>
          <w:szCs w:val="18"/>
          <w:lang w:eastAsia="nl-NL"/>
        </w:rPr>
        <w:t xml:space="preserve">Geconcludeerd kan worden dat </w:t>
      </w:r>
      <w:r w:rsidR="00D44E69">
        <w:rPr>
          <w:rFonts w:ascii="Verdana" w:eastAsia="Times New Roman" w:hAnsi="Verdana"/>
          <w:sz w:val="18"/>
          <w:szCs w:val="18"/>
          <w:lang w:eastAsia="nl-NL"/>
        </w:rPr>
        <w:t xml:space="preserve">voornoemde beleidskeuze </w:t>
      </w:r>
      <w:r w:rsidR="0010153B">
        <w:rPr>
          <w:rFonts w:ascii="Verdana" w:eastAsia="Times New Roman" w:hAnsi="Verdana"/>
          <w:sz w:val="18"/>
          <w:szCs w:val="18"/>
          <w:lang w:eastAsia="nl-NL"/>
        </w:rPr>
        <w:t>niet</w:t>
      </w:r>
      <w:r w:rsidR="00D44E69">
        <w:rPr>
          <w:rFonts w:ascii="Verdana" w:eastAsia="Times New Roman" w:hAnsi="Verdana"/>
          <w:sz w:val="18"/>
          <w:szCs w:val="18"/>
          <w:lang w:eastAsia="nl-NL"/>
        </w:rPr>
        <w:t xml:space="preserve"> boven het Unierecht prevaleert en dat de bestuursrechter hierdoor in de beroepsprocedure genoodzaakt is om voornoemde beschikkingen vol te toetsen aan het Unierecht.</w:t>
      </w:r>
    </w:p>
    <w:p w14:paraId="78CAA48D" w14:textId="3FC17D5F" w:rsidR="00EF75C0" w:rsidRDefault="00A76EE8" w:rsidP="00EF75C0">
      <w:pPr>
        <w:pStyle w:val="Lijstalinea"/>
        <w:spacing w:line="360" w:lineRule="auto"/>
        <w:jc w:val="both"/>
        <w:rPr>
          <w:rFonts w:ascii="Verdana" w:eastAsia="Times New Roman" w:hAnsi="Verdana"/>
          <w:sz w:val="18"/>
          <w:szCs w:val="18"/>
          <w:lang w:eastAsia="nl-NL"/>
        </w:rPr>
      </w:pPr>
      <w:r>
        <w:rPr>
          <w:rFonts w:ascii="Verdana" w:eastAsia="Times New Roman" w:hAnsi="Verdana"/>
          <w:sz w:val="18"/>
          <w:szCs w:val="18"/>
          <w:lang w:eastAsia="nl-NL"/>
        </w:rPr>
        <w:br/>
      </w:r>
      <w:r w:rsidR="00566B08">
        <w:rPr>
          <w:rFonts w:ascii="Verdana" w:eastAsia="Times New Roman" w:hAnsi="Verdana"/>
          <w:sz w:val="18"/>
          <w:szCs w:val="18"/>
          <w:lang w:eastAsia="nl-NL"/>
        </w:rPr>
        <w:t>De verlening van een verblijfsvergunning asiel voor onbepaalde tijd is een uitvoering van artikel 3 Definitierichtlijn. De Definitierichtlijn verleent de lidstaten toestemming om gunstiger bepalingen omtrent de inhoud van de internationale bescherming vast te stellen, mits deze natuurlijk in overeenstemming zijn met de Definitierichtlijn. Het is vanzelfsprekend dat hiermee ook wordt bedoeld dat de nationale maatregelen die getroffen worden, niet in strijd</w:t>
      </w:r>
      <w:r w:rsidR="00337C14">
        <w:rPr>
          <w:rFonts w:ascii="Verdana" w:eastAsia="Times New Roman" w:hAnsi="Verdana"/>
          <w:sz w:val="18"/>
          <w:szCs w:val="18"/>
          <w:lang w:eastAsia="nl-NL"/>
        </w:rPr>
        <w:t xml:space="preserve"> mogen zijn met het Unierecht. Dit is momenteel wel het geval. Voornoemde betekent dat het Unierecht van toepassing is en dat de bestuursrechter de intrekking, niet-verlenging of weigering van de verblijfsvergunning asiel voor onbepaalde tijd </w:t>
      </w:r>
      <w:r w:rsidR="00A4376D">
        <w:rPr>
          <w:rFonts w:ascii="Verdana" w:eastAsia="Times New Roman" w:hAnsi="Verdana"/>
          <w:sz w:val="18"/>
          <w:szCs w:val="18"/>
          <w:lang w:eastAsia="nl-NL"/>
        </w:rPr>
        <w:t>met betrekking tot openbare-</w:t>
      </w:r>
      <w:r w:rsidR="00337C14">
        <w:rPr>
          <w:rFonts w:ascii="Verdana" w:eastAsia="Times New Roman" w:hAnsi="Verdana"/>
          <w:sz w:val="18"/>
          <w:szCs w:val="18"/>
          <w:lang w:eastAsia="nl-NL"/>
        </w:rPr>
        <w:t>orde zaken, alsmede het daarbij behorende terugkeerbesluit, vol moet toetsen.</w:t>
      </w:r>
    </w:p>
    <w:p w14:paraId="0EFA7F2B" w14:textId="2CD2DD4F" w:rsidR="00CF5C27" w:rsidRDefault="00EF75C0" w:rsidP="00A7560D">
      <w:pPr>
        <w:spacing w:line="360" w:lineRule="auto"/>
        <w:jc w:val="both"/>
        <w:rPr>
          <w:rFonts w:ascii="Verdana" w:eastAsia="Times New Roman" w:hAnsi="Verdana"/>
          <w:sz w:val="18"/>
          <w:szCs w:val="18"/>
          <w:lang w:eastAsia="nl-NL"/>
        </w:rPr>
      </w:pPr>
      <w:r>
        <w:rPr>
          <w:rFonts w:ascii="Verdana" w:eastAsia="Times New Roman" w:hAnsi="Verdana"/>
          <w:sz w:val="18"/>
          <w:szCs w:val="18"/>
          <w:lang w:eastAsia="nl-NL"/>
        </w:rPr>
        <w:br/>
      </w:r>
      <w:r w:rsidR="00167B9A">
        <w:rPr>
          <w:rFonts w:ascii="Verdana" w:eastAsia="Times New Roman" w:hAnsi="Verdana"/>
          <w:sz w:val="18"/>
          <w:szCs w:val="18"/>
          <w:lang w:eastAsia="nl-NL"/>
        </w:rPr>
        <w:t xml:space="preserve">3) </w:t>
      </w:r>
      <w:r w:rsidR="009B6987">
        <w:rPr>
          <w:rFonts w:ascii="Verdana" w:eastAsia="Times New Roman" w:hAnsi="Verdana"/>
          <w:sz w:val="18"/>
          <w:szCs w:val="18"/>
          <w:lang w:eastAsia="nl-NL"/>
        </w:rPr>
        <w:t>Een aanvullend argument is dat</w:t>
      </w:r>
      <w:r w:rsidR="007300D8">
        <w:rPr>
          <w:rFonts w:ascii="Verdana" w:eastAsia="Times New Roman" w:hAnsi="Verdana"/>
          <w:sz w:val="18"/>
          <w:szCs w:val="18"/>
          <w:lang w:eastAsia="nl-NL"/>
        </w:rPr>
        <w:t xml:space="preserve"> de intrekking, niet-verlenging of weigering van voornoemde verblijfsvergunningen met betrekking tot openbare-orde zaken</w:t>
      </w:r>
      <w:r w:rsidR="00A4376D">
        <w:rPr>
          <w:rFonts w:ascii="Verdana" w:eastAsia="Times New Roman" w:hAnsi="Verdana"/>
          <w:sz w:val="18"/>
          <w:szCs w:val="18"/>
          <w:lang w:eastAsia="nl-NL"/>
        </w:rPr>
        <w:t xml:space="preserve"> door het EHRM in de klachtenprocedure </w:t>
      </w:r>
      <w:r w:rsidR="00117A95">
        <w:rPr>
          <w:rFonts w:ascii="Verdana" w:eastAsia="Times New Roman" w:hAnsi="Verdana"/>
          <w:sz w:val="18"/>
          <w:szCs w:val="18"/>
          <w:lang w:eastAsia="nl-NL"/>
        </w:rPr>
        <w:t xml:space="preserve">ook vol wordt getoetst. </w:t>
      </w:r>
      <w:r w:rsidR="00547207">
        <w:rPr>
          <w:rFonts w:ascii="Verdana" w:eastAsia="Times New Roman" w:hAnsi="Verdana"/>
          <w:sz w:val="18"/>
          <w:szCs w:val="18"/>
          <w:lang w:eastAsia="nl-NL"/>
        </w:rPr>
        <w:t>Het EHRM heeft zich in een reeks arresten uitgelaten over het feit dat zij ontevreden zijn met de marginale toetsingswijze van de nationale rechters in zaken waar het Unierecht van toepassing is.</w:t>
      </w:r>
      <w:r w:rsidR="009B6987">
        <w:rPr>
          <w:rFonts w:ascii="Verdana" w:eastAsia="Times New Roman" w:hAnsi="Verdana"/>
          <w:sz w:val="18"/>
          <w:szCs w:val="18"/>
          <w:lang w:eastAsia="nl-NL"/>
        </w:rPr>
        <w:t xml:space="preserve"> </w:t>
      </w:r>
      <w:r w:rsidR="00C327CE">
        <w:rPr>
          <w:rFonts w:ascii="Verdana" w:eastAsia="Times New Roman" w:hAnsi="Verdana"/>
          <w:sz w:val="18"/>
          <w:szCs w:val="18"/>
          <w:lang w:eastAsia="nl-NL"/>
        </w:rPr>
        <w:t>Indien de bestuursrechter marginaal blijft toetsen, komt het subsidiaire karakter van het internationale systeem van mensenrechtenbescherming onder druk te staan, aangezien internationale toezichthouders gedwongen worden om het werk van nationale rechters over te doen.</w:t>
      </w:r>
    </w:p>
    <w:p w14:paraId="54046FE8" w14:textId="77777777" w:rsidR="00254383" w:rsidRPr="004544C2" w:rsidRDefault="00254383" w:rsidP="00254383">
      <w:pPr>
        <w:spacing w:line="360" w:lineRule="auto"/>
        <w:jc w:val="both"/>
        <w:rPr>
          <w:rFonts w:ascii="Verdana" w:eastAsia="Times New Roman" w:hAnsi="Verdana"/>
          <w:sz w:val="18"/>
          <w:szCs w:val="18"/>
          <w:lang w:eastAsia="nl-NL"/>
        </w:rPr>
      </w:pPr>
      <w:r>
        <w:rPr>
          <w:rFonts w:ascii="Verdana" w:eastAsia="Times New Roman" w:hAnsi="Verdana"/>
          <w:sz w:val="18"/>
          <w:szCs w:val="18"/>
          <w:lang w:eastAsia="nl-NL"/>
        </w:rPr>
        <w:t>--------------------------------------------------------------------------------------------------------------</w:t>
      </w:r>
    </w:p>
    <w:p w14:paraId="15429CFD" w14:textId="0CD5C6CE" w:rsidR="00117A95" w:rsidRDefault="00B451A4" w:rsidP="00A7560D">
      <w:pPr>
        <w:spacing w:line="360" w:lineRule="auto"/>
        <w:jc w:val="both"/>
        <w:rPr>
          <w:rFonts w:ascii="Verdana" w:eastAsia="Times New Roman" w:hAnsi="Verdana"/>
          <w:sz w:val="18"/>
          <w:szCs w:val="18"/>
          <w:lang w:eastAsia="nl-NL"/>
        </w:rPr>
      </w:pPr>
      <w:r>
        <w:rPr>
          <w:rFonts w:ascii="Verdana" w:eastAsia="Times New Roman" w:hAnsi="Verdana"/>
          <w:sz w:val="18"/>
          <w:szCs w:val="18"/>
          <w:lang w:eastAsia="nl-NL"/>
        </w:rPr>
        <w:t>In aanvulling op het voorgaande wordt ten aanzien va</w:t>
      </w:r>
      <w:r w:rsidR="00FA2CC0">
        <w:rPr>
          <w:rFonts w:ascii="Verdana" w:eastAsia="Times New Roman" w:hAnsi="Verdana"/>
          <w:sz w:val="18"/>
          <w:szCs w:val="18"/>
          <w:lang w:eastAsia="nl-NL"/>
        </w:rPr>
        <w:t>n de volle rechterlijke toetsing geadviseerd om de bestuursrechter te wijzen op het belang hiervan</w:t>
      </w:r>
      <w:r w:rsidR="00195FCA">
        <w:rPr>
          <w:rFonts w:ascii="Verdana" w:eastAsia="Times New Roman" w:hAnsi="Verdana"/>
          <w:sz w:val="18"/>
          <w:szCs w:val="18"/>
          <w:lang w:eastAsia="nl-NL"/>
        </w:rPr>
        <w:t xml:space="preserve"> voor de vreemdeling</w:t>
      </w:r>
      <w:r w:rsidR="00FA2CC0">
        <w:rPr>
          <w:rFonts w:ascii="Verdana" w:eastAsia="Times New Roman" w:hAnsi="Verdana"/>
          <w:sz w:val="18"/>
          <w:szCs w:val="18"/>
          <w:lang w:eastAsia="nl-NL"/>
        </w:rPr>
        <w:t>. Geadviseerd wordt om in dit verband de volgende gronden aan te voeren:</w:t>
      </w:r>
      <w:r w:rsidR="00FA2CC0">
        <w:rPr>
          <w:rStyle w:val="Voetnootmarkering"/>
          <w:rFonts w:ascii="Verdana" w:eastAsia="Times New Roman" w:hAnsi="Verdana"/>
          <w:sz w:val="18"/>
          <w:szCs w:val="18"/>
          <w:lang w:eastAsia="nl-NL"/>
        </w:rPr>
        <w:footnoteReference w:id="135"/>
      </w:r>
    </w:p>
    <w:p w14:paraId="13E41DB2" w14:textId="01DE42E7" w:rsidR="00FA2CC0" w:rsidRDefault="00FA2CC0" w:rsidP="00A7560D">
      <w:pPr>
        <w:spacing w:line="360" w:lineRule="auto"/>
        <w:jc w:val="both"/>
        <w:rPr>
          <w:rFonts w:ascii="Verdana" w:eastAsia="Times New Roman" w:hAnsi="Verdana"/>
          <w:sz w:val="18"/>
          <w:szCs w:val="18"/>
          <w:lang w:eastAsia="nl-NL"/>
        </w:rPr>
      </w:pPr>
      <w:r>
        <w:rPr>
          <w:rFonts w:ascii="Verdana" w:eastAsia="Times New Roman" w:hAnsi="Verdana"/>
          <w:sz w:val="18"/>
          <w:szCs w:val="18"/>
          <w:lang w:eastAsia="nl-NL"/>
        </w:rPr>
        <w:t xml:space="preserve">1) </w:t>
      </w:r>
      <w:r w:rsidR="003C0CF9">
        <w:rPr>
          <w:rFonts w:ascii="Verdana" w:eastAsia="Times New Roman" w:hAnsi="Verdana"/>
          <w:sz w:val="18"/>
          <w:szCs w:val="18"/>
          <w:lang w:eastAsia="nl-NL"/>
        </w:rPr>
        <w:t xml:space="preserve">Een volle rechterlijke toets biedt de meeste ruimte voor een integrale belangenafweging in procedures die zien op de intrekking, niet-verlenging of weigering van een verblijfsvergunning in verband met schending van de openbare orde, alsmede </w:t>
      </w:r>
      <w:r w:rsidR="00EB790D">
        <w:rPr>
          <w:rFonts w:ascii="Verdana" w:eastAsia="Times New Roman" w:hAnsi="Verdana"/>
          <w:sz w:val="18"/>
          <w:szCs w:val="18"/>
          <w:lang w:eastAsia="nl-NL"/>
        </w:rPr>
        <w:t xml:space="preserve">het daarbij behorende terugkeerbesluit. Deze integrale belangenafweging, die in de huidige praktijk ontbreekt, is onmisbaar. Reden hiervoor </w:t>
      </w:r>
      <w:r w:rsidR="00EB790D">
        <w:rPr>
          <w:rFonts w:ascii="Verdana" w:eastAsia="Times New Roman" w:hAnsi="Verdana"/>
          <w:sz w:val="18"/>
          <w:szCs w:val="18"/>
          <w:lang w:eastAsia="nl-NL"/>
        </w:rPr>
        <w:lastRenderedPageBreak/>
        <w:t xml:space="preserve">is dat meerdere onderdelen in de beschikking van de IND veelal niet in lijn zijn met het Unierecht. Vaak wordt helemaal geen aandacht geschonken aan het Unierecht en wordt </w:t>
      </w:r>
      <w:r w:rsidR="003805C4">
        <w:rPr>
          <w:rFonts w:ascii="Verdana" w:eastAsia="Times New Roman" w:hAnsi="Verdana"/>
          <w:sz w:val="18"/>
          <w:szCs w:val="18"/>
          <w:lang w:eastAsia="nl-NL"/>
        </w:rPr>
        <w:t xml:space="preserve">deze beoordelingswijze </w:t>
      </w:r>
      <w:r w:rsidR="00EB790D">
        <w:rPr>
          <w:rFonts w:ascii="Verdana" w:eastAsia="Times New Roman" w:hAnsi="Verdana"/>
          <w:sz w:val="18"/>
          <w:szCs w:val="18"/>
          <w:lang w:eastAsia="nl-NL"/>
        </w:rPr>
        <w:t xml:space="preserve">vervolgens ook niet naar behoren </w:t>
      </w:r>
      <w:r w:rsidR="003805C4">
        <w:rPr>
          <w:rFonts w:ascii="Verdana" w:eastAsia="Times New Roman" w:hAnsi="Verdana"/>
          <w:sz w:val="18"/>
          <w:szCs w:val="18"/>
          <w:lang w:eastAsia="nl-NL"/>
        </w:rPr>
        <w:t>gemotiveerd</w:t>
      </w:r>
      <w:r w:rsidR="009B32CE">
        <w:rPr>
          <w:rFonts w:ascii="Verdana" w:eastAsia="Times New Roman" w:hAnsi="Verdana"/>
          <w:sz w:val="18"/>
          <w:szCs w:val="18"/>
          <w:lang w:eastAsia="nl-NL"/>
        </w:rPr>
        <w:t xml:space="preserve"> in de beschikking</w:t>
      </w:r>
      <w:r w:rsidR="003805C4">
        <w:rPr>
          <w:rFonts w:ascii="Verdana" w:eastAsia="Times New Roman" w:hAnsi="Verdana"/>
          <w:sz w:val="18"/>
          <w:szCs w:val="18"/>
          <w:lang w:eastAsia="nl-NL"/>
        </w:rPr>
        <w:t>. Doordat de bestuursrechter tot heden de verblijfsaanspraken en het terugkeerbesluit in de</w:t>
      </w:r>
      <w:r w:rsidR="003F73A3">
        <w:rPr>
          <w:rFonts w:ascii="Verdana" w:eastAsia="Times New Roman" w:hAnsi="Verdana"/>
          <w:sz w:val="18"/>
          <w:szCs w:val="18"/>
          <w:lang w:eastAsia="nl-NL"/>
        </w:rPr>
        <w:t xml:space="preserve"> beroepsprocedure niet toetste, kon de vreemdeling hiertegen vrijwel niets vernemen. Bij de IND lijkt hierdoor een blinde vlek te zijn ontstaan, welke slechts tegengegaan kan worden door een volle toetst van de bestuursrechter.</w:t>
      </w:r>
    </w:p>
    <w:p w14:paraId="12C66E6A" w14:textId="3113CF70" w:rsidR="00822966" w:rsidRDefault="003F73A3" w:rsidP="00A7560D">
      <w:pPr>
        <w:spacing w:line="360" w:lineRule="auto"/>
        <w:jc w:val="both"/>
        <w:rPr>
          <w:rFonts w:ascii="Verdana" w:eastAsia="Times New Roman" w:hAnsi="Verdana"/>
          <w:sz w:val="18"/>
          <w:szCs w:val="18"/>
          <w:lang w:eastAsia="nl-NL"/>
        </w:rPr>
      </w:pPr>
      <w:r>
        <w:rPr>
          <w:rFonts w:ascii="Verdana" w:eastAsia="Times New Roman" w:hAnsi="Verdana"/>
          <w:sz w:val="18"/>
          <w:szCs w:val="18"/>
          <w:lang w:eastAsia="nl-NL"/>
        </w:rPr>
        <w:t>2</w:t>
      </w:r>
      <w:r w:rsidR="001A3A81">
        <w:rPr>
          <w:rFonts w:ascii="Verdana" w:eastAsia="Times New Roman" w:hAnsi="Verdana"/>
          <w:sz w:val="18"/>
          <w:szCs w:val="18"/>
          <w:lang w:eastAsia="nl-NL"/>
        </w:rPr>
        <w:t xml:space="preserve">) </w:t>
      </w:r>
      <w:r w:rsidR="00AB06B9">
        <w:rPr>
          <w:rFonts w:ascii="Verdana" w:eastAsia="Times New Roman" w:hAnsi="Verdana"/>
          <w:sz w:val="18"/>
          <w:szCs w:val="18"/>
          <w:lang w:eastAsia="nl-NL"/>
        </w:rPr>
        <w:t xml:space="preserve">De Unierechtelijke actuele-bedreigingstoets is van toepassing en deze dient door de IND toegepast te worden in plaats van </w:t>
      </w:r>
      <w:r w:rsidR="009A6638">
        <w:rPr>
          <w:rFonts w:ascii="Verdana" w:eastAsia="Times New Roman" w:hAnsi="Verdana"/>
          <w:sz w:val="18"/>
          <w:szCs w:val="18"/>
          <w:lang w:eastAsia="nl-NL"/>
        </w:rPr>
        <w:t xml:space="preserve">(of desnoods naast) </w:t>
      </w:r>
      <w:r w:rsidR="00AB06B9">
        <w:rPr>
          <w:rFonts w:ascii="Verdana" w:eastAsia="Times New Roman" w:hAnsi="Verdana"/>
          <w:sz w:val="18"/>
          <w:szCs w:val="18"/>
          <w:lang w:eastAsia="nl-NL"/>
        </w:rPr>
        <w:t xml:space="preserve">de glijdende schaal. </w:t>
      </w:r>
      <w:r w:rsidR="00AF63B0">
        <w:rPr>
          <w:rFonts w:ascii="Verdana" w:eastAsia="Times New Roman" w:hAnsi="Verdana"/>
          <w:sz w:val="18"/>
          <w:szCs w:val="18"/>
          <w:lang w:eastAsia="nl-NL"/>
        </w:rPr>
        <w:t>De actuele-bedreigingstoets is immers steeds weer van toepassing op het moment dat een richtlijn de lidstaat ruimte laat om bij de beoordeling te betrekken</w:t>
      </w:r>
      <w:r w:rsidR="001824CA">
        <w:rPr>
          <w:rFonts w:ascii="Verdana" w:eastAsia="Times New Roman" w:hAnsi="Verdana"/>
          <w:sz w:val="18"/>
          <w:szCs w:val="18"/>
          <w:lang w:eastAsia="nl-NL"/>
        </w:rPr>
        <w:t xml:space="preserve"> of de vreemdeling een gevaar vormt</w:t>
      </w:r>
      <w:r w:rsidR="00AF63B0">
        <w:rPr>
          <w:rFonts w:ascii="Verdana" w:eastAsia="Times New Roman" w:hAnsi="Verdana"/>
          <w:sz w:val="18"/>
          <w:szCs w:val="18"/>
          <w:lang w:eastAsia="nl-NL"/>
        </w:rPr>
        <w:t xml:space="preserve"> voor de openbare orde.</w:t>
      </w:r>
      <w:r w:rsidR="001824CA">
        <w:rPr>
          <w:rFonts w:ascii="Verdana" w:eastAsia="Times New Roman" w:hAnsi="Verdana"/>
          <w:sz w:val="18"/>
          <w:szCs w:val="18"/>
          <w:lang w:eastAsia="nl-NL"/>
        </w:rPr>
        <w:t xml:space="preserve"> </w:t>
      </w:r>
      <w:r w:rsidR="00FF42F2">
        <w:rPr>
          <w:rFonts w:ascii="Verdana" w:eastAsia="Times New Roman" w:hAnsi="Verdana"/>
          <w:sz w:val="18"/>
          <w:szCs w:val="18"/>
          <w:lang w:eastAsia="nl-NL"/>
        </w:rPr>
        <w:t xml:space="preserve">Dit is in vrijwel alle gevallen waar het Unierecht van toepassing is. </w:t>
      </w:r>
      <w:r w:rsidR="00E86509">
        <w:rPr>
          <w:rFonts w:ascii="Verdana" w:eastAsia="Times New Roman" w:hAnsi="Verdana"/>
          <w:sz w:val="18"/>
          <w:szCs w:val="18"/>
          <w:lang w:eastAsia="nl-NL"/>
        </w:rPr>
        <w:t xml:space="preserve">Ter aanvulling hierop wordt geadviseerd om in ieder geval de volgende </w:t>
      </w:r>
      <w:r w:rsidR="00FD41BB">
        <w:rPr>
          <w:rFonts w:ascii="Verdana" w:eastAsia="Times New Roman" w:hAnsi="Verdana"/>
          <w:sz w:val="18"/>
          <w:szCs w:val="18"/>
          <w:lang w:eastAsia="nl-NL"/>
        </w:rPr>
        <w:t>onderdelen</w:t>
      </w:r>
      <w:r w:rsidR="00E86509">
        <w:rPr>
          <w:rFonts w:ascii="Verdana" w:eastAsia="Times New Roman" w:hAnsi="Verdana"/>
          <w:sz w:val="18"/>
          <w:szCs w:val="18"/>
          <w:lang w:eastAsia="nl-NL"/>
        </w:rPr>
        <w:t xml:space="preserve"> </w:t>
      </w:r>
      <w:r w:rsidR="00822966">
        <w:rPr>
          <w:rFonts w:ascii="Verdana" w:eastAsia="Times New Roman" w:hAnsi="Verdana"/>
          <w:sz w:val="18"/>
          <w:szCs w:val="18"/>
          <w:lang w:eastAsia="nl-NL"/>
        </w:rPr>
        <w:t>te betrekken</w:t>
      </w:r>
      <w:r w:rsidR="00455E97">
        <w:rPr>
          <w:rFonts w:ascii="Verdana" w:eastAsia="Times New Roman" w:hAnsi="Verdana"/>
          <w:sz w:val="18"/>
          <w:szCs w:val="18"/>
          <w:lang w:eastAsia="nl-NL"/>
        </w:rPr>
        <w:t xml:space="preserve"> bij de stelling dat de vreemdeling geen actueel gevaar </w:t>
      </w:r>
      <w:r w:rsidR="008C05EB">
        <w:rPr>
          <w:rFonts w:ascii="Verdana" w:eastAsia="Times New Roman" w:hAnsi="Verdana"/>
          <w:sz w:val="18"/>
          <w:szCs w:val="18"/>
          <w:lang w:eastAsia="nl-NL"/>
        </w:rPr>
        <w:t xml:space="preserve">voor de openbare orde </w:t>
      </w:r>
      <w:r w:rsidR="00455E97">
        <w:rPr>
          <w:rFonts w:ascii="Verdana" w:eastAsia="Times New Roman" w:hAnsi="Verdana"/>
          <w:sz w:val="18"/>
          <w:szCs w:val="18"/>
          <w:lang w:eastAsia="nl-NL"/>
        </w:rPr>
        <w:t>(meer) is</w:t>
      </w:r>
      <w:r w:rsidR="00822966">
        <w:rPr>
          <w:rFonts w:ascii="Verdana" w:eastAsia="Times New Roman" w:hAnsi="Verdana"/>
          <w:sz w:val="18"/>
          <w:szCs w:val="18"/>
          <w:lang w:eastAsia="nl-NL"/>
        </w:rPr>
        <w:t>:</w:t>
      </w:r>
    </w:p>
    <w:p w14:paraId="3400486A" w14:textId="1926C2F5" w:rsidR="001A3A81" w:rsidRDefault="00FD41BB" w:rsidP="00822966">
      <w:pPr>
        <w:pStyle w:val="Lijstalinea"/>
        <w:numPr>
          <w:ilvl w:val="0"/>
          <w:numId w:val="22"/>
        </w:numPr>
        <w:spacing w:line="360" w:lineRule="auto"/>
        <w:jc w:val="both"/>
        <w:rPr>
          <w:rFonts w:ascii="Verdana" w:eastAsia="Times New Roman" w:hAnsi="Verdana"/>
          <w:sz w:val="18"/>
          <w:szCs w:val="18"/>
          <w:lang w:eastAsia="nl-NL"/>
        </w:rPr>
      </w:pPr>
      <w:r>
        <w:rPr>
          <w:rFonts w:ascii="Verdana" w:eastAsia="Times New Roman" w:hAnsi="Verdana"/>
          <w:sz w:val="18"/>
          <w:szCs w:val="18"/>
          <w:lang w:eastAsia="nl-NL"/>
        </w:rPr>
        <w:t>Tijdsverloop sinds het laatst gepleegde (ernstige) misdrijf;</w:t>
      </w:r>
    </w:p>
    <w:p w14:paraId="70D43CA0" w14:textId="4E3F760C" w:rsidR="00FD41BB" w:rsidRDefault="00FD41BB" w:rsidP="00822966">
      <w:pPr>
        <w:pStyle w:val="Lijstalinea"/>
        <w:numPr>
          <w:ilvl w:val="0"/>
          <w:numId w:val="22"/>
        </w:numPr>
        <w:spacing w:line="360" w:lineRule="auto"/>
        <w:jc w:val="both"/>
        <w:rPr>
          <w:rFonts w:ascii="Verdana" w:eastAsia="Times New Roman" w:hAnsi="Verdana"/>
          <w:sz w:val="18"/>
          <w:szCs w:val="18"/>
          <w:lang w:eastAsia="nl-NL"/>
        </w:rPr>
      </w:pPr>
      <w:r>
        <w:rPr>
          <w:rFonts w:ascii="Verdana" w:eastAsia="Times New Roman" w:hAnsi="Verdana"/>
          <w:sz w:val="18"/>
          <w:szCs w:val="18"/>
          <w:lang w:eastAsia="nl-NL"/>
        </w:rPr>
        <w:t>Hoogte van de straf of straffen;</w:t>
      </w:r>
    </w:p>
    <w:p w14:paraId="080CBC8A" w14:textId="6BA9A49D" w:rsidR="00CC7F76" w:rsidRDefault="00CC7F76" w:rsidP="00822966">
      <w:pPr>
        <w:pStyle w:val="Lijstalinea"/>
        <w:numPr>
          <w:ilvl w:val="0"/>
          <w:numId w:val="22"/>
        </w:numPr>
        <w:spacing w:line="360" w:lineRule="auto"/>
        <w:jc w:val="both"/>
        <w:rPr>
          <w:rFonts w:ascii="Verdana" w:eastAsia="Times New Roman" w:hAnsi="Verdana"/>
          <w:sz w:val="18"/>
          <w:szCs w:val="18"/>
          <w:lang w:eastAsia="nl-NL"/>
        </w:rPr>
      </w:pPr>
      <w:r>
        <w:rPr>
          <w:rFonts w:ascii="Verdana" w:eastAsia="Times New Roman" w:hAnsi="Verdana"/>
          <w:sz w:val="18"/>
          <w:szCs w:val="18"/>
          <w:lang w:eastAsia="nl-NL"/>
        </w:rPr>
        <w:t>Strafverlichtende omstandigheden;</w:t>
      </w:r>
    </w:p>
    <w:p w14:paraId="70036B7C" w14:textId="7E6A6FC1" w:rsidR="00FD41BB" w:rsidRDefault="00FD41BB" w:rsidP="00822966">
      <w:pPr>
        <w:pStyle w:val="Lijstalinea"/>
        <w:numPr>
          <w:ilvl w:val="0"/>
          <w:numId w:val="22"/>
        </w:numPr>
        <w:spacing w:line="360" w:lineRule="auto"/>
        <w:jc w:val="both"/>
        <w:rPr>
          <w:rFonts w:ascii="Verdana" w:eastAsia="Times New Roman" w:hAnsi="Verdana"/>
          <w:sz w:val="18"/>
          <w:szCs w:val="18"/>
          <w:lang w:eastAsia="nl-NL"/>
        </w:rPr>
      </w:pPr>
      <w:r>
        <w:rPr>
          <w:rFonts w:ascii="Verdana" w:eastAsia="Times New Roman" w:hAnsi="Verdana"/>
          <w:sz w:val="18"/>
          <w:szCs w:val="18"/>
          <w:lang w:eastAsia="nl-NL"/>
        </w:rPr>
        <w:t>Gedragsveranderingen;</w:t>
      </w:r>
    </w:p>
    <w:p w14:paraId="70D6E05E" w14:textId="57C0651B" w:rsidR="00FD41BB" w:rsidRDefault="00FD41BB" w:rsidP="00822966">
      <w:pPr>
        <w:pStyle w:val="Lijstalinea"/>
        <w:numPr>
          <w:ilvl w:val="0"/>
          <w:numId w:val="22"/>
        </w:numPr>
        <w:spacing w:line="360" w:lineRule="auto"/>
        <w:jc w:val="both"/>
        <w:rPr>
          <w:rFonts w:ascii="Verdana" w:eastAsia="Times New Roman" w:hAnsi="Verdana"/>
          <w:sz w:val="18"/>
          <w:szCs w:val="18"/>
          <w:lang w:eastAsia="nl-NL"/>
        </w:rPr>
      </w:pPr>
      <w:r>
        <w:rPr>
          <w:rFonts w:ascii="Verdana" w:eastAsia="Times New Roman" w:hAnsi="Verdana"/>
          <w:sz w:val="18"/>
          <w:szCs w:val="18"/>
          <w:lang w:eastAsia="nl-NL"/>
        </w:rPr>
        <w:t>Hulp gezocht en/of gekregen;</w:t>
      </w:r>
    </w:p>
    <w:p w14:paraId="544E37D2" w14:textId="06C7C622" w:rsidR="00FD41BB" w:rsidRDefault="00FD41BB" w:rsidP="00822966">
      <w:pPr>
        <w:pStyle w:val="Lijstalinea"/>
        <w:numPr>
          <w:ilvl w:val="0"/>
          <w:numId w:val="22"/>
        </w:numPr>
        <w:spacing w:line="360" w:lineRule="auto"/>
        <w:jc w:val="both"/>
        <w:rPr>
          <w:rFonts w:ascii="Verdana" w:eastAsia="Times New Roman" w:hAnsi="Verdana"/>
          <w:sz w:val="18"/>
          <w:szCs w:val="18"/>
          <w:lang w:eastAsia="nl-NL"/>
        </w:rPr>
      </w:pPr>
      <w:r>
        <w:rPr>
          <w:rFonts w:ascii="Verdana" w:eastAsia="Times New Roman" w:hAnsi="Verdana"/>
          <w:sz w:val="18"/>
          <w:szCs w:val="18"/>
          <w:lang w:eastAsia="nl-NL"/>
        </w:rPr>
        <w:t>Het gaat goed op het gebied van werk, wonen en/of gezin.</w:t>
      </w:r>
    </w:p>
    <w:p w14:paraId="639561B0" w14:textId="4DCEBD59" w:rsidR="008C05EB" w:rsidRPr="008C05EB" w:rsidRDefault="00D74C71" w:rsidP="00F65622">
      <w:pPr>
        <w:spacing w:line="360" w:lineRule="auto"/>
        <w:jc w:val="both"/>
        <w:rPr>
          <w:rFonts w:ascii="Verdana" w:eastAsia="Times New Roman" w:hAnsi="Verdana"/>
          <w:sz w:val="18"/>
          <w:szCs w:val="18"/>
          <w:lang w:eastAsia="nl-NL"/>
        </w:rPr>
      </w:pPr>
      <w:r>
        <w:rPr>
          <w:rFonts w:ascii="Verdana" w:eastAsia="Times New Roman" w:hAnsi="Verdana"/>
          <w:sz w:val="18"/>
          <w:szCs w:val="18"/>
          <w:lang w:eastAsia="nl-NL"/>
        </w:rPr>
        <w:t>3</w:t>
      </w:r>
      <w:r w:rsidR="00C1355C">
        <w:rPr>
          <w:rFonts w:ascii="Verdana" w:eastAsia="Times New Roman" w:hAnsi="Verdana"/>
          <w:sz w:val="18"/>
          <w:szCs w:val="18"/>
          <w:lang w:eastAsia="nl-NL"/>
        </w:rPr>
        <w:t xml:space="preserve">) </w:t>
      </w:r>
      <w:r w:rsidR="000D094A">
        <w:rPr>
          <w:rFonts w:ascii="Verdana" w:eastAsia="Times New Roman" w:hAnsi="Verdana"/>
          <w:sz w:val="18"/>
          <w:szCs w:val="18"/>
          <w:lang w:eastAsia="nl-NL"/>
        </w:rPr>
        <w:t>De Unierechtelijke criteria en/of guiding principles zijn niet kenbaar en/of naar behoren betrokken bij de belangenafweging.</w:t>
      </w:r>
      <w:r w:rsidR="00240D31">
        <w:rPr>
          <w:rFonts w:ascii="Verdana" w:eastAsia="Times New Roman" w:hAnsi="Verdana"/>
          <w:sz w:val="18"/>
          <w:szCs w:val="18"/>
          <w:lang w:eastAsia="nl-NL"/>
        </w:rPr>
        <w:t xml:space="preserve"> In dit kader wordt geadviseerd om </w:t>
      </w:r>
      <w:r w:rsidR="00797776">
        <w:rPr>
          <w:rFonts w:ascii="Verdana" w:eastAsia="Times New Roman" w:hAnsi="Verdana"/>
          <w:sz w:val="18"/>
          <w:szCs w:val="18"/>
          <w:lang w:eastAsia="nl-NL"/>
        </w:rPr>
        <w:t xml:space="preserve">bijlage 1 </w:t>
      </w:r>
      <w:r w:rsidR="00195FCA">
        <w:rPr>
          <w:rFonts w:ascii="Verdana" w:eastAsia="Times New Roman" w:hAnsi="Verdana"/>
          <w:sz w:val="18"/>
          <w:szCs w:val="18"/>
          <w:lang w:eastAsia="nl-NL"/>
        </w:rPr>
        <w:t xml:space="preserve">van dit onderzoek </w:t>
      </w:r>
      <w:r w:rsidR="00797776">
        <w:rPr>
          <w:rFonts w:ascii="Verdana" w:eastAsia="Times New Roman" w:hAnsi="Verdana"/>
          <w:sz w:val="18"/>
          <w:szCs w:val="18"/>
          <w:lang w:eastAsia="nl-NL"/>
        </w:rPr>
        <w:t>te gebruiken bij de motivering.</w:t>
      </w:r>
      <w:r w:rsidR="009846CA">
        <w:rPr>
          <w:rFonts w:ascii="Verdana" w:eastAsia="Times New Roman" w:hAnsi="Verdana"/>
          <w:sz w:val="18"/>
          <w:szCs w:val="18"/>
          <w:lang w:eastAsia="nl-NL"/>
        </w:rPr>
        <w:t xml:space="preserve"> Inmiddels is dit een belangrijke en heldere lijst.</w:t>
      </w:r>
    </w:p>
    <w:p w14:paraId="74D1817D" w14:textId="77777777" w:rsidR="008C05EB" w:rsidRDefault="008C05EB" w:rsidP="00F65622">
      <w:pPr>
        <w:spacing w:line="360" w:lineRule="auto"/>
        <w:jc w:val="both"/>
        <w:rPr>
          <w:rFonts w:ascii="Verdana" w:eastAsia="Times New Roman" w:hAnsi="Verdana"/>
          <w:i/>
          <w:sz w:val="18"/>
          <w:szCs w:val="18"/>
          <w:lang w:eastAsia="nl-NL"/>
        </w:rPr>
      </w:pPr>
    </w:p>
    <w:p w14:paraId="09BE3745" w14:textId="5F16EF59" w:rsidR="00F65622" w:rsidRDefault="00390B53" w:rsidP="00F65622">
      <w:pPr>
        <w:spacing w:line="360" w:lineRule="auto"/>
        <w:jc w:val="both"/>
        <w:rPr>
          <w:rFonts w:ascii="Verdana" w:eastAsia="Times New Roman" w:hAnsi="Verdana"/>
          <w:i/>
          <w:sz w:val="18"/>
          <w:szCs w:val="18"/>
          <w:lang w:eastAsia="nl-NL"/>
        </w:rPr>
      </w:pPr>
      <w:r>
        <w:rPr>
          <w:rFonts w:ascii="Verdana" w:eastAsia="Times New Roman" w:hAnsi="Verdana"/>
          <w:i/>
          <w:sz w:val="18"/>
          <w:szCs w:val="18"/>
          <w:lang w:eastAsia="nl-NL"/>
        </w:rPr>
        <w:t>4.1.2 Advies s</w:t>
      </w:r>
      <w:r w:rsidR="00F65622">
        <w:rPr>
          <w:rFonts w:ascii="Verdana" w:eastAsia="Times New Roman" w:hAnsi="Verdana"/>
          <w:i/>
          <w:sz w:val="18"/>
          <w:szCs w:val="18"/>
          <w:lang w:eastAsia="nl-NL"/>
        </w:rPr>
        <w:t>trafzaken</w:t>
      </w:r>
    </w:p>
    <w:p w14:paraId="4A9B97BB" w14:textId="14FA27D6" w:rsidR="001202D8" w:rsidRDefault="00D74C71" w:rsidP="00EA2291">
      <w:pPr>
        <w:spacing w:after="0" w:line="360" w:lineRule="auto"/>
        <w:jc w:val="both"/>
        <w:rPr>
          <w:rFonts w:ascii="Verdana" w:eastAsia="Times New Roman" w:hAnsi="Verdana"/>
          <w:sz w:val="18"/>
          <w:szCs w:val="18"/>
          <w:lang w:eastAsia="nl-NL"/>
        </w:rPr>
      </w:pPr>
      <w:r>
        <w:rPr>
          <w:rFonts w:ascii="Verdana" w:eastAsia="Times New Roman" w:hAnsi="Verdana"/>
          <w:sz w:val="18"/>
          <w:szCs w:val="18"/>
          <w:lang w:eastAsia="nl-NL"/>
        </w:rPr>
        <w:t>In</w:t>
      </w:r>
      <w:r w:rsidR="00B4476E">
        <w:rPr>
          <w:rFonts w:ascii="Verdana" w:eastAsia="Times New Roman" w:hAnsi="Verdana"/>
          <w:sz w:val="18"/>
          <w:szCs w:val="18"/>
          <w:lang w:eastAsia="nl-NL"/>
        </w:rPr>
        <w:t xml:space="preserve"> strafzaken waarbij de vreemdeling </w:t>
      </w:r>
      <w:r w:rsidR="00F53F37">
        <w:rPr>
          <w:rFonts w:ascii="Verdana" w:eastAsia="Times New Roman" w:hAnsi="Verdana"/>
          <w:sz w:val="18"/>
          <w:szCs w:val="18"/>
          <w:lang w:eastAsia="nl-NL"/>
        </w:rPr>
        <w:t>wordt verdacht van overtreding van artikel 197 Sr,</w:t>
      </w:r>
      <w:r>
        <w:rPr>
          <w:rFonts w:ascii="Verdana" w:eastAsia="Times New Roman" w:hAnsi="Verdana"/>
          <w:sz w:val="18"/>
          <w:szCs w:val="18"/>
          <w:lang w:eastAsia="nl-NL"/>
        </w:rPr>
        <w:t xml:space="preserve"> wordt SVK-advocaten geadviseerd om</w:t>
      </w:r>
      <w:r w:rsidR="00F53F37">
        <w:rPr>
          <w:rFonts w:ascii="Verdana" w:eastAsia="Times New Roman" w:hAnsi="Verdana"/>
          <w:sz w:val="18"/>
          <w:szCs w:val="18"/>
          <w:lang w:eastAsia="nl-NL"/>
        </w:rPr>
        <w:t xml:space="preserve"> de volgende gronden aan te voeren:</w:t>
      </w:r>
      <w:r w:rsidR="00150080">
        <w:rPr>
          <w:rStyle w:val="Voetnootmarkering"/>
          <w:rFonts w:ascii="Verdana" w:eastAsia="Times New Roman" w:hAnsi="Verdana"/>
          <w:sz w:val="18"/>
          <w:szCs w:val="18"/>
          <w:lang w:eastAsia="nl-NL"/>
        </w:rPr>
        <w:footnoteReference w:id="136"/>
      </w:r>
    </w:p>
    <w:p w14:paraId="2D161D19" w14:textId="77777777" w:rsidR="007D3236" w:rsidRDefault="007D3236" w:rsidP="00EA2291">
      <w:pPr>
        <w:spacing w:after="0" w:line="360" w:lineRule="auto"/>
        <w:jc w:val="both"/>
        <w:rPr>
          <w:rFonts w:ascii="Verdana" w:eastAsia="Times New Roman" w:hAnsi="Verdana"/>
          <w:sz w:val="18"/>
          <w:szCs w:val="18"/>
          <w:lang w:eastAsia="nl-NL"/>
        </w:rPr>
      </w:pPr>
    </w:p>
    <w:p w14:paraId="03F237B8" w14:textId="6730A099" w:rsidR="00A031A3" w:rsidRDefault="007C71BB" w:rsidP="00EA2291">
      <w:pPr>
        <w:spacing w:after="0" w:line="360" w:lineRule="auto"/>
        <w:jc w:val="both"/>
        <w:rPr>
          <w:rFonts w:ascii="Verdana" w:eastAsia="Times New Roman" w:hAnsi="Verdana"/>
          <w:sz w:val="18"/>
          <w:szCs w:val="18"/>
          <w:lang w:eastAsia="nl-NL"/>
        </w:rPr>
      </w:pPr>
      <w:r>
        <w:rPr>
          <w:rFonts w:ascii="Verdana" w:eastAsia="Times New Roman" w:hAnsi="Verdana"/>
          <w:sz w:val="18"/>
          <w:szCs w:val="18"/>
          <w:lang w:eastAsia="nl-NL"/>
        </w:rPr>
        <w:t>1)</w:t>
      </w:r>
      <w:r w:rsidR="006042A3">
        <w:rPr>
          <w:rFonts w:ascii="Verdana" w:eastAsia="Times New Roman" w:hAnsi="Verdana"/>
          <w:sz w:val="18"/>
          <w:szCs w:val="18"/>
          <w:lang w:eastAsia="nl-NL"/>
        </w:rPr>
        <w:t xml:space="preserve"> </w:t>
      </w:r>
      <w:r w:rsidR="00C42449">
        <w:rPr>
          <w:rFonts w:ascii="Verdana" w:eastAsia="Times New Roman" w:hAnsi="Verdana"/>
          <w:sz w:val="18"/>
          <w:szCs w:val="18"/>
          <w:lang w:eastAsia="nl-NL"/>
        </w:rPr>
        <w:t>Doordat de Terugkeerrichtlijn geen bepalingen bevat ten aanzien van het gebruik van het strafrecht, zijn de lidstaten zelfstandig bevoegd om het strafrecht in te zetten. In Nederland heeft de wetgever expliciet gekozen om de strafbaarstelling te koppelen aan het inreisverbod en niet aan het terugkeerbesluit.</w:t>
      </w:r>
      <w:r w:rsidR="00A715AB">
        <w:rPr>
          <w:rFonts w:ascii="Verdana" w:eastAsia="Times New Roman" w:hAnsi="Verdana"/>
          <w:sz w:val="18"/>
          <w:szCs w:val="18"/>
          <w:lang w:eastAsia="nl-NL"/>
        </w:rPr>
        <w:t xml:space="preserve"> Reden hiervoor was dat de wetgever het illegale verblijf als zodanig niet strafbaar wenste te stellen. </w:t>
      </w:r>
      <w:r w:rsidR="00C42449">
        <w:rPr>
          <w:rFonts w:ascii="Verdana" w:eastAsia="Times New Roman" w:hAnsi="Verdana"/>
          <w:sz w:val="18"/>
          <w:szCs w:val="18"/>
          <w:lang w:eastAsia="nl-NL"/>
        </w:rPr>
        <w:t xml:space="preserve">In artikel 197 Sr is dan ook het verblijf in weerwil van het inreisverbod </w:t>
      </w:r>
      <w:r w:rsidR="001D204A">
        <w:rPr>
          <w:rFonts w:ascii="Verdana" w:eastAsia="Times New Roman" w:hAnsi="Verdana"/>
          <w:sz w:val="18"/>
          <w:szCs w:val="18"/>
          <w:lang w:eastAsia="nl-NL"/>
        </w:rPr>
        <w:t xml:space="preserve">of de ongewenstverklaring </w:t>
      </w:r>
      <w:r w:rsidR="00C42449">
        <w:rPr>
          <w:rFonts w:ascii="Verdana" w:eastAsia="Times New Roman" w:hAnsi="Verdana"/>
          <w:sz w:val="18"/>
          <w:szCs w:val="18"/>
          <w:lang w:eastAsia="nl-NL"/>
        </w:rPr>
        <w:t xml:space="preserve">strafbaar gesteld voor de vreemdeling die weet of </w:t>
      </w:r>
      <w:r w:rsidR="001D204A">
        <w:rPr>
          <w:rFonts w:ascii="Verdana" w:eastAsia="Times New Roman" w:hAnsi="Verdana"/>
          <w:sz w:val="18"/>
          <w:szCs w:val="18"/>
          <w:lang w:eastAsia="nl-NL"/>
        </w:rPr>
        <w:t xml:space="preserve">ernstige reden heeft om te vermoeden </w:t>
      </w:r>
      <w:r w:rsidR="00C42449">
        <w:rPr>
          <w:rFonts w:ascii="Verdana" w:eastAsia="Times New Roman" w:hAnsi="Verdana"/>
          <w:sz w:val="18"/>
          <w:szCs w:val="18"/>
          <w:lang w:eastAsia="nl-NL"/>
        </w:rPr>
        <w:t xml:space="preserve">dat jegens hem een inreisverbod is uitgevaardigd. </w:t>
      </w:r>
    </w:p>
    <w:p w14:paraId="667C88C1" w14:textId="77777777" w:rsidR="00A031A3" w:rsidRDefault="00A031A3" w:rsidP="00EA2291">
      <w:pPr>
        <w:spacing w:after="0" w:line="360" w:lineRule="auto"/>
        <w:jc w:val="both"/>
        <w:rPr>
          <w:rFonts w:ascii="Verdana" w:eastAsia="Times New Roman" w:hAnsi="Verdana"/>
          <w:sz w:val="18"/>
          <w:szCs w:val="18"/>
          <w:lang w:eastAsia="nl-NL"/>
        </w:rPr>
      </w:pPr>
    </w:p>
    <w:p w14:paraId="00D63A90" w14:textId="77777777" w:rsidR="006F7F57" w:rsidRDefault="00C42449" w:rsidP="00EA2291">
      <w:pPr>
        <w:spacing w:after="0" w:line="360" w:lineRule="auto"/>
        <w:jc w:val="both"/>
        <w:rPr>
          <w:rFonts w:ascii="Verdana" w:eastAsia="Times New Roman" w:hAnsi="Verdana"/>
          <w:sz w:val="18"/>
          <w:szCs w:val="18"/>
          <w:lang w:eastAsia="nl-NL"/>
        </w:rPr>
      </w:pPr>
      <w:r>
        <w:rPr>
          <w:rFonts w:ascii="Verdana" w:eastAsia="Times New Roman" w:hAnsi="Verdana"/>
          <w:sz w:val="18"/>
          <w:szCs w:val="18"/>
          <w:lang w:eastAsia="nl-NL"/>
        </w:rPr>
        <w:t>Echter, het heldere onderscheid dat in het Ouhrami arrest wordt gemaakt tussen het inreisverbod en het terugkeerbesluit heeft tot gevolg dat de vreemdel</w:t>
      </w:r>
      <w:r w:rsidR="00A031A3">
        <w:rPr>
          <w:rFonts w:ascii="Verdana" w:eastAsia="Times New Roman" w:hAnsi="Verdana"/>
          <w:sz w:val="18"/>
          <w:szCs w:val="18"/>
          <w:lang w:eastAsia="nl-NL"/>
        </w:rPr>
        <w:t xml:space="preserve">ing die Nederland </w:t>
      </w:r>
      <w:r>
        <w:rPr>
          <w:rFonts w:ascii="Verdana" w:eastAsia="Times New Roman" w:hAnsi="Verdana"/>
          <w:sz w:val="18"/>
          <w:szCs w:val="18"/>
          <w:lang w:eastAsia="nl-NL"/>
        </w:rPr>
        <w:t xml:space="preserve">nog niet heeft verlaten, </w:t>
      </w:r>
      <w:r>
        <w:rPr>
          <w:rFonts w:ascii="Verdana" w:eastAsia="Times New Roman" w:hAnsi="Verdana"/>
          <w:sz w:val="18"/>
          <w:szCs w:val="18"/>
          <w:lang w:eastAsia="nl-NL"/>
        </w:rPr>
        <w:lastRenderedPageBreak/>
        <w:t>niet strafrechtelijk vervolg</w:t>
      </w:r>
      <w:r w:rsidR="00A031A3">
        <w:rPr>
          <w:rFonts w:ascii="Verdana" w:eastAsia="Times New Roman" w:hAnsi="Verdana"/>
          <w:sz w:val="18"/>
          <w:szCs w:val="18"/>
          <w:lang w:eastAsia="nl-NL"/>
        </w:rPr>
        <w:t>d</w:t>
      </w:r>
      <w:r>
        <w:rPr>
          <w:rFonts w:ascii="Verdana" w:eastAsia="Times New Roman" w:hAnsi="Verdana"/>
          <w:sz w:val="18"/>
          <w:szCs w:val="18"/>
          <w:lang w:eastAsia="nl-NL"/>
        </w:rPr>
        <w:t xml:space="preserve"> kan worden voor </w:t>
      </w:r>
      <w:r w:rsidR="00A031A3">
        <w:rPr>
          <w:rFonts w:ascii="Verdana" w:eastAsia="Times New Roman" w:hAnsi="Verdana"/>
          <w:sz w:val="18"/>
          <w:szCs w:val="18"/>
          <w:lang w:eastAsia="nl-NL"/>
        </w:rPr>
        <w:t xml:space="preserve">overtreding van artikel 197 Sr. </w:t>
      </w:r>
      <w:r w:rsidR="006F7F57">
        <w:rPr>
          <w:rFonts w:ascii="Verdana" w:eastAsia="Times New Roman" w:hAnsi="Verdana"/>
          <w:sz w:val="18"/>
          <w:szCs w:val="18"/>
          <w:lang w:eastAsia="nl-NL"/>
        </w:rPr>
        <w:t xml:space="preserve">Door het HvJEU is in het Ouhrami arrest immers bepaald dat het inreisverbod het terugkeerbesluit aanvult en pas ingaat op het moment dat de vreemdeling </w:t>
      </w:r>
      <w:r w:rsidR="006F7F57" w:rsidRPr="00A147E7">
        <w:rPr>
          <w:rFonts w:ascii="Verdana" w:eastAsia="Times New Roman" w:hAnsi="Verdana"/>
          <w:sz w:val="18"/>
          <w:szCs w:val="18"/>
          <w:lang w:eastAsia="nl-NL"/>
        </w:rPr>
        <w:t>terugkeert</w:t>
      </w:r>
      <w:r w:rsidR="006F7F57" w:rsidRPr="00A147E7">
        <w:rPr>
          <w:rFonts w:ascii="Verdana" w:eastAsia="Times New Roman" w:hAnsi="Verdana"/>
          <w:i/>
          <w:sz w:val="18"/>
          <w:szCs w:val="18"/>
          <w:lang w:eastAsia="nl-NL"/>
        </w:rPr>
        <w:t xml:space="preserve"> </w:t>
      </w:r>
      <w:r w:rsidR="006F7F57">
        <w:rPr>
          <w:rFonts w:ascii="Verdana" w:eastAsia="Times New Roman" w:hAnsi="Verdana"/>
          <w:sz w:val="18"/>
          <w:szCs w:val="18"/>
          <w:lang w:eastAsia="nl-NL"/>
        </w:rPr>
        <w:t xml:space="preserve">op het grondgebied van de lidstaten. </w:t>
      </w:r>
    </w:p>
    <w:p w14:paraId="21FB0568" w14:textId="77777777" w:rsidR="006F7F57" w:rsidRDefault="006F7F57" w:rsidP="00EA2291">
      <w:pPr>
        <w:spacing w:after="0" w:line="360" w:lineRule="auto"/>
        <w:jc w:val="both"/>
        <w:rPr>
          <w:rFonts w:ascii="Verdana" w:eastAsia="Times New Roman" w:hAnsi="Verdana"/>
          <w:sz w:val="18"/>
          <w:szCs w:val="18"/>
          <w:lang w:eastAsia="nl-NL"/>
        </w:rPr>
      </w:pPr>
    </w:p>
    <w:p w14:paraId="636ADC35" w14:textId="2AA3C846" w:rsidR="007C4C87" w:rsidRDefault="006F7F57" w:rsidP="00EA2291">
      <w:pPr>
        <w:spacing w:after="0" w:line="360" w:lineRule="auto"/>
        <w:jc w:val="both"/>
        <w:rPr>
          <w:rFonts w:ascii="Verdana" w:eastAsia="Times New Roman" w:hAnsi="Verdana"/>
          <w:sz w:val="18"/>
          <w:szCs w:val="18"/>
          <w:lang w:eastAsia="nl-NL"/>
        </w:rPr>
      </w:pPr>
      <w:r>
        <w:rPr>
          <w:rFonts w:ascii="Verdana" w:eastAsia="Times New Roman" w:hAnsi="Verdana"/>
          <w:sz w:val="18"/>
          <w:szCs w:val="18"/>
          <w:lang w:eastAsia="nl-NL"/>
        </w:rPr>
        <w:t>Geconcludeerd kan</w:t>
      </w:r>
      <w:r w:rsidR="00A031A3">
        <w:rPr>
          <w:rFonts w:ascii="Verdana" w:eastAsia="Times New Roman" w:hAnsi="Verdana"/>
          <w:sz w:val="18"/>
          <w:szCs w:val="18"/>
          <w:lang w:eastAsia="nl-NL"/>
        </w:rPr>
        <w:t xml:space="preserve"> worden dat </w:t>
      </w:r>
      <w:r w:rsidR="00B66E44">
        <w:rPr>
          <w:rFonts w:ascii="Verdana" w:eastAsia="Times New Roman" w:hAnsi="Verdana"/>
          <w:sz w:val="18"/>
          <w:szCs w:val="18"/>
          <w:lang w:eastAsia="nl-NL"/>
        </w:rPr>
        <w:t>de huidige gang van zaken, waarbij ook de vreemdeling die Nederland nog niet heeft verlat</w:t>
      </w:r>
      <w:r w:rsidR="009E51E6">
        <w:rPr>
          <w:rFonts w:ascii="Verdana" w:eastAsia="Times New Roman" w:hAnsi="Verdana"/>
          <w:sz w:val="18"/>
          <w:szCs w:val="18"/>
          <w:lang w:eastAsia="nl-NL"/>
        </w:rPr>
        <w:t>en wordt veroordeeld voor overtre</w:t>
      </w:r>
      <w:r w:rsidR="00B66E44">
        <w:rPr>
          <w:rFonts w:ascii="Verdana" w:eastAsia="Times New Roman" w:hAnsi="Verdana"/>
          <w:sz w:val="18"/>
          <w:szCs w:val="18"/>
          <w:lang w:eastAsia="nl-NL"/>
        </w:rPr>
        <w:t xml:space="preserve">ding van voornoemd artikel, </w:t>
      </w:r>
      <w:r w:rsidR="008D71D8">
        <w:rPr>
          <w:rFonts w:ascii="Verdana" w:eastAsia="Times New Roman" w:hAnsi="Verdana"/>
          <w:sz w:val="18"/>
          <w:szCs w:val="18"/>
          <w:lang w:eastAsia="nl-NL"/>
        </w:rPr>
        <w:t>absoluut niet in lijn is met het Ouhrami arrest.</w:t>
      </w:r>
      <w:r w:rsidR="00FC66CC">
        <w:rPr>
          <w:rFonts w:ascii="Verdana" w:eastAsia="Times New Roman" w:hAnsi="Verdana"/>
          <w:sz w:val="18"/>
          <w:szCs w:val="18"/>
          <w:lang w:eastAsia="nl-NL"/>
        </w:rPr>
        <w:t xml:space="preserve"> Op het moment dat de vreemdeling de lidstaten nog niet heeft verlaten, heeft het inreisverbod immers nog geen rechtskracht, waardoor deze </w:t>
      </w:r>
      <w:r w:rsidR="00F136AB">
        <w:rPr>
          <w:rFonts w:ascii="Verdana" w:eastAsia="Times New Roman" w:hAnsi="Verdana"/>
          <w:sz w:val="18"/>
          <w:szCs w:val="18"/>
          <w:lang w:eastAsia="nl-NL"/>
        </w:rPr>
        <w:t xml:space="preserve">logischerwijs </w:t>
      </w:r>
      <w:r w:rsidR="00746F79">
        <w:rPr>
          <w:rFonts w:ascii="Verdana" w:eastAsia="Times New Roman" w:hAnsi="Verdana"/>
          <w:sz w:val="18"/>
          <w:szCs w:val="18"/>
          <w:lang w:eastAsia="nl-NL"/>
        </w:rPr>
        <w:t>niet overtreden kan worden.</w:t>
      </w:r>
      <w:r w:rsidR="00F136AB">
        <w:rPr>
          <w:rFonts w:ascii="Verdana" w:eastAsia="Times New Roman" w:hAnsi="Verdana"/>
          <w:sz w:val="18"/>
          <w:szCs w:val="18"/>
          <w:lang w:eastAsia="nl-NL"/>
        </w:rPr>
        <w:t xml:space="preserve"> Dat de vreemdeling weet of ernstige reden heeft te vermoeden dat tegen hem een inreisverbod is uitgevaardigd doet niets af aan deze conclusie, nu het inreisverbod feitelijk gezien op dat moment nog niet bestaat.</w:t>
      </w:r>
    </w:p>
    <w:p w14:paraId="21A807A6" w14:textId="77777777" w:rsidR="007C4C87" w:rsidRDefault="007C4C87" w:rsidP="00EA2291">
      <w:pPr>
        <w:spacing w:after="0" w:line="360" w:lineRule="auto"/>
        <w:jc w:val="both"/>
        <w:rPr>
          <w:rFonts w:ascii="Verdana" w:eastAsia="Times New Roman" w:hAnsi="Verdana"/>
          <w:sz w:val="18"/>
          <w:szCs w:val="18"/>
          <w:lang w:eastAsia="nl-NL"/>
        </w:rPr>
      </w:pPr>
    </w:p>
    <w:p w14:paraId="60D47AF0" w14:textId="77777777" w:rsidR="005165B7" w:rsidRDefault="00746F79" w:rsidP="00181496">
      <w:pPr>
        <w:spacing w:after="0" w:line="360" w:lineRule="auto"/>
        <w:jc w:val="both"/>
        <w:rPr>
          <w:rFonts w:ascii="Verdana" w:eastAsia="Times New Roman" w:hAnsi="Verdana"/>
          <w:sz w:val="18"/>
          <w:szCs w:val="18"/>
          <w:lang w:eastAsia="nl-NL"/>
        </w:rPr>
      </w:pPr>
      <w:r>
        <w:rPr>
          <w:rFonts w:ascii="Verdana" w:eastAsia="Times New Roman" w:hAnsi="Verdana"/>
          <w:sz w:val="18"/>
          <w:szCs w:val="18"/>
          <w:lang w:eastAsia="nl-NL"/>
        </w:rPr>
        <w:t xml:space="preserve">Voornoemde betekent </w:t>
      </w:r>
      <w:r w:rsidR="00C42449">
        <w:rPr>
          <w:rFonts w:ascii="Verdana" w:eastAsia="Times New Roman" w:hAnsi="Verdana"/>
          <w:sz w:val="18"/>
          <w:szCs w:val="18"/>
          <w:lang w:eastAsia="nl-NL"/>
        </w:rPr>
        <w:t xml:space="preserve">dat </w:t>
      </w:r>
      <w:r>
        <w:rPr>
          <w:rFonts w:ascii="Verdana" w:eastAsia="Times New Roman" w:hAnsi="Verdana"/>
          <w:sz w:val="18"/>
          <w:szCs w:val="18"/>
          <w:lang w:eastAsia="nl-NL"/>
        </w:rPr>
        <w:t xml:space="preserve">de </w:t>
      </w:r>
      <w:r w:rsidR="00C42449">
        <w:rPr>
          <w:rFonts w:ascii="Verdana" w:eastAsia="Times New Roman" w:hAnsi="Verdana"/>
          <w:sz w:val="18"/>
          <w:szCs w:val="18"/>
          <w:lang w:eastAsia="nl-NL"/>
        </w:rPr>
        <w:t xml:space="preserve">wettelijke grondslag voor </w:t>
      </w:r>
      <w:r>
        <w:rPr>
          <w:rFonts w:ascii="Verdana" w:eastAsia="Times New Roman" w:hAnsi="Verdana"/>
          <w:sz w:val="18"/>
          <w:szCs w:val="18"/>
          <w:lang w:eastAsia="nl-NL"/>
        </w:rPr>
        <w:t xml:space="preserve">de </w:t>
      </w:r>
      <w:r w:rsidR="00C42449">
        <w:rPr>
          <w:rFonts w:ascii="Verdana" w:eastAsia="Times New Roman" w:hAnsi="Verdana"/>
          <w:sz w:val="18"/>
          <w:szCs w:val="18"/>
          <w:lang w:eastAsia="nl-NL"/>
        </w:rPr>
        <w:t xml:space="preserve">vervolging </w:t>
      </w:r>
      <w:r>
        <w:rPr>
          <w:rFonts w:ascii="Verdana" w:eastAsia="Times New Roman" w:hAnsi="Verdana"/>
          <w:sz w:val="18"/>
          <w:szCs w:val="18"/>
          <w:lang w:eastAsia="nl-NL"/>
        </w:rPr>
        <w:t>van de vreemdeling jegens wie een inreisverbod is uitgevaardigd, maar die Nederland nog niet heeft verlaten</w:t>
      </w:r>
      <w:r w:rsidR="004524BD">
        <w:rPr>
          <w:rFonts w:ascii="Verdana" w:eastAsia="Times New Roman" w:hAnsi="Verdana"/>
          <w:sz w:val="18"/>
          <w:szCs w:val="18"/>
          <w:lang w:eastAsia="nl-NL"/>
        </w:rPr>
        <w:t xml:space="preserve">, </w:t>
      </w:r>
      <w:r w:rsidR="00C42449">
        <w:rPr>
          <w:rFonts w:ascii="Verdana" w:eastAsia="Times New Roman" w:hAnsi="Verdana"/>
          <w:sz w:val="18"/>
          <w:szCs w:val="18"/>
          <w:lang w:eastAsia="nl-NL"/>
        </w:rPr>
        <w:t xml:space="preserve">in de </w:t>
      </w:r>
      <w:r>
        <w:rPr>
          <w:rFonts w:ascii="Verdana" w:eastAsia="Times New Roman" w:hAnsi="Verdana"/>
          <w:sz w:val="18"/>
          <w:szCs w:val="18"/>
          <w:lang w:eastAsia="nl-NL"/>
        </w:rPr>
        <w:t xml:space="preserve">huidige </w:t>
      </w:r>
      <w:r w:rsidR="00C42449">
        <w:rPr>
          <w:rFonts w:ascii="Verdana" w:eastAsia="Times New Roman" w:hAnsi="Verdana"/>
          <w:sz w:val="18"/>
          <w:szCs w:val="18"/>
          <w:lang w:eastAsia="nl-NL"/>
        </w:rPr>
        <w:t>nationale wetgeving ontbreekt</w:t>
      </w:r>
      <w:r>
        <w:rPr>
          <w:rFonts w:ascii="Verdana" w:eastAsia="Times New Roman" w:hAnsi="Verdana"/>
          <w:sz w:val="18"/>
          <w:szCs w:val="18"/>
          <w:lang w:eastAsia="nl-NL"/>
        </w:rPr>
        <w:t xml:space="preserve">. Om deze reden kan niet anders dan worden geconcludeerd </w:t>
      </w:r>
      <w:r w:rsidR="008D5B28">
        <w:rPr>
          <w:rFonts w:ascii="Verdana" w:eastAsia="Times New Roman" w:hAnsi="Verdana"/>
          <w:sz w:val="18"/>
          <w:szCs w:val="18"/>
          <w:lang w:eastAsia="nl-NL"/>
        </w:rPr>
        <w:t>dan dat</w:t>
      </w:r>
      <w:r>
        <w:rPr>
          <w:rFonts w:ascii="Verdana" w:eastAsia="Times New Roman" w:hAnsi="Verdana"/>
          <w:sz w:val="18"/>
          <w:szCs w:val="18"/>
          <w:lang w:eastAsia="nl-NL"/>
        </w:rPr>
        <w:t xml:space="preserve"> er momenteel sprake is van e</w:t>
      </w:r>
      <w:r w:rsidR="00CD5FBD">
        <w:rPr>
          <w:rFonts w:ascii="Verdana" w:eastAsia="Times New Roman" w:hAnsi="Verdana"/>
          <w:sz w:val="18"/>
          <w:szCs w:val="18"/>
          <w:lang w:eastAsia="nl-NL"/>
        </w:rPr>
        <w:t xml:space="preserve">en ernstig legaliteitsgebrek en dat </w:t>
      </w:r>
      <w:r w:rsidR="008D5B28">
        <w:rPr>
          <w:rFonts w:ascii="Verdana" w:eastAsia="Times New Roman" w:hAnsi="Verdana"/>
          <w:sz w:val="18"/>
          <w:szCs w:val="18"/>
          <w:lang w:eastAsia="nl-NL"/>
        </w:rPr>
        <w:t xml:space="preserve">om deze reden </w:t>
      </w:r>
      <w:r w:rsidR="00CD5FBD">
        <w:rPr>
          <w:rFonts w:ascii="Verdana" w:eastAsia="Times New Roman" w:hAnsi="Verdana"/>
          <w:sz w:val="18"/>
          <w:szCs w:val="18"/>
          <w:lang w:eastAsia="nl-NL"/>
        </w:rPr>
        <w:t>de vreemdeling die Nederland nog niet heeft verlaten niet veroordeeld mag worden</w:t>
      </w:r>
      <w:r w:rsidR="007C4C87">
        <w:rPr>
          <w:rFonts w:ascii="Verdana" w:eastAsia="Times New Roman" w:hAnsi="Verdana"/>
          <w:sz w:val="18"/>
          <w:szCs w:val="18"/>
          <w:lang w:eastAsia="nl-NL"/>
        </w:rPr>
        <w:t xml:space="preserve"> wegens overtreding van artikel 197 Sr</w:t>
      </w:r>
      <w:r w:rsidR="00CD5FBD">
        <w:rPr>
          <w:rFonts w:ascii="Verdana" w:eastAsia="Times New Roman" w:hAnsi="Verdana"/>
          <w:sz w:val="18"/>
          <w:szCs w:val="18"/>
          <w:lang w:eastAsia="nl-NL"/>
        </w:rPr>
        <w:t>.</w:t>
      </w:r>
      <w:r w:rsidR="008D5B28">
        <w:rPr>
          <w:rFonts w:ascii="Verdana" w:eastAsia="Times New Roman" w:hAnsi="Verdana"/>
          <w:sz w:val="18"/>
          <w:szCs w:val="18"/>
          <w:lang w:eastAsia="nl-NL"/>
        </w:rPr>
        <w:t xml:space="preserve"> I</w:t>
      </w:r>
      <w:r w:rsidR="004A4503">
        <w:rPr>
          <w:rFonts w:ascii="Verdana" w:eastAsia="Times New Roman" w:hAnsi="Verdana"/>
          <w:sz w:val="18"/>
          <w:szCs w:val="18"/>
          <w:lang w:eastAsia="nl-NL"/>
        </w:rPr>
        <w:t>ndien de strafrechter over zal gaan tot veroordeling, zal</w:t>
      </w:r>
      <w:r w:rsidR="008D5B28">
        <w:rPr>
          <w:rFonts w:ascii="Verdana" w:eastAsia="Times New Roman" w:hAnsi="Verdana"/>
          <w:sz w:val="18"/>
          <w:szCs w:val="18"/>
          <w:lang w:eastAsia="nl-NL"/>
        </w:rPr>
        <w:t xml:space="preserve"> er sprake zijn van ernstige schending van een fundamenteel rechtsbeginsel, te weten het legaliteitsbeginsel. </w:t>
      </w:r>
    </w:p>
    <w:p w14:paraId="69A7DCCF" w14:textId="088E999A" w:rsidR="004D1A35" w:rsidRPr="00D2389F" w:rsidRDefault="00E55D64" w:rsidP="00181496">
      <w:pPr>
        <w:pBdr>
          <w:bottom w:val="single" w:sz="4" w:space="1" w:color="auto"/>
        </w:pBdr>
        <w:spacing w:after="0" w:line="360" w:lineRule="auto"/>
        <w:jc w:val="both"/>
        <w:rPr>
          <w:rFonts w:ascii="Verdana" w:eastAsia="Times New Roman" w:hAnsi="Verdana"/>
          <w:i/>
          <w:sz w:val="18"/>
          <w:szCs w:val="18"/>
          <w:lang w:eastAsia="nl-NL"/>
        </w:rPr>
      </w:pPr>
      <w:r>
        <w:rPr>
          <w:rFonts w:ascii="Verdana" w:eastAsia="Times New Roman" w:hAnsi="Verdana"/>
          <w:sz w:val="18"/>
          <w:szCs w:val="18"/>
          <w:lang w:eastAsia="nl-NL"/>
        </w:rPr>
        <w:br/>
      </w:r>
      <w:r w:rsidR="004D1A35">
        <w:rPr>
          <w:rFonts w:ascii="Verdana" w:eastAsia="Times New Roman" w:hAnsi="Verdana"/>
          <w:i/>
          <w:sz w:val="18"/>
          <w:szCs w:val="18"/>
          <w:lang w:eastAsia="nl-NL"/>
        </w:rPr>
        <w:br/>
        <w:t>4.2</w:t>
      </w:r>
      <w:r w:rsidR="004D1A35" w:rsidRPr="00D2389F">
        <w:rPr>
          <w:rFonts w:ascii="Verdana" w:eastAsia="Times New Roman" w:hAnsi="Verdana"/>
          <w:i/>
          <w:sz w:val="18"/>
          <w:szCs w:val="18"/>
          <w:lang w:eastAsia="nl-NL"/>
        </w:rPr>
        <w:t xml:space="preserve"> </w:t>
      </w:r>
      <w:r w:rsidR="004D1A35">
        <w:rPr>
          <w:rFonts w:ascii="Verdana" w:eastAsia="Times New Roman" w:hAnsi="Verdana"/>
          <w:i/>
          <w:sz w:val="18"/>
          <w:szCs w:val="18"/>
          <w:lang w:eastAsia="nl-NL"/>
        </w:rPr>
        <w:t>Aanbevelingen</w:t>
      </w:r>
    </w:p>
    <w:p w14:paraId="67CEE03E" w14:textId="77777777" w:rsidR="004D1A35" w:rsidRDefault="004D1A35" w:rsidP="00181496">
      <w:pPr>
        <w:spacing w:after="0" w:line="360" w:lineRule="auto"/>
        <w:jc w:val="both"/>
        <w:rPr>
          <w:rFonts w:ascii="Verdana" w:eastAsia="Times New Roman" w:hAnsi="Verdana"/>
          <w:sz w:val="18"/>
          <w:szCs w:val="18"/>
          <w:lang w:eastAsia="nl-NL"/>
        </w:rPr>
      </w:pPr>
    </w:p>
    <w:p w14:paraId="0A40A5EE" w14:textId="2DB4260B" w:rsidR="00C20CDD" w:rsidRDefault="00C20CDD" w:rsidP="00181496">
      <w:pPr>
        <w:spacing w:after="0" w:line="360" w:lineRule="auto"/>
        <w:rPr>
          <w:rFonts w:ascii="Verdana" w:eastAsia="Times New Roman" w:hAnsi="Verdana"/>
          <w:sz w:val="18"/>
          <w:szCs w:val="18"/>
          <w:lang w:eastAsia="nl-NL"/>
        </w:rPr>
      </w:pPr>
      <w:r>
        <w:rPr>
          <w:rFonts w:ascii="Verdana" w:eastAsia="Times New Roman" w:hAnsi="Verdana"/>
          <w:sz w:val="18"/>
          <w:szCs w:val="18"/>
          <w:lang w:eastAsia="nl-NL"/>
        </w:rPr>
        <w:t xml:space="preserve">Ter aanvulling op het uitgebreide advies, worden thans nog enkele concrete aanbevelingen gedaan. </w:t>
      </w:r>
    </w:p>
    <w:p w14:paraId="32061082" w14:textId="77777777" w:rsidR="00C20CDD" w:rsidRDefault="00C20CDD" w:rsidP="00181496">
      <w:pPr>
        <w:spacing w:after="0" w:line="360" w:lineRule="auto"/>
        <w:rPr>
          <w:rFonts w:ascii="Verdana" w:eastAsia="Times New Roman" w:hAnsi="Verdana"/>
          <w:sz w:val="18"/>
          <w:szCs w:val="18"/>
          <w:lang w:eastAsia="nl-NL"/>
        </w:rPr>
      </w:pPr>
    </w:p>
    <w:p w14:paraId="73242D2A" w14:textId="175F6A02" w:rsidR="00C20CDD" w:rsidRDefault="00C20CDD" w:rsidP="00181496">
      <w:pPr>
        <w:spacing w:after="0" w:line="360" w:lineRule="auto"/>
        <w:rPr>
          <w:rFonts w:ascii="Verdana" w:eastAsia="Times New Roman" w:hAnsi="Verdana"/>
          <w:sz w:val="18"/>
          <w:szCs w:val="18"/>
          <w:lang w:eastAsia="nl-NL"/>
        </w:rPr>
      </w:pPr>
      <w:r>
        <w:rPr>
          <w:rFonts w:ascii="Verdana" w:eastAsia="Times New Roman" w:hAnsi="Verdana"/>
          <w:sz w:val="18"/>
          <w:szCs w:val="18"/>
          <w:lang w:eastAsia="nl-NL"/>
        </w:rPr>
        <w:t xml:space="preserve">Ten eerste wordt aanbevolen </w:t>
      </w:r>
      <w:r w:rsidR="00181496">
        <w:rPr>
          <w:rFonts w:ascii="Verdana" w:eastAsia="Times New Roman" w:hAnsi="Verdana"/>
          <w:sz w:val="18"/>
          <w:szCs w:val="18"/>
          <w:lang w:eastAsia="nl-NL"/>
        </w:rPr>
        <w:t>om de in het beroepsschrift verwerkte gronden ter zitting uitgebreid te motiveren</w:t>
      </w:r>
      <w:r w:rsidR="00285459">
        <w:rPr>
          <w:rFonts w:ascii="Verdana" w:eastAsia="Times New Roman" w:hAnsi="Verdana"/>
          <w:sz w:val="18"/>
          <w:szCs w:val="18"/>
          <w:lang w:eastAsia="nl-NL"/>
        </w:rPr>
        <w:t xml:space="preserve"> en </w:t>
      </w:r>
      <w:r w:rsidR="009635D1">
        <w:rPr>
          <w:rFonts w:ascii="Verdana" w:eastAsia="Times New Roman" w:hAnsi="Verdana"/>
          <w:sz w:val="18"/>
          <w:szCs w:val="18"/>
          <w:lang w:eastAsia="nl-NL"/>
        </w:rPr>
        <w:t xml:space="preserve">mogelijk </w:t>
      </w:r>
      <w:r w:rsidR="00285459">
        <w:rPr>
          <w:rFonts w:ascii="Verdana" w:eastAsia="Times New Roman" w:hAnsi="Verdana"/>
          <w:sz w:val="18"/>
          <w:szCs w:val="18"/>
          <w:lang w:eastAsia="nl-NL"/>
        </w:rPr>
        <w:t>vooraf toe te zenden naar zowel de bestuursrechter als de IND</w:t>
      </w:r>
      <w:r w:rsidR="00181496">
        <w:rPr>
          <w:rFonts w:ascii="Verdana" w:eastAsia="Times New Roman" w:hAnsi="Verdana"/>
          <w:sz w:val="18"/>
          <w:szCs w:val="18"/>
          <w:lang w:eastAsia="nl-NL"/>
        </w:rPr>
        <w:t xml:space="preserve">. </w:t>
      </w:r>
      <w:r w:rsidR="00285459">
        <w:rPr>
          <w:rFonts w:ascii="Verdana" w:eastAsia="Times New Roman" w:hAnsi="Verdana"/>
          <w:sz w:val="18"/>
          <w:szCs w:val="18"/>
          <w:lang w:eastAsia="nl-NL"/>
        </w:rPr>
        <w:t>Dit is met name van belang, aangezien alle argumenten ook voor hen volledig nieuw zullen zijn. De bestuursrechter heeft</w:t>
      </w:r>
      <w:r w:rsidR="00B70D1C">
        <w:rPr>
          <w:rFonts w:ascii="Verdana" w:eastAsia="Times New Roman" w:hAnsi="Verdana"/>
          <w:sz w:val="18"/>
          <w:szCs w:val="18"/>
          <w:lang w:eastAsia="nl-NL"/>
        </w:rPr>
        <w:t xml:space="preserve"> immers</w:t>
      </w:r>
      <w:r w:rsidR="00285459">
        <w:rPr>
          <w:rFonts w:ascii="Verdana" w:eastAsia="Times New Roman" w:hAnsi="Verdana"/>
          <w:sz w:val="18"/>
          <w:szCs w:val="18"/>
          <w:lang w:eastAsia="nl-NL"/>
        </w:rPr>
        <w:t xml:space="preserve"> jaren dezelfde ambtshalve toets gehanteerd en wordt nu onder meer gewezen op het feit dat deze toets naar aanleiding van het Ouhrami arrest niet (meer) </w:t>
      </w:r>
      <w:r w:rsidR="00B70D1C">
        <w:rPr>
          <w:rFonts w:ascii="Verdana" w:eastAsia="Times New Roman" w:hAnsi="Verdana"/>
          <w:sz w:val="18"/>
          <w:szCs w:val="18"/>
          <w:lang w:eastAsia="nl-NL"/>
        </w:rPr>
        <w:t xml:space="preserve">volstaat. </w:t>
      </w:r>
    </w:p>
    <w:p w14:paraId="2E320F62" w14:textId="77777777" w:rsidR="00E14BDA" w:rsidRDefault="00E14BDA" w:rsidP="00181496">
      <w:pPr>
        <w:spacing w:after="0" w:line="360" w:lineRule="auto"/>
        <w:rPr>
          <w:rFonts w:ascii="Verdana" w:eastAsia="Times New Roman" w:hAnsi="Verdana"/>
          <w:sz w:val="18"/>
          <w:szCs w:val="18"/>
          <w:lang w:eastAsia="nl-NL"/>
        </w:rPr>
      </w:pPr>
    </w:p>
    <w:p w14:paraId="7D9F1AA9" w14:textId="11AA7B04" w:rsidR="002407C8" w:rsidRDefault="004051AF" w:rsidP="00181496">
      <w:pPr>
        <w:spacing w:after="0" w:line="360" w:lineRule="auto"/>
        <w:rPr>
          <w:rFonts w:ascii="Verdana" w:eastAsia="Times New Roman" w:hAnsi="Verdana"/>
          <w:sz w:val="18"/>
          <w:szCs w:val="18"/>
          <w:lang w:eastAsia="nl-NL"/>
        </w:rPr>
      </w:pPr>
      <w:r>
        <w:rPr>
          <w:rFonts w:ascii="Verdana" w:eastAsia="Times New Roman" w:hAnsi="Verdana"/>
          <w:sz w:val="18"/>
          <w:szCs w:val="18"/>
          <w:lang w:eastAsia="nl-NL"/>
        </w:rPr>
        <w:t xml:space="preserve">Ten tweede </w:t>
      </w:r>
      <w:r w:rsidR="002407C8">
        <w:rPr>
          <w:rFonts w:ascii="Verdana" w:eastAsia="Times New Roman" w:hAnsi="Verdana"/>
          <w:sz w:val="18"/>
          <w:szCs w:val="18"/>
          <w:lang w:eastAsia="nl-NL"/>
        </w:rPr>
        <w:t>wordt in het kader van de Unierechtelijke belangenafweging aanbevolen om bijlage 1 van onderhavig onderzoek volledig door te nemen met de betrokkene. Op deze manier zijn de betrokkenen op de hoogte van de criteria die door zowel de IND als door de bestuursrechter betrokken moeten worden bij de Unierechtelijke belangenafweging, waardoor de kans groter is dat uiteindelijk alle belangrijke belangen naar voren gebracht worden door de advocaat. Daarbij wordt geadviseerd om de nodige rapporten van bijvoorbeeld de reclassering of de huisarts op te vragen.</w:t>
      </w:r>
    </w:p>
    <w:p w14:paraId="24C5CE53" w14:textId="77777777" w:rsidR="003716D2" w:rsidRDefault="003716D2" w:rsidP="00181496">
      <w:pPr>
        <w:spacing w:after="0" w:line="360" w:lineRule="auto"/>
        <w:rPr>
          <w:rFonts w:ascii="Verdana" w:eastAsia="Times New Roman" w:hAnsi="Verdana"/>
          <w:sz w:val="18"/>
          <w:szCs w:val="18"/>
          <w:lang w:eastAsia="nl-NL"/>
        </w:rPr>
      </w:pPr>
    </w:p>
    <w:p w14:paraId="6EED11BF" w14:textId="1A200DB2" w:rsidR="00E55D64" w:rsidRDefault="00E55D64" w:rsidP="00E55D64">
      <w:pPr>
        <w:spacing w:after="0" w:line="360" w:lineRule="auto"/>
        <w:rPr>
          <w:rFonts w:ascii="Verdana" w:eastAsia="Times New Roman" w:hAnsi="Verdana"/>
          <w:sz w:val="18"/>
          <w:szCs w:val="18"/>
          <w:lang w:eastAsia="nl-NL"/>
        </w:rPr>
      </w:pPr>
      <w:r>
        <w:rPr>
          <w:rFonts w:ascii="Verdana" w:eastAsia="Times New Roman" w:hAnsi="Verdana"/>
          <w:sz w:val="18"/>
          <w:szCs w:val="18"/>
          <w:lang w:eastAsia="nl-NL"/>
        </w:rPr>
        <w:t>Ten slotte wordt aanbevolen om de strafrechter te wijzen op het feit dat het op dit punt aan het nieuwe kabinet is om, indien gewenst, ook het verblijf van vreemdelingen die Nederland nog niet hebben verlaten strafbaar te stellen in de nationale wetgeving.</w:t>
      </w:r>
    </w:p>
    <w:p w14:paraId="61A76C27" w14:textId="77777777" w:rsidR="00E55D64" w:rsidRDefault="00E55D64" w:rsidP="002C3D14">
      <w:pPr>
        <w:spacing w:after="0" w:line="240" w:lineRule="auto"/>
        <w:rPr>
          <w:rFonts w:ascii="Verdana" w:eastAsia="Times New Roman" w:hAnsi="Verdana"/>
          <w:sz w:val="18"/>
          <w:szCs w:val="18"/>
          <w:lang w:eastAsia="nl-NL"/>
        </w:rPr>
      </w:pPr>
    </w:p>
    <w:p w14:paraId="72EB159F" w14:textId="77777777" w:rsidR="00C20CDD" w:rsidRDefault="00C20CDD" w:rsidP="002C3D14">
      <w:pPr>
        <w:spacing w:after="0" w:line="240" w:lineRule="auto"/>
        <w:rPr>
          <w:rFonts w:ascii="Verdana" w:eastAsia="Times New Roman" w:hAnsi="Verdana"/>
          <w:sz w:val="18"/>
          <w:szCs w:val="18"/>
          <w:lang w:eastAsia="nl-NL"/>
        </w:rPr>
      </w:pPr>
    </w:p>
    <w:p w14:paraId="46A4AD05" w14:textId="77777777" w:rsidR="00027D14" w:rsidRDefault="00027D14" w:rsidP="00027D14">
      <w:pPr>
        <w:pBdr>
          <w:bottom w:val="single" w:sz="4" w:space="1" w:color="auto"/>
        </w:pBdr>
        <w:spacing w:line="360" w:lineRule="auto"/>
        <w:rPr>
          <w:rFonts w:ascii="Verdana" w:hAnsi="Verdana"/>
          <w:b/>
          <w:sz w:val="18"/>
        </w:rPr>
      </w:pPr>
      <w:r w:rsidRPr="00F72780">
        <w:rPr>
          <w:rFonts w:ascii="Verdana" w:hAnsi="Verdana"/>
          <w:b/>
          <w:sz w:val="18"/>
        </w:rPr>
        <w:lastRenderedPageBreak/>
        <w:t>Literatuurlijst</w:t>
      </w:r>
    </w:p>
    <w:p w14:paraId="4338650A" w14:textId="77777777" w:rsidR="0046051F" w:rsidRDefault="0046051F" w:rsidP="00027D14">
      <w:pPr>
        <w:pBdr>
          <w:bottom w:val="single" w:sz="4" w:space="1" w:color="auto"/>
        </w:pBdr>
        <w:spacing w:line="360" w:lineRule="auto"/>
        <w:rPr>
          <w:rFonts w:ascii="Verdana" w:hAnsi="Verdana"/>
          <w:b/>
          <w:sz w:val="18"/>
        </w:rPr>
      </w:pPr>
    </w:p>
    <w:p w14:paraId="368E8264" w14:textId="245DF824" w:rsidR="00027D14" w:rsidRDefault="00027D14" w:rsidP="00027D14">
      <w:pPr>
        <w:spacing w:line="360" w:lineRule="auto"/>
        <w:rPr>
          <w:rFonts w:ascii="Verdana" w:hAnsi="Verdana"/>
          <w:sz w:val="18"/>
          <w:u w:val="single"/>
        </w:rPr>
      </w:pPr>
      <w:r>
        <w:rPr>
          <w:rFonts w:ascii="Verdana" w:hAnsi="Verdana"/>
          <w:sz w:val="18"/>
          <w:u w:val="single"/>
        </w:rPr>
        <w:t>Literatuur</w:t>
      </w:r>
    </w:p>
    <w:p w14:paraId="142D0D8C" w14:textId="77777777" w:rsidR="00027D14" w:rsidRDefault="00027D14" w:rsidP="00027D14">
      <w:pPr>
        <w:spacing w:line="360" w:lineRule="auto"/>
        <w:rPr>
          <w:rFonts w:ascii="Verdana" w:hAnsi="Verdana"/>
          <w:sz w:val="18"/>
        </w:rPr>
      </w:pPr>
      <w:r>
        <w:rPr>
          <w:rFonts w:ascii="Verdana" w:hAnsi="Verdana"/>
          <w:b/>
          <w:sz w:val="18"/>
        </w:rPr>
        <w:t>ACVZ 2018</w:t>
      </w:r>
      <w:r>
        <w:rPr>
          <w:rFonts w:ascii="Verdana" w:hAnsi="Verdana"/>
          <w:b/>
          <w:sz w:val="18"/>
        </w:rPr>
        <w:br/>
      </w:r>
      <w:r>
        <w:rPr>
          <w:rFonts w:ascii="Verdana" w:hAnsi="Verdana"/>
          <w:sz w:val="18"/>
        </w:rPr>
        <w:t xml:space="preserve">De Adviescommissie voor Vreemdelingenzaken (ACVZ), ‘Advies gewogen gevaar: de belangenafweging in het vreemdelingrechtelijke openbare-ordebeleid’, Den Haag: ACVZ 2018 </w:t>
      </w:r>
    </w:p>
    <w:p w14:paraId="1F6D77D2" w14:textId="77777777" w:rsidR="00027D14" w:rsidRDefault="00027D14" w:rsidP="00027D14">
      <w:pPr>
        <w:spacing w:line="360" w:lineRule="auto"/>
        <w:rPr>
          <w:rFonts w:ascii="Verdana" w:hAnsi="Verdana"/>
          <w:sz w:val="18"/>
        </w:rPr>
      </w:pPr>
      <w:r>
        <w:rPr>
          <w:rFonts w:ascii="Verdana" w:hAnsi="Verdana"/>
          <w:b/>
          <w:sz w:val="18"/>
        </w:rPr>
        <w:t>Albert 2017</w:t>
      </w:r>
      <w:r>
        <w:rPr>
          <w:rFonts w:ascii="Verdana" w:hAnsi="Verdana"/>
          <w:b/>
          <w:sz w:val="18"/>
        </w:rPr>
        <w:br/>
      </w:r>
      <w:r w:rsidRPr="008472BC">
        <w:rPr>
          <w:rFonts w:ascii="Verdana" w:hAnsi="Verdana"/>
          <w:sz w:val="18"/>
        </w:rPr>
        <w:t xml:space="preserve">C.L.G.F.H Albert, </w:t>
      </w:r>
      <w:r w:rsidRPr="008472BC">
        <w:rPr>
          <w:rFonts w:ascii="Verdana" w:hAnsi="Verdana"/>
          <w:i/>
          <w:sz w:val="18"/>
        </w:rPr>
        <w:t>‘</w:t>
      </w:r>
      <w:r w:rsidRPr="008472BC">
        <w:rPr>
          <w:rFonts w:ascii="Verdana" w:hAnsi="Verdana"/>
          <w:sz w:val="18"/>
        </w:rPr>
        <w:t>Bestuursrecht begrepen’, Den Haag:</w:t>
      </w:r>
      <w:r>
        <w:rPr>
          <w:rFonts w:ascii="Verdana" w:hAnsi="Verdana"/>
          <w:sz w:val="18"/>
        </w:rPr>
        <w:t xml:space="preserve"> Boom Juridische Uitgevers 2017</w:t>
      </w:r>
    </w:p>
    <w:p w14:paraId="459A8376" w14:textId="77777777" w:rsidR="00027D14" w:rsidRPr="001D506C" w:rsidRDefault="00027D14" w:rsidP="00027D14">
      <w:pPr>
        <w:spacing w:line="360" w:lineRule="auto"/>
        <w:rPr>
          <w:rFonts w:ascii="Verdana" w:hAnsi="Verdana"/>
          <w:sz w:val="18"/>
          <w:lang w:val="en-US"/>
        </w:rPr>
      </w:pPr>
      <w:r w:rsidRPr="001D506C">
        <w:rPr>
          <w:rFonts w:ascii="Verdana" w:hAnsi="Verdana"/>
          <w:b/>
          <w:sz w:val="18"/>
          <w:lang w:val="en-US"/>
        </w:rPr>
        <w:t xml:space="preserve">Baldinger </w:t>
      </w:r>
      <w:r w:rsidRPr="001D506C">
        <w:rPr>
          <w:rFonts w:ascii="Verdana" w:hAnsi="Verdana"/>
          <w:b/>
          <w:i/>
          <w:sz w:val="18"/>
          <w:lang w:val="en-US"/>
        </w:rPr>
        <w:t xml:space="preserve">A&amp;MR </w:t>
      </w:r>
      <w:r w:rsidRPr="001D506C">
        <w:rPr>
          <w:rFonts w:ascii="Verdana" w:hAnsi="Verdana"/>
          <w:b/>
          <w:sz w:val="18"/>
          <w:lang w:val="en-US"/>
        </w:rPr>
        <w:t>2013</w:t>
      </w:r>
      <w:r w:rsidRPr="001D506C">
        <w:rPr>
          <w:rFonts w:ascii="Verdana" w:hAnsi="Verdana"/>
          <w:b/>
          <w:sz w:val="18"/>
          <w:lang w:val="en-US"/>
        </w:rPr>
        <w:br/>
      </w:r>
      <w:r w:rsidRPr="001D506C">
        <w:rPr>
          <w:rFonts w:ascii="Verdana" w:hAnsi="Verdana"/>
          <w:sz w:val="18"/>
          <w:lang w:val="en-US"/>
        </w:rPr>
        <w:t xml:space="preserve">D. Baldinger, </w:t>
      </w:r>
      <w:r w:rsidRPr="001D506C">
        <w:rPr>
          <w:rFonts w:ascii="Verdana" w:hAnsi="Verdana"/>
          <w:i/>
          <w:sz w:val="18"/>
          <w:lang w:val="en-US"/>
        </w:rPr>
        <w:t>‘</w:t>
      </w:r>
      <w:r w:rsidRPr="001D506C">
        <w:rPr>
          <w:rFonts w:ascii="Verdana" w:hAnsi="Verdana"/>
          <w:sz w:val="18"/>
          <w:lang w:val="en-US"/>
        </w:rPr>
        <w:t>Grondig onderzoek versus marginale toetsing’, A&amp;MR 2013, nr. 3</w:t>
      </w:r>
    </w:p>
    <w:p w14:paraId="4A6107F8" w14:textId="033D5BA1" w:rsidR="00E80B63" w:rsidRPr="00E80B63" w:rsidRDefault="00E80B63" w:rsidP="00027D14">
      <w:pPr>
        <w:spacing w:line="360" w:lineRule="auto"/>
        <w:rPr>
          <w:rFonts w:ascii="Verdana" w:hAnsi="Verdana"/>
          <w:b/>
          <w:sz w:val="18"/>
          <w:lang w:val="en-US"/>
        </w:rPr>
      </w:pPr>
      <w:r w:rsidRPr="00E80B63">
        <w:rPr>
          <w:rFonts w:ascii="Verdana" w:hAnsi="Verdana"/>
          <w:b/>
          <w:sz w:val="18"/>
          <w:lang w:val="en-US"/>
        </w:rPr>
        <w:t>Battjes</w:t>
      </w:r>
      <w:r>
        <w:rPr>
          <w:rFonts w:ascii="Verdana" w:hAnsi="Verdana"/>
          <w:b/>
          <w:sz w:val="18"/>
          <w:lang w:val="en-US"/>
        </w:rPr>
        <w:t xml:space="preserve"> 2006</w:t>
      </w:r>
    </w:p>
    <w:p w14:paraId="471290BD" w14:textId="63F0DD1E" w:rsidR="00E80B63" w:rsidRPr="00E80B63" w:rsidRDefault="00E80B63" w:rsidP="00027D14">
      <w:pPr>
        <w:spacing w:line="360" w:lineRule="auto"/>
        <w:rPr>
          <w:rFonts w:ascii="Verdana" w:hAnsi="Verdana"/>
          <w:sz w:val="18"/>
          <w:lang w:val="en-US"/>
        </w:rPr>
      </w:pPr>
      <w:r w:rsidRPr="00E80B63">
        <w:rPr>
          <w:rFonts w:ascii="Verdana" w:hAnsi="Verdana"/>
          <w:sz w:val="18"/>
          <w:lang w:val="en-US"/>
        </w:rPr>
        <w:t>H. Battjes, ‘European Asylum Law and its Relation to International Law’, Amsterdam: Migration Law Series 2006</w:t>
      </w:r>
    </w:p>
    <w:p w14:paraId="53B22D58" w14:textId="77777777" w:rsidR="00027D14" w:rsidRDefault="00027D14" w:rsidP="00027D14">
      <w:pPr>
        <w:spacing w:line="360" w:lineRule="auto"/>
        <w:rPr>
          <w:rFonts w:ascii="Verdana" w:hAnsi="Verdana"/>
          <w:sz w:val="18"/>
        </w:rPr>
      </w:pPr>
      <w:r w:rsidRPr="0067773A">
        <w:rPr>
          <w:rFonts w:ascii="Verdana" w:hAnsi="Verdana"/>
          <w:b/>
          <w:sz w:val="18"/>
        </w:rPr>
        <w:t xml:space="preserve">Boeles </w:t>
      </w:r>
      <w:r w:rsidRPr="0067773A">
        <w:rPr>
          <w:rFonts w:ascii="Verdana" w:hAnsi="Verdana"/>
          <w:b/>
          <w:i/>
          <w:sz w:val="18"/>
        </w:rPr>
        <w:t>A&amp;MR</w:t>
      </w:r>
      <w:r>
        <w:rPr>
          <w:rFonts w:ascii="Verdana" w:hAnsi="Verdana"/>
          <w:i/>
          <w:sz w:val="18"/>
        </w:rPr>
        <w:t xml:space="preserve"> </w:t>
      </w:r>
      <w:r>
        <w:rPr>
          <w:rFonts w:ascii="Verdana" w:hAnsi="Verdana"/>
          <w:b/>
          <w:sz w:val="18"/>
        </w:rPr>
        <w:t>2010</w:t>
      </w:r>
      <w:r>
        <w:rPr>
          <w:rFonts w:ascii="Verdana" w:hAnsi="Verdana"/>
          <w:b/>
          <w:sz w:val="18"/>
        </w:rPr>
        <w:br/>
      </w:r>
      <w:r w:rsidRPr="0067773A">
        <w:rPr>
          <w:rFonts w:ascii="Verdana" w:hAnsi="Verdana"/>
          <w:sz w:val="18"/>
        </w:rPr>
        <w:t>P. Boeles, ‘Wat betekent de terugkeerrichtlijn voor ongewenstverklaring?’,</w:t>
      </w:r>
      <w:r>
        <w:rPr>
          <w:rFonts w:ascii="Verdana" w:hAnsi="Verdana"/>
          <w:sz w:val="18"/>
        </w:rPr>
        <w:t xml:space="preserve"> A&amp;MR 2010, nr. 10</w:t>
      </w:r>
    </w:p>
    <w:p w14:paraId="75825CE3" w14:textId="77777777" w:rsidR="00027D14" w:rsidRDefault="00027D14" w:rsidP="00027D14">
      <w:pPr>
        <w:spacing w:line="360" w:lineRule="auto"/>
        <w:rPr>
          <w:rFonts w:ascii="Verdana" w:hAnsi="Verdana"/>
          <w:sz w:val="18"/>
        </w:rPr>
      </w:pPr>
      <w:r>
        <w:rPr>
          <w:rFonts w:ascii="Verdana" w:hAnsi="Verdana"/>
          <w:b/>
          <w:sz w:val="18"/>
        </w:rPr>
        <w:t xml:space="preserve">Boeles </w:t>
      </w:r>
      <w:r>
        <w:rPr>
          <w:rFonts w:ascii="Verdana" w:hAnsi="Verdana"/>
          <w:b/>
          <w:i/>
          <w:sz w:val="18"/>
        </w:rPr>
        <w:t xml:space="preserve">A&amp;MR </w:t>
      </w:r>
      <w:r>
        <w:rPr>
          <w:rFonts w:ascii="Verdana" w:hAnsi="Verdana"/>
          <w:b/>
          <w:sz w:val="18"/>
        </w:rPr>
        <w:t>2018</w:t>
      </w:r>
      <w:r>
        <w:rPr>
          <w:rFonts w:ascii="Verdana" w:hAnsi="Verdana"/>
          <w:b/>
          <w:sz w:val="18"/>
        </w:rPr>
        <w:br/>
      </w:r>
      <w:r w:rsidRPr="00454EA6">
        <w:rPr>
          <w:rFonts w:ascii="Verdana" w:hAnsi="Verdana"/>
          <w:sz w:val="18"/>
        </w:rPr>
        <w:t>P. Boeles, ‘Toetsingsvolgorde van intrekking verblijfsvergunning en inreisverbod: hoe complex kan een routinegeval worden gemaakt?’, A&amp;MR 2018, nr. 1</w:t>
      </w:r>
    </w:p>
    <w:p w14:paraId="25325B17" w14:textId="77777777" w:rsidR="00027D14" w:rsidRPr="00E457BC" w:rsidRDefault="00027D14" w:rsidP="00027D14">
      <w:pPr>
        <w:spacing w:line="360" w:lineRule="auto"/>
        <w:rPr>
          <w:rFonts w:ascii="Verdana" w:hAnsi="Verdana"/>
          <w:sz w:val="18"/>
        </w:rPr>
      </w:pPr>
      <w:r>
        <w:rPr>
          <w:rFonts w:ascii="Verdana" w:hAnsi="Verdana"/>
          <w:b/>
          <w:sz w:val="18"/>
        </w:rPr>
        <w:t xml:space="preserve">Cornelisse </w:t>
      </w:r>
      <w:r>
        <w:rPr>
          <w:rFonts w:ascii="Verdana" w:hAnsi="Verdana"/>
          <w:b/>
          <w:i/>
          <w:sz w:val="18"/>
        </w:rPr>
        <w:t>NJB 2017</w:t>
      </w:r>
      <w:r>
        <w:rPr>
          <w:rFonts w:ascii="Verdana" w:hAnsi="Verdana"/>
          <w:b/>
          <w:i/>
          <w:sz w:val="18"/>
        </w:rPr>
        <w:br/>
      </w:r>
      <w:r w:rsidRPr="00E457BC">
        <w:rPr>
          <w:rFonts w:ascii="Verdana" w:hAnsi="Verdana"/>
          <w:sz w:val="18"/>
        </w:rPr>
        <w:t xml:space="preserve">G. Cornelisse ‘Inreisverboden die (nog) geen rechtgevolgen hebben’ </w:t>
      </w:r>
      <w:r w:rsidRPr="00E457BC">
        <w:rPr>
          <w:rFonts w:ascii="Verdana" w:hAnsi="Verdana"/>
          <w:i/>
          <w:sz w:val="18"/>
        </w:rPr>
        <w:t xml:space="preserve">NJB </w:t>
      </w:r>
      <w:r w:rsidRPr="00E457BC">
        <w:rPr>
          <w:rFonts w:ascii="Verdana" w:hAnsi="Verdana"/>
          <w:sz w:val="18"/>
        </w:rPr>
        <w:t>2017/2034</w:t>
      </w:r>
    </w:p>
    <w:p w14:paraId="17DD471E" w14:textId="77777777" w:rsidR="00027D14" w:rsidRPr="0091110F" w:rsidRDefault="00027D14" w:rsidP="00027D14">
      <w:pPr>
        <w:spacing w:line="360" w:lineRule="auto"/>
        <w:rPr>
          <w:rFonts w:ascii="Verdana" w:hAnsi="Verdana"/>
          <w:sz w:val="18"/>
          <w:lang w:val="en-US"/>
        </w:rPr>
      </w:pPr>
      <w:r w:rsidRPr="0091110F">
        <w:rPr>
          <w:rFonts w:ascii="Verdana" w:hAnsi="Verdana"/>
          <w:b/>
          <w:sz w:val="18"/>
          <w:lang w:val="en-US"/>
        </w:rPr>
        <w:t xml:space="preserve">Eliantonio &amp; Wiesbrock </w:t>
      </w:r>
      <w:r w:rsidRPr="0091110F">
        <w:rPr>
          <w:rFonts w:ascii="Verdana" w:hAnsi="Verdana"/>
          <w:b/>
          <w:i/>
          <w:sz w:val="18"/>
          <w:lang w:val="en-US"/>
        </w:rPr>
        <w:t xml:space="preserve">A&amp;MR </w:t>
      </w:r>
      <w:r w:rsidRPr="0091110F">
        <w:rPr>
          <w:rFonts w:ascii="Verdana" w:hAnsi="Verdana"/>
          <w:b/>
          <w:sz w:val="18"/>
          <w:lang w:val="en-US"/>
        </w:rPr>
        <w:t>2011</w:t>
      </w:r>
      <w:r w:rsidRPr="0091110F">
        <w:rPr>
          <w:rFonts w:ascii="Verdana" w:hAnsi="Verdana"/>
          <w:b/>
          <w:sz w:val="18"/>
          <w:lang w:val="en-US"/>
        </w:rPr>
        <w:br/>
      </w:r>
      <w:r w:rsidRPr="0091110F">
        <w:rPr>
          <w:rFonts w:ascii="Verdana" w:hAnsi="Verdana"/>
          <w:sz w:val="18"/>
          <w:lang w:val="en-US"/>
        </w:rPr>
        <w:t>M. Eliantonio en A. Wiesbrock, ‘EU migration law in national courts: the role of national procedural rules and the ECJ’s requirement in the Dutch courts’, A&amp;MR 2011, nr. 3</w:t>
      </w:r>
    </w:p>
    <w:p w14:paraId="1EFE017F" w14:textId="77777777" w:rsidR="00027D14" w:rsidRDefault="00027D14" w:rsidP="00027D14">
      <w:pPr>
        <w:spacing w:line="360" w:lineRule="auto"/>
        <w:rPr>
          <w:rFonts w:ascii="Verdana" w:hAnsi="Verdana"/>
          <w:sz w:val="18"/>
        </w:rPr>
      </w:pPr>
      <w:r>
        <w:rPr>
          <w:rFonts w:ascii="Verdana" w:hAnsi="Verdana"/>
          <w:b/>
          <w:sz w:val="18"/>
        </w:rPr>
        <w:t xml:space="preserve">Groenendijk &amp; Riel, van </w:t>
      </w:r>
      <w:r>
        <w:rPr>
          <w:rFonts w:ascii="Verdana" w:hAnsi="Verdana"/>
          <w:b/>
          <w:i/>
          <w:sz w:val="18"/>
        </w:rPr>
        <w:t xml:space="preserve">A&amp;MR </w:t>
      </w:r>
      <w:r>
        <w:rPr>
          <w:rFonts w:ascii="Verdana" w:hAnsi="Verdana"/>
          <w:b/>
          <w:sz w:val="18"/>
        </w:rPr>
        <w:t>2017</w:t>
      </w:r>
      <w:r>
        <w:rPr>
          <w:rFonts w:ascii="Verdana" w:hAnsi="Verdana"/>
          <w:b/>
          <w:sz w:val="18"/>
        </w:rPr>
        <w:br/>
      </w:r>
      <w:r w:rsidRPr="00830EC9">
        <w:rPr>
          <w:rFonts w:ascii="Verdana" w:hAnsi="Verdana"/>
          <w:sz w:val="18"/>
        </w:rPr>
        <w:t xml:space="preserve">C.A. Groenendijk en M.L. van Riel, </w:t>
      </w:r>
      <w:r w:rsidRPr="00830EC9">
        <w:rPr>
          <w:rFonts w:ascii="Verdana" w:hAnsi="Verdana"/>
          <w:i/>
          <w:sz w:val="18"/>
        </w:rPr>
        <w:t>‘</w:t>
      </w:r>
      <w:r w:rsidRPr="00830EC9">
        <w:rPr>
          <w:rFonts w:ascii="Verdana" w:hAnsi="Verdana"/>
          <w:sz w:val="18"/>
        </w:rPr>
        <w:t>Migratierecht is bijna helemaal Unierecht’, A&amp;MR</w:t>
      </w:r>
      <w:r>
        <w:rPr>
          <w:rFonts w:ascii="Verdana" w:hAnsi="Verdana"/>
          <w:sz w:val="18"/>
        </w:rPr>
        <w:t xml:space="preserve"> 2017, nr. 9</w:t>
      </w:r>
    </w:p>
    <w:p w14:paraId="118C3670" w14:textId="77777777" w:rsidR="00027D14" w:rsidRPr="0091110F" w:rsidRDefault="00027D14" w:rsidP="00027D14">
      <w:pPr>
        <w:spacing w:line="360" w:lineRule="auto"/>
        <w:rPr>
          <w:rFonts w:ascii="Verdana" w:hAnsi="Verdana"/>
          <w:sz w:val="18"/>
          <w:lang w:val="en-US"/>
        </w:rPr>
      </w:pPr>
      <w:r w:rsidRPr="0091110F">
        <w:rPr>
          <w:rFonts w:ascii="Verdana" w:hAnsi="Verdana"/>
          <w:b/>
          <w:sz w:val="18"/>
          <w:lang w:val="en-US"/>
        </w:rPr>
        <w:t>IOM 2004</w:t>
      </w:r>
      <w:r w:rsidRPr="0091110F">
        <w:rPr>
          <w:rFonts w:ascii="Verdana" w:hAnsi="Verdana"/>
          <w:b/>
          <w:sz w:val="18"/>
          <w:lang w:val="en-US"/>
        </w:rPr>
        <w:br/>
      </w:r>
      <w:r w:rsidRPr="0091110F">
        <w:rPr>
          <w:rFonts w:ascii="Verdana" w:hAnsi="Verdana"/>
          <w:sz w:val="18"/>
          <w:lang w:val="en-US"/>
        </w:rPr>
        <w:t>International Organization for Migration and the Advisory Committee on Aliens Affairs, ‘Return Migration Policies &amp; Practices in Europe’,</w:t>
      </w:r>
      <w:r w:rsidRPr="0091110F">
        <w:rPr>
          <w:rFonts w:ascii="Verdana" w:hAnsi="Verdana"/>
          <w:i/>
          <w:sz w:val="18"/>
          <w:lang w:val="en-US"/>
        </w:rPr>
        <w:t xml:space="preserve"> </w:t>
      </w:r>
      <w:r w:rsidRPr="0091110F">
        <w:rPr>
          <w:rFonts w:ascii="Verdana" w:hAnsi="Verdana"/>
          <w:sz w:val="18"/>
          <w:lang w:val="en-US"/>
        </w:rPr>
        <w:t>Switzerland: IOM 2004</w:t>
      </w:r>
    </w:p>
    <w:p w14:paraId="4B111D3C" w14:textId="77777777" w:rsidR="00027D14" w:rsidRPr="00FA31CE" w:rsidRDefault="00027D14" w:rsidP="00027D14">
      <w:pPr>
        <w:spacing w:line="360" w:lineRule="auto"/>
        <w:rPr>
          <w:rFonts w:ascii="Verdana" w:hAnsi="Verdana"/>
          <w:sz w:val="18"/>
        </w:rPr>
      </w:pPr>
      <w:r>
        <w:rPr>
          <w:rFonts w:ascii="Verdana" w:hAnsi="Verdana"/>
          <w:b/>
          <w:sz w:val="18"/>
        </w:rPr>
        <w:t>Leerkes &amp; Boersema 2014</w:t>
      </w:r>
      <w:r>
        <w:rPr>
          <w:rFonts w:ascii="Verdana" w:hAnsi="Verdana"/>
          <w:b/>
          <w:sz w:val="18"/>
        </w:rPr>
        <w:br/>
      </w:r>
      <w:r w:rsidRPr="00FA31CE">
        <w:rPr>
          <w:rFonts w:ascii="Verdana" w:hAnsi="Verdana"/>
          <w:sz w:val="18"/>
        </w:rPr>
        <w:t>A. Leerkes en E. Boersema, ‘Het lot van het inreisverbod. Een onderzoek naar de uitvoeringspraktijk en gepercipieerde effecten van de Terugkeerrichtlijn in Nederland’, Wetenschappelijk Onderzoe</w:t>
      </w:r>
      <w:r>
        <w:rPr>
          <w:rFonts w:ascii="Verdana" w:hAnsi="Verdana"/>
          <w:sz w:val="18"/>
        </w:rPr>
        <w:t>ks- en Documentatiecentrum 2014</w:t>
      </w:r>
    </w:p>
    <w:p w14:paraId="6A9B69A0" w14:textId="77777777" w:rsidR="00027D14" w:rsidRDefault="00027D14" w:rsidP="00027D14">
      <w:pPr>
        <w:spacing w:line="360" w:lineRule="auto"/>
        <w:rPr>
          <w:rFonts w:ascii="Verdana" w:hAnsi="Verdana"/>
          <w:sz w:val="18"/>
          <w:szCs w:val="18"/>
        </w:rPr>
      </w:pPr>
      <w:r w:rsidRPr="001765D7">
        <w:rPr>
          <w:rFonts w:ascii="Verdana" w:hAnsi="Verdana"/>
          <w:b/>
          <w:sz w:val="18"/>
          <w:szCs w:val="18"/>
        </w:rPr>
        <w:t>Marseille &amp; Tolsma 2016</w:t>
      </w:r>
      <w:r w:rsidRPr="001765D7">
        <w:rPr>
          <w:rFonts w:ascii="Verdana" w:hAnsi="Verdana"/>
          <w:sz w:val="18"/>
          <w:szCs w:val="18"/>
        </w:rPr>
        <w:br/>
        <w:t>A.</w:t>
      </w:r>
      <w:r>
        <w:rPr>
          <w:rFonts w:ascii="Verdana" w:hAnsi="Verdana"/>
          <w:sz w:val="18"/>
          <w:szCs w:val="18"/>
        </w:rPr>
        <w:t>T. Marseille, H.D. Tolsma e.a., ‘</w:t>
      </w:r>
      <w:r w:rsidRPr="00085B82">
        <w:rPr>
          <w:rFonts w:ascii="Verdana" w:hAnsi="Verdana"/>
          <w:sz w:val="18"/>
          <w:szCs w:val="18"/>
        </w:rPr>
        <w:t>Bestuursrecht 2 Rechtsbescherming tegen de overheid</w:t>
      </w:r>
      <w:r>
        <w:rPr>
          <w:rFonts w:ascii="Verdana" w:hAnsi="Verdana"/>
          <w:sz w:val="18"/>
          <w:szCs w:val="18"/>
        </w:rPr>
        <w:t>’, Den Haag: Boom Juridische U</w:t>
      </w:r>
      <w:r w:rsidRPr="001765D7">
        <w:rPr>
          <w:rFonts w:ascii="Verdana" w:hAnsi="Verdana"/>
          <w:sz w:val="18"/>
          <w:szCs w:val="18"/>
        </w:rPr>
        <w:t>itgevers 2016</w:t>
      </w:r>
    </w:p>
    <w:p w14:paraId="67300F5E" w14:textId="77777777" w:rsidR="00027D14" w:rsidRDefault="00027D14" w:rsidP="00027D14">
      <w:pPr>
        <w:spacing w:line="360" w:lineRule="auto"/>
        <w:rPr>
          <w:rFonts w:ascii="Verdana" w:hAnsi="Verdana"/>
          <w:sz w:val="18"/>
          <w:szCs w:val="18"/>
        </w:rPr>
      </w:pPr>
      <w:r>
        <w:rPr>
          <w:rFonts w:ascii="Verdana" w:hAnsi="Verdana"/>
          <w:b/>
          <w:sz w:val="18"/>
          <w:szCs w:val="18"/>
        </w:rPr>
        <w:lastRenderedPageBreak/>
        <w:t>Poorter, de &amp; Waardt, de 2003</w:t>
      </w:r>
      <w:r>
        <w:rPr>
          <w:rFonts w:ascii="Verdana" w:hAnsi="Verdana"/>
          <w:b/>
          <w:sz w:val="18"/>
          <w:szCs w:val="18"/>
        </w:rPr>
        <w:br/>
      </w:r>
      <w:r w:rsidRPr="00171F76">
        <w:rPr>
          <w:rFonts w:ascii="Verdana" w:hAnsi="Verdana"/>
          <w:sz w:val="18"/>
          <w:szCs w:val="18"/>
        </w:rPr>
        <w:t>J.C.A de Poorter &amp; B.W.N. de Waardt, ‘Het procesbelang in bestuursrechtelijke procedures’</w:t>
      </w:r>
      <w:r w:rsidRPr="00171F76">
        <w:rPr>
          <w:rFonts w:ascii="Verdana" w:hAnsi="Verdana"/>
          <w:i/>
          <w:sz w:val="18"/>
          <w:szCs w:val="18"/>
        </w:rPr>
        <w:t xml:space="preserve">, </w:t>
      </w:r>
      <w:r w:rsidRPr="00171F76">
        <w:rPr>
          <w:rFonts w:ascii="Verdana" w:hAnsi="Verdana"/>
          <w:sz w:val="18"/>
          <w:szCs w:val="18"/>
        </w:rPr>
        <w:t>Jurisprudentie Bestuursrecht plus: 2003</w:t>
      </w:r>
    </w:p>
    <w:p w14:paraId="39CA66BC" w14:textId="77777777" w:rsidR="00027D14" w:rsidRPr="00C36B93" w:rsidRDefault="00027D14" w:rsidP="00027D14">
      <w:pPr>
        <w:spacing w:line="360" w:lineRule="auto"/>
        <w:rPr>
          <w:rFonts w:ascii="Verdana" w:hAnsi="Verdana"/>
          <w:sz w:val="18"/>
          <w:szCs w:val="18"/>
        </w:rPr>
      </w:pPr>
      <w:r>
        <w:rPr>
          <w:rFonts w:ascii="Verdana" w:hAnsi="Verdana"/>
          <w:b/>
          <w:sz w:val="18"/>
          <w:szCs w:val="18"/>
        </w:rPr>
        <w:t>Raad van State 2018</w:t>
      </w:r>
      <w:r>
        <w:rPr>
          <w:rFonts w:ascii="Verdana" w:hAnsi="Verdana"/>
          <w:b/>
          <w:sz w:val="18"/>
          <w:szCs w:val="18"/>
        </w:rPr>
        <w:br/>
      </w:r>
      <w:r>
        <w:rPr>
          <w:rFonts w:ascii="Verdana" w:hAnsi="Verdana"/>
          <w:sz w:val="18"/>
          <w:szCs w:val="18"/>
        </w:rPr>
        <w:t>Raad van State, ‘Jaarverslag 2017’, Den Haag: OBT 2018</w:t>
      </w:r>
    </w:p>
    <w:p w14:paraId="24D40F1E" w14:textId="77777777" w:rsidR="00027D14" w:rsidRDefault="00027D14" w:rsidP="00027D14">
      <w:pPr>
        <w:spacing w:line="360" w:lineRule="auto"/>
        <w:rPr>
          <w:rFonts w:ascii="Verdana" w:hAnsi="Verdana"/>
          <w:sz w:val="18"/>
          <w:szCs w:val="18"/>
        </w:rPr>
      </w:pPr>
      <w:r>
        <w:rPr>
          <w:rFonts w:ascii="Verdana" w:hAnsi="Verdana"/>
          <w:b/>
          <w:sz w:val="18"/>
          <w:szCs w:val="18"/>
        </w:rPr>
        <w:t xml:space="preserve">Ros </w:t>
      </w:r>
      <w:r>
        <w:rPr>
          <w:rFonts w:ascii="Verdana" w:hAnsi="Verdana"/>
          <w:b/>
          <w:i/>
          <w:sz w:val="18"/>
          <w:szCs w:val="18"/>
        </w:rPr>
        <w:t xml:space="preserve">TPWS </w:t>
      </w:r>
      <w:r>
        <w:rPr>
          <w:rFonts w:ascii="Verdana" w:hAnsi="Verdana"/>
          <w:b/>
          <w:sz w:val="18"/>
          <w:szCs w:val="18"/>
        </w:rPr>
        <w:t>2015</w:t>
      </w:r>
      <w:r>
        <w:rPr>
          <w:rFonts w:ascii="Verdana" w:hAnsi="Verdana"/>
          <w:b/>
          <w:sz w:val="18"/>
          <w:szCs w:val="18"/>
        </w:rPr>
        <w:br/>
      </w:r>
      <w:r w:rsidRPr="00E457BC">
        <w:rPr>
          <w:rFonts w:ascii="Verdana" w:hAnsi="Verdana"/>
          <w:sz w:val="18"/>
          <w:szCs w:val="18"/>
        </w:rPr>
        <w:t>N. Ros, ‘De jurisprudentie van de Hoge Raad over de strafvervolging en strafoplegging wegens overtreding van artikel 197 Sr beoordeeld in het licht van het Europese recht’, TPWS 2015/7</w:t>
      </w:r>
    </w:p>
    <w:p w14:paraId="7654BD0C" w14:textId="77777777" w:rsidR="00027D14" w:rsidRPr="00EB3578" w:rsidRDefault="00027D14" w:rsidP="00027D14">
      <w:pPr>
        <w:spacing w:line="360" w:lineRule="auto"/>
        <w:rPr>
          <w:rFonts w:ascii="Verdana" w:hAnsi="Verdana"/>
          <w:sz w:val="18"/>
          <w:szCs w:val="18"/>
        </w:rPr>
      </w:pPr>
      <w:r>
        <w:rPr>
          <w:rFonts w:ascii="Verdana" w:hAnsi="Verdana"/>
          <w:b/>
          <w:sz w:val="18"/>
          <w:szCs w:val="18"/>
        </w:rPr>
        <w:t>Stronks 2017</w:t>
      </w:r>
      <w:r>
        <w:rPr>
          <w:rFonts w:ascii="Verdana" w:hAnsi="Verdana"/>
          <w:b/>
          <w:sz w:val="18"/>
          <w:szCs w:val="18"/>
        </w:rPr>
        <w:br/>
      </w:r>
      <w:r w:rsidRPr="00EB3578">
        <w:rPr>
          <w:rFonts w:ascii="Verdana" w:hAnsi="Verdana"/>
          <w:sz w:val="18"/>
          <w:szCs w:val="18"/>
        </w:rPr>
        <w:t>M. Stronks, ‘Illegaal verblijf is niet meer strafbaar, volgens Europese rechter’,</w:t>
      </w:r>
      <w:r>
        <w:rPr>
          <w:rFonts w:ascii="Verdana" w:hAnsi="Verdana"/>
          <w:sz w:val="18"/>
          <w:szCs w:val="18"/>
        </w:rPr>
        <w:t xml:space="preserve"> 17 november 2017</w:t>
      </w:r>
    </w:p>
    <w:p w14:paraId="2BE57CAE" w14:textId="77777777" w:rsidR="00027D14" w:rsidRDefault="00027D14" w:rsidP="00027D14">
      <w:pPr>
        <w:spacing w:line="360" w:lineRule="auto"/>
        <w:rPr>
          <w:rFonts w:ascii="Verdana" w:hAnsi="Verdana"/>
          <w:sz w:val="18"/>
          <w:szCs w:val="18"/>
        </w:rPr>
      </w:pPr>
      <w:r>
        <w:rPr>
          <w:rFonts w:ascii="Verdana" w:hAnsi="Verdana"/>
          <w:b/>
          <w:sz w:val="18"/>
          <w:szCs w:val="18"/>
        </w:rPr>
        <w:t xml:space="preserve">Waasdorp </w:t>
      </w:r>
      <w:r>
        <w:rPr>
          <w:rFonts w:ascii="Verdana" w:hAnsi="Verdana"/>
          <w:b/>
          <w:i/>
          <w:sz w:val="18"/>
          <w:szCs w:val="18"/>
        </w:rPr>
        <w:t>A&amp;MR 2018</w:t>
      </w:r>
      <w:r>
        <w:rPr>
          <w:rFonts w:ascii="Verdana" w:hAnsi="Verdana"/>
          <w:b/>
          <w:i/>
          <w:sz w:val="18"/>
          <w:szCs w:val="18"/>
        </w:rPr>
        <w:br/>
      </w:r>
      <w:r w:rsidRPr="00FA31CE">
        <w:rPr>
          <w:rFonts w:ascii="Verdana" w:hAnsi="Verdana"/>
          <w:sz w:val="18"/>
          <w:szCs w:val="18"/>
        </w:rPr>
        <w:t>J. Waasdorp, ‘Strafrechtelijke aanpak van overtreding van het inreisverbod?’, A&amp;MR 2018, nr. 2</w:t>
      </w:r>
    </w:p>
    <w:p w14:paraId="1DECFADA" w14:textId="77777777" w:rsidR="00027D14" w:rsidRPr="006041F6" w:rsidRDefault="00027D14" w:rsidP="00027D14">
      <w:pPr>
        <w:spacing w:line="360" w:lineRule="auto"/>
        <w:rPr>
          <w:rFonts w:ascii="Verdana" w:hAnsi="Verdana"/>
          <w:sz w:val="18"/>
          <w:szCs w:val="18"/>
        </w:rPr>
      </w:pPr>
      <w:r>
        <w:rPr>
          <w:rFonts w:ascii="Verdana" w:hAnsi="Verdana"/>
          <w:b/>
          <w:sz w:val="18"/>
          <w:szCs w:val="18"/>
        </w:rPr>
        <w:t>Waasdorp &amp; Pahladsingh 2018</w:t>
      </w:r>
      <w:r>
        <w:rPr>
          <w:rFonts w:ascii="Verdana" w:hAnsi="Verdana"/>
          <w:b/>
          <w:sz w:val="18"/>
          <w:szCs w:val="18"/>
        </w:rPr>
        <w:br/>
      </w:r>
      <w:r>
        <w:rPr>
          <w:rFonts w:ascii="Verdana" w:hAnsi="Verdana"/>
          <w:sz w:val="18"/>
          <w:szCs w:val="18"/>
        </w:rPr>
        <w:t>J.R.K.A.M. Waasdorp en A. Pahladsingh, ‘Het inreisverbod – over de doorwerking van deze Unierechtelijke maatregel in het Nederlandse vreemdelingenstrafrecht’, Den Haag: Sdu uitgevers 2018</w:t>
      </w:r>
    </w:p>
    <w:p w14:paraId="2760364B" w14:textId="77777777" w:rsidR="00027D14" w:rsidRPr="006E2BB2" w:rsidRDefault="00027D14" w:rsidP="00027D14">
      <w:pPr>
        <w:spacing w:line="360" w:lineRule="auto"/>
        <w:rPr>
          <w:rFonts w:ascii="Verdana" w:hAnsi="Verdana"/>
          <w:sz w:val="18"/>
          <w:u w:val="single"/>
        </w:rPr>
      </w:pPr>
      <w:r>
        <w:rPr>
          <w:rFonts w:ascii="Verdana" w:hAnsi="Verdana"/>
          <w:sz w:val="18"/>
          <w:u w:val="single"/>
        </w:rPr>
        <w:br/>
        <w:t>Internetbronnen</w:t>
      </w:r>
    </w:p>
    <w:p w14:paraId="310F9E75" w14:textId="77777777" w:rsidR="00027D14" w:rsidRPr="008B39DB" w:rsidRDefault="00027D14" w:rsidP="00027D14">
      <w:pPr>
        <w:spacing w:line="360" w:lineRule="auto"/>
        <w:rPr>
          <w:rFonts w:ascii="Verdana" w:hAnsi="Verdana"/>
          <w:sz w:val="18"/>
        </w:rPr>
      </w:pPr>
      <w:r>
        <w:rPr>
          <w:rFonts w:ascii="Verdana" w:hAnsi="Verdana"/>
          <w:b/>
          <w:sz w:val="18"/>
        </w:rPr>
        <w:t>Autoriteit Persoonsgegevens</w:t>
      </w:r>
      <w:r>
        <w:rPr>
          <w:rFonts w:ascii="Verdana" w:hAnsi="Verdana"/>
          <w:b/>
          <w:sz w:val="18"/>
        </w:rPr>
        <w:br/>
      </w:r>
      <w:r w:rsidRPr="008B39DB">
        <w:rPr>
          <w:rFonts w:ascii="Verdana" w:hAnsi="Verdana"/>
          <w:sz w:val="18"/>
        </w:rPr>
        <w:t xml:space="preserve">Autoriteit Persoonsgegevens, </w:t>
      </w:r>
      <w:r w:rsidRPr="008B39DB">
        <w:rPr>
          <w:rFonts w:ascii="Verdana" w:hAnsi="Verdana"/>
          <w:i/>
          <w:sz w:val="18"/>
        </w:rPr>
        <w:t>‘</w:t>
      </w:r>
      <w:r w:rsidRPr="008B39DB">
        <w:rPr>
          <w:rFonts w:ascii="Verdana" w:hAnsi="Verdana"/>
          <w:sz w:val="18"/>
        </w:rPr>
        <w:t>Europese informatiesystemen’, autoriteitpersoonsgegevens.nl (zoek o</w:t>
      </w:r>
      <w:r>
        <w:rPr>
          <w:rFonts w:ascii="Verdana" w:hAnsi="Verdana"/>
          <w:sz w:val="18"/>
        </w:rPr>
        <w:t>p: Europese informatiesystemen)</w:t>
      </w:r>
    </w:p>
    <w:p w14:paraId="3F3EC5B9" w14:textId="77777777" w:rsidR="00027D14" w:rsidRDefault="00027D14" w:rsidP="00027D14">
      <w:pPr>
        <w:spacing w:line="360" w:lineRule="auto"/>
        <w:rPr>
          <w:rFonts w:ascii="Verdana" w:hAnsi="Verdana"/>
          <w:sz w:val="18"/>
        </w:rPr>
      </w:pPr>
      <w:r>
        <w:rPr>
          <w:rFonts w:ascii="Verdana" w:hAnsi="Verdana"/>
          <w:b/>
          <w:sz w:val="18"/>
        </w:rPr>
        <w:t>Europa Nu</w:t>
      </w:r>
      <w:r>
        <w:rPr>
          <w:rFonts w:ascii="Verdana" w:hAnsi="Verdana"/>
          <w:b/>
          <w:sz w:val="18"/>
        </w:rPr>
        <w:br/>
      </w:r>
      <w:r w:rsidRPr="00A7713D">
        <w:rPr>
          <w:rFonts w:ascii="Verdana" w:hAnsi="Verdana"/>
          <w:sz w:val="18"/>
        </w:rPr>
        <w:t xml:space="preserve">Europa Nu, </w:t>
      </w:r>
      <w:r w:rsidRPr="00A7713D">
        <w:rPr>
          <w:rFonts w:ascii="Verdana" w:hAnsi="Verdana"/>
          <w:i/>
          <w:sz w:val="18"/>
        </w:rPr>
        <w:t>‘</w:t>
      </w:r>
      <w:r w:rsidRPr="001E6B09">
        <w:rPr>
          <w:rFonts w:ascii="Verdana" w:hAnsi="Verdana"/>
          <w:sz w:val="18"/>
        </w:rPr>
        <w:t>Immigratie: de ‘terugkeerrichtlijn’ onderzocht’</w:t>
      </w:r>
      <w:r w:rsidRPr="00A7713D">
        <w:rPr>
          <w:rFonts w:ascii="Verdana" w:hAnsi="Verdana"/>
          <w:i/>
          <w:sz w:val="18"/>
        </w:rPr>
        <w:t xml:space="preserve">, </w:t>
      </w:r>
      <w:r w:rsidRPr="00A7713D">
        <w:rPr>
          <w:rFonts w:ascii="Verdana" w:hAnsi="Verdana"/>
          <w:sz w:val="18"/>
        </w:rPr>
        <w:t>25 juni 2008</w:t>
      </w:r>
      <w:r w:rsidRPr="00A7713D">
        <w:rPr>
          <w:rFonts w:ascii="Verdana" w:hAnsi="Verdana"/>
          <w:i/>
          <w:sz w:val="18"/>
        </w:rPr>
        <w:t>,</w:t>
      </w:r>
      <w:r w:rsidRPr="00A7713D">
        <w:rPr>
          <w:rFonts w:ascii="Verdana" w:hAnsi="Verdana"/>
          <w:sz w:val="18"/>
        </w:rPr>
        <w:t xml:space="preserve"> europa-nu.nl</w:t>
      </w:r>
      <w:r w:rsidRPr="00A7713D">
        <w:rPr>
          <w:rFonts w:ascii="Verdana" w:hAnsi="Verdana"/>
          <w:i/>
          <w:sz w:val="18"/>
        </w:rPr>
        <w:t xml:space="preserve"> (</w:t>
      </w:r>
      <w:r w:rsidRPr="00A7713D">
        <w:rPr>
          <w:rFonts w:ascii="Verdana" w:hAnsi="Verdana"/>
          <w:sz w:val="18"/>
        </w:rPr>
        <w:t>zoek op: Immigratie: de terugkeerrichtlijn onderzocht)</w:t>
      </w:r>
      <w:r>
        <w:rPr>
          <w:rFonts w:ascii="Verdana" w:hAnsi="Verdana"/>
          <w:sz w:val="18"/>
        </w:rPr>
        <w:t xml:space="preserve"> </w:t>
      </w:r>
    </w:p>
    <w:p w14:paraId="66340E2A" w14:textId="77777777" w:rsidR="00027D14" w:rsidRDefault="00027D14" w:rsidP="00027D14">
      <w:pPr>
        <w:spacing w:line="360" w:lineRule="auto"/>
        <w:rPr>
          <w:rFonts w:ascii="Verdana" w:hAnsi="Verdana"/>
          <w:sz w:val="18"/>
        </w:rPr>
      </w:pPr>
      <w:r>
        <w:rPr>
          <w:rFonts w:ascii="Verdana" w:hAnsi="Verdana"/>
          <w:sz w:val="18"/>
        </w:rPr>
        <w:t>Europa Nu, ‘Vrij verkeer van personen’, europa-nu.nl (zoek op: vrij verkeer van personen)</w:t>
      </w:r>
    </w:p>
    <w:p w14:paraId="761057CB" w14:textId="77777777" w:rsidR="00027D14" w:rsidRDefault="00027D14" w:rsidP="00027D14">
      <w:pPr>
        <w:spacing w:line="360" w:lineRule="auto"/>
        <w:rPr>
          <w:rFonts w:ascii="Verdana" w:hAnsi="Verdana"/>
          <w:sz w:val="18"/>
        </w:rPr>
      </w:pPr>
      <w:r>
        <w:rPr>
          <w:rFonts w:ascii="Verdana" w:hAnsi="Verdana"/>
          <w:sz w:val="18"/>
        </w:rPr>
        <w:t>Europa Nu, ‘Schengenlanden’, europa-nu.nl (zoek op: Schengenlanden)</w:t>
      </w:r>
    </w:p>
    <w:p w14:paraId="6C04EE38" w14:textId="77777777" w:rsidR="00027D14" w:rsidRPr="008B39DB" w:rsidRDefault="00027D14" w:rsidP="00027D14">
      <w:pPr>
        <w:spacing w:line="360" w:lineRule="auto"/>
        <w:rPr>
          <w:rFonts w:ascii="Verdana" w:hAnsi="Verdana"/>
          <w:sz w:val="18"/>
        </w:rPr>
      </w:pPr>
      <w:r w:rsidRPr="00411FBD">
        <w:rPr>
          <w:rFonts w:ascii="Verdana" w:hAnsi="Verdana"/>
          <w:sz w:val="18"/>
        </w:rPr>
        <w:t>Europa Nu, ‘Europees Hof voor de Rechten van de Mens (EHRM)’</w:t>
      </w:r>
      <w:r w:rsidRPr="00411FBD">
        <w:rPr>
          <w:rFonts w:ascii="Verdana" w:hAnsi="Verdana"/>
          <w:i/>
          <w:sz w:val="18"/>
        </w:rPr>
        <w:t>,</w:t>
      </w:r>
      <w:r w:rsidRPr="00411FBD">
        <w:rPr>
          <w:rFonts w:ascii="Verdana" w:hAnsi="Verdana"/>
          <w:sz w:val="18"/>
        </w:rPr>
        <w:t xml:space="preserve"> europa-nu.nl,</w:t>
      </w:r>
      <w:r w:rsidRPr="00411FBD">
        <w:rPr>
          <w:rFonts w:ascii="Verdana" w:hAnsi="Verdana"/>
          <w:i/>
          <w:sz w:val="18"/>
        </w:rPr>
        <w:t xml:space="preserve"> (</w:t>
      </w:r>
      <w:r>
        <w:rPr>
          <w:rFonts w:ascii="Verdana" w:hAnsi="Verdana"/>
          <w:sz w:val="18"/>
        </w:rPr>
        <w:t>zoek op: EHRM)</w:t>
      </w:r>
    </w:p>
    <w:p w14:paraId="54AB9DE8" w14:textId="4F727AFF" w:rsidR="0046051F" w:rsidRDefault="00027D14" w:rsidP="00027D14">
      <w:pPr>
        <w:spacing w:line="360" w:lineRule="auto"/>
        <w:rPr>
          <w:rFonts w:ascii="Verdana" w:hAnsi="Verdana"/>
          <w:sz w:val="18"/>
        </w:rPr>
      </w:pPr>
      <w:r>
        <w:rPr>
          <w:rFonts w:ascii="Verdana" w:hAnsi="Verdana"/>
          <w:b/>
          <w:sz w:val="18"/>
        </w:rPr>
        <w:t>Europese Commissie 2014</w:t>
      </w:r>
      <w:r>
        <w:rPr>
          <w:rFonts w:ascii="Verdana" w:hAnsi="Verdana"/>
          <w:b/>
          <w:sz w:val="18"/>
        </w:rPr>
        <w:br/>
      </w:r>
      <w:r w:rsidRPr="00A7713D">
        <w:rPr>
          <w:rFonts w:ascii="Verdana" w:hAnsi="Verdana"/>
          <w:sz w:val="18"/>
        </w:rPr>
        <w:t>Europese Commissie, ‘Mededeling van de commissie aan de Raad en het Europees Parlement betreffende het EU-terugkeerbeleid’, 2014, eur-lex.europa.eu (zoek op: document 52014DC0199)</w:t>
      </w:r>
    </w:p>
    <w:p w14:paraId="56D5A1E0" w14:textId="77777777" w:rsidR="0046051F" w:rsidRDefault="0046051F" w:rsidP="00027D14">
      <w:pPr>
        <w:spacing w:line="360" w:lineRule="auto"/>
        <w:rPr>
          <w:rFonts w:ascii="Verdana" w:hAnsi="Verdana"/>
          <w:sz w:val="18"/>
        </w:rPr>
      </w:pPr>
    </w:p>
    <w:p w14:paraId="2BE71D32" w14:textId="77777777" w:rsidR="00027D14" w:rsidRDefault="00027D14" w:rsidP="00027D14">
      <w:pPr>
        <w:spacing w:line="360" w:lineRule="auto"/>
        <w:rPr>
          <w:rFonts w:ascii="Verdana" w:hAnsi="Verdana"/>
          <w:sz w:val="18"/>
          <w:u w:val="single"/>
        </w:rPr>
      </w:pPr>
      <w:r>
        <w:rPr>
          <w:rFonts w:ascii="Verdana" w:hAnsi="Verdana"/>
          <w:sz w:val="18"/>
          <w:u w:val="single"/>
        </w:rPr>
        <w:t>Regelgeving</w:t>
      </w:r>
    </w:p>
    <w:p w14:paraId="5C57DA68" w14:textId="77777777" w:rsidR="00027D14" w:rsidRDefault="00027D14" w:rsidP="00027D14">
      <w:pPr>
        <w:spacing w:line="360" w:lineRule="auto"/>
        <w:rPr>
          <w:rFonts w:ascii="Verdana" w:hAnsi="Verdana"/>
          <w:sz w:val="18"/>
        </w:rPr>
      </w:pPr>
      <w:r>
        <w:rPr>
          <w:rFonts w:ascii="Verdana" w:hAnsi="Verdana"/>
          <w:sz w:val="18"/>
        </w:rPr>
        <w:t>Algemene wet bestuursrecht</w:t>
      </w:r>
    </w:p>
    <w:p w14:paraId="3162C06B" w14:textId="77777777" w:rsidR="00027D14" w:rsidRDefault="00027D14" w:rsidP="00027D14">
      <w:pPr>
        <w:spacing w:line="360" w:lineRule="auto"/>
        <w:rPr>
          <w:rFonts w:ascii="Verdana" w:hAnsi="Verdana"/>
          <w:sz w:val="18"/>
        </w:rPr>
      </w:pPr>
      <w:r>
        <w:rPr>
          <w:rFonts w:ascii="Verdana" w:hAnsi="Verdana"/>
          <w:sz w:val="18"/>
        </w:rPr>
        <w:t>Burgerschapsrichtlijn</w:t>
      </w:r>
    </w:p>
    <w:p w14:paraId="347C8D48" w14:textId="77777777" w:rsidR="00027D14" w:rsidRDefault="00027D14" w:rsidP="00027D14">
      <w:pPr>
        <w:spacing w:line="360" w:lineRule="auto"/>
        <w:rPr>
          <w:rFonts w:ascii="Verdana" w:hAnsi="Verdana"/>
          <w:sz w:val="18"/>
        </w:rPr>
      </w:pPr>
      <w:r>
        <w:rPr>
          <w:rFonts w:ascii="Verdana" w:hAnsi="Verdana"/>
          <w:sz w:val="18"/>
        </w:rPr>
        <w:lastRenderedPageBreak/>
        <w:t>Europees Verdrag voor de Rechten van de Mens</w:t>
      </w:r>
    </w:p>
    <w:p w14:paraId="2944D6C7" w14:textId="77777777" w:rsidR="00027D14" w:rsidRDefault="00027D14" w:rsidP="00027D14">
      <w:pPr>
        <w:spacing w:line="360" w:lineRule="auto"/>
        <w:rPr>
          <w:rFonts w:ascii="Verdana" w:eastAsia="Times New Roman" w:hAnsi="Verdana"/>
          <w:sz w:val="18"/>
          <w:szCs w:val="18"/>
          <w:lang w:eastAsia="nl-NL"/>
        </w:rPr>
      </w:pPr>
      <w:r>
        <w:rPr>
          <w:rFonts w:ascii="Verdana" w:eastAsia="Times New Roman" w:hAnsi="Verdana"/>
          <w:sz w:val="18"/>
          <w:szCs w:val="18"/>
          <w:lang w:eastAsia="nl-NL"/>
        </w:rPr>
        <w:t>Handvest van de grondrechten van de Europese Unie</w:t>
      </w:r>
    </w:p>
    <w:p w14:paraId="50F05F0B" w14:textId="77777777" w:rsidR="00027D14" w:rsidRDefault="00027D14" w:rsidP="00027D14">
      <w:pPr>
        <w:spacing w:line="360" w:lineRule="auto"/>
        <w:rPr>
          <w:rFonts w:ascii="Verdana" w:eastAsia="Times New Roman" w:hAnsi="Verdana"/>
          <w:sz w:val="18"/>
          <w:szCs w:val="18"/>
          <w:lang w:eastAsia="nl-NL"/>
        </w:rPr>
      </w:pPr>
      <w:r>
        <w:rPr>
          <w:rFonts w:ascii="Verdana" w:eastAsia="Times New Roman" w:hAnsi="Verdana"/>
          <w:sz w:val="18"/>
          <w:szCs w:val="18"/>
          <w:lang w:eastAsia="nl-NL"/>
        </w:rPr>
        <w:t>Internationaal Verdrag inzake Burger- en Politieke Rechten</w:t>
      </w:r>
    </w:p>
    <w:p w14:paraId="307AFF2A" w14:textId="77777777" w:rsidR="00027D14" w:rsidRDefault="00027D14" w:rsidP="00027D14">
      <w:pPr>
        <w:spacing w:line="360" w:lineRule="auto"/>
        <w:rPr>
          <w:rFonts w:ascii="Verdana" w:eastAsia="Times New Roman" w:hAnsi="Verdana"/>
          <w:sz w:val="18"/>
          <w:szCs w:val="18"/>
          <w:lang w:eastAsia="nl-NL"/>
        </w:rPr>
      </w:pPr>
      <w:r>
        <w:rPr>
          <w:rFonts w:ascii="Verdana" w:eastAsia="Times New Roman" w:hAnsi="Verdana"/>
          <w:sz w:val="18"/>
          <w:szCs w:val="18"/>
          <w:lang w:eastAsia="nl-NL"/>
        </w:rPr>
        <w:t>Internationaal Verdrag inzake de Rechten van het Kind</w:t>
      </w:r>
    </w:p>
    <w:p w14:paraId="799BC3BF" w14:textId="77777777" w:rsidR="00027D14" w:rsidRDefault="00027D14" w:rsidP="00027D14">
      <w:pPr>
        <w:spacing w:line="360" w:lineRule="auto"/>
        <w:rPr>
          <w:rFonts w:ascii="Verdana" w:eastAsia="Times New Roman" w:hAnsi="Verdana"/>
          <w:sz w:val="18"/>
          <w:szCs w:val="18"/>
          <w:lang w:eastAsia="nl-NL"/>
        </w:rPr>
      </w:pPr>
      <w:r>
        <w:rPr>
          <w:rFonts w:ascii="Verdana" w:eastAsia="Times New Roman" w:hAnsi="Verdana"/>
          <w:sz w:val="18"/>
          <w:szCs w:val="18"/>
          <w:lang w:eastAsia="nl-NL"/>
        </w:rPr>
        <w:t>Schengengrenscode</w:t>
      </w:r>
    </w:p>
    <w:p w14:paraId="67B18041" w14:textId="77777777" w:rsidR="00027D14" w:rsidRDefault="00027D14" w:rsidP="00027D14">
      <w:pPr>
        <w:spacing w:line="360" w:lineRule="auto"/>
        <w:rPr>
          <w:rFonts w:ascii="Verdana" w:eastAsia="Times New Roman" w:hAnsi="Verdana"/>
          <w:sz w:val="18"/>
          <w:szCs w:val="18"/>
          <w:lang w:eastAsia="nl-NL"/>
        </w:rPr>
      </w:pPr>
      <w:r>
        <w:rPr>
          <w:rFonts w:ascii="Verdana" w:eastAsia="Times New Roman" w:hAnsi="Verdana"/>
          <w:sz w:val="18"/>
          <w:szCs w:val="18"/>
          <w:lang w:eastAsia="nl-NL"/>
        </w:rPr>
        <w:t>Staatscourant</w:t>
      </w:r>
      <w:r>
        <w:rPr>
          <w:rFonts w:ascii="Verdana" w:eastAsia="Times New Roman" w:hAnsi="Verdana"/>
          <w:sz w:val="18"/>
          <w:szCs w:val="18"/>
          <w:lang w:eastAsia="nl-NL"/>
        </w:rPr>
        <w:br/>
        <w:t xml:space="preserve">- </w:t>
      </w:r>
      <w:r w:rsidRPr="00F34D76">
        <w:rPr>
          <w:rFonts w:ascii="Verdana" w:eastAsia="Times New Roman" w:hAnsi="Verdana"/>
          <w:sz w:val="18"/>
          <w:szCs w:val="18"/>
          <w:lang w:eastAsia="nl-NL"/>
        </w:rPr>
        <w:t xml:space="preserve">Mededeling implementatie Richtlijn 2008/115/EG over normen en procedures voor terugkeer onderdanen van derde landen, </w:t>
      </w:r>
      <w:r w:rsidRPr="005969CF">
        <w:rPr>
          <w:rFonts w:ascii="Verdana" w:eastAsia="Times New Roman" w:hAnsi="Verdana"/>
          <w:i/>
          <w:sz w:val="18"/>
          <w:szCs w:val="18"/>
          <w:lang w:eastAsia="nl-NL"/>
        </w:rPr>
        <w:t>Stcrt.</w:t>
      </w:r>
      <w:r>
        <w:rPr>
          <w:rFonts w:ascii="Verdana" w:eastAsia="Times New Roman" w:hAnsi="Verdana"/>
          <w:sz w:val="18"/>
          <w:szCs w:val="18"/>
          <w:lang w:eastAsia="nl-NL"/>
        </w:rPr>
        <w:t xml:space="preserve"> 2011, 4082</w:t>
      </w:r>
    </w:p>
    <w:p w14:paraId="1F921FD9" w14:textId="77777777" w:rsidR="00027D14" w:rsidRDefault="00027D14" w:rsidP="00027D14">
      <w:pPr>
        <w:spacing w:line="360" w:lineRule="auto"/>
        <w:rPr>
          <w:rFonts w:ascii="Verdana" w:hAnsi="Verdana"/>
          <w:sz w:val="18"/>
        </w:rPr>
      </w:pPr>
      <w:r>
        <w:rPr>
          <w:rFonts w:ascii="Verdana" w:hAnsi="Verdana"/>
          <w:sz w:val="18"/>
        </w:rPr>
        <w:t>Terugkeerrichtlijn</w:t>
      </w:r>
    </w:p>
    <w:p w14:paraId="43DC8054" w14:textId="77777777" w:rsidR="00027D14" w:rsidRDefault="00027D14" w:rsidP="00027D14">
      <w:pPr>
        <w:spacing w:line="360" w:lineRule="auto"/>
        <w:rPr>
          <w:rFonts w:ascii="Verdana" w:eastAsia="Times New Roman" w:hAnsi="Verdana"/>
          <w:sz w:val="18"/>
          <w:szCs w:val="18"/>
          <w:lang w:eastAsia="nl-NL"/>
        </w:rPr>
      </w:pPr>
      <w:r>
        <w:rPr>
          <w:rFonts w:ascii="Verdana" w:eastAsia="Times New Roman" w:hAnsi="Verdana"/>
          <w:sz w:val="18"/>
          <w:szCs w:val="18"/>
          <w:lang w:eastAsia="nl-NL"/>
        </w:rPr>
        <w:t>Verdrag betreffende de werking van de Europese Unie</w:t>
      </w:r>
    </w:p>
    <w:p w14:paraId="7D33EEB4" w14:textId="77777777" w:rsidR="00027D14" w:rsidRPr="00B11980" w:rsidRDefault="00027D14" w:rsidP="00027D14">
      <w:pPr>
        <w:spacing w:line="360" w:lineRule="auto"/>
        <w:rPr>
          <w:rFonts w:ascii="Verdana" w:eastAsia="Times New Roman" w:hAnsi="Verdana"/>
          <w:sz w:val="18"/>
          <w:szCs w:val="18"/>
          <w:lang w:eastAsia="nl-NL"/>
        </w:rPr>
      </w:pPr>
      <w:r>
        <w:rPr>
          <w:rFonts w:ascii="Verdana" w:eastAsia="Times New Roman" w:hAnsi="Verdana"/>
          <w:sz w:val="18"/>
          <w:szCs w:val="18"/>
          <w:lang w:eastAsia="nl-NL"/>
        </w:rPr>
        <w:t>Vluchtelingenverdrag</w:t>
      </w:r>
    </w:p>
    <w:p w14:paraId="4C596793" w14:textId="77777777" w:rsidR="00027D14" w:rsidRDefault="00027D14" w:rsidP="00027D14">
      <w:pPr>
        <w:spacing w:line="360" w:lineRule="auto"/>
        <w:rPr>
          <w:rFonts w:ascii="Verdana" w:hAnsi="Verdana"/>
          <w:sz w:val="18"/>
        </w:rPr>
      </w:pPr>
      <w:r>
        <w:rPr>
          <w:rFonts w:ascii="Verdana" w:hAnsi="Verdana"/>
          <w:sz w:val="18"/>
        </w:rPr>
        <w:t>Vreemdelingenwet 2000</w:t>
      </w:r>
    </w:p>
    <w:p w14:paraId="1CE759BB" w14:textId="77777777" w:rsidR="00027D14" w:rsidRDefault="00027D14" w:rsidP="00027D14">
      <w:pPr>
        <w:spacing w:line="360" w:lineRule="auto"/>
        <w:rPr>
          <w:rFonts w:ascii="Verdana" w:hAnsi="Verdana"/>
          <w:sz w:val="18"/>
        </w:rPr>
      </w:pPr>
      <w:r>
        <w:rPr>
          <w:rFonts w:ascii="Verdana" w:hAnsi="Verdana"/>
          <w:sz w:val="18"/>
        </w:rPr>
        <w:t>Vreemdelingenbesluit 2000</w:t>
      </w:r>
    </w:p>
    <w:p w14:paraId="726A20EA" w14:textId="77777777" w:rsidR="00027D14" w:rsidRPr="00D252F2" w:rsidRDefault="00027D14" w:rsidP="00027D14">
      <w:pPr>
        <w:spacing w:line="360" w:lineRule="auto"/>
        <w:rPr>
          <w:rFonts w:ascii="Verdana" w:hAnsi="Verdana"/>
          <w:sz w:val="18"/>
        </w:rPr>
      </w:pPr>
      <w:r>
        <w:rPr>
          <w:rFonts w:ascii="Verdana" w:hAnsi="Verdana"/>
          <w:sz w:val="18"/>
        </w:rPr>
        <w:t>Vreemdelingencirculaire 2000</w:t>
      </w:r>
    </w:p>
    <w:p w14:paraId="6C7DA3DF" w14:textId="77777777" w:rsidR="00027D14" w:rsidRDefault="00027D14" w:rsidP="00027D14">
      <w:pPr>
        <w:spacing w:line="360" w:lineRule="auto"/>
        <w:rPr>
          <w:rFonts w:ascii="Verdana" w:hAnsi="Verdana"/>
          <w:sz w:val="18"/>
        </w:rPr>
      </w:pPr>
      <w:r>
        <w:rPr>
          <w:rFonts w:ascii="Verdana" w:hAnsi="Verdana"/>
          <w:sz w:val="18"/>
        </w:rPr>
        <w:t>Wetboek van Strafrecht</w:t>
      </w:r>
    </w:p>
    <w:p w14:paraId="2B048D63" w14:textId="77777777" w:rsidR="00027D14" w:rsidRDefault="00027D14" w:rsidP="00027D14">
      <w:pPr>
        <w:spacing w:line="360" w:lineRule="auto"/>
        <w:rPr>
          <w:rFonts w:ascii="Verdana" w:hAnsi="Verdana"/>
          <w:sz w:val="18"/>
        </w:rPr>
      </w:pPr>
      <w:r>
        <w:rPr>
          <w:rFonts w:ascii="Verdana" w:hAnsi="Verdana"/>
          <w:sz w:val="18"/>
        </w:rPr>
        <w:t>Wetboek van Strafvordering</w:t>
      </w:r>
    </w:p>
    <w:p w14:paraId="68B0CDAD" w14:textId="77777777" w:rsidR="00027D14" w:rsidRDefault="00027D14" w:rsidP="00027D14">
      <w:pPr>
        <w:spacing w:line="360" w:lineRule="auto"/>
        <w:rPr>
          <w:rFonts w:ascii="Verdana" w:hAnsi="Verdana"/>
          <w:sz w:val="18"/>
        </w:rPr>
      </w:pPr>
      <w:r>
        <w:rPr>
          <w:rFonts w:ascii="Verdana" w:hAnsi="Verdana"/>
          <w:sz w:val="18"/>
        </w:rPr>
        <w:t>Wet tot wijziging van de Vreemdelingenwet 2000 ter implementatie van de Terugkeerrichtlijn</w:t>
      </w:r>
    </w:p>
    <w:p w14:paraId="61CF6752" w14:textId="77777777" w:rsidR="00027D14" w:rsidRDefault="00027D14" w:rsidP="00F56DB8">
      <w:pPr>
        <w:spacing w:line="360" w:lineRule="auto"/>
        <w:rPr>
          <w:rFonts w:ascii="Verdana" w:hAnsi="Verdana"/>
          <w:sz w:val="18"/>
          <w:u w:val="single"/>
        </w:rPr>
      </w:pPr>
      <w:r>
        <w:rPr>
          <w:rFonts w:ascii="Verdana" w:hAnsi="Verdana"/>
          <w:sz w:val="18"/>
        </w:rPr>
        <w:br/>
      </w:r>
      <w:r>
        <w:rPr>
          <w:rFonts w:ascii="Verdana" w:hAnsi="Verdana"/>
          <w:sz w:val="18"/>
          <w:u w:val="single"/>
        </w:rPr>
        <w:t>Parlementaire stukken</w:t>
      </w:r>
    </w:p>
    <w:p w14:paraId="6CBBB032" w14:textId="77777777" w:rsidR="00027D14" w:rsidRDefault="00027D14" w:rsidP="00F56DB8">
      <w:pPr>
        <w:spacing w:line="360" w:lineRule="auto"/>
        <w:rPr>
          <w:rFonts w:ascii="Verdana" w:hAnsi="Verdana"/>
          <w:sz w:val="18"/>
        </w:rPr>
      </w:pPr>
      <w:r>
        <w:rPr>
          <w:rFonts w:ascii="Verdana" w:hAnsi="Verdana"/>
          <w:b/>
          <w:sz w:val="18"/>
        </w:rPr>
        <w:t>Memorie van toelichting</w:t>
      </w:r>
    </w:p>
    <w:p w14:paraId="77634E38" w14:textId="77777777" w:rsidR="00027D14" w:rsidRDefault="00027D14" w:rsidP="00F56DB8">
      <w:pPr>
        <w:spacing w:line="360" w:lineRule="auto"/>
        <w:rPr>
          <w:rFonts w:ascii="Verdana" w:hAnsi="Verdana"/>
          <w:sz w:val="18"/>
        </w:rPr>
      </w:pPr>
      <w:r>
        <w:rPr>
          <w:rFonts w:ascii="Verdana" w:hAnsi="Verdana"/>
          <w:i/>
          <w:sz w:val="18"/>
        </w:rPr>
        <w:t xml:space="preserve">Kamerstukken II, </w:t>
      </w:r>
      <w:r>
        <w:rPr>
          <w:rFonts w:ascii="Verdana" w:hAnsi="Verdana"/>
          <w:sz w:val="18"/>
        </w:rPr>
        <w:t>memorie van toelichting, 1998/99, 26 732, nr. 3</w:t>
      </w:r>
    </w:p>
    <w:p w14:paraId="37BCB574" w14:textId="77777777" w:rsidR="00027D14" w:rsidRDefault="00027D14" w:rsidP="00F56DB8">
      <w:pPr>
        <w:spacing w:line="360" w:lineRule="auto"/>
        <w:rPr>
          <w:rFonts w:ascii="Verdana" w:hAnsi="Verdana"/>
          <w:sz w:val="18"/>
        </w:rPr>
      </w:pPr>
      <w:r>
        <w:rPr>
          <w:rFonts w:ascii="Verdana" w:hAnsi="Verdana"/>
          <w:i/>
          <w:sz w:val="18"/>
        </w:rPr>
        <w:t>Kamerstukken II</w:t>
      </w:r>
      <w:r>
        <w:rPr>
          <w:rFonts w:ascii="Verdana" w:hAnsi="Verdana"/>
          <w:sz w:val="18"/>
        </w:rPr>
        <w:t>, memorie van toelichting, 2009/10, 32 420, nr. 3</w:t>
      </w:r>
    </w:p>
    <w:p w14:paraId="5D89E766" w14:textId="77777777" w:rsidR="00027D14" w:rsidRPr="00626B6A" w:rsidRDefault="00027D14" w:rsidP="00F56DB8">
      <w:pPr>
        <w:spacing w:line="360" w:lineRule="auto"/>
        <w:rPr>
          <w:rFonts w:ascii="Verdana" w:hAnsi="Verdana"/>
          <w:sz w:val="18"/>
        </w:rPr>
      </w:pPr>
      <w:r>
        <w:rPr>
          <w:rFonts w:ascii="Verdana" w:hAnsi="Verdana"/>
          <w:i/>
          <w:sz w:val="18"/>
        </w:rPr>
        <w:t>Kamerstukken II</w:t>
      </w:r>
      <w:r>
        <w:rPr>
          <w:rFonts w:ascii="Verdana" w:hAnsi="Verdana"/>
          <w:sz w:val="18"/>
        </w:rPr>
        <w:t>, memorie van toelichting, 2010/11, 32 420, nr. 9</w:t>
      </w:r>
    </w:p>
    <w:p w14:paraId="0E7F201B" w14:textId="77777777" w:rsidR="00027D14" w:rsidRDefault="00027D14" w:rsidP="00F56DB8">
      <w:pPr>
        <w:spacing w:line="360" w:lineRule="auto"/>
        <w:rPr>
          <w:rFonts w:ascii="Verdana" w:hAnsi="Verdana"/>
          <w:sz w:val="18"/>
        </w:rPr>
      </w:pPr>
      <w:r>
        <w:rPr>
          <w:rFonts w:ascii="Verdana" w:hAnsi="Verdana"/>
          <w:i/>
          <w:sz w:val="18"/>
        </w:rPr>
        <w:t>Kamerstukken II</w:t>
      </w:r>
      <w:r>
        <w:rPr>
          <w:rFonts w:ascii="Verdana" w:hAnsi="Verdana"/>
          <w:sz w:val="18"/>
        </w:rPr>
        <w:t>, memorie van toelichting, 2012/13, 33 512, nr. 3</w:t>
      </w:r>
    </w:p>
    <w:p w14:paraId="3DFF5C70" w14:textId="58FA68FB" w:rsidR="00027D14" w:rsidRDefault="00027D14" w:rsidP="00F56DB8">
      <w:pPr>
        <w:spacing w:line="360" w:lineRule="auto"/>
        <w:rPr>
          <w:rFonts w:ascii="Verdana" w:hAnsi="Verdana"/>
          <w:sz w:val="18"/>
        </w:rPr>
      </w:pPr>
      <w:r>
        <w:rPr>
          <w:rFonts w:ascii="Verdana" w:hAnsi="Verdana"/>
          <w:i/>
          <w:sz w:val="18"/>
        </w:rPr>
        <w:t>Kamerstukken II</w:t>
      </w:r>
      <w:r>
        <w:rPr>
          <w:rFonts w:ascii="Verdana" w:hAnsi="Verdana"/>
          <w:sz w:val="18"/>
        </w:rPr>
        <w:t xml:space="preserve">, nota naar </w:t>
      </w:r>
      <w:r w:rsidR="00F56DB8">
        <w:rPr>
          <w:rFonts w:ascii="Verdana" w:hAnsi="Verdana"/>
          <w:sz w:val="18"/>
        </w:rPr>
        <w:t>aanleiding van het verslag, 199</w:t>
      </w:r>
      <w:r>
        <w:rPr>
          <w:rFonts w:ascii="Verdana" w:hAnsi="Verdana"/>
          <w:sz w:val="18"/>
        </w:rPr>
        <w:t>0/00, 26 732, nr. 7</w:t>
      </w:r>
    </w:p>
    <w:p w14:paraId="6BEB2DE6" w14:textId="384CD1F5" w:rsidR="00F56DB8" w:rsidRDefault="00027D14" w:rsidP="00F56DB8">
      <w:pPr>
        <w:spacing w:line="360" w:lineRule="auto"/>
        <w:rPr>
          <w:rFonts w:ascii="Verdana" w:hAnsi="Verdana"/>
          <w:sz w:val="18"/>
        </w:rPr>
      </w:pPr>
      <w:r>
        <w:rPr>
          <w:rFonts w:ascii="Verdana" w:hAnsi="Verdana"/>
          <w:i/>
          <w:sz w:val="18"/>
        </w:rPr>
        <w:t>Kamerstukken II</w:t>
      </w:r>
      <w:r>
        <w:rPr>
          <w:rFonts w:ascii="Verdana" w:hAnsi="Verdana"/>
          <w:sz w:val="18"/>
        </w:rPr>
        <w:t>, nota naar aanleiding van het verslag, 2009/10, 32 420, nr. 14</w:t>
      </w:r>
    </w:p>
    <w:p w14:paraId="761F7227" w14:textId="7B02B7F0" w:rsidR="00F56DB8" w:rsidRPr="00F56DB8" w:rsidRDefault="00F56DB8" w:rsidP="00F56DB8">
      <w:pPr>
        <w:spacing w:line="360" w:lineRule="auto"/>
        <w:rPr>
          <w:rFonts w:ascii="Verdana" w:hAnsi="Verdana"/>
          <w:sz w:val="18"/>
        </w:rPr>
      </w:pPr>
      <w:r>
        <w:rPr>
          <w:rFonts w:ascii="Verdana" w:hAnsi="Verdana"/>
          <w:i/>
          <w:sz w:val="18"/>
        </w:rPr>
        <w:t xml:space="preserve">Kamerstukken II, </w:t>
      </w:r>
      <w:r>
        <w:rPr>
          <w:rFonts w:ascii="Verdana" w:hAnsi="Verdana"/>
          <w:sz w:val="18"/>
        </w:rPr>
        <w:t>brief van de Staatssecretaris van Justitie en Veiligheid, 2017/18, 19 637, nr. 2382</w:t>
      </w:r>
    </w:p>
    <w:p w14:paraId="75E564DF" w14:textId="77777777" w:rsidR="00085BA3" w:rsidRPr="009773CB" w:rsidRDefault="00085BA3" w:rsidP="00F56DB8">
      <w:pPr>
        <w:spacing w:line="360" w:lineRule="auto"/>
        <w:rPr>
          <w:rFonts w:ascii="Verdana" w:hAnsi="Verdana"/>
          <w:sz w:val="18"/>
          <w:u w:val="single"/>
        </w:rPr>
      </w:pPr>
    </w:p>
    <w:p w14:paraId="700C45FB" w14:textId="77777777" w:rsidR="00CE0A7E" w:rsidRPr="009773CB" w:rsidRDefault="00CE0A7E" w:rsidP="00F56DB8">
      <w:pPr>
        <w:spacing w:line="360" w:lineRule="auto"/>
        <w:rPr>
          <w:rFonts w:ascii="Verdana" w:hAnsi="Verdana"/>
          <w:sz w:val="18"/>
          <w:u w:val="single"/>
        </w:rPr>
      </w:pPr>
    </w:p>
    <w:p w14:paraId="32B28A59" w14:textId="46DB8F10" w:rsidR="00027D14" w:rsidRPr="0091110F" w:rsidRDefault="00027D14" w:rsidP="00F56DB8">
      <w:pPr>
        <w:spacing w:line="360" w:lineRule="auto"/>
        <w:rPr>
          <w:rFonts w:ascii="Verdana" w:hAnsi="Verdana"/>
          <w:sz w:val="18"/>
          <w:lang w:val="en-US"/>
        </w:rPr>
      </w:pPr>
      <w:r w:rsidRPr="0091110F">
        <w:rPr>
          <w:rFonts w:ascii="Verdana" w:hAnsi="Verdana"/>
          <w:sz w:val="18"/>
          <w:u w:val="single"/>
          <w:lang w:val="en-US"/>
        </w:rPr>
        <w:lastRenderedPageBreak/>
        <w:t>Jurisprudentie</w:t>
      </w:r>
    </w:p>
    <w:p w14:paraId="06723853" w14:textId="77777777" w:rsidR="00027D14" w:rsidRPr="0091110F" w:rsidRDefault="00027D14" w:rsidP="00F56DB8">
      <w:pPr>
        <w:spacing w:line="360" w:lineRule="auto"/>
        <w:rPr>
          <w:rFonts w:ascii="Verdana" w:hAnsi="Verdana"/>
          <w:sz w:val="18"/>
          <w:lang w:val="en-US"/>
        </w:rPr>
      </w:pPr>
      <w:r w:rsidRPr="0091110F">
        <w:rPr>
          <w:rFonts w:ascii="Verdana" w:hAnsi="Verdana"/>
          <w:sz w:val="18"/>
          <w:lang w:val="en-US"/>
        </w:rPr>
        <w:t>ABRvS 22 november 2002</w:t>
      </w:r>
      <w:r w:rsidRPr="0091110F">
        <w:rPr>
          <w:rFonts w:ascii="Verdana" w:hAnsi="Verdana"/>
          <w:sz w:val="18"/>
          <w:szCs w:val="18"/>
          <w:lang w:val="en-US"/>
        </w:rPr>
        <w:t xml:space="preserve">, </w:t>
      </w:r>
      <w:r w:rsidRPr="0091110F">
        <w:rPr>
          <w:rFonts w:ascii="Verdana" w:eastAsia="Times New Roman" w:hAnsi="Verdana" w:cs="Times New Roman"/>
          <w:color w:val="333333"/>
          <w:sz w:val="18"/>
          <w:szCs w:val="18"/>
          <w:shd w:val="clear" w:color="auto" w:fill="FFFFFF"/>
          <w:lang w:val="en-US" w:eastAsia="nl-NL"/>
        </w:rPr>
        <w:t>200204583/1</w:t>
      </w:r>
    </w:p>
    <w:p w14:paraId="66E78046" w14:textId="77777777" w:rsidR="00027D14" w:rsidRPr="0091110F" w:rsidRDefault="00027D14" w:rsidP="00F56DB8">
      <w:pPr>
        <w:spacing w:line="360" w:lineRule="auto"/>
        <w:rPr>
          <w:rFonts w:ascii="Verdana" w:hAnsi="Verdana"/>
          <w:sz w:val="18"/>
          <w:lang w:val="en-US"/>
        </w:rPr>
      </w:pPr>
      <w:r w:rsidRPr="0091110F">
        <w:rPr>
          <w:rFonts w:ascii="Verdana" w:hAnsi="Verdana"/>
          <w:sz w:val="18"/>
          <w:lang w:val="en-US"/>
        </w:rPr>
        <w:t>ABRvS 17 december 2004, LJN AS4652</w:t>
      </w:r>
    </w:p>
    <w:p w14:paraId="5A30D924" w14:textId="77777777" w:rsidR="00027D14" w:rsidRDefault="00027D14" w:rsidP="00F56DB8">
      <w:pPr>
        <w:spacing w:line="360" w:lineRule="auto"/>
        <w:rPr>
          <w:rFonts w:ascii="Verdana" w:hAnsi="Verdana"/>
          <w:sz w:val="18"/>
        </w:rPr>
      </w:pPr>
      <w:r>
        <w:rPr>
          <w:rFonts w:ascii="Verdana" w:hAnsi="Verdana"/>
          <w:sz w:val="18"/>
        </w:rPr>
        <w:t>ABRvS 18 oktober 2005, LJN AR2960</w:t>
      </w:r>
    </w:p>
    <w:p w14:paraId="1F072082" w14:textId="77777777" w:rsidR="00027D14" w:rsidRDefault="00027D14" w:rsidP="00F56DB8">
      <w:pPr>
        <w:spacing w:line="360" w:lineRule="auto"/>
        <w:rPr>
          <w:rFonts w:ascii="Verdana" w:hAnsi="Verdana"/>
          <w:sz w:val="18"/>
        </w:rPr>
      </w:pPr>
      <w:r>
        <w:rPr>
          <w:rFonts w:ascii="Verdana" w:hAnsi="Verdana"/>
          <w:sz w:val="18"/>
        </w:rPr>
        <w:t xml:space="preserve">ABRvS 22 juli 2010, </w:t>
      </w:r>
      <w:r w:rsidRPr="00B908F8">
        <w:rPr>
          <w:rFonts w:ascii="Verdana" w:hAnsi="Verdana"/>
          <w:sz w:val="18"/>
        </w:rPr>
        <w:t>201001769/1/V2</w:t>
      </w:r>
    </w:p>
    <w:p w14:paraId="6F76DA50" w14:textId="77777777" w:rsidR="00027D14" w:rsidRDefault="00027D14" w:rsidP="00F56DB8">
      <w:pPr>
        <w:spacing w:line="360" w:lineRule="auto"/>
        <w:rPr>
          <w:rFonts w:ascii="Verdana" w:hAnsi="Verdana"/>
          <w:sz w:val="18"/>
        </w:rPr>
      </w:pPr>
      <w:r>
        <w:rPr>
          <w:rFonts w:ascii="Verdana" w:hAnsi="Verdana"/>
          <w:sz w:val="18"/>
        </w:rPr>
        <w:t>ABRvS 21 maart 2011, 201100493/1/V3</w:t>
      </w:r>
    </w:p>
    <w:p w14:paraId="3DA22D04" w14:textId="77777777" w:rsidR="00027D14" w:rsidRDefault="00027D14" w:rsidP="00F56DB8">
      <w:pPr>
        <w:spacing w:line="360" w:lineRule="auto"/>
        <w:rPr>
          <w:rFonts w:ascii="Verdana" w:hAnsi="Verdana"/>
          <w:sz w:val="18"/>
        </w:rPr>
      </w:pPr>
      <w:r>
        <w:rPr>
          <w:rFonts w:ascii="Verdana" w:hAnsi="Verdana"/>
          <w:sz w:val="18"/>
        </w:rPr>
        <w:t>ABRvS 25 juni 2012, 201103520/1/VW</w:t>
      </w:r>
    </w:p>
    <w:p w14:paraId="5FF02AF0" w14:textId="73F27CD8" w:rsidR="00C537FD" w:rsidRDefault="00C537FD" w:rsidP="00F56DB8">
      <w:pPr>
        <w:spacing w:line="360" w:lineRule="auto"/>
        <w:rPr>
          <w:rFonts w:ascii="Verdana" w:hAnsi="Verdana"/>
          <w:sz w:val="18"/>
        </w:rPr>
      </w:pPr>
      <w:r w:rsidRPr="00C537FD">
        <w:rPr>
          <w:rFonts w:ascii="Verdana" w:hAnsi="Verdana"/>
          <w:sz w:val="18"/>
        </w:rPr>
        <w:t>ABRvS 21 december 2012, 201200487/1</w:t>
      </w:r>
      <w:r>
        <w:rPr>
          <w:rFonts w:ascii="Verdana" w:hAnsi="Verdana"/>
          <w:sz w:val="18"/>
        </w:rPr>
        <w:t>/V3</w:t>
      </w:r>
    </w:p>
    <w:p w14:paraId="564A9DCB" w14:textId="6D86F06C" w:rsidR="00FC23F6" w:rsidRDefault="00FC23F6" w:rsidP="00F56DB8">
      <w:pPr>
        <w:spacing w:line="360" w:lineRule="auto"/>
        <w:rPr>
          <w:rFonts w:ascii="Verdana" w:hAnsi="Verdana"/>
          <w:sz w:val="18"/>
        </w:rPr>
      </w:pPr>
      <w:r>
        <w:rPr>
          <w:rFonts w:ascii="Verdana" w:hAnsi="Verdana"/>
          <w:sz w:val="18"/>
        </w:rPr>
        <w:t xml:space="preserve">ABRvS 12 maart 2013, </w:t>
      </w:r>
      <w:r w:rsidRPr="00FC23F6">
        <w:rPr>
          <w:rFonts w:ascii="Verdana" w:hAnsi="Verdana"/>
          <w:sz w:val="18"/>
        </w:rPr>
        <w:t>201207682/1/V4</w:t>
      </w:r>
    </w:p>
    <w:p w14:paraId="11A5D955" w14:textId="77777777" w:rsidR="00027D14" w:rsidRDefault="00027D14" w:rsidP="00F56DB8">
      <w:pPr>
        <w:spacing w:line="360" w:lineRule="auto"/>
        <w:rPr>
          <w:rFonts w:ascii="Verdana" w:hAnsi="Verdana"/>
          <w:sz w:val="18"/>
        </w:rPr>
      </w:pPr>
      <w:r w:rsidRPr="00B908F8">
        <w:rPr>
          <w:rFonts w:ascii="Verdana" w:hAnsi="Verdana"/>
          <w:sz w:val="18"/>
        </w:rPr>
        <w:t>ABRvS 9 juli 2013, 201204559/1/V1</w:t>
      </w:r>
      <w:r>
        <w:rPr>
          <w:rFonts w:ascii="Verdana" w:hAnsi="Verdana"/>
          <w:sz w:val="18"/>
        </w:rPr>
        <w:t xml:space="preserve"> en </w:t>
      </w:r>
      <w:r w:rsidRPr="00B908F8">
        <w:rPr>
          <w:rFonts w:ascii="Verdana" w:hAnsi="Verdana"/>
          <w:sz w:val="18"/>
        </w:rPr>
        <w:t>201207753/1/V1</w:t>
      </w:r>
    </w:p>
    <w:p w14:paraId="228F546B" w14:textId="77777777" w:rsidR="00027D14" w:rsidRDefault="00027D14" w:rsidP="00F56DB8">
      <w:pPr>
        <w:spacing w:line="360" w:lineRule="auto"/>
        <w:rPr>
          <w:rFonts w:ascii="Verdana" w:hAnsi="Verdana"/>
          <w:sz w:val="18"/>
        </w:rPr>
      </w:pPr>
      <w:r>
        <w:rPr>
          <w:rFonts w:ascii="Verdana" w:hAnsi="Verdana"/>
          <w:sz w:val="18"/>
        </w:rPr>
        <w:t>ABRvS 19 december 2013, 201207041/1/V2</w:t>
      </w:r>
    </w:p>
    <w:p w14:paraId="6FA64BBC" w14:textId="77777777" w:rsidR="00027D14" w:rsidRDefault="00027D14" w:rsidP="00F56DB8">
      <w:pPr>
        <w:spacing w:line="360" w:lineRule="auto"/>
        <w:rPr>
          <w:rFonts w:ascii="Verdana" w:hAnsi="Verdana"/>
          <w:sz w:val="18"/>
        </w:rPr>
      </w:pPr>
      <w:r w:rsidRPr="00B908F8">
        <w:rPr>
          <w:rFonts w:ascii="Verdana" w:hAnsi="Verdana"/>
          <w:sz w:val="18"/>
        </w:rPr>
        <w:t>ABRvS 18 februari 2014, 201304257/1/V1 en 201308529/1/V1</w:t>
      </w:r>
    </w:p>
    <w:p w14:paraId="59B45458" w14:textId="77777777" w:rsidR="00027D14" w:rsidRDefault="00027D14" w:rsidP="00F56DB8">
      <w:pPr>
        <w:spacing w:line="360" w:lineRule="auto"/>
        <w:rPr>
          <w:rFonts w:ascii="Verdana" w:hAnsi="Verdana"/>
          <w:sz w:val="18"/>
        </w:rPr>
      </w:pPr>
      <w:r w:rsidRPr="00B908F8">
        <w:rPr>
          <w:rFonts w:ascii="Verdana" w:hAnsi="Verdana"/>
          <w:sz w:val="18"/>
        </w:rPr>
        <w:t>ABRvS 29 mei 2015, 201409477/1/V2</w:t>
      </w:r>
    </w:p>
    <w:p w14:paraId="7614A748" w14:textId="77777777" w:rsidR="00027D14" w:rsidRDefault="00027D14" w:rsidP="00F56DB8">
      <w:pPr>
        <w:spacing w:line="360" w:lineRule="auto"/>
        <w:rPr>
          <w:rFonts w:ascii="Verdana" w:hAnsi="Verdana"/>
          <w:sz w:val="18"/>
        </w:rPr>
      </w:pPr>
      <w:r>
        <w:rPr>
          <w:rFonts w:ascii="Verdana" w:hAnsi="Verdana"/>
          <w:sz w:val="18"/>
        </w:rPr>
        <w:t>ABRvS 11 mei 2016, 201504012/1/V6</w:t>
      </w:r>
    </w:p>
    <w:p w14:paraId="116263E7" w14:textId="77777777" w:rsidR="00027D14" w:rsidRDefault="00027D14" w:rsidP="00F56DB8">
      <w:pPr>
        <w:spacing w:line="360" w:lineRule="auto"/>
        <w:rPr>
          <w:rFonts w:ascii="Verdana" w:hAnsi="Verdana"/>
          <w:sz w:val="18"/>
        </w:rPr>
      </w:pPr>
      <w:r>
        <w:rPr>
          <w:rFonts w:ascii="Verdana" w:hAnsi="Verdana"/>
          <w:sz w:val="18"/>
        </w:rPr>
        <w:t>ABRvS 4 juli 2017, 201604476/1/V1</w:t>
      </w:r>
    </w:p>
    <w:p w14:paraId="069F5A61" w14:textId="77777777" w:rsidR="00027D14" w:rsidRDefault="00027D14" w:rsidP="00F56DB8">
      <w:pPr>
        <w:spacing w:line="360" w:lineRule="auto"/>
        <w:rPr>
          <w:rFonts w:ascii="Verdana" w:hAnsi="Verdana"/>
          <w:sz w:val="18"/>
        </w:rPr>
      </w:pPr>
      <w:r>
        <w:rPr>
          <w:rFonts w:ascii="Verdana" w:hAnsi="Verdana"/>
          <w:sz w:val="18"/>
        </w:rPr>
        <w:t>EHRM 5 juli 2005, JV 2005 302 (Said tegen Nederland)</w:t>
      </w:r>
    </w:p>
    <w:p w14:paraId="2A5AFD54" w14:textId="77777777" w:rsidR="00027D14" w:rsidRDefault="00027D14" w:rsidP="00F56DB8">
      <w:pPr>
        <w:spacing w:line="360" w:lineRule="auto"/>
        <w:rPr>
          <w:rFonts w:ascii="Verdana" w:hAnsi="Verdana"/>
          <w:sz w:val="18"/>
        </w:rPr>
      </w:pPr>
      <w:r>
        <w:rPr>
          <w:rFonts w:ascii="Verdana" w:hAnsi="Verdana"/>
          <w:sz w:val="18"/>
        </w:rPr>
        <w:t>EHRM 11 januari 2007, 1948/04 (Salah Sheekh tegen Nederland)</w:t>
      </w:r>
    </w:p>
    <w:p w14:paraId="57D51007" w14:textId="379E36F0" w:rsidR="0007796E" w:rsidRDefault="0007796E" w:rsidP="0007796E">
      <w:pPr>
        <w:spacing w:line="360" w:lineRule="auto"/>
        <w:rPr>
          <w:rFonts w:ascii="Verdana" w:hAnsi="Verdana"/>
          <w:sz w:val="18"/>
          <w:szCs w:val="18"/>
        </w:rPr>
      </w:pPr>
      <w:r>
        <w:rPr>
          <w:rFonts w:ascii="Verdana" w:hAnsi="Verdana"/>
          <w:sz w:val="18"/>
          <w:szCs w:val="18"/>
        </w:rPr>
        <w:t>Gerechtshof Den Haag 24 juni 2015, ECLI:NL:GHDHA:2015:2217</w:t>
      </w:r>
    </w:p>
    <w:p w14:paraId="23D4C153" w14:textId="7CC3DE46" w:rsidR="0007796E" w:rsidRDefault="0007796E" w:rsidP="0007796E">
      <w:pPr>
        <w:spacing w:line="360" w:lineRule="auto"/>
        <w:rPr>
          <w:rFonts w:ascii="Verdana" w:hAnsi="Verdana"/>
          <w:sz w:val="18"/>
          <w:szCs w:val="18"/>
        </w:rPr>
      </w:pPr>
      <w:r>
        <w:rPr>
          <w:rFonts w:ascii="Verdana" w:hAnsi="Verdana"/>
          <w:sz w:val="18"/>
          <w:szCs w:val="18"/>
        </w:rPr>
        <w:t>Gerechtshof Amsterdam 16 juli 2015, ECLI:NL:GHAMS:2015:4558</w:t>
      </w:r>
    </w:p>
    <w:p w14:paraId="34094C65" w14:textId="20FC3A42" w:rsidR="0007796E" w:rsidRDefault="0007796E" w:rsidP="0007796E">
      <w:pPr>
        <w:spacing w:line="360" w:lineRule="auto"/>
        <w:rPr>
          <w:rFonts w:ascii="Verdana" w:hAnsi="Verdana"/>
          <w:sz w:val="18"/>
          <w:szCs w:val="18"/>
        </w:rPr>
      </w:pPr>
      <w:r>
        <w:rPr>
          <w:rFonts w:ascii="Verdana" w:hAnsi="Verdana"/>
          <w:sz w:val="18"/>
          <w:szCs w:val="18"/>
        </w:rPr>
        <w:t>Gerechtshof Den Haag 6 oktober 2015, ECLI:NL:GHDHA:2015:2757</w:t>
      </w:r>
    </w:p>
    <w:p w14:paraId="63C47DDB" w14:textId="34CB8870" w:rsidR="0007796E" w:rsidRDefault="0007796E" w:rsidP="0007796E">
      <w:pPr>
        <w:spacing w:line="360" w:lineRule="auto"/>
        <w:rPr>
          <w:rFonts w:ascii="Verdana" w:hAnsi="Verdana"/>
          <w:sz w:val="18"/>
          <w:szCs w:val="18"/>
        </w:rPr>
      </w:pPr>
      <w:r>
        <w:rPr>
          <w:rFonts w:ascii="Verdana" w:hAnsi="Verdana"/>
          <w:sz w:val="18"/>
          <w:szCs w:val="18"/>
        </w:rPr>
        <w:t>Gerechtshof Amsterdam 23 november 2015, ECLI:NL:GHAMS:2015:4895</w:t>
      </w:r>
    </w:p>
    <w:p w14:paraId="041D191F" w14:textId="080BB6F8" w:rsidR="0007796E" w:rsidRDefault="0007796E" w:rsidP="0007796E">
      <w:pPr>
        <w:spacing w:line="360" w:lineRule="auto"/>
        <w:rPr>
          <w:rFonts w:ascii="Verdana" w:hAnsi="Verdana"/>
          <w:sz w:val="18"/>
          <w:szCs w:val="18"/>
        </w:rPr>
      </w:pPr>
      <w:r>
        <w:rPr>
          <w:rFonts w:ascii="Verdana" w:hAnsi="Verdana"/>
          <w:sz w:val="18"/>
          <w:szCs w:val="18"/>
        </w:rPr>
        <w:t>Gerechtshof Den Haag 4 december 2015, ECLI:NL:GHDHA:2015:3652</w:t>
      </w:r>
    </w:p>
    <w:p w14:paraId="6B597694" w14:textId="21817A07" w:rsidR="0007796E" w:rsidRDefault="0007796E" w:rsidP="0007796E">
      <w:pPr>
        <w:spacing w:line="360" w:lineRule="auto"/>
        <w:rPr>
          <w:rFonts w:ascii="Verdana" w:hAnsi="Verdana"/>
          <w:sz w:val="18"/>
          <w:szCs w:val="18"/>
        </w:rPr>
      </w:pPr>
      <w:r>
        <w:rPr>
          <w:rFonts w:ascii="Verdana" w:hAnsi="Verdana"/>
          <w:sz w:val="18"/>
          <w:szCs w:val="18"/>
        </w:rPr>
        <w:t>Gerechtshof Den Haag 1 februari 2016, ECLI:NL:GHDHA:2016:166</w:t>
      </w:r>
    </w:p>
    <w:p w14:paraId="6226EE12" w14:textId="66554F54" w:rsidR="0007796E" w:rsidRDefault="0007796E" w:rsidP="0007796E">
      <w:pPr>
        <w:spacing w:line="360" w:lineRule="auto"/>
        <w:rPr>
          <w:rFonts w:ascii="Verdana" w:hAnsi="Verdana"/>
          <w:sz w:val="18"/>
          <w:szCs w:val="18"/>
        </w:rPr>
      </w:pPr>
      <w:r>
        <w:rPr>
          <w:rFonts w:ascii="Verdana" w:hAnsi="Verdana"/>
          <w:sz w:val="18"/>
          <w:szCs w:val="18"/>
        </w:rPr>
        <w:t>Gerechtshof Den haag 26 april 2016, ECLI:NL:GHDHA:2016:2079</w:t>
      </w:r>
    </w:p>
    <w:p w14:paraId="0A880E5F" w14:textId="0464F0C3" w:rsidR="0007796E" w:rsidRDefault="0007796E" w:rsidP="0007796E">
      <w:pPr>
        <w:spacing w:line="360" w:lineRule="auto"/>
        <w:rPr>
          <w:rFonts w:ascii="Verdana" w:hAnsi="Verdana"/>
          <w:sz w:val="18"/>
          <w:szCs w:val="18"/>
        </w:rPr>
      </w:pPr>
      <w:r>
        <w:rPr>
          <w:rFonts w:ascii="Verdana" w:hAnsi="Verdana"/>
          <w:sz w:val="18"/>
          <w:szCs w:val="18"/>
        </w:rPr>
        <w:t>Gerechtshof Amsterdam 13 juli 2016, ECLI:NL:GHAMS:2016:2803</w:t>
      </w:r>
    </w:p>
    <w:p w14:paraId="209C0038" w14:textId="3AD7A095" w:rsidR="0007796E" w:rsidRDefault="0007796E" w:rsidP="0007796E">
      <w:pPr>
        <w:spacing w:line="360" w:lineRule="auto"/>
        <w:rPr>
          <w:rFonts w:ascii="Verdana" w:hAnsi="Verdana"/>
          <w:sz w:val="18"/>
          <w:szCs w:val="18"/>
        </w:rPr>
      </w:pPr>
      <w:r>
        <w:rPr>
          <w:rFonts w:ascii="Verdana" w:hAnsi="Verdana"/>
          <w:sz w:val="18"/>
          <w:szCs w:val="18"/>
        </w:rPr>
        <w:t>Gerechtshof Amsterdam 20 juli 2016, ECLI:NL:GHAMS:2016:2983</w:t>
      </w:r>
    </w:p>
    <w:p w14:paraId="1BC1368B" w14:textId="718A51FE" w:rsidR="0007796E" w:rsidRDefault="0007796E" w:rsidP="0007796E">
      <w:pPr>
        <w:spacing w:line="360" w:lineRule="auto"/>
        <w:rPr>
          <w:rFonts w:ascii="Verdana" w:hAnsi="Verdana"/>
          <w:sz w:val="18"/>
          <w:szCs w:val="18"/>
        </w:rPr>
      </w:pPr>
      <w:r>
        <w:rPr>
          <w:rFonts w:ascii="Verdana" w:hAnsi="Verdana"/>
          <w:sz w:val="18"/>
          <w:szCs w:val="18"/>
        </w:rPr>
        <w:t>Gerechtshof Amsterdam 4 mei 2017, ECLI:NL:GHAMS:2017:1687</w:t>
      </w:r>
    </w:p>
    <w:p w14:paraId="5E562FF0" w14:textId="3F39B3B2" w:rsidR="0007796E" w:rsidRDefault="0007796E" w:rsidP="0007796E">
      <w:pPr>
        <w:spacing w:line="360" w:lineRule="auto"/>
        <w:rPr>
          <w:rFonts w:ascii="Verdana" w:hAnsi="Verdana"/>
          <w:sz w:val="18"/>
          <w:szCs w:val="18"/>
        </w:rPr>
      </w:pPr>
      <w:r>
        <w:rPr>
          <w:rFonts w:ascii="Verdana" w:hAnsi="Verdana"/>
          <w:sz w:val="18"/>
          <w:szCs w:val="18"/>
        </w:rPr>
        <w:t>Gerechtshof Amsterdam 4 mei 2017, ECLI:NL:GHAMS:2017:1688</w:t>
      </w:r>
    </w:p>
    <w:p w14:paraId="2B79E1EE" w14:textId="1E4D9CA3" w:rsidR="0007796E" w:rsidRDefault="0007796E" w:rsidP="0007796E">
      <w:pPr>
        <w:spacing w:line="360" w:lineRule="auto"/>
        <w:rPr>
          <w:rFonts w:ascii="Verdana" w:hAnsi="Verdana"/>
          <w:sz w:val="18"/>
          <w:szCs w:val="18"/>
        </w:rPr>
      </w:pPr>
      <w:r>
        <w:rPr>
          <w:rFonts w:ascii="Verdana" w:hAnsi="Verdana"/>
          <w:sz w:val="18"/>
          <w:szCs w:val="18"/>
        </w:rPr>
        <w:t>Gerechtshof Amsterdam 4 mei 2017, ECLI:NL:GHAMS:2017:1684</w:t>
      </w:r>
    </w:p>
    <w:p w14:paraId="7DDD35D5" w14:textId="7668497F" w:rsidR="0007796E" w:rsidRDefault="0007796E" w:rsidP="0007796E">
      <w:pPr>
        <w:spacing w:line="360" w:lineRule="auto"/>
        <w:rPr>
          <w:rFonts w:ascii="Verdana" w:hAnsi="Verdana"/>
          <w:sz w:val="18"/>
          <w:szCs w:val="18"/>
        </w:rPr>
      </w:pPr>
      <w:r>
        <w:rPr>
          <w:rFonts w:ascii="Verdana" w:hAnsi="Verdana"/>
          <w:sz w:val="18"/>
          <w:szCs w:val="18"/>
        </w:rPr>
        <w:lastRenderedPageBreak/>
        <w:t>Gerechtshof Amsterdam 4 mei 2017, ECLI:NL:GHAMS:2017:1685</w:t>
      </w:r>
    </w:p>
    <w:p w14:paraId="2A672C6F" w14:textId="1F99E3A2" w:rsidR="0007796E" w:rsidRDefault="0007796E" w:rsidP="0007796E">
      <w:pPr>
        <w:spacing w:line="360" w:lineRule="auto"/>
        <w:rPr>
          <w:rFonts w:ascii="Verdana" w:hAnsi="Verdana"/>
          <w:sz w:val="18"/>
          <w:szCs w:val="18"/>
        </w:rPr>
      </w:pPr>
      <w:r>
        <w:rPr>
          <w:rFonts w:ascii="Verdana" w:hAnsi="Verdana"/>
          <w:sz w:val="18"/>
          <w:szCs w:val="18"/>
        </w:rPr>
        <w:t>Gerechtshof Amsterdam 4 september 2017, ECLI:NL:GHAMS:2017:3542</w:t>
      </w:r>
    </w:p>
    <w:p w14:paraId="395A49FC" w14:textId="41477012" w:rsidR="0007796E" w:rsidRPr="0007796E" w:rsidRDefault="0007796E" w:rsidP="00F56DB8">
      <w:pPr>
        <w:spacing w:line="360" w:lineRule="auto"/>
        <w:rPr>
          <w:rFonts w:ascii="Verdana" w:hAnsi="Verdana"/>
          <w:sz w:val="18"/>
          <w:szCs w:val="18"/>
        </w:rPr>
      </w:pPr>
      <w:r>
        <w:rPr>
          <w:rFonts w:ascii="Verdana" w:hAnsi="Verdana"/>
          <w:sz w:val="18"/>
          <w:szCs w:val="18"/>
        </w:rPr>
        <w:t>Gerechtshof Amsterdam 4 september 2017, ECLI:NL:GHAMS:2017:3538</w:t>
      </w:r>
    </w:p>
    <w:p w14:paraId="7FB53AEE" w14:textId="77777777" w:rsidR="00027D14" w:rsidRDefault="00027D14" w:rsidP="00F56DB8">
      <w:pPr>
        <w:spacing w:line="360" w:lineRule="auto"/>
        <w:rPr>
          <w:rFonts w:ascii="Verdana" w:hAnsi="Verdana"/>
          <w:sz w:val="18"/>
        </w:rPr>
      </w:pPr>
      <w:r>
        <w:rPr>
          <w:rFonts w:ascii="Verdana" w:hAnsi="Verdana"/>
          <w:sz w:val="18"/>
        </w:rPr>
        <w:t>HR 25 februari 1949, NJ 1949 558 (</w:t>
      </w:r>
      <w:r w:rsidRPr="00556810">
        <w:rPr>
          <w:rFonts w:ascii="Verdana" w:hAnsi="Verdana"/>
          <w:sz w:val="18"/>
        </w:rPr>
        <w:t>ECLI:NL:HR:1949:AG1963</w:t>
      </w:r>
      <w:r>
        <w:rPr>
          <w:rFonts w:ascii="Verdana" w:hAnsi="Verdana"/>
          <w:sz w:val="18"/>
        </w:rPr>
        <w:t>)</w:t>
      </w:r>
    </w:p>
    <w:p w14:paraId="66A2BE3C" w14:textId="77777777" w:rsidR="00027D14" w:rsidRDefault="00027D14" w:rsidP="00F56DB8">
      <w:pPr>
        <w:spacing w:line="360" w:lineRule="auto"/>
        <w:rPr>
          <w:rFonts w:ascii="Verdana" w:hAnsi="Verdana"/>
          <w:sz w:val="18"/>
        </w:rPr>
      </w:pPr>
      <w:r>
        <w:rPr>
          <w:rFonts w:ascii="Verdana" w:hAnsi="Verdana"/>
          <w:sz w:val="18"/>
        </w:rPr>
        <w:t xml:space="preserve">HR 21 mei 2013, </w:t>
      </w:r>
      <w:r w:rsidRPr="00B91B85">
        <w:rPr>
          <w:rFonts w:ascii="Verdana" w:hAnsi="Verdana"/>
          <w:sz w:val="18"/>
        </w:rPr>
        <w:t>11/04684</w:t>
      </w:r>
      <w:r>
        <w:rPr>
          <w:rFonts w:ascii="Verdana" w:hAnsi="Verdana"/>
          <w:sz w:val="18"/>
        </w:rPr>
        <w:t xml:space="preserve"> (</w:t>
      </w:r>
      <w:r w:rsidRPr="00B91B85">
        <w:rPr>
          <w:rFonts w:ascii="Verdana" w:hAnsi="Verdana"/>
          <w:sz w:val="18"/>
        </w:rPr>
        <w:t>ECLI:NL:HR:2013:BZ3928</w:t>
      </w:r>
      <w:r>
        <w:rPr>
          <w:rFonts w:ascii="Verdana" w:hAnsi="Verdana"/>
          <w:sz w:val="18"/>
        </w:rPr>
        <w:t>)</w:t>
      </w:r>
    </w:p>
    <w:p w14:paraId="0C68F4B8" w14:textId="77777777" w:rsidR="00027D14" w:rsidRDefault="00027D14" w:rsidP="00F56DB8">
      <w:pPr>
        <w:spacing w:line="360" w:lineRule="auto"/>
        <w:rPr>
          <w:rFonts w:ascii="Verdana" w:hAnsi="Verdana"/>
          <w:sz w:val="18"/>
        </w:rPr>
      </w:pPr>
      <w:r>
        <w:rPr>
          <w:rFonts w:ascii="Verdana" w:hAnsi="Verdana"/>
          <w:sz w:val="18"/>
        </w:rPr>
        <w:t>HR 4 november 2014, 13/00812 (</w:t>
      </w:r>
      <w:r w:rsidRPr="005F7272">
        <w:rPr>
          <w:rFonts w:ascii="Verdana" w:hAnsi="Verdana"/>
          <w:sz w:val="18"/>
        </w:rPr>
        <w:t>ECLI:NL:HR:2014:3093</w:t>
      </w:r>
      <w:r>
        <w:rPr>
          <w:rFonts w:ascii="Verdana" w:hAnsi="Verdana"/>
          <w:sz w:val="18"/>
        </w:rPr>
        <w:t>)</w:t>
      </w:r>
    </w:p>
    <w:p w14:paraId="3180E00E" w14:textId="77777777" w:rsidR="00027D14" w:rsidRPr="00802A15" w:rsidRDefault="00027D14" w:rsidP="00F56DB8">
      <w:pPr>
        <w:spacing w:line="360" w:lineRule="auto"/>
        <w:rPr>
          <w:rFonts w:ascii="Verdana" w:hAnsi="Verdana"/>
          <w:sz w:val="18"/>
        </w:rPr>
      </w:pPr>
      <w:r>
        <w:rPr>
          <w:rFonts w:ascii="Verdana" w:hAnsi="Verdana"/>
          <w:sz w:val="18"/>
        </w:rPr>
        <w:t>HR 14 november 2017, 14/00826 (ECLI:NL:HR:2017:2862)</w:t>
      </w:r>
    </w:p>
    <w:p w14:paraId="38204F2E" w14:textId="77777777" w:rsidR="00027D14" w:rsidRDefault="00027D14" w:rsidP="00F56DB8">
      <w:pPr>
        <w:spacing w:line="360" w:lineRule="auto"/>
        <w:rPr>
          <w:rFonts w:ascii="Verdana" w:hAnsi="Verdana"/>
          <w:sz w:val="18"/>
        </w:rPr>
      </w:pPr>
      <w:r>
        <w:rPr>
          <w:rFonts w:ascii="Verdana" w:hAnsi="Verdana"/>
          <w:sz w:val="18"/>
        </w:rPr>
        <w:t>HvJEU 10 juli 2008, C-33/07 (Gheorghe Jipa)</w:t>
      </w:r>
    </w:p>
    <w:p w14:paraId="4A8A663C" w14:textId="77777777" w:rsidR="00027D14" w:rsidRDefault="00027D14" w:rsidP="00F56DB8">
      <w:pPr>
        <w:spacing w:line="360" w:lineRule="auto"/>
        <w:rPr>
          <w:rFonts w:ascii="Verdana" w:hAnsi="Verdana"/>
          <w:sz w:val="18"/>
        </w:rPr>
      </w:pPr>
      <w:r>
        <w:rPr>
          <w:rFonts w:ascii="Verdana" w:hAnsi="Verdana"/>
          <w:sz w:val="18"/>
        </w:rPr>
        <w:t xml:space="preserve">HvJEU 28 april 2011, </w:t>
      </w:r>
      <w:r w:rsidRPr="00E457BC">
        <w:rPr>
          <w:rFonts w:ascii="Verdana" w:hAnsi="Verdana"/>
          <w:sz w:val="18"/>
        </w:rPr>
        <w:t>C-61/11 (El Dridi</w:t>
      </w:r>
      <w:r>
        <w:rPr>
          <w:rFonts w:ascii="Verdana" w:hAnsi="Verdana"/>
          <w:sz w:val="18"/>
        </w:rPr>
        <w:t>)</w:t>
      </w:r>
    </w:p>
    <w:p w14:paraId="3A80F36C" w14:textId="77777777" w:rsidR="00027D14" w:rsidRPr="0091110F" w:rsidRDefault="00027D14" w:rsidP="00F56DB8">
      <w:pPr>
        <w:spacing w:line="360" w:lineRule="auto"/>
        <w:rPr>
          <w:rFonts w:ascii="Verdana" w:hAnsi="Verdana"/>
          <w:sz w:val="18"/>
          <w:lang w:val="en-US"/>
        </w:rPr>
      </w:pPr>
      <w:r w:rsidRPr="0091110F">
        <w:rPr>
          <w:rFonts w:ascii="Verdana" w:hAnsi="Verdana"/>
          <w:sz w:val="18"/>
          <w:lang w:val="en-US"/>
        </w:rPr>
        <w:t>HvJEU  17 november 2011, C-430/10 (Hristo Gaydarov)</w:t>
      </w:r>
    </w:p>
    <w:p w14:paraId="00075818" w14:textId="77777777" w:rsidR="00027D14" w:rsidRPr="0091110F" w:rsidRDefault="00027D14" w:rsidP="00F56DB8">
      <w:pPr>
        <w:spacing w:line="360" w:lineRule="auto"/>
        <w:rPr>
          <w:rFonts w:ascii="Verdana" w:hAnsi="Verdana"/>
          <w:sz w:val="18"/>
          <w:lang w:val="en-US"/>
        </w:rPr>
      </w:pPr>
      <w:r w:rsidRPr="0091110F">
        <w:rPr>
          <w:rFonts w:ascii="Verdana" w:hAnsi="Verdana"/>
          <w:sz w:val="18"/>
          <w:lang w:val="en-US"/>
        </w:rPr>
        <w:t>HvJEU 6 december 2011, C-329/11 (Achughbabian)</w:t>
      </w:r>
    </w:p>
    <w:p w14:paraId="34CB4CBD" w14:textId="77777777" w:rsidR="00027D14" w:rsidRPr="0091110F" w:rsidRDefault="00027D14" w:rsidP="00F56DB8">
      <w:pPr>
        <w:spacing w:line="360" w:lineRule="auto"/>
        <w:rPr>
          <w:rFonts w:ascii="Verdana" w:hAnsi="Verdana"/>
          <w:sz w:val="18"/>
          <w:lang w:val="en-US"/>
        </w:rPr>
      </w:pPr>
      <w:r w:rsidRPr="0091110F">
        <w:rPr>
          <w:rFonts w:ascii="Verdana" w:hAnsi="Verdana"/>
          <w:sz w:val="18"/>
          <w:lang w:val="en-US"/>
        </w:rPr>
        <w:t>HvJEU 6 december 2012, C-430/11 (Sagor)</w:t>
      </w:r>
    </w:p>
    <w:p w14:paraId="764BB517" w14:textId="77777777" w:rsidR="00027D14" w:rsidRPr="0091110F" w:rsidRDefault="00027D14" w:rsidP="00F56DB8">
      <w:pPr>
        <w:spacing w:line="360" w:lineRule="auto"/>
        <w:rPr>
          <w:rFonts w:ascii="Verdana" w:hAnsi="Verdana"/>
          <w:sz w:val="18"/>
          <w:lang w:val="en-US"/>
        </w:rPr>
      </w:pPr>
      <w:r w:rsidRPr="0091110F">
        <w:rPr>
          <w:rFonts w:ascii="Verdana" w:hAnsi="Verdana"/>
          <w:sz w:val="18"/>
          <w:lang w:val="en-US"/>
        </w:rPr>
        <w:t>HvJEU 19 september 2013, C-297/12 (Filev en Osmani)</w:t>
      </w:r>
    </w:p>
    <w:p w14:paraId="516F374E" w14:textId="77777777" w:rsidR="00027D14" w:rsidRPr="0091110F" w:rsidRDefault="00027D14" w:rsidP="00F56DB8">
      <w:pPr>
        <w:spacing w:line="360" w:lineRule="auto"/>
        <w:rPr>
          <w:rFonts w:ascii="Verdana" w:hAnsi="Verdana"/>
          <w:sz w:val="18"/>
          <w:lang w:val="en-US"/>
        </w:rPr>
      </w:pPr>
      <w:r w:rsidRPr="0091110F">
        <w:rPr>
          <w:rFonts w:ascii="Verdana" w:hAnsi="Verdana"/>
          <w:sz w:val="18"/>
          <w:lang w:val="en-US"/>
        </w:rPr>
        <w:t>HvJEU 23 april 2015, C-38/14 (Zaizoune)</w:t>
      </w:r>
    </w:p>
    <w:p w14:paraId="32A9803B" w14:textId="77777777" w:rsidR="00027D14" w:rsidRPr="0091110F" w:rsidRDefault="00027D14" w:rsidP="00F56DB8">
      <w:pPr>
        <w:spacing w:line="360" w:lineRule="auto"/>
        <w:rPr>
          <w:rFonts w:ascii="Verdana" w:hAnsi="Verdana"/>
          <w:sz w:val="18"/>
          <w:lang w:val="en-US"/>
        </w:rPr>
      </w:pPr>
      <w:r w:rsidRPr="0091110F">
        <w:rPr>
          <w:rFonts w:ascii="Verdana" w:hAnsi="Verdana"/>
          <w:sz w:val="18"/>
          <w:lang w:val="en-US"/>
        </w:rPr>
        <w:t>HvJEU 11 juni 2015, C-554/13 (Z.Zh. En I.O.)</w:t>
      </w:r>
    </w:p>
    <w:p w14:paraId="2BA9298E" w14:textId="77777777" w:rsidR="00027D14" w:rsidRDefault="00027D14" w:rsidP="00F56DB8">
      <w:pPr>
        <w:spacing w:line="360" w:lineRule="auto"/>
        <w:rPr>
          <w:rFonts w:ascii="Verdana" w:hAnsi="Verdana"/>
          <w:sz w:val="18"/>
        </w:rPr>
      </w:pPr>
      <w:r>
        <w:rPr>
          <w:rFonts w:ascii="Verdana" w:hAnsi="Verdana"/>
          <w:sz w:val="18"/>
        </w:rPr>
        <w:t>HvJEU 1 oktober 2015, C-290/14 (Celal)</w:t>
      </w:r>
    </w:p>
    <w:p w14:paraId="13AC096D" w14:textId="77777777" w:rsidR="00027D14" w:rsidRDefault="00027D14" w:rsidP="00F56DB8">
      <w:pPr>
        <w:spacing w:line="360" w:lineRule="auto"/>
        <w:rPr>
          <w:rFonts w:ascii="Verdana" w:hAnsi="Verdana"/>
          <w:sz w:val="18"/>
        </w:rPr>
      </w:pPr>
      <w:r>
        <w:rPr>
          <w:rFonts w:ascii="Verdana" w:hAnsi="Verdana"/>
          <w:sz w:val="18"/>
        </w:rPr>
        <w:t>HvJEU 15 februari 2016, C-601/15 PPU (J.N.)</w:t>
      </w:r>
    </w:p>
    <w:p w14:paraId="49F25019" w14:textId="77777777" w:rsidR="00027D14" w:rsidRDefault="00027D14" w:rsidP="00F56DB8">
      <w:pPr>
        <w:spacing w:line="360" w:lineRule="auto"/>
        <w:rPr>
          <w:rFonts w:ascii="Verdana" w:hAnsi="Verdana"/>
          <w:sz w:val="18"/>
        </w:rPr>
      </w:pPr>
      <w:r w:rsidRPr="00E457BC">
        <w:rPr>
          <w:rFonts w:ascii="Verdana" w:hAnsi="Verdana"/>
          <w:sz w:val="18"/>
        </w:rPr>
        <w:t>HvJ</w:t>
      </w:r>
      <w:r>
        <w:rPr>
          <w:rFonts w:ascii="Verdana" w:hAnsi="Verdana"/>
          <w:sz w:val="18"/>
        </w:rPr>
        <w:t>EU 7 juni 2016, C-47/15 (Affum)</w:t>
      </w:r>
    </w:p>
    <w:p w14:paraId="63D6B2DE" w14:textId="2B281F06" w:rsidR="0046051F" w:rsidRDefault="00027D14" w:rsidP="0046051F">
      <w:pPr>
        <w:spacing w:line="360" w:lineRule="auto"/>
        <w:rPr>
          <w:rFonts w:ascii="Verdana" w:hAnsi="Verdana"/>
          <w:sz w:val="18"/>
        </w:rPr>
      </w:pPr>
      <w:r>
        <w:rPr>
          <w:rFonts w:ascii="Verdana" w:hAnsi="Verdana"/>
          <w:sz w:val="18"/>
        </w:rPr>
        <w:t>HvJEU 26 juli 2017, C-225/16 (Ouhrami)</w:t>
      </w:r>
    </w:p>
    <w:p w14:paraId="26758A4E" w14:textId="2FEC0615" w:rsidR="0046051F" w:rsidRPr="0046051F" w:rsidRDefault="0046051F" w:rsidP="0046051F">
      <w:pPr>
        <w:spacing w:line="360" w:lineRule="auto"/>
        <w:rPr>
          <w:rFonts w:ascii="Verdana" w:hAnsi="Verdana"/>
          <w:sz w:val="18"/>
        </w:rPr>
      </w:pPr>
      <w:r>
        <w:rPr>
          <w:rFonts w:ascii="Verdana" w:hAnsi="Verdana"/>
          <w:sz w:val="18"/>
        </w:rPr>
        <w:t xml:space="preserve">PHR 17 oktober 2017, </w:t>
      </w:r>
      <w:r w:rsidRPr="000A349E">
        <w:rPr>
          <w:rFonts w:ascii="Verdana" w:hAnsi="Verdana"/>
          <w:sz w:val="18"/>
        </w:rPr>
        <w:t>ECLI:NL:PHR:2017:1240</w:t>
      </w:r>
      <w:r>
        <w:rPr>
          <w:rFonts w:ascii="Verdana" w:hAnsi="Verdana"/>
          <w:sz w:val="18"/>
        </w:rPr>
        <w:t xml:space="preserve"> (conclusie Ouhrami)</w:t>
      </w:r>
    </w:p>
    <w:p w14:paraId="064789B6" w14:textId="4003C3F2" w:rsidR="0046051F" w:rsidRDefault="0046051F" w:rsidP="0046051F">
      <w:pPr>
        <w:spacing w:line="360" w:lineRule="auto"/>
        <w:rPr>
          <w:rFonts w:ascii="Verdana" w:hAnsi="Verdana"/>
          <w:sz w:val="18"/>
        </w:rPr>
      </w:pPr>
      <w:r>
        <w:rPr>
          <w:rFonts w:ascii="Verdana" w:hAnsi="Verdana"/>
          <w:sz w:val="18"/>
        </w:rPr>
        <w:t xml:space="preserve">PHR 21 november 2017, </w:t>
      </w:r>
      <w:r w:rsidRPr="000A349E">
        <w:rPr>
          <w:rFonts w:ascii="Verdana" w:hAnsi="Verdana"/>
          <w:sz w:val="18"/>
        </w:rPr>
        <w:t>ECLI:NL:PHR:2017:1449 (conclusie</w:t>
      </w:r>
      <w:r>
        <w:rPr>
          <w:rFonts w:ascii="Verdana" w:hAnsi="Verdana"/>
          <w:sz w:val="18"/>
        </w:rPr>
        <w:t xml:space="preserve"> Ouhrami</w:t>
      </w:r>
      <w:r w:rsidRPr="000A349E">
        <w:rPr>
          <w:rFonts w:ascii="Verdana" w:hAnsi="Verdana"/>
          <w:sz w:val="18"/>
        </w:rPr>
        <w:t>)</w:t>
      </w:r>
    </w:p>
    <w:p w14:paraId="4D5820A4" w14:textId="4E3BDC4E" w:rsidR="008F30D3" w:rsidRDefault="0007796E" w:rsidP="00F56DB8">
      <w:pPr>
        <w:spacing w:line="360" w:lineRule="auto"/>
        <w:rPr>
          <w:rFonts w:ascii="Verdana" w:hAnsi="Verdana"/>
          <w:sz w:val="18"/>
          <w:szCs w:val="18"/>
        </w:rPr>
      </w:pPr>
      <w:r>
        <w:rPr>
          <w:rFonts w:ascii="Verdana" w:hAnsi="Verdana"/>
          <w:sz w:val="18"/>
          <w:szCs w:val="18"/>
        </w:rPr>
        <w:t>Rechtbank Den Haag</w:t>
      </w:r>
      <w:r w:rsidR="009764C9">
        <w:rPr>
          <w:rFonts w:ascii="Verdana" w:hAnsi="Verdana"/>
          <w:sz w:val="18"/>
          <w:szCs w:val="18"/>
        </w:rPr>
        <w:t xml:space="preserve"> </w:t>
      </w:r>
      <w:r w:rsidR="008F30D3">
        <w:rPr>
          <w:rFonts w:ascii="Verdana" w:hAnsi="Verdana"/>
          <w:sz w:val="18"/>
          <w:szCs w:val="18"/>
        </w:rPr>
        <w:t>1 februari 2016, ECLI:NL:RBDHA:2016:830</w:t>
      </w:r>
    </w:p>
    <w:p w14:paraId="48E90C5E" w14:textId="5AEDE21F" w:rsidR="008F30D3" w:rsidRDefault="0007796E" w:rsidP="00F56DB8">
      <w:pPr>
        <w:spacing w:line="360" w:lineRule="auto"/>
        <w:rPr>
          <w:rFonts w:ascii="Verdana" w:hAnsi="Verdana"/>
          <w:sz w:val="18"/>
          <w:szCs w:val="18"/>
        </w:rPr>
      </w:pPr>
      <w:r>
        <w:rPr>
          <w:rFonts w:ascii="Verdana" w:hAnsi="Verdana"/>
          <w:sz w:val="18"/>
          <w:szCs w:val="18"/>
        </w:rPr>
        <w:t>Rechtbank Den Haag</w:t>
      </w:r>
      <w:r w:rsidR="009764C9">
        <w:rPr>
          <w:rFonts w:ascii="Verdana" w:hAnsi="Verdana"/>
          <w:sz w:val="18"/>
          <w:szCs w:val="18"/>
        </w:rPr>
        <w:t xml:space="preserve"> </w:t>
      </w:r>
      <w:r w:rsidR="008F30D3">
        <w:rPr>
          <w:rFonts w:ascii="Verdana" w:hAnsi="Verdana"/>
          <w:sz w:val="18"/>
          <w:szCs w:val="18"/>
        </w:rPr>
        <w:t>1 februa</w:t>
      </w:r>
      <w:r w:rsidR="009764C9">
        <w:rPr>
          <w:rFonts w:ascii="Verdana" w:hAnsi="Verdana"/>
          <w:sz w:val="18"/>
          <w:szCs w:val="18"/>
        </w:rPr>
        <w:t>ri 2016, ECLI:NL:RBDHA:2016:835</w:t>
      </w:r>
    </w:p>
    <w:p w14:paraId="2F8C555B" w14:textId="2C818523" w:rsidR="008F30D3" w:rsidRDefault="0007796E" w:rsidP="00F56DB8">
      <w:pPr>
        <w:spacing w:line="360" w:lineRule="auto"/>
        <w:rPr>
          <w:rFonts w:ascii="Verdana" w:hAnsi="Verdana"/>
          <w:sz w:val="18"/>
          <w:szCs w:val="18"/>
        </w:rPr>
      </w:pPr>
      <w:r>
        <w:rPr>
          <w:rFonts w:ascii="Verdana" w:hAnsi="Verdana"/>
          <w:sz w:val="18"/>
          <w:szCs w:val="18"/>
        </w:rPr>
        <w:t>Rechtbank Den Haag</w:t>
      </w:r>
      <w:r w:rsidR="009764C9">
        <w:rPr>
          <w:rFonts w:ascii="Verdana" w:hAnsi="Verdana"/>
          <w:sz w:val="18"/>
          <w:szCs w:val="18"/>
        </w:rPr>
        <w:t xml:space="preserve"> </w:t>
      </w:r>
      <w:r w:rsidR="008F30D3">
        <w:rPr>
          <w:rFonts w:ascii="Verdana" w:hAnsi="Verdana"/>
          <w:sz w:val="18"/>
          <w:szCs w:val="18"/>
        </w:rPr>
        <w:t>25 juli 2016, ECL</w:t>
      </w:r>
      <w:r w:rsidR="009764C9">
        <w:rPr>
          <w:rFonts w:ascii="Verdana" w:hAnsi="Verdana"/>
          <w:sz w:val="18"/>
          <w:szCs w:val="18"/>
        </w:rPr>
        <w:t>I:NL:RBDHA:2016:9638</w:t>
      </w:r>
    </w:p>
    <w:p w14:paraId="35B34A6B" w14:textId="677B740E" w:rsidR="008F30D3" w:rsidRDefault="0007796E" w:rsidP="00F56DB8">
      <w:pPr>
        <w:spacing w:line="360" w:lineRule="auto"/>
        <w:rPr>
          <w:rFonts w:ascii="Verdana" w:hAnsi="Verdana"/>
          <w:sz w:val="18"/>
          <w:szCs w:val="18"/>
        </w:rPr>
      </w:pPr>
      <w:r>
        <w:rPr>
          <w:rFonts w:ascii="Verdana" w:hAnsi="Verdana"/>
          <w:sz w:val="18"/>
          <w:szCs w:val="18"/>
        </w:rPr>
        <w:t>Rechtbank Den Haag</w:t>
      </w:r>
      <w:r w:rsidR="009764C9">
        <w:rPr>
          <w:rFonts w:ascii="Verdana" w:hAnsi="Verdana"/>
          <w:sz w:val="18"/>
          <w:szCs w:val="18"/>
        </w:rPr>
        <w:t xml:space="preserve"> </w:t>
      </w:r>
      <w:r w:rsidR="008F30D3">
        <w:rPr>
          <w:rFonts w:ascii="Verdana" w:hAnsi="Verdana"/>
          <w:sz w:val="18"/>
          <w:szCs w:val="18"/>
        </w:rPr>
        <w:t>25 jul</w:t>
      </w:r>
      <w:r w:rsidR="009764C9">
        <w:rPr>
          <w:rFonts w:ascii="Verdana" w:hAnsi="Verdana"/>
          <w:sz w:val="18"/>
          <w:szCs w:val="18"/>
        </w:rPr>
        <w:t>i 2016, ECLI:NL:RBDHA:2016:9619</w:t>
      </w:r>
    </w:p>
    <w:p w14:paraId="3A3AB3DA" w14:textId="1C04A6C4" w:rsidR="008F30D3" w:rsidRDefault="008F30D3" w:rsidP="00F56DB8">
      <w:pPr>
        <w:spacing w:line="360" w:lineRule="auto"/>
        <w:rPr>
          <w:rFonts w:ascii="Verdana" w:hAnsi="Verdana"/>
          <w:sz w:val="18"/>
          <w:szCs w:val="18"/>
        </w:rPr>
      </w:pPr>
      <w:r>
        <w:rPr>
          <w:rFonts w:ascii="Verdana" w:hAnsi="Verdana"/>
          <w:sz w:val="18"/>
          <w:szCs w:val="18"/>
        </w:rPr>
        <w:t xml:space="preserve">Rechtbank Den </w:t>
      </w:r>
      <w:r w:rsidR="0007796E">
        <w:rPr>
          <w:rFonts w:ascii="Verdana" w:hAnsi="Verdana"/>
          <w:sz w:val="18"/>
          <w:szCs w:val="18"/>
        </w:rPr>
        <w:t>Haag</w:t>
      </w:r>
      <w:r w:rsidR="009764C9">
        <w:rPr>
          <w:rFonts w:ascii="Verdana" w:hAnsi="Verdana"/>
          <w:sz w:val="18"/>
          <w:szCs w:val="18"/>
        </w:rPr>
        <w:t xml:space="preserve"> </w:t>
      </w:r>
      <w:r>
        <w:rPr>
          <w:rFonts w:ascii="Verdana" w:hAnsi="Verdana"/>
          <w:sz w:val="18"/>
          <w:szCs w:val="18"/>
        </w:rPr>
        <w:t>25 juli 2016, ECLI:NL:</w:t>
      </w:r>
      <w:r w:rsidR="009764C9">
        <w:rPr>
          <w:rFonts w:ascii="Verdana" w:hAnsi="Verdana"/>
          <w:sz w:val="18"/>
          <w:szCs w:val="18"/>
        </w:rPr>
        <w:t>RBDHA:2016:9617</w:t>
      </w:r>
    </w:p>
    <w:p w14:paraId="7C5BAFDA" w14:textId="47002DDB" w:rsidR="00085BA3" w:rsidRPr="0007796E" w:rsidRDefault="0007796E" w:rsidP="0007796E">
      <w:pPr>
        <w:spacing w:line="360" w:lineRule="auto"/>
        <w:rPr>
          <w:rFonts w:ascii="Verdana" w:hAnsi="Verdana"/>
          <w:sz w:val="18"/>
          <w:szCs w:val="18"/>
        </w:rPr>
      </w:pPr>
      <w:r>
        <w:rPr>
          <w:rFonts w:ascii="Verdana" w:hAnsi="Verdana"/>
          <w:sz w:val="18"/>
          <w:szCs w:val="18"/>
        </w:rPr>
        <w:t>Rechtbank Den Haag 30 november 2017, ECLI:NL:RBDHA:2017:14121</w:t>
      </w:r>
    </w:p>
    <w:p w14:paraId="64762D50" w14:textId="77777777" w:rsidR="00085BA3" w:rsidRDefault="00085BA3" w:rsidP="0000677B">
      <w:pPr>
        <w:spacing w:after="0" w:line="240" w:lineRule="auto"/>
        <w:rPr>
          <w:rFonts w:ascii="Verdana" w:hAnsi="Verdana"/>
          <w:i/>
          <w:sz w:val="18"/>
          <w:szCs w:val="18"/>
        </w:rPr>
      </w:pPr>
    </w:p>
    <w:p w14:paraId="21E5A0FA" w14:textId="77777777" w:rsidR="00CE0A7E" w:rsidRDefault="00CE0A7E" w:rsidP="0000677B">
      <w:pPr>
        <w:spacing w:after="0" w:line="240" w:lineRule="auto"/>
        <w:rPr>
          <w:rFonts w:ascii="Verdana" w:hAnsi="Verdana"/>
          <w:i/>
          <w:sz w:val="18"/>
          <w:szCs w:val="18"/>
        </w:rPr>
      </w:pPr>
    </w:p>
    <w:p w14:paraId="015D54CA" w14:textId="77777777" w:rsidR="00CE0A7E" w:rsidRDefault="00CE0A7E" w:rsidP="0000677B">
      <w:pPr>
        <w:spacing w:after="0" w:line="240" w:lineRule="auto"/>
        <w:rPr>
          <w:rFonts w:ascii="Verdana" w:hAnsi="Verdana"/>
          <w:i/>
          <w:sz w:val="18"/>
          <w:szCs w:val="18"/>
        </w:rPr>
      </w:pPr>
    </w:p>
    <w:sectPr w:rsidR="00CE0A7E" w:rsidSect="000F768C">
      <w:footerReference w:type="even" r:id="rId11"/>
      <w:footerReference w:type="default" r:id="rId12"/>
      <w:pgSz w:w="11900" w:h="16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C237A8" w14:textId="77777777" w:rsidR="00F7272B" w:rsidRDefault="00F7272B" w:rsidP="00BE3204">
      <w:pPr>
        <w:spacing w:after="0" w:line="240" w:lineRule="auto"/>
      </w:pPr>
      <w:r>
        <w:separator/>
      </w:r>
    </w:p>
  </w:endnote>
  <w:endnote w:type="continuationSeparator" w:id="0">
    <w:p w14:paraId="7793CC60" w14:textId="77777777" w:rsidR="00F7272B" w:rsidRDefault="00F7272B" w:rsidP="00BE32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4D"/>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300F32" w14:textId="77777777" w:rsidR="0062439A" w:rsidRDefault="0062439A" w:rsidP="00AC2BEF">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4DAF2520" w14:textId="77777777" w:rsidR="0062439A" w:rsidRDefault="0062439A" w:rsidP="000F768C">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D54041" w14:textId="77777777" w:rsidR="0062439A" w:rsidRDefault="0062439A" w:rsidP="00AC2BEF">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AE3225">
      <w:rPr>
        <w:rStyle w:val="Paginanummer"/>
        <w:noProof/>
      </w:rPr>
      <w:t>52</w:t>
    </w:r>
    <w:r>
      <w:rPr>
        <w:rStyle w:val="Paginanummer"/>
      </w:rPr>
      <w:fldChar w:fldCharType="end"/>
    </w:r>
  </w:p>
  <w:p w14:paraId="7446EBE9" w14:textId="77777777" w:rsidR="0062439A" w:rsidRDefault="0062439A" w:rsidP="000F768C">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4A3D09" w14:textId="77777777" w:rsidR="00F7272B" w:rsidRDefault="00F7272B" w:rsidP="00BE3204">
      <w:pPr>
        <w:spacing w:after="0" w:line="240" w:lineRule="auto"/>
      </w:pPr>
      <w:r>
        <w:separator/>
      </w:r>
    </w:p>
  </w:footnote>
  <w:footnote w:type="continuationSeparator" w:id="0">
    <w:p w14:paraId="0AEC2213" w14:textId="77777777" w:rsidR="00F7272B" w:rsidRDefault="00F7272B" w:rsidP="00BE3204">
      <w:pPr>
        <w:spacing w:after="0" w:line="240" w:lineRule="auto"/>
      </w:pPr>
      <w:r>
        <w:continuationSeparator/>
      </w:r>
    </w:p>
  </w:footnote>
  <w:footnote w:id="1">
    <w:p w14:paraId="12215390" w14:textId="77777777" w:rsidR="0062439A" w:rsidRPr="00DB7916" w:rsidRDefault="0062439A" w:rsidP="00990DE4">
      <w:pPr>
        <w:pStyle w:val="Voetnoottekst"/>
        <w:rPr>
          <w:sz w:val="18"/>
        </w:rPr>
      </w:pPr>
      <w:r w:rsidRPr="00A47608">
        <w:rPr>
          <w:rStyle w:val="Voetnootmarkering"/>
          <w:sz w:val="18"/>
        </w:rPr>
        <w:footnoteRef/>
      </w:r>
      <w:r w:rsidRPr="00A47608">
        <w:rPr>
          <w:sz w:val="18"/>
        </w:rPr>
        <w:t xml:space="preserve"> </w:t>
      </w:r>
      <w:r>
        <w:rPr>
          <w:sz w:val="18"/>
        </w:rPr>
        <w:t>HvJEU 26 juli 2017, C-225/16 (Ouhrami).</w:t>
      </w:r>
    </w:p>
  </w:footnote>
  <w:footnote w:id="2">
    <w:p w14:paraId="238F7BAE" w14:textId="77777777" w:rsidR="0062439A" w:rsidRPr="00F32711" w:rsidRDefault="0062439A" w:rsidP="00990DE4">
      <w:pPr>
        <w:pStyle w:val="Voetnoottekst"/>
        <w:rPr>
          <w:sz w:val="18"/>
        </w:rPr>
      </w:pPr>
      <w:r w:rsidRPr="00F32711">
        <w:rPr>
          <w:rStyle w:val="Voetnootmarkering"/>
          <w:sz w:val="18"/>
        </w:rPr>
        <w:footnoteRef/>
      </w:r>
      <w:r w:rsidRPr="00F32711">
        <w:rPr>
          <w:sz w:val="18"/>
        </w:rPr>
        <w:t xml:space="preserve"> </w:t>
      </w:r>
      <w:r>
        <w:rPr>
          <w:sz w:val="18"/>
        </w:rPr>
        <w:t xml:space="preserve">HR 14 november 2017, </w:t>
      </w:r>
      <w:r w:rsidRPr="00C961B4">
        <w:rPr>
          <w:sz w:val="18"/>
        </w:rPr>
        <w:t xml:space="preserve">14/00826 </w:t>
      </w:r>
      <w:r>
        <w:rPr>
          <w:sz w:val="18"/>
        </w:rPr>
        <w:t>(ECLI:NL:HR:2017:2862).</w:t>
      </w:r>
    </w:p>
  </w:footnote>
  <w:footnote w:id="3">
    <w:p w14:paraId="07C7A65D" w14:textId="441C373D" w:rsidR="00D3516E" w:rsidRDefault="00D3516E">
      <w:pPr>
        <w:pStyle w:val="Voetnoottekst"/>
      </w:pPr>
      <w:r w:rsidRPr="00D3516E">
        <w:rPr>
          <w:rStyle w:val="Voetnootmarkering"/>
          <w:sz w:val="21"/>
        </w:rPr>
        <w:footnoteRef/>
      </w:r>
      <w:r w:rsidRPr="00D3516E">
        <w:rPr>
          <w:sz w:val="21"/>
        </w:rPr>
        <w:t xml:space="preserve"> </w:t>
      </w:r>
      <w:r w:rsidR="006C0601">
        <w:rPr>
          <w:sz w:val="18"/>
        </w:rPr>
        <w:t>De exacte betekenissen van terugkeerbesluiten en inreisverboden zullen op een later punt uitgebreid aan bod komen.</w:t>
      </w:r>
    </w:p>
  </w:footnote>
  <w:footnote w:id="4">
    <w:p w14:paraId="43B455A3" w14:textId="6937F0AF" w:rsidR="0062439A" w:rsidRPr="00474502" w:rsidRDefault="0062439A" w:rsidP="00E60EA0">
      <w:pPr>
        <w:pStyle w:val="Voetnoottekst"/>
        <w:rPr>
          <w:sz w:val="18"/>
        </w:rPr>
      </w:pPr>
      <w:r w:rsidRPr="00E60EA0">
        <w:rPr>
          <w:rStyle w:val="Voetnootmarkering"/>
          <w:sz w:val="18"/>
        </w:rPr>
        <w:footnoteRef/>
      </w:r>
      <w:r w:rsidRPr="00E60EA0">
        <w:rPr>
          <w:sz w:val="18"/>
        </w:rPr>
        <w:t xml:space="preserve"> </w:t>
      </w:r>
      <w:r>
        <w:rPr>
          <w:sz w:val="18"/>
        </w:rPr>
        <w:t>De geassocieerde Schengenlidstaten: Zwitserland, Noorwegen, IJsland en Liechtenstein behoren hier ook bij. Uitgezonderd zijn Ierland en het Verenigd Koninkrijk.</w:t>
      </w:r>
    </w:p>
  </w:footnote>
  <w:footnote w:id="5">
    <w:p w14:paraId="5FE7170A" w14:textId="1003A770" w:rsidR="00A0172F" w:rsidRDefault="00A0172F">
      <w:pPr>
        <w:pStyle w:val="Voetnoottekst"/>
      </w:pPr>
      <w:r w:rsidRPr="00A0172F">
        <w:rPr>
          <w:rStyle w:val="Voetnootmarkering"/>
          <w:sz w:val="18"/>
        </w:rPr>
        <w:footnoteRef/>
      </w:r>
      <w:r w:rsidRPr="00A0172F">
        <w:rPr>
          <w:sz w:val="18"/>
        </w:rPr>
        <w:t xml:space="preserve"> </w:t>
      </w:r>
      <w:r>
        <w:rPr>
          <w:sz w:val="18"/>
        </w:rPr>
        <w:t>De rechterlijke toets</w:t>
      </w:r>
      <w:r w:rsidR="001B30EF">
        <w:rPr>
          <w:sz w:val="18"/>
        </w:rPr>
        <w:t>ing</w:t>
      </w:r>
      <w:r>
        <w:rPr>
          <w:sz w:val="18"/>
        </w:rPr>
        <w:t xml:space="preserve"> aan het inreisverbod betreft</w:t>
      </w:r>
      <w:r w:rsidR="00C01E32">
        <w:rPr>
          <w:sz w:val="18"/>
        </w:rPr>
        <w:t xml:space="preserve"> enkel een toets aan artikel 8 EVRM. </w:t>
      </w:r>
      <w:r w:rsidR="001B30EF">
        <w:rPr>
          <w:sz w:val="18"/>
        </w:rPr>
        <w:t>De intrekking, niet-verlenging of weigering van de verblijfsaan</w:t>
      </w:r>
      <w:r w:rsidR="007E2CFA">
        <w:rPr>
          <w:sz w:val="18"/>
        </w:rPr>
        <w:t xml:space="preserve">spraak wordt </w:t>
      </w:r>
      <w:r w:rsidR="001B30EF">
        <w:rPr>
          <w:sz w:val="18"/>
        </w:rPr>
        <w:t xml:space="preserve">hierbij </w:t>
      </w:r>
      <w:r w:rsidR="001440B8">
        <w:rPr>
          <w:sz w:val="18"/>
        </w:rPr>
        <w:t xml:space="preserve">in zijn geheel </w:t>
      </w:r>
      <w:r w:rsidR="001B30EF">
        <w:rPr>
          <w:sz w:val="18"/>
        </w:rPr>
        <w:t xml:space="preserve">niet </w:t>
      </w:r>
      <w:r w:rsidR="001440B8">
        <w:rPr>
          <w:sz w:val="18"/>
        </w:rPr>
        <w:t>getoetst.</w:t>
      </w:r>
    </w:p>
  </w:footnote>
  <w:footnote w:id="6">
    <w:p w14:paraId="528876CF" w14:textId="4D9D2E7F" w:rsidR="0062439A" w:rsidRPr="00981FEC" w:rsidRDefault="0062439A" w:rsidP="00990DE4">
      <w:pPr>
        <w:pStyle w:val="Voetnoottekst"/>
        <w:rPr>
          <w:sz w:val="18"/>
        </w:rPr>
      </w:pPr>
      <w:r w:rsidRPr="00E60EA0">
        <w:rPr>
          <w:rStyle w:val="Voetnootmarkering"/>
          <w:sz w:val="18"/>
        </w:rPr>
        <w:footnoteRef/>
      </w:r>
      <w:r>
        <w:t xml:space="preserve"> </w:t>
      </w:r>
      <w:r>
        <w:rPr>
          <w:sz w:val="18"/>
        </w:rPr>
        <w:t xml:space="preserve">G. Cornelisse ‘Inreisverboden die (nog) geen rechtgevolgen hebben’ </w:t>
      </w:r>
      <w:r>
        <w:rPr>
          <w:i/>
          <w:sz w:val="18"/>
        </w:rPr>
        <w:t xml:space="preserve">NJB </w:t>
      </w:r>
      <w:r>
        <w:rPr>
          <w:sz w:val="18"/>
        </w:rPr>
        <w:t>2017/2034, p. 1 (online publiek).</w:t>
      </w:r>
    </w:p>
  </w:footnote>
  <w:footnote w:id="7">
    <w:p w14:paraId="534A43D5" w14:textId="7FBC68F1" w:rsidR="0062439A" w:rsidRPr="00027572" w:rsidRDefault="0062439A" w:rsidP="00F47FD0">
      <w:pPr>
        <w:pStyle w:val="Voetnoottekst"/>
        <w:rPr>
          <w:sz w:val="18"/>
        </w:rPr>
      </w:pPr>
      <w:r w:rsidRPr="0077472C">
        <w:rPr>
          <w:rStyle w:val="Voetnootmarkering"/>
          <w:sz w:val="18"/>
        </w:rPr>
        <w:footnoteRef/>
      </w:r>
      <w:r>
        <w:t xml:space="preserve"> </w:t>
      </w:r>
      <w:r>
        <w:rPr>
          <w:sz w:val="18"/>
        </w:rPr>
        <w:t>De Adviescommissie voor Vreemdelingenzaken (ACVZ), ‘</w:t>
      </w:r>
      <w:r>
        <w:rPr>
          <w:i/>
          <w:sz w:val="18"/>
        </w:rPr>
        <w:t>Advies gewogen gevaar: de belangenafweging in het vreemdelingrechtelijke openbare-ordebeleid</w:t>
      </w:r>
      <w:r>
        <w:rPr>
          <w:sz w:val="18"/>
        </w:rPr>
        <w:t>’</w:t>
      </w:r>
      <w:r>
        <w:rPr>
          <w:i/>
          <w:sz w:val="18"/>
        </w:rPr>
        <w:t xml:space="preserve">, </w:t>
      </w:r>
      <w:r>
        <w:rPr>
          <w:sz w:val="18"/>
        </w:rPr>
        <w:t>Den Haag: ACVZ 2018, p. 20 (online publiek).</w:t>
      </w:r>
    </w:p>
  </w:footnote>
  <w:footnote w:id="8">
    <w:p w14:paraId="271450D3" w14:textId="5D0F52B7" w:rsidR="0062439A" w:rsidRDefault="0062439A" w:rsidP="00091E4C">
      <w:pPr>
        <w:pStyle w:val="Voetnoottekst"/>
      </w:pPr>
      <w:r w:rsidRPr="003F1DB7">
        <w:rPr>
          <w:rStyle w:val="Voetnootmarkering"/>
          <w:sz w:val="18"/>
        </w:rPr>
        <w:footnoteRef/>
      </w:r>
      <w:r>
        <w:t xml:space="preserve"> </w:t>
      </w:r>
      <w:r>
        <w:rPr>
          <w:sz w:val="18"/>
        </w:rPr>
        <w:t xml:space="preserve">C.A. Groenendijk en M.L. van Riel, </w:t>
      </w:r>
      <w:r w:rsidRPr="00143ADF">
        <w:rPr>
          <w:sz w:val="18"/>
        </w:rPr>
        <w:t>‘Migratierecht is bijna helemaal Unierecht’</w:t>
      </w:r>
      <w:r>
        <w:rPr>
          <w:sz w:val="18"/>
        </w:rPr>
        <w:t xml:space="preserve">, </w:t>
      </w:r>
      <w:r w:rsidRPr="00143ADF">
        <w:rPr>
          <w:i/>
          <w:sz w:val="18"/>
        </w:rPr>
        <w:t>A&amp;MR</w:t>
      </w:r>
      <w:r>
        <w:rPr>
          <w:sz w:val="18"/>
        </w:rPr>
        <w:t xml:space="preserve"> 2017 nr. 9, p. 405 (online publiek).</w:t>
      </w:r>
    </w:p>
  </w:footnote>
  <w:footnote w:id="9">
    <w:p w14:paraId="56733578" w14:textId="2FE50C6D" w:rsidR="0062439A" w:rsidRDefault="0062439A" w:rsidP="00F47FD0">
      <w:pPr>
        <w:pStyle w:val="Voetnoottekst"/>
      </w:pPr>
      <w:r w:rsidRPr="003F1DB7">
        <w:rPr>
          <w:rStyle w:val="Voetnootmarkering"/>
          <w:sz w:val="18"/>
        </w:rPr>
        <w:footnoteRef/>
      </w:r>
      <w:r>
        <w:t xml:space="preserve"> </w:t>
      </w:r>
      <w:r>
        <w:rPr>
          <w:sz w:val="18"/>
        </w:rPr>
        <w:t xml:space="preserve">C.A. Groenendijk en M.L. van Riel, </w:t>
      </w:r>
      <w:r>
        <w:rPr>
          <w:i/>
          <w:sz w:val="18"/>
        </w:rPr>
        <w:t>‘</w:t>
      </w:r>
      <w:r w:rsidRPr="00143ADF">
        <w:rPr>
          <w:sz w:val="18"/>
        </w:rPr>
        <w:t>Migratierecht is bijna helemaal Unierecht’</w:t>
      </w:r>
      <w:r>
        <w:rPr>
          <w:sz w:val="18"/>
        </w:rPr>
        <w:t xml:space="preserve">, </w:t>
      </w:r>
      <w:r w:rsidRPr="00143ADF">
        <w:rPr>
          <w:i/>
          <w:sz w:val="18"/>
        </w:rPr>
        <w:t xml:space="preserve">A&amp;MR </w:t>
      </w:r>
      <w:r>
        <w:rPr>
          <w:sz w:val="18"/>
        </w:rPr>
        <w:t>2017 nr. 9, p. 406 (online publiek).</w:t>
      </w:r>
    </w:p>
  </w:footnote>
  <w:footnote w:id="10">
    <w:p w14:paraId="22D12655" w14:textId="24974633" w:rsidR="0062439A" w:rsidRDefault="0062439A" w:rsidP="00027A84">
      <w:pPr>
        <w:pStyle w:val="Voetnoottekst"/>
      </w:pPr>
      <w:r w:rsidRPr="00800B02">
        <w:rPr>
          <w:rStyle w:val="Voetnootmarkering"/>
          <w:sz w:val="18"/>
        </w:rPr>
        <w:footnoteRef/>
      </w:r>
      <w:r>
        <w:t xml:space="preserve"> </w:t>
      </w:r>
      <w:r w:rsidRPr="00E21E48">
        <w:rPr>
          <w:sz w:val="18"/>
        </w:rPr>
        <w:t>‘Mededeling van de commissie aan de Raad en het Europees Parlement betreffende het EU-terugkeerbeleid’</w:t>
      </w:r>
      <w:r>
        <w:rPr>
          <w:sz w:val="18"/>
        </w:rPr>
        <w:t xml:space="preserve">, </w:t>
      </w:r>
      <w:r w:rsidRPr="008650B3">
        <w:rPr>
          <w:i/>
          <w:sz w:val="18"/>
        </w:rPr>
        <w:t>Europese Commissie</w:t>
      </w:r>
      <w:r>
        <w:rPr>
          <w:sz w:val="18"/>
        </w:rPr>
        <w:t xml:space="preserve"> 2014, Eur-lex.europa.eu (zoek op: </w:t>
      </w:r>
      <w:r w:rsidRPr="008650B3">
        <w:rPr>
          <w:i/>
          <w:sz w:val="18"/>
        </w:rPr>
        <w:t>document 52014DC0199</w:t>
      </w:r>
      <w:r>
        <w:rPr>
          <w:sz w:val="18"/>
        </w:rPr>
        <w:t>)</w:t>
      </w:r>
    </w:p>
  </w:footnote>
  <w:footnote w:id="11">
    <w:p w14:paraId="4E489800" w14:textId="42BD36FA" w:rsidR="0062439A" w:rsidRPr="00A26575" w:rsidRDefault="0062439A">
      <w:pPr>
        <w:pStyle w:val="Voetnoottekst"/>
        <w:rPr>
          <w:sz w:val="18"/>
        </w:rPr>
      </w:pPr>
      <w:r w:rsidRPr="00A26575">
        <w:rPr>
          <w:rStyle w:val="Voetnootmarkering"/>
          <w:sz w:val="18"/>
        </w:rPr>
        <w:footnoteRef/>
      </w:r>
      <w:r w:rsidRPr="00A26575">
        <w:rPr>
          <w:sz w:val="18"/>
        </w:rPr>
        <w:t xml:space="preserve"> </w:t>
      </w:r>
      <w:r>
        <w:rPr>
          <w:sz w:val="18"/>
        </w:rPr>
        <w:t>De Terugkeerrichtlijn is op 24 december 2008 gepubliceerd in het Publicatieblad en vervolgens op 13 januari 2009 in werking getreden.</w:t>
      </w:r>
    </w:p>
  </w:footnote>
  <w:footnote w:id="12">
    <w:p w14:paraId="46A96733" w14:textId="1486CFF0" w:rsidR="0062439A" w:rsidRPr="00D55727" w:rsidRDefault="0062439A">
      <w:pPr>
        <w:pStyle w:val="Voetnoottekst"/>
        <w:rPr>
          <w:sz w:val="18"/>
          <w:lang w:val="en-US"/>
        </w:rPr>
      </w:pPr>
      <w:r w:rsidRPr="00D5781F">
        <w:rPr>
          <w:rStyle w:val="Voetnootmarkering"/>
          <w:sz w:val="18"/>
        </w:rPr>
        <w:footnoteRef/>
      </w:r>
      <w:r w:rsidRPr="00D55727">
        <w:rPr>
          <w:sz w:val="18"/>
          <w:lang w:val="en-US"/>
        </w:rPr>
        <w:t xml:space="preserve"> International Organization for Migration and the Advisory Committee on Aliens Affairs, </w:t>
      </w:r>
      <w:r w:rsidRPr="00F013F2">
        <w:rPr>
          <w:sz w:val="18"/>
          <w:lang w:val="en-US"/>
        </w:rPr>
        <w:t>‘Return Migration Policies &amp; Practices in Europe’</w:t>
      </w:r>
      <w:r w:rsidRPr="00D55727">
        <w:rPr>
          <w:i/>
          <w:sz w:val="18"/>
          <w:lang w:val="en-US"/>
        </w:rPr>
        <w:t>,</w:t>
      </w:r>
      <w:r w:rsidRPr="003F27C4">
        <w:rPr>
          <w:i/>
          <w:sz w:val="18"/>
          <w:lang w:val="en-US"/>
        </w:rPr>
        <w:t xml:space="preserve"> IOM</w:t>
      </w:r>
      <w:r w:rsidRPr="00D55727">
        <w:rPr>
          <w:sz w:val="18"/>
          <w:lang w:val="en-US"/>
        </w:rPr>
        <w:t xml:space="preserve"> </w:t>
      </w:r>
      <w:r>
        <w:rPr>
          <w:sz w:val="18"/>
          <w:lang w:val="en-US"/>
        </w:rPr>
        <w:t xml:space="preserve">januari </w:t>
      </w:r>
      <w:r w:rsidRPr="00D55727">
        <w:rPr>
          <w:sz w:val="18"/>
          <w:lang w:val="en-US"/>
        </w:rPr>
        <w:t>2004, p. 253 – 273</w:t>
      </w:r>
      <w:r>
        <w:rPr>
          <w:sz w:val="18"/>
          <w:lang w:val="en-US"/>
        </w:rPr>
        <w:t xml:space="preserve"> (online publiek)</w:t>
      </w:r>
      <w:r w:rsidRPr="00D55727">
        <w:rPr>
          <w:sz w:val="18"/>
          <w:lang w:val="en-US"/>
        </w:rPr>
        <w:t>.</w:t>
      </w:r>
    </w:p>
  </w:footnote>
  <w:footnote w:id="13">
    <w:p w14:paraId="06C77C3F" w14:textId="336A83BA" w:rsidR="0062439A" w:rsidRPr="001C1577" w:rsidRDefault="0062439A">
      <w:pPr>
        <w:pStyle w:val="Voetnoottekst"/>
        <w:rPr>
          <w:sz w:val="18"/>
        </w:rPr>
      </w:pPr>
      <w:r w:rsidRPr="001C1577">
        <w:rPr>
          <w:rStyle w:val="Voetnootmarkering"/>
          <w:sz w:val="18"/>
        </w:rPr>
        <w:footnoteRef/>
      </w:r>
      <w:r w:rsidRPr="001C1577">
        <w:rPr>
          <w:sz w:val="18"/>
        </w:rPr>
        <w:t xml:space="preserve"> J.R.K.A.M. Waasdorp en A. Pahladsingh, </w:t>
      </w:r>
      <w:r w:rsidRPr="001C1577">
        <w:rPr>
          <w:i/>
          <w:sz w:val="18"/>
        </w:rPr>
        <w:t>‘Het inreisverbod – over de doorwerking van deze Unierechtelijke maatregel in het Nederlandse vreemdelingenstrafrecht’</w:t>
      </w:r>
      <w:r w:rsidRPr="001C1577">
        <w:rPr>
          <w:sz w:val="18"/>
        </w:rPr>
        <w:t>, Den Haag: Sdu uitgevers 2018</w:t>
      </w:r>
      <w:r>
        <w:rPr>
          <w:sz w:val="18"/>
        </w:rPr>
        <w:t>, p. 25.</w:t>
      </w:r>
    </w:p>
  </w:footnote>
  <w:footnote w:id="14">
    <w:p w14:paraId="1999FA9E" w14:textId="77777777" w:rsidR="0062439A" w:rsidRPr="00036338" w:rsidRDefault="0062439A" w:rsidP="009849B7">
      <w:pPr>
        <w:pStyle w:val="Voetnoottekst"/>
        <w:rPr>
          <w:i/>
          <w:sz w:val="18"/>
        </w:rPr>
      </w:pPr>
      <w:r w:rsidRPr="002324B6">
        <w:rPr>
          <w:rStyle w:val="Voetnootmarkering"/>
          <w:sz w:val="18"/>
        </w:rPr>
        <w:footnoteRef/>
      </w:r>
      <w:r w:rsidRPr="002324B6">
        <w:rPr>
          <w:sz w:val="18"/>
        </w:rPr>
        <w:t xml:space="preserve"> </w:t>
      </w:r>
      <w:r>
        <w:rPr>
          <w:sz w:val="18"/>
        </w:rPr>
        <w:t xml:space="preserve">Europa Nu, </w:t>
      </w:r>
      <w:r>
        <w:rPr>
          <w:i/>
          <w:sz w:val="18"/>
        </w:rPr>
        <w:t xml:space="preserve">‘Immigratie: de ‘terugkeerrichtlijn’ onderzocht’, </w:t>
      </w:r>
      <w:r w:rsidRPr="00853B07">
        <w:rPr>
          <w:sz w:val="18"/>
        </w:rPr>
        <w:t>25 juni 2008</w:t>
      </w:r>
      <w:r>
        <w:rPr>
          <w:i/>
          <w:sz w:val="18"/>
        </w:rPr>
        <w:t>,</w:t>
      </w:r>
      <w:r>
        <w:rPr>
          <w:sz w:val="18"/>
        </w:rPr>
        <w:t xml:space="preserve"> europa-nu.nl,</w:t>
      </w:r>
      <w:r>
        <w:rPr>
          <w:i/>
          <w:sz w:val="18"/>
        </w:rPr>
        <w:t xml:space="preserve"> (</w:t>
      </w:r>
      <w:r w:rsidRPr="008E796E">
        <w:rPr>
          <w:sz w:val="18"/>
        </w:rPr>
        <w:t>zoek op: Immigratie: de terugkeerrichtlijn onderzocht).</w:t>
      </w:r>
    </w:p>
  </w:footnote>
  <w:footnote w:id="15">
    <w:p w14:paraId="5747CC2C" w14:textId="77777777" w:rsidR="0062439A" w:rsidRPr="0056739F" w:rsidRDefault="0062439A" w:rsidP="00027A84">
      <w:pPr>
        <w:pStyle w:val="Voetnoottekst"/>
        <w:rPr>
          <w:sz w:val="18"/>
        </w:rPr>
      </w:pPr>
      <w:r w:rsidRPr="00633C87">
        <w:rPr>
          <w:rStyle w:val="Voetnootmarkering"/>
          <w:sz w:val="18"/>
        </w:rPr>
        <w:footnoteRef/>
      </w:r>
      <w:r w:rsidRPr="00633C87">
        <w:rPr>
          <w:sz w:val="18"/>
        </w:rPr>
        <w:t xml:space="preserve"> </w:t>
      </w:r>
      <w:r>
        <w:rPr>
          <w:i/>
          <w:sz w:val="18"/>
        </w:rPr>
        <w:t>Kamerstukken II</w:t>
      </w:r>
      <w:r>
        <w:rPr>
          <w:sz w:val="18"/>
        </w:rPr>
        <w:t xml:space="preserve"> 2010/11, 32 420, nr. 9.</w:t>
      </w:r>
    </w:p>
  </w:footnote>
  <w:footnote w:id="16">
    <w:p w14:paraId="787099F5" w14:textId="77777777" w:rsidR="0062439A" w:rsidRPr="009B245C" w:rsidRDefault="0062439A" w:rsidP="00027A84">
      <w:pPr>
        <w:pStyle w:val="Voetnoottekst"/>
      </w:pPr>
      <w:r w:rsidRPr="00F92E7E">
        <w:rPr>
          <w:rStyle w:val="Voetnootmarkering"/>
          <w:sz w:val="18"/>
        </w:rPr>
        <w:footnoteRef/>
      </w:r>
      <w:r w:rsidRPr="00F92E7E">
        <w:rPr>
          <w:sz w:val="18"/>
        </w:rPr>
        <w:t xml:space="preserve"> </w:t>
      </w:r>
      <w:r>
        <w:rPr>
          <w:sz w:val="18"/>
        </w:rPr>
        <w:t>Mededeling implementatie Richtlijn 2008/115/EG over normen en procedures voor terugkeer onderdanen van derde landen, Stcrt. 2011, 4082.</w:t>
      </w:r>
    </w:p>
  </w:footnote>
  <w:footnote w:id="17">
    <w:p w14:paraId="1A032230" w14:textId="77777777" w:rsidR="0062439A" w:rsidRPr="0051766C" w:rsidRDefault="0062439A" w:rsidP="00D0604E">
      <w:pPr>
        <w:pStyle w:val="Voetnoottekst"/>
        <w:rPr>
          <w:sz w:val="11"/>
        </w:rPr>
      </w:pPr>
      <w:r w:rsidRPr="0051766C">
        <w:rPr>
          <w:rStyle w:val="Voetnootmarkering"/>
          <w:sz w:val="18"/>
        </w:rPr>
        <w:footnoteRef/>
      </w:r>
      <w:r w:rsidRPr="0051766C">
        <w:rPr>
          <w:sz w:val="18"/>
        </w:rPr>
        <w:t xml:space="preserve"> </w:t>
      </w:r>
      <w:r>
        <w:rPr>
          <w:sz w:val="18"/>
        </w:rPr>
        <w:t>Verordening (EG) 562/2006 van het Europees Parlement en de Raad van 15 maart 2006 tot vaststelling van een communautaire code betreffende de overschrijding van de grenzen door personen, PbEU 2006, L 105/1.</w:t>
      </w:r>
    </w:p>
  </w:footnote>
  <w:footnote w:id="18">
    <w:p w14:paraId="05435578" w14:textId="77777777" w:rsidR="0062439A" w:rsidRDefault="0062439A" w:rsidP="00D0604E">
      <w:pPr>
        <w:pStyle w:val="Voetnoottekst"/>
      </w:pPr>
      <w:r w:rsidRPr="004D475E">
        <w:rPr>
          <w:rStyle w:val="Voetnootmarkering"/>
          <w:sz w:val="18"/>
        </w:rPr>
        <w:footnoteRef/>
      </w:r>
      <w:r w:rsidRPr="004D475E">
        <w:rPr>
          <w:sz w:val="18"/>
        </w:rPr>
        <w:t xml:space="preserve"> </w:t>
      </w:r>
      <w:r>
        <w:rPr>
          <w:sz w:val="18"/>
        </w:rPr>
        <w:t xml:space="preserve">Europa Nu, </w:t>
      </w:r>
      <w:r>
        <w:rPr>
          <w:i/>
          <w:sz w:val="18"/>
        </w:rPr>
        <w:t xml:space="preserve">‘Vrij verkeer van personen’, </w:t>
      </w:r>
      <w:r>
        <w:rPr>
          <w:sz w:val="18"/>
        </w:rPr>
        <w:t>europa-nu.nl,</w:t>
      </w:r>
      <w:r>
        <w:rPr>
          <w:i/>
          <w:sz w:val="18"/>
        </w:rPr>
        <w:t xml:space="preserve"> (</w:t>
      </w:r>
      <w:r>
        <w:rPr>
          <w:sz w:val="18"/>
        </w:rPr>
        <w:t>zoek op: vrij verkeer van personen</w:t>
      </w:r>
      <w:r w:rsidRPr="008E796E">
        <w:rPr>
          <w:sz w:val="18"/>
        </w:rPr>
        <w:t>).</w:t>
      </w:r>
    </w:p>
  </w:footnote>
  <w:footnote w:id="19">
    <w:p w14:paraId="08FC0882" w14:textId="4AE2B9CB" w:rsidR="0062439A" w:rsidRPr="00FC23F6" w:rsidRDefault="0062439A">
      <w:pPr>
        <w:pStyle w:val="Voetnoottekst"/>
        <w:rPr>
          <w:sz w:val="18"/>
        </w:rPr>
      </w:pPr>
      <w:r w:rsidRPr="00EB456F">
        <w:rPr>
          <w:rStyle w:val="Voetnootmarkering"/>
          <w:sz w:val="18"/>
        </w:rPr>
        <w:footnoteRef/>
      </w:r>
      <w:r w:rsidRPr="00EB456F">
        <w:rPr>
          <w:sz w:val="18"/>
        </w:rPr>
        <w:t xml:space="preserve"> </w:t>
      </w:r>
      <w:r>
        <w:rPr>
          <w:sz w:val="18"/>
        </w:rPr>
        <w:t>Het is van belang om op te merken dat de Terugkeerrichtlijn niet meer van toepassing is op derdelanders die vrijwillig zijn teruggekeerd naar een derde land. Het uitvaardigen van een inreisverbod is in dit geval dan ook niet toegestaan; ABRvS 12 maart 2013, 201207682/1.</w:t>
      </w:r>
    </w:p>
  </w:footnote>
  <w:footnote w:id="20">
    <w:p w14:paraId="0A46CAA5" w14:textId="77777777" w:rsidR="0062439A" w:rsidRPr="003C6F56" w:rsidRDefault="0062439A" w:rsidP="002C3D0B">
      <w:pPr>
        <w:pStyle w:val="Voetnoottekst"/>
        <w:rPr>
          <w:sz w:val="18"/>
          <w:szCs w:val="18"/>
        </w:rPr>
      </w:pPr>
      <w:r w:rsidRPr="003C6F56">
        <w:rPr>
          <w:rStyle w:val="Voetnootmarkering"/>
          <w:sz w:val="18"/>
          <w:szCs w:val="18"/>
        </w:rPr>
        <w:footnoteRef/>
      </w:r>
      <w:r w:rsidRPr="003C6F56">
        <w:rPr>
          <w:sz w:val="18"/>
          <w:szCs w:val="18"/>
        </w:rPr>
        <w:t xml:space="preserve"> </w:t>
      </w:r>
      <w:r>
        <w:rPr>
          <w:sz w:val="18"/>
          <w:szCs w:val="18"/>
        </w:rPr>
        <w:t xml:space="preserve">HvJEU 1 oktober 2015, C-290/14 (Celaj); </w:t>
      </w:r>
      <w:r>
        <w:rPr>
          <w:sz w:val="18"/>
        </w:rPr>
        <w:t>HvJEU 26 juli 2017, C-225/16 (Ouhrami).</w:t>
      </w:r>
    </w:p>
  </w:footnote>
  <w:footnote w:id="21">
    <w:p w14:paraId="3C12F4C5" w14:textId="734C9589" w:rsidR="0062439A" w:rsidRPr="00915E9B" w:rsidRDefault="0062439A">
      <w:pPr>
        <w:pStyle w:val="Voetnoottekst"/>
        <w:rPr>
          <w:sz w:val="18"/>
        </w:rPr>
      </w:pPr>
      <w:r w:rsidRPr="00915E9B">
        <w:rPr>
          <w:rStyle w:val="Voetnootmarkering"/>
          <w:sz w:val="18"/>
        </w:rPr>
        <w:footnoteRef/>
      </w:r>
      <w:r w:rsidRPr="00915E9B">
        <w:rPr>
          <w:sz w:val="18"/>
        </w:rPr>
        <w:t xml:space="preserve"> </w:t>
      </w:r>
      <w:r w:rsidRPr="001C1577">
        <w:rPr>
          <w:sz w:val="18"/>
        </w:rPr>
        <w:t xml:space="preserve">J.R.K.A.M. Waasdorp en A. Pahladsingh, </w:t>
      </w:r>
      <w:r w:rsidRPr="001C1577">
        <w:rPr>
          <w:i/>
          <w:sz w:val="18"/>
        </w:rPr>
        <w:t>‘Het inreisverbod – over de doorwerking van deze Unierechtelijke maatregel in het Nederlandse vreemdelingenstrafrecht’</w:t>
      </w:r>
      <w:r w:rsidRPr="001C1577">
        <w:rPr>
          <w:sz w:val="18"/>
        </w:rPr>
        <w:t>, Den Haag: Sdu uitgevers 2018</w:t>
      </w:r>
      <w:r>
        <w:rPr>
          <w:sz w:val="18"/>
        </w:rPr>
        <w:t>, p. 59.</w:t>
      </w:r>
    </w:p>
  </w:footnote>
  <w:footnote w:id="22">
    <w:p w14:paraId="66BCDFCC" w14:textId="4DC0DFFD" w:rsidR="0062439A" w:rsidRDefault="0062439A">
      <w:pPr>
        <w:pStyle w:val="Voetnoottekst"/>
      </w:pPr>
      <w:r w:rsidRPr="00A42DD4">
        <w:rPr>
          <w:rStyle w:val="Voetnootmarkering"/>
          <w:sz w:val="18"/>
        </w:rPr>
        <w:footnoteRef/>
      </w:r>
      <w:r w:rsidRPr="00A42DD4">
        <w:rPr>
          <w:sz w:val="18"/>
        </w:rPr>
        <w:t xml:space="preserve"> </w:t>
      </w:r>
      <w:r>
        <w:rPr>
          <w:sz w:val="18"/>
        </w:rPr>
        <w:t xml:space="preserve">Dit </w:t>
      </w:r>
      <w:r w:rsidRPr="00A42DD4">
        <w:rPr>
          <w:sz w:val="18"/>
        </w:rPr>
        <w:t>volgt uit verschillende verdragen, waaronder het Europees Verdrag voor de Rechten van de Mens (hierna: EVRM), het Vluchtelingenverdrag, het Internationaal Verdrag inzake Burger- en Politieke Rechten (hierna: IVBP) en het Internationaal Verdrag inzake de Rechten van het Kind (hierna: IVRK).</w:t>
      </w:r>
    </w:p>
  </w:footnote>
  <w:footnote w:id="23">
    <w:p w14:paraId="5AAF5C02" w14:textId="794AB1D2" w:rsidR="0062439A" w:rsidRDefault="0062439A">
      <w:pPr>
        <w:pStyle w:val="Voetnoottekst"/>
      </w:pPr>
      <w:r w:rsidRPr="00CE0EB7">
        <w:rPr>
          <w:rStyle w:val="Voetnootmarkering"/>
          <w:sz w:val="18"/>
        </w:rPr>
        <w:footnoteRef/>
      </w:r>
      <w:r w:rsidRPr="00CE0EB7">
        <w:rPr>
          <w:sz w:val="18"/>
        </w:rPr>
        <w:t xml:space="preserve"> </w:t>
      </w:r>
      <w:r w:rsidRPr="001C1577">
        <w:rPr>
          <w:sz w:val="18"/>
        </w:rPr>
        <w:t xml:space="preserve">J.R.K.A.M. Waasdorp en A. Pahladsingh, </w:t>
      </w:r>
      <w:r w:rsidRPr="001C1577">
        <w:rPr>
          <w:i/>
          <w:sz w:val="18"/>
        </w:rPr>
        <w:t>‘Het inreisverbod – over de doorwerking van deze Unierechtelijke maatregel in het Nederlandse vreemdelingenstrafrecht’</w:t>
      </w:r>
      <w:r w:rsidRPr="001C1577">
        <w:rPr>
          <w:sz w:val="18"/>
        </w:rPr>
        <w:t>, Den Haag: Sdu uitgevers 2018</w:t>
      </w:r>
      <w:r>
        <w:rPr>
          <w:sz w:val="18"/>
        </w:rPr>
        <w:t>, p. 37.</w:t>
      </w:r>
    </w:p>
  </w:footnote>
  <w:footnote w:id="24">
    <w:p w14:paraId="0D831604" w14:textId="77777777" w:rsidR="0062439A" w:rsidRPr="006B0125" w:rsidRDefault="0062439A" w:rsidP="00EE3B50">
      <w:pPr>
        <w:pStyle w:val="Voetnoottekst"/>
        <w:rPr>
          <w:sz w:val="18"/>
        </w:rPr>
      </w:pPr>
      <w:r w:rsidRPr="003C6F56">
        <w:rPr>
          <w:rStyle w:val="Voetnootmarkering"/>
          <w:sz w:val="18"/>
          <w:szCs w:val="18"/>
        </w:rPr>
        <w:footnoteRef/>
      </w:r>
      <w:r w:rsidRPr="003C6F56">
        <w:rPr>
          <w:sz w:val="13"/>
        </w:rPr>
        <w:t xml:space="preserve"> </w:t>
      </w:r>
      <w:r>
        <w:rPr>
          <w:sz w:val="18"/>
        </w:rPr>
        <w:t>Wet van 15 december 2011 tot wijziging van de Vreemdelingenwet 2000 ter implementatie van de richtlijn nr. 2008/115/EG van het Europees Parlement en de Raad van 16 december 2008 over gemeenschappelijke normen en procedures in de lidstaten voor de terugkeer van onderdanen van derde landen die illegaal op hun grondgebied verblijven, Stb. 2011, nr. 663.</w:t>
      </w:r>
      <w:r w:rsidRPr="006B0125">
        <w:rPr>
          <w:sz w:val="18"/>
        </w:rPr>
        <w:t xml:space="preserve"> </w:t>
      </w:r>
    </w:p>
  </w:footnote>
  <w:footnote w:id="25">
    <w:p w14:paraId="1B819397" w14:textId="31DD9A77" w:rsidR="00A66285" w:rsidRDefault="00A66285">
      <w:pPr>
        <w:pStyle w:val="Voetnoottekst"/>
      </w:pPr>
      <w:r w:rsidRPr="00A66285">
        <w:rPr>
          <w:rStyle w:val="Voetnootmarkering"/>
          <w:sz w:val="18"/>
        </w:rPr>
        <w:footnoteRef/>
      </w:r>
      <w:r w:rsidRPr="00A66285">
        <w:rPr>
          <w:sz w:val="18"/>
        </w:rPr>
        <w:t xml:space="preserve"> </w:t>
      </w:r>
      <w:r w:rsidRPr="00A66285">
        <w:rPr>
          <w:rFonts w:eastAsia="Times New Roman"/>
          <w:sz w:val="18"/>
          <w:szCs w:val="18"/>
          <w:lang w:eastAsia="nl-NL"/>
        </w:rPr>
        <w:t>Deze eigen verantwoordelijkheid is terug te vinden in onder meer artikel 61 Vw 2000</w:t>
      </w:r>
      <w:r>
        <w:rPr>
          <w:rFonts w:eastAsia="Times New Roman"/>
          <w:sz w:val="18"/>
          <w:szCs w:val="18"/>
          <w:lang w:eastAsia="nl-NL"/>
        </w:rPr>
        <w:t>.</w:t>
      </w:r>
    </w:p>
  </w:footnote>
  <w:footnote w:id="26">
    <w:p w14:paraId="524A7D94" w14:textId="006AB5B1" w:rsidR="00B70B47" w:rsidRDefault="00B70B47">
      <w:pPr>
        <w:pStyle w:val="Voetnoottekst"/>
      </w:pPr>
      <w:r w:rsidRPr="00B70B47">
        <w:rPr>
          <w:rStyle w:val="Voetnootmarkering"/>
          <w:sz w:val="18"/>
        </w:rPr>
        <w:footnoteRef/>
      </w:r>
      <w:r w:rsidRPr="00B70B47">
        <w:rPr>
          <w:sz w:val="18"/>
        </w:rPr>
        <w:t xml:space="preserve"> </w:t>
      </w:r>
      <w:r>
        <w:rPr>
          <w:sz w:val="18"/>
        </w:rPr>
        <w:t>Hiermee wordt bedoeld: zich op i</w:t>
      </w:r>
      <w:r w:rsidRPr="00B70B47">
        <w:rPr>
          <w:sz w:val="18"/>
        </w:rPr>
        <w:t>llegale wijze toegang tot Nederland heeft verschaft</w:t>
      </w:r>
      <w:r>
        <w:rPr>
          <w:sz w:val="18"/>
        </w:rPr>
        <w:t>.</w:t>
      </w:r>
    </w:p>
  </w:footnote>
  <w:footnote w:id="27">
    <w:p w14:paraId="1C0B0F8D" w14:textId="77777777" w:rsidR="0062439A" w:rsidRPr="009337F4" w:rsidRDefault="0062439A" w:rsidP="006A6B4E">
      <w:pPr>
        <w:pStyle w:val="Voetnoottekst"/>
        <w:rPr>
          <w:sz w:val="18"/>
        </w:rPr>
      </w:pPr>
      <w:r w:rsidRPr="009337F4">
        <w:rPr>
          <w:rStyle w:val="Voetnootmarkering"/>
          <w:sz w:val="18"/>
        </w:rPr>
        <w:footnoteRef/>
      </w:r>
      <w:r w:rsidRPr="009337F4">
        <w:rPr>
          <w:sz w:val="18"/>
        </w:rPr>
        <w:t xml:space="preserve"> </w:t>
      </w:r>
      <w:r>
        <w:rPr>
          <w:i/>
          <w:sz w:val="18"/>
        </w:rPr>
        <w:t xml:space="preserve">Kamerstukken II </w:t>
      </w:r>
      <w:r>
        <w:rPr>
          <w:sz w:val="18"/>
        </w:rPr>
        <w:t>1998/99, 26 732, nr. 3, p. 61.</w:t>
      </w:r>
    </w:p>
  </w:footnote>
  <w:footnote w:id="28">
    <w:p w14:paraId="767C8967" w14:textId="77777777" w:rsidR="0062439A" w:rsidRPr="005F54A8" w:rsidRDefault="0062439A" w:rsidP="006D387F">
      <w:pPr>
        <w:pStyle w:val="Voetnoottekst"/>
        <w:rPr>
          <w:sz w:val="18"/>
        </w:rPr>
      </w:pPr>
      <w:r w:rsidRPr="005F54A8">
        <w:rPr>
          <w:rStyle w:val="Voetnootmarkering"/>
          <w:sz w:val="18"/>
        </w:rPr>
        <w:footnoteRef/>
      </w:r>
      <w:r w:rsidRPr="005F54A8">
        <w:rPr>
          <w:sz w:val="18"/>
        </w:rPr>
        <w:t xml:space="preserve"> </w:t>
      </w:r>
      <w:r>
        <w:rPr>
          <w:i/>
          <w:sz w:val="18"/>
        </w:rPr>
        <w:t xml:space="preserve">Kamerstukken II </w:t>
      </w:r>
      <w:r>
        <w:rPr>
          <w:sz w:val="18"/>
        </w:rPr>
        <w:t>2009/10, 32 420, nr. 3, p. 11.</w:t>
      </w:r>
    </w:p>
  </w:footnote>
  <w:footnote w:id="29">
    <w:p w14:paraId="22B03EAA" w14:textId="7B2A6B5A" w:rsidR="0062439A" w:rsidRPr="00247386" w:rsidRDefault="0062439A" w:rsidP="006D387F">
      <w:pPr>
        <w:pStyle w:val="Voetnoottekst"/>
        <w:rPr>
          <w:sz w:val="18"/>
        </w:rPr>
      </w:pPr>
      <w:r w:rsidRPr="009A72F6">
        <w:rPr>
          <w:rStyle w:val="Voetnootmarkering"/>
          <w:sz w:val="18"/>
        </w:rPr>
        <w:footnoteRef/>
      </w:r>
      <w:r>
        <w:t xml:space="preserve"> </w:t>
      </w:r>
      <w:r>
        <w:rPr>
          <w:i/>
          <w:sz w:val="18"/>
        </w:rPr>
        <w:t>Kamerstukken II</w:t>
      </w:r>
      <w:r>
        <w:rPr>
          <w:sz w:val="18"/>
        </w:rPr>
        <w:t xml:space="preserve"> 2012/13, 33 512, nr. 3, p. 21; ABRvS 21 maart 2011,</w:t>
      </w:r>
      <w:r w:rsidRPr="00B536CA">
        <w:rPr>
          <w:rFonts w:ascii="Verdana" w:hAnsi="Verdana"/>
          <w:sz w:val="18"/>
          <w:szCs w:val="22"/>
        </w:rPr>
        <w:t xml:space="preserve"> </w:t>
      </w:r>
      <w:r w:rsidRPr="00B536CA">
        <w:rPr>
          <w:sz w:val="18"/>
        </w:rPr>
        <w:t xml:space="preserve">201100493/1/V3 (voorheen: </w:t>
      </w:r>
      <w:r w:rsidRPr="00B536CA">
        <w:rPr>
          <w:i/>
          <w:sz w:val="18"/>
        </w:rPr>
        <w:t xml:space="preserve">LJN </w:t>
      </w:r>
      <w:r w:rsidRPr="00B536CA">
        <w:rPr>
          <w:sz w:val="18"/>
        </w:rPr>
        <w:t>BP9281)</w:t>
      </w:r>
      <w:r>
        <w:rPr>
          <w:sz w:val="18"/>
        </w:rPr>
        <w:t>.</w:t>
      </w:r>
    </w:p>
  </w:footnote>
  <w:footnote w:id="30">
    <w:p w14:paraId="2298CAF7" w14:textId="46C5F388" w:rsidR="003A5A29" w:rsidRPr="003A5A29" w:rsidRDefault="003A5A29">
      <w:pPr>
        <w:pStyle w:val="Voetnoottekst"/>
        <w:rPr>
          <w:sz w:val="18"/>
        </w:rPr>
      </w:pPr>
      <w:r w:rsidRPr="003A5A29">
        <w:rPr>
          <w:rStyle w:val="Voetnootmarkering"/>
          <w:sz w:val="18"/>
        </w:rPr>
        <w:footnoteRef/>
      </w:r>
      <w:r w:rsidRPr="003A5A29">
        <w:rPr>
          <w:sz w:val="18"/>
        </w:rPr>
        <w:t xml:space="preserve"> </w:t>
      </w:r>
      <w:r>
        <w:rPr>
          <w:sz w:val="18"/>
        </w:rPr>
        <w:t>Andere voorwaarden zijn</w:t>
      </w:r>
      <w:r w:rsidRPr="003A5A29">
        <w:rPr>
          <w:sz w:val="18"/>
        </w:rPr>
        <w:t xml:space="preserve"> dat een risico bestaat dat de vreemdeling zich aan het toezicht zal onttrekken, dat de aanvraag tot het verlenen van een verblijfsvergunning of tot het verlengen van de geldigheidsduur van een verblijfsvergunning als kennelijk ongegrond is afgewezen of wegens het verstrekken van onjuiste of onvolledige gegevens.</w:t>
      </w:r>
    </w:p>
  </w:footnote>
  <w:footnote w:id="31">
    <w:p w14:paraId="3871F054" w14:textId="58F1DBE7" w:rsidR="00E0461E" w:rsidRDefault="00E0461E">
      <w:pPr>
        <w:pStyle w:val="Voetnoottekst"/>
      </w:pPr>
      <w:r w:rsidRPr="00E0461E">
        <w:rPr>
          <w:rStyle w:val="Voetnootmarkering"/>
          <w:sz w:val="18"/>
        </w:rPr>
        <w:footnoteRef/>
      </w:r>
      <w:r>
        <w:rPr>
          <w:sz w:val="18"/>
        </w:rPr>
        <w:t xml:space="preserve"> In dit onderzoek </w:t>
      </w:r>
      <w:r w:rsidR="0075715C">
        <w:rPr>
          <w:sz w:val="18"/>
        </w:rPr>
        <w:t>wordt op dit specifieke onderdeel niet nader ingegaan.</w:t>
      </w:r>
      <w:r>
        <w:rPr>
          <w:sz w:val="18"/>
        </w:rPr>
        <w:t xml:space="preserve"> </w:t>
      </w:r>
    </w:p>
  </w:footnote>
  <w:footnote w:id="32">
    <w:p w14:paraId="2A01E4C4" w14:textId="77777777" w:rsidR="0062439A" w:rsidRDefault="0062439A" w:rsidP="00185E0A">
      <w:pPr>
        <w:pStyle w:val="Voetnoottekst"/>
      </w:pPr>
      <w:r w:rsidRPr="006A2A3E">
        <w:rPr>
          <w:rStyle w:val="Voetnootmarkering"/>
          <w:sz w:val="18"/>
        </w:rPr>
        <w:footnoteRef/>
      </w:r>
      <w:r w:rsidRPr="006A2A3E">
        <w:rPr>
          <w:sz w:val="18"/>
        </w:rPr>
        <w:t xml:space="preserve"> </w:t>
      </w:r>
      <w:r>
        <w:rPr>
          <w:sz w:val="18"/>
        </w:rPr>
        <w:t>HvJEU 19 september 2013, C-297/12, (Filev en Osmani), JV 2013/376, m.nt. Cornelisse.</w:t>
      </w:r>
    </w:p>
  </w:footnote>
  <w:footnote w:id="33">
    <w:p w14:paraId="789A6C4C" w14:textId="02C2103E" w:rsidR="00953007" w:rsidRPr="00953007" w:rsidRDefault="00953007">
      <w:pPr>
        <w:pStyle w:val="Voetnoottekst"/>
        <w:rPr>
          <w:sz w:val="18"/>
        </w:rPr>
      </w:pPr>
      <w:r w:rsidRPr="00953007">
        <w:rPr>
          <w:rStyle w:val="Voetnootmarkering"/>
          <w:sz w:val="18"/>
        </w:rPr>
        <w:footnoteRef/>
      </w:r>
      <w:r w:rsidRPr="00953007">
        <w:rPr>
          <w:sz w:val="18"/>
        </w:rPr>
        <w:t xml:space="preserve"> Dit kan op basis van dit artikel onder meer blijken uit een veroordeling naar aanleiding van een gewelds- of opiumdelict.</w:t>
      </w:r>
    </w:p>
  </w:footnote>
  <w:footnote w:id="34">
    <w:p w14:paraId="25B1FD76" w14:textId="77777777" w:rsidR="0062439A" w:rsidRDefault="0062439A" w:rsidP="00185E0A">
      <w:pPr>
        <w:pStyle w:val="Voetnoottekst"/>
      </w:pPr>
      <w:r w:rsidRPr="00A0197A">
        <w:rPr>
          <w:rStyle w:val="Voetnootmarkering"/>
          <w:sz w:val="18"/>
        </w:rPr>
        <w:footnoteRef/>
      </w:r>
      <w:r w:rsidRPr="00A0197A">
        <w:rPr>
          <w:sz w:val="18"/>
        </w:rPr>
        <w:t xml:space="preserve"> </w:t>
      </w:r>
      <w:r>
        <w:rPr>
          <w:sz w:val="18"/>
        </w:rPr>
        <w:t>Uitzondering hiertoe is dat een vreemdeling een asielaanvraag heeft ingediend en nog geen beslissing op deze aanvraag heeft ontvangen. Zie ook: ABRvS 25 juni 2012, 201103520/1/VW; ABRvS 19 december 2013, 201207041/1/V2.</w:t>
      </w:r>
    </w:p>
  </w:footnote>
  <w:footnote w:id="35">
    <w:p w14:paraId="38554B92" w14:textId="77777777" w:rsidR="0062439A" w:rsidRDefault="0062439A" w:rsidP="00185E0A">
      <w:pPr>
        <w:pStyle w:val="Voetnoottekst"/>
      </w:pPr>
      <w:r w:rsidRPr="00A125C7">
        <w:rPr>
          <w:rStyle w:val="Voetnootmarkering"/>
          <w:sz w:val="18"/>
        </w:rPr>
        <w:footnoteRef/>
      </w:r>
      <w:r w:rsidRPr="00A125C7">
        <w:rPr>
          <w:sz w:val="18"/>
        </w:rPr>
        <w:t xml:space="preserve"> </w:t>
      </w:r>
      <w:r>
        <w:rPr>
          <w:sz w:val="18"/>
        </w:rPr>
        <w:t>HvJEU 11 juni 2015, C-554/13, ECLI:EU:C:2015:377, (Z. Zh. En I. O.).</w:t>
      </w:r>
    </w:p>
  </w:footnote>
  <w:footnote w:id="36">
    <w:p w14:paraId="3B40E041" w14:textId="77777777" w:rsidR="0062439A" w:rsidRPr="008A332D" w:rsidRDefault="0062439A" w:rsidP="00185E0A">
      <w:pPr>
        <w:pStyle w:val="Voetnoottekst"/>
        <w:rPr>
          <w:sz w:val="18"/>
        </w:rPr>
      </w:pPr>
      <w:r w:rsidRPr="008A332D">
        <w:rPr>
          <w:rStyle w:val="Voetnootmarkering"/>
          <w:sz w:val="18"/>
        </w:rPr>
        <w:footnoteRef/>
      </w:r>
      <w:r w:rsidRPr="008A332D">
        <w:rPr>
          <w:sz w:val="18"/>
        </w:rPr>
        <w:t xml:space="preserve"> </w:t>
      </w:r>
      <w:r>
        <w:rPr>
          <w:i/>
          <w:sz w:val="18"/>
        </w:rPr>
        <w:t xml:space="preserve">Kamerstukken II </w:t>
      </w:r>
      <w:r>
        <w:rPr>
          <w:sz w:val="18"/>
        </w:rPr>
        <w:t>2009/10, 32 420, nr. 3, p. 11.</w:t>
      </w:r>
    </w:p>
  </w:footnote>
  <w:footnote w:id="37">
    <w:p w14:paraId="6D1F146A" w14:textId="59E2F2A3" w:rsidR="0062439A" w:rsidRDefault="0062439A">
      <w:pPr>
        <w:pStyle w:val="Voetnoottekst"/>
      </w:pPr>
      <w:r w:rsidRPr="00FE7132">
        <w:rPr>
          <w:rStyle w:val="Voetnootmarkering"/>
          <w:sz w:val="18"/>
        </w:rPr>
        <w:footnoteRef/>
      </w:r>
      <w:r w:rsidRPr="00FE7132">
        <w:rPr>
          <w:sz w:val="18"/>
        </w:rPr>
        <w:t xml:space="preserve"> </w:t>
      </w:r>
      <w:r w:rsidRPr="001C1577">
        <w:rPr>
          <w:sz w:val="18"/>
        </w:rPr>
        <w:t xml:space="preserve">J.R.K.A.M. Waasdorp en A. Pahladsingh, </w:t>
      </w:r>
      <w:r w:rsidRPr="001C1577">
        <w:rPr>
          <w:i/>
          <w:sz w:val="18"/>
        </w:rPr>
        <w:t>‘Het inreisverbod – over de doorwerking van deze Unierechtelijke maatregel in het Nederlandse vreemdelingenstrafrecht’</w:t>
      </w:r>
      <w:r w:rsidRPr="001C1577">
        <w:rPr>
          <w:sz w:val="18"/>
        </w:rPr>
        <w:t>, Den Haag: Sdu uitgevers 2018</w:t>
      </w:r>
      <w:r>
        <w:rPr>
          <w:sz w:val="18"/>
        </w:rPr>
        <w:t>, p. 9.</w:t>
      </w:r>
    </w:p>
  </w:footnote>
  <w:footnote w:id="38">
    <w:p w14:paraId="3D4EF356" w14:textId="15AC7267" w:rsidR="0062439A" w:rsidRPr="00EA5549" w:rsidRDefault="0062439A">
      <w:pPr>
        <w:pStyle w:val="Voetnoottekst"/>
        <w:rPr>
          <w:sz w:val="18"/>
        </w:rPr>
      </w:pPr>
      <w:r w:rsidRPr="00EA5549">
        <w:rPr>
          <w:rStyle w:val="Voetnootmarkering"/>
          <w:sz w:val="18"/>
        </w:rPr>
        <w:footnoteRef/>
      </w:r>
      <w:r w:rsidRPr="00EA5549">
        <w:rPr>
          <w:sz w:val="18"/>
        </w:rPr>
        <w:t xml:space="preserve"> </w:t>
      </w:r>
      <w:r w:rsidRPr="001C1577">
        <w:rPr>
          <w:sz w:val="18"/>
        </w:rPr>
        <w:t xml:space="preserve">.R.K.A.M. Waasdorp en A. Pahladsingh, </w:t>
      </w:r>
      <w:r w:rsidRPr="001C1577">
        <w:rPr>
          <w:i/>
          <w:sz w:val="18"/>
        </w:rPr>
        <w:t>‘Het inreisverbod – over de doorwerking van deze Unierechtelijke maatregel in het Nederlandse vreemdelingenstrafrecht’</w:t>
      </w:r>
      <w:r w:rsidRPr="001C1577">
        <w:rPr>
          <w:sz w:val="18"/>
        </w:rPr>
        <w:t>, Den Haag: Sdu uitgevers 2018</w:t>
      </w:r>
      <w:r>
        <w:rPr>
          <w:sz w:val="18"/>
        </w:rPr>
        <w:t>, p. 25.</w:t>
      </w:r>
    </w:p>
  </w:footnote>
  <w:footnote w:id="39">
    <w:p w14:paraId="2CE0B12D" w14:textId="011A7231" w:rsidR="0062439A" w:rsidRPr="00F93E3B" w:rsidRDefault="0062439A" w:rsidP="00120217">
      <w:pPr>
        <w:pStyle w:val="Voetnoottekst"/>
      </w:pPr>
      <w:r w:rsidRPr="00F93E3B">
        <w:rPr>
          <w:rStyle w:val="Voetnootmarkering"/>
          <w:sz w:val="18"/>
        </w:rPr>
        <w:footnoteRef/>
      </w:r>
      <w:r w:rsidRPr="00F93E3B">
        <w:rPr>
          <w:sz w:val="18"/>
        </w:rPr>
        <w:t xml:space="preserve"> </w:t>
      </w:r>
      <w:r>
        <w:rPr>
          <w:sz w:val="18"/>
        </w:rPr>
        <w:t xml:space="preserve">P. Boeles, </w:t>
      </w:r>
      <w:r w:rsidRPr="00143ADF">
        <w:rPr>
          <w:sz w:val="18"/>
        </w:rPr>
        <w:t>‘Wat betekent de terugkeerrichtlijn voor ongewenstverklaring?</w:t>
      </w:r>
      <w:r>
        <w:rPr>
          <w:i/>
          <w:sz w:val="18"/>
        </w:rPr>
        <w:t>’</w:t>
      </w:r>
      <w:r>
        <w:rPr>
          <w:sz w:val="18"/>
        </w:rPr>
        <w:t xml:space="preserve">, </w:t>
      </w:r>
      <w:r w:rsidRPr="00143ADF">
        <w:rPr>
          <w:i/>
          <w:sz w:val="18"/>
        </w:rPr>
        <w:t xml:space="preserve">A&amp;MR </w:t>
      </w:r>
      <w:r>
        <w:rPr>
          <w:sz w:val="18"/>
        </w:rPr>
        <w:t>2010, nr. 10, p. 531 -537 (online publiek).</w:t>
      </w:r>
    </w:p>
  </w:footnote>
  <w:footnote w:id="40">
    <w:p w14:paraId="280BFA38" w14:textId="202E4E30" w:rsidR="0062439A" w:rsidRPr="00C7425F" w:rsidRDefault="0062439A" w:rsidP="002073C3">
      <w:pPr>
        <w:pStyle w:val="Voetnoottekst"/>
        <w:rPr>
          <w:sz w:val="18"/>
        </w:rPr>
      </w:pPr>
      <w:r w:rsidRPr="00C7425F">
        <w:rPr>
          <w:rStyle w:val="Voetnootmarkering"/>
          <w:sz w:val="18"/>
        </w:rPr>
        <w:footnoteRef/>
      </w:r>
      <w:r w:rsidRPr="00C7425F">
        <w:rPr>
          <w:sz w:val="18"/>
        </w:rPr>
        <w:t xml:space="preserve"> </w:t>
      </w:r>
      <w:r>
        <w:rPr>
          <w:sz w:val="18"/>
        </w:rPr>
        <w:t>ABRvS 21 december 2012, 201200487/1; 4 november 2014, 13/00812, ECLI:NL:HR:2014:3093; HvJEU 19 september 2013, C-297/12, ECLI:EU:C:2013:569, (Filev en Osmani).</w:t>
      </w:r>
    </w:p>
  </w:footnote>
  <w:footnote w:id="41">
    <w:p w14:paraId="59DCBA96" w14:textId="49F66524" w:rsidR="0062439A" w:rsidRDefault="0062439A">
      <w:pPr>
        <w:pStyle w:val="Voetnoottekst"/>
      </w:pPr>
      <w:r w:rsidRPr="00537D18">
        <w:rPr>
          <w:rStyle w:val="Voetnootmarkering"/>
          <w:sz w:val="18"/>
        </w:rPr>
        <w:footnoteRef/>
      </w:r>
      <w:r w:rsidRPr="00537D18">
        <w:rPr>
          <w:sz w:val="18"/>
        </w:rPr>
        <w:t xml:space="preserve"> </w:t>
      </w:r>
      <w:r>
        <w:rPr>
          <w:i/>
          <w:sz w:val="18"/>
        </w:rPr>
        <w:t xml:space="preserve">Kamerstukken II </w:t>
      </w:r>
      <w:r>
        <w:rPr>
          <w:sz w:val="18"/>
        </w:rPr>
        <w:t>2017/18, 19 637, nr. 2382, p. 1.</w:t>
      </w:r>
    </w:p>
  </w:footnote>
  <w:footnote w:id="42">
    <w:p w14:paraId="0D06CE6A" w14:textId="369611BF" w:rsidR="0062439A" w:rsidRDefault="0062439A">
      <w:pPr>
        <w:pStyle w:val="Voetnoottekst"/>
      </w:pPr>
      <w:r w:rsidRPr="005C447D">
        <w:rPr>
          <w:rStyle w:val="Voetnootmarkering"/>
          <w:sz w:val="18"/>
        </w:rPr>
        <w:footnoteRef/>
      </w:r>
      <w:r w:rsidRPr="005C447D">
        <w:rPr>
          <w:sz w:val="18"/>
        </w:rPr>
        <w:t xml:space="preserve"> </w:t>
      </w:r>
      <w:r w:rsidRPr="000C0E4A">
        <w:rPr>
          <w:bCs/>
          <w:sz w:val="18"/>
        </w:rPr>
        <w:t>Richtlijn 2004/38/EG van het Europees Parlement en de Raad van 29 april 2004 betreffende het recht van vrij verkeer en verblijf op het grondgebied van de lidstaten voor de burgers van de Unie en hun familieleden</w:t>
      </w:r>
      <w:r>
        <w:rPr>
          <w:bCs/>
          <w:sz w:val="18"/>
        </w:rPr>
        <w:t xml:space="preserve">, tot wijziging van Verordening (…); </w:t>
      </w:r>
      <w:r>
        <w:rPr>
          <w:sz w:val="18"/>
        </w:rPr>
        <w:t>De Adviescommissie voor Vreemdelingenzaken (ACVZ), ‘</w:t>
      </w:r>
      <w:r>
        <w:rPr>
          <w:i/>
          <w:sz w:val="18"/>
        </w:rPr>
        <w:t>Advies gewogen gevaar: de belangenafweging in het vreemdelingrechtelijke openbare-ordebeleid</w:t>
      </w:r>
      <w:r>
        <w:rPr>
          <w:sz w:val="18"/>
        </w:rPr>
        <w:t>’</w:t>
      </w:r>
      <w:r>
        <w:rPr>
          <w:i/>
          <w:sz w:val="18"/>
        </w:rPr>
        <w:t xml:space="preserve">, </w:t>
      </w:r>
      <w:r>
        <w:rPr>
          <w:sz w:val="18"/>
        </w:rPr>
        <w:t>Den Haag: ACVZ 2018, p. 19 (online publiek).</w:t>
      </w:r>
    </w:p>
  </w:footnote>
  <w:footnote w:id="43">
    <w:p w14:paraId="21DFBED9" w14:textId="5A18A4BB" w:rsidR="0062439A" w:rsidRDefault="0062439A" w:rsidP="00E40036">
      <w:pPr>
        <w:pStyle w:val="Voetnoottekst"/>
      </w:pPr>
      <w:r w:rsidRPr="00BE1EBC">
        <w:rPr>
          <w:rStyle w:val="Voetnootmarkering"/>
          <w:sz w:val="18"/>
        </w:rPr>
        <w:footnoteRef/>
      </w:r>
      <w:r w:rsidRPr="00BE1EBC">
        <w:rPr>
          <w:sz w:val="18"/>
        </w:rPr>
        <w:t xml:space="preserve"> </w:t>
      </w:r>
      <w:r w:rsidRPr="000C0E4A">
        <w:rPr>
          <w:bCs/>
          <w:sz w:val="18"/>
        </w:rPr>
        <w:t xml:space="preserve">Richtlijn 2004/38/EG van het Europees Parlement en de Raad van 29 april 2004 betreffende het recht van vrij verkeer en verblijf op het grondgebied van de lidstaten voor de burgers van de Unie en hun familieleden, tot wijziging van Verordening </w:t>
      </w:r>
      <w:r>
        <w:rPr>
          <w:bCs/>
          <w:sz w:val="18"/>
        </w:rPr>
        <w:t xml:space="preserve">(…), hoofdstuk VI; zie in het bijzonder artikel 27. </w:t>
      </w:r>
    </w:p>
  </w:footnote>
  <w:footnote w:id="44">
    <w:p w14:paraId="1FA95FA7" w14:textId="77777777" w:rsidR="0062439A" w:rsidRDefault="0062439A" w:rsidP="00E40036">
      <w:pPr>
        <w:pStyle w:val="Voetnoottekst"/>
      </w:pPr>
      <w:r w:rsidRPr="00D464E7">
        <w:rPr>
          <w:rStyle w:val="Voetnootmarkering"/>
          <w:sz w:val="18"/>
        </w:rPr>
        <w:footnoteRef/>
      </w:r>
      <w:r w:rsidRPr="00D464E7">
        <w:rPr>
          <w:sz w:val="18"/>
        </w:rPr>
        <w:t xml:space="preserve"> </w:t>
      </w:r>
      <w:r>
        <w:rPr>
          <w:sz w:val="18"/>
        </w:rPr>
        <w:t>HvJEU 10 juli 2008, C-33/07 (</w:t>
      </w:r>
      <w:r w:rsidRPr="005F7272">
        <w:rPr>
          <w:sz w:val="18"/>
        </w:rPr>
        <w:t>Gheorghe Jipa</w:t>
      </w:r>
      <w:r>
        <w:rPr>
          <w:sz w:val="18"/>
        </w:rPr>
        <w:t>); HvJEU 17 november 2011, C-430/10 (Hristo Gaydarov).</w:t>
      </w:r>
    </w:p>
  </w:footnote>
  <w:footnote w:id="45">
    <w:p w14:paraId="3FC754D2" w14:textId="77777777" w:rsidR="0062439A" w:rsidRDefault="0062439A" w:rsidP="00E40036">
      <w:pPr>
        <w:pStyle w:val="Voetnoottekst"/>
      </w:pPr>
      <w:r w:rsidRPr="00CD1F69">
        <w:rPr>
          <w:rStyle w:val="Voetnootmarkering"/>
          <w:sz w:val="18"/>
        </w:rPr>
        <w:footnoteRef/>
      </w:r>
      <w:r w:rsidRPr="00CD1F69">
        <w:rPr>
          <w:sz w:val="18"/>
        </w:rPr>
        <w:t xml:space="preserve"> </w:t>
      </w:r>
      <w:r>
        <w:rPr>
          <w:sz w:val="18"/>
        </w:rPr>
        <w:t>HvJEU 11 juni 2015, C-554/13, ECLI:EU:C:2015:377, (Z. Zh. En I. O.), para. 60.</w:t>
      </w:r>
    </w:p>
  </w:footnote>
  <w:footnote w:id="46">
    <w:p w14:paraId="5D0DDD3F" w14:textId="77777777" w:rsidR="0062439A" w:rsidRPr="00D67533" w:rsidRDefault="0062439A" w:rsidP="00E40036">
      <w:pPr>
        <w:pStyle w:val="Voetnoottekst"/>
      </w:pPr>
      <w:r w:rsidRPr="003E5B44">
        <w:rPr>
          <w:rStyle w:val="Voetnootmarkering"/>
          <w:sz w:val="18"/>
        </w:rPr>
        <w:footnoteRef/>
      </w:r>
      <w:r w:rsidRPr="003E5B44">
        <w:rPr>
          <w:sz w:val="18"/>
        </w:rPr>
        <w:t xml:space="preserve"> </w:t>
      </w:r>
      <w:r>
        <w:rPr>
          <w:sz w:val="18"/>
        </w:rPr>
        <w:t xml:space="preserve">HvJEU 15 februari 2016; C-601/15 PPU, ECLI:EU:C:2016:84, (J.N.), </w:t>
      </w:r>
      <w:r>
        <w:rPr>
          <w:i/>
          <w:sz w:val="18"/>
        </w:rPr>
        <w:t xml:space="preserve">JV </w:t>
      </w:r>
      <w:r>
        <w:rPr>
          <w:sz w:val="18"/>
        </w:rPr>
        <w:t xml:space="preserve">2016/90 m.nt. G.N. Cornelisse; ABRvS 4 juli 2017, </w:t>
      </w:r>
      <w:r w:rsidRPr="005F7272">
        <w:rPr>
          <w:sz w:val="18"/>
        </w:rPr>
        <w:t>201604476/1/V1</w:t>
      </w:r>
      <w:r>
        <w:rPr>
          <w:sz w:val="18"/>
        </w:rPr>
        <w:t>, r.o. 9.2.</w:t>
      </w:r>
    </w:p>
  </w:footnote>
  <w:footnote w:id="47">
    <w:p w14:paraId="77ED955F" w14:textId="5A7C52A8" w:rsidR="0062439A" w:rsidRPr="00597DB3" w:rsidRDefault="0062439A" w:rsidP="00E40036">
      <w:pPr>
        <w:pStyle w:val="Voetnoottekst"/>
      </w:pPr>
      <w:r w:rsidRPr="00597DB3">
        <w:rPr>
          <w:rStyle w:val="Voetnootmarkering"/>
          <w:sz w:val="18"/>
        </w:rPr>
        <w:footnoteRef/>
      </w:r>
      <w:r w:rsidRPr="00597DB3">
        <w:rPr>
          <w:sz w:val="18"/>
        </w:rPr>
        <w:t xml:space="preserve"> </w:t>
      </w:r>
      <w:r>
        <w:rPr>
          <w:sz w:val="18"/>
        </w:rPr>
        <w:t xml:space="preserve">C.A. Groenendijk en M.L. van Riel, </w:t>
      </w:r>
      <w:r w:rsidRPr="00143ADF">
        <w:rPr>
          <w:sz w:val="18"/>
        </w:rPr>
        <w:t>‘Migratierecht is bijna helemaal Unierecht’,</w:t>
      </w:r>
      <w:r>
        <w:rPr>
          <w:sz w:val="18"/>
        </w:rPr>
        <w:t xml:space="preserve"> </w:t>
      </w:r>
      <w:r w:rsidRPr="00143ADF">
        <w:rPr>
          <w:i/>
          <w:sz w:val="18"/>
        </w:rPr>
        <w:t>A&amp;MR</w:t>
      </w:r>
      <w:r>
        <w:rPr>
          <w:sz w:val="18"/>
        </w:rPr>
        <w:t xml:space="preserve"> 2017 nr. 9, p. 405 – 414 (online publiek); P. Boeles</w:t>
      </w:r>
      <w:r w:rsidRPr="00143ADF">
        <w:rPr>
          <w:sz w:val="18"/>
        </w:rPr>
        <w:t>, ‘Toetsingsvolgorde van intrekking verblijfsvergunning en inreisverbod: hoe complex kan een routinegeval worden gemaakt?</w:t>
      </w:r>
      <w:r>
        <w:rPr>
          <w:i/>
          <w:sz w:val="18"/>
        </w:rPr>
        <w:t>’</w:t>
      </w:r>
      <w:r>
        <w:rPr>
          <w:sz w:val="18"/>
        </w:rPr>
        <w:t xml:space="preserve">, </w:t>
      </w:r>
      <w:r w:rsidRPr="00143ADF">
        <w:rPr>
          <w:i/>
          <w:sz w:val="18"/>
        </w:rPr>
        <w:t>A&amp;MR</w:t>
      </w:r>
      <w:r>
        <w:rPr>
          <w:sz w:val="18"/>
        </w:rPr>
        <w:t xml:space="preserve"> 2018, nr. 1, p. 27 (online publiek).</w:t>
      </w:r>
    </w:p>
  </w:footnote>
  <w:footnote w:id="48">
    <w:p w14:paraId="70885565" w14:textId="2E7A42FE" w:rsidR="0062439A" w:rsidRDefault="0062439A" w:rsidP="00E40036">
      <w:pPr>
        <w:pStyle w:val="Voetnoottekst"/>
      </w:pPr>
      <w:r w:rsidRPr="000C17DB">
        <w:rPr>
          <w:rStyle w:val="Voetnootmarkering"/>
          <w:sz w:val="18"/>
        </w:rPr>
        <w:footnoteRef/>
      </w:r>
      <w:r w:rsidRPr="000C17DB">
        <w:rPr>
          <w:sz w:val="18"/>
        </w:rPr>
        <w:t xml:space="preserve"> </w:t>
      </w:r>
      <w:r>
        <w:rPr>
          <w:sz w:val="18"/>
        </w:rPr>
        <w:t>De Adviescommissie voor Vreemdelingenzaken (ACVZ), ‘</w:t>
      </w:r>
      <w:r>
        <w:rPr>
          <w:i/>
          <w:sz w:val="18"/>
        </w:rPr>
        <w:t>Advies gewogen gevaar: de belangenafweging in het vreemdelingrechtelijke openbare-ordebeleid</w:t>
      </w:r>
      <w:r>
        <w:rPr>
          <w:sz w:val="18"/>
        </w:rPr>
        <w:t>’</w:t>
      </w:r>
      <w:r>
        <w:rPr>
          <w:i/>
          <w:sz w:val="18"/>
        </w:rPr>
        <w:t xml:space="preserve">, </w:t>
      </w:r>
      <w:r>
        <w:rPr>
          <w:sz w:val="18"/>
        </w:rPr>
        <w:t>Den Haag: ACVZ 2018, p. 20 (online publiek).</w:t>
      </w:r>
    </w:p>
  </w:footnote>
  <w:footnote w:id="49">
    <w:p w14:paraId="3940F582" w14:textId="77777777" w:rsidR="0062439A" w:rsidRDefault="0062439A" w:rsidP="00E40036">
      <w:pPr>
        <w:pStyle w:val="Voetnoottekst"/>
      </w:pPr>
      <w:r w:rsidRPr="00104B4F">
        <w:rPr>
          <w:rStyle w:val="Voetnootmarkering"/>
          <w:sz w:val="18"/>
        </w:rPr>
        <w:footnoteRef/>
      </w:r>
      <w:r w:rsidRPr="00104B4F">
        <w:rPr>
          <w:sz w:val="18"/>
        </w:rPr>
        <w:t xml:space="preserve"> </w:t>
      </w:r>
      <w:r>
        <w:rPr>
          <w:sz w:val="18"/>
        </w:rPr>
        <w:t>HvJEU 11 juni 2015, C-554/13, ECLI:EU:C:2015:377, (Z. Zh. En I. O.).</w:t>
      </w:r>
    </w:p>
  </w:footnote>
  <w:footnote w:id="50">
    <w:p w14:paraId="0C1752C6" w14:textId="77777777" w:rsidR="0062439A" w:rsidRPr="00796296" w:rsidRDefault="0062439A" w:rsidP="00E40036">
      <w:pPr>
        <w:pStyle w:val="Voetnoottekst"/>
        <w:rPr>
          <w:sz w:val="18"/>
        </w:rPr>
      </w:pPr>
      <w:r w:rsidRPr="00796296">
        <w:rPr>
          <w:rStyle w:val="Voetnootmarkering"/>
          <w:sz w:val="18"/>
        </w:rPr>
        <w:footnoteRef/>
      </w:r>
      <w:r>
        <w:t xml:space="preserve"> </w:t>
      </w:r>
      <w:r>
        <w:rPr>
          <w:sz w:val="18"/>
        </w:rPr>
        <w:t>Met ex nunc wordt bedoeld: ‘vanuit het heden – zoals de situatie op dat moment is’.</w:t>
      </w:r>
    </w:p>
  </w:footnote>
  <w:footnote w:id="51">
    <w:p w14:paraId="20A5B9FE" w14:textId="77777777" w:rsidR="0062439A" w:rsidRDefault="0062439A" w:rsidP="00920CDA">
      <w:pPr>
        <w:pStyle w:val="Voetnoottekst"/>
      </w:pPr>
      <w:r w:rsidRPr="000C79EB">
        <w:rPr>
          <w:rStyle w:val="Voetnootmarkering"/>
          <w:sz w:val="18"/>
        </w:rPr>
        <w:footnoteRef/>
      </w:r>
      <w:r w:rsidRPr="000C79EB">
        <w:rPr>
          <w:sz w:val="18"/>
        </w:rPr>
        <w:t xml:space="preserve"> </w:t>
      </w:r>
      <w:r>
        <w:rPr>
          <w:sz w:val="18"/>
        </w:rPr>
        <w:t>Dit zal moeten blijken uit de beschikking van de IND.</w:t>
      </w:r>
    </w:p>
  </w:footnote>
  <w:footnote w:id="52">
    <w:p w14:paraId="0948A1A1" w14:textId="6AE2BA4E" w:rsidR="0062439A" w:rsidRPr="00871A74" w:rsidRDefault="0062439A">
      <w:pPr>
        <w:pStyle w:val="Voetnoottekst"/>
        <w:rPr>
          <w:sz w:val="18"/>
        </w:rPr>
      </w:pPr>
      <w:r w:rsidRPr="00452C52">
        <w:rPr>
          <w:rStyle w:val="Voetnootmarkering"/>
          <w:sz w:val="18"/>
        </w:rPr>
        <w:footnoteRef/>
      </w:r>
      <w:r w:rsidRPr="00452C52">
        <w:rPr>
          <w:sz w:val="18"/>
        </w:rPr>
        <w:t xml:space="preserve"> </w:t>
      </w:r>
      <w:r>
        <w:rPr>
          <w:sz w:val="18"/>
        </w:rPr>
        <w:t xml:space="preserve">Volledigheidshalve wordt opgemerkt dat er altijd rekening gehouden dient te worden met de bescherming van </w:t>
      </w:r>
      <w:r w:rsidRPr="00871A74">
        <w:rPr>
          <w:sz w:val="18"/>
        </w:rPr>
        <w:t>relevante grondrechten, zoals het recht op familie- en gezinsleven, de rechten van het kind en het beginsel van non-refoulement</w:t>
      </w:r>
      <w:r>
        <w:rPr>
          <w:sz w:val="18"/>
        </w:rPr>
        <w:t>. Dit heeft tot gevolg dat de IND het verblijfsrecht wel mag beëindigen, maar geen terugkeerbesluit op mag leggen; De Adviescommissie voor Vreemdelingenzaken (ACVZ), ‘</w:t>
      </w:r>
      <w:r>
        <w:rPr>
          <w:i/>
          <w:sz w:val="18"/>
        </w:rPr>
        <w:t>Advies gewogen gevaar: de belangenafweging in het vreemdelingrechtelijke openbare-ordebeleid</w:t>
      </w:r>
      <w:r>
        <w:rPr>
          <w:sz w:val="18"/>
        </w:rPr>
        <w:t>’</w:t>
      </w:r>
      <w:r>
        <w:rPr>
          <w:i/>
          <w:sz w:val="18"/>
        </w:rPr>
        <w:t xml:space="preserve">, </w:t>
      </w:r>
      <w:r>
        <w:rPr>
          <w:sz w:val="18"/>
        </w:rPr>
        <w:t>Den Haag: ACVZ 2018, p. 27 (online publiek).</w:t>
      </w:r>
    </w:p>
  </w:footnote>
  <w:footnote w:id="53">
    <w:p w14:paraId="3D0BD3F4" w14:textId="38FAE611" w:rsidR="0062439A" w:rsidRPr="008F1FCA" w:rsidRDefault="0062439A" w:rsidP="00385CB1">
      <w:pPr>
        <w:pStyle w:val="Voetnoottekst"/>
        <w:rPr>
          <w:sz w:val="18"/>
        </w:rPr>
      </w:pPr>
      <w:r w:rsidRPr="008F1FCA">
        <w:rPr>
          <w:rStyle w:val="Voetnootmarkering"/>
          <w:sz w:val="18"/>
        </w:rPr>
        <w:footnoteRef/>
      </w:r>
      <w:r w:rsidRPr="008F1FCA">
        <w:rPr>
          <w:sz w:val="18"/>
        </w:rPr>
        <w:t xml:space="preserve"> </w:t>
      </w:r>
      <w:r>
        <w:rPr>
          <w:sz w:val="18"/>
        </w:rPr>
        <w:t>De Adviescommissie voor Vreemdelingenzaken (ACVZ), ‘</w:t>
      </w:r>
      <w:r>
        <w:rPr>
          <w:i/>
          <w:sz w:val="18"/>
        </w:rPr>
        <w:t>Advies gewogen gevaar: de belangenafweging in het vreemdelingrechtelijke openbare-ordebeleid</w:t>
      </w:r>
      <w:r>
        <w:rPr>
          <w:sz w:val="18"/>
        </w:rPr>
        <w:t>’</w:t>
      </w:r>
      <w:r>
        <w:rPr>
          <w:i/>
          <w:sz w:val="18"/>
        </w:rPr>
        <w:t xml:space="preserve">, </w:t>
      </w:r>
      <w:r>
        <w:rPr>
          <w:sz w:val="18"/>
        </w:rPr>
        <w:t>Den Haag: ACVZ 2018, p. 30 (online publiek).</w:t>
      </w:r>
    </w:p>
  </w:footnote>
  <w:footnote w:id="54">
    <w:p w14:paraId="09CF1F7F" w14:textId="77777777" w:rsidR="0062439A" w:rsidRPr="00017DC2" w:rsidRDefault="0062439A" w:rsidP="00385CB1">
      <w:pPr>
        <w:pStyle w:val="Voetnoottekst"/>
        <w:rPr>
          <w:sz w:val="18"/>
        </w:rPr>
      </w:pPr>
      <w:r w:rsidRPr="00017DC2">
        <w:rPr>
          <w:rStyle w:val="Voetnootmarkering"/>
          <w:sz w:val="18"/>
        </w:rPr>
        <w:footnoteRef/>
      </w:r>
      <w:r w:rsidRPr="00017DC2">
        <w:rPr>
          <w:sz w:val="18"/>
        </w:rPr>
        <w:t xml:space="preserve"> </w:t>
      </w:r>
      <w:r>
        <w:rPr>
          <w:sz w:val="18"/>
        </w:rPr>
        <w:t>Soft law bestaat vaak uit een aanbeveling, terwijl hard law de standaarden voorschrijft die altijd nageleefd dienen te worden. Het niet naleven van soft law standaarden heeft in principe geen juridische gevolgen.</w:t>
      </w:r>
    </w:p>
  </w:footnote>
  <w:footnote w:id="55">
    <w:p w14:paraId="3BB0D461" w14:textId="408F2F32" w:rsidR="0062439A" w:rsidRDefault="0062439A">
      <w:pPr>
        <w:pStyle w:val="Voetnoottekst"/>
      </w:pPr>
      <w:r w:rsidRPr="00AE1DCC">
        <w:rPr>
          <w:rStyle w:val="Voetnootmarkering"/>
          <w:sz w:val="18"/>
        </w:rPr>
        <w:footnoteRef/>
      </w:r>
      <w:r w:rsidRPr="00AE1DCC">
        <w:rPr>
          <w:sz w:val="18"/>
        </w:rPr>
        <w:t xml:space="preserve"> </w:t>
      </w:r>
      <w:r>
        <w:rPr>
          <w:i/>
          <w:sz w:val="18"/>
        </w:rPr>
        <w:t xml:space="preserve">Kamerstukken II </w:t>
      </w:r>
      <w:r>
        <w:rPr>
          <w:sz w:val="18"/>
        </w:rPr>
        <w:t>2017/18, 19 637, nr. 2382, p. 1.</w:t>
      </w:r>
    </w:p>
  </w:footnote>
  <w:footnote w:id="56">
    <w:p w14:paraId="337E451F" w14:textId="77777777" w:rsidR="0062439A" w:rsidRPr="00990F17" w:rsidRDefault="0062439A" w:rsidP="00CB42AA">
      <w:pPr>
        <w:pStyle w:val="Voetnoottekst"/>
      </w:pPr>
      <w:r w:rsidRPr="00CC1AD2">
        <w:rPr>
          <w:rStyle w:val="Voetnootmarkering"/>
          <w:sz w:val="18"/>
        </w:rPr>
        <w:footnoteRef/>
      </w:r>
      <w:r w:rsidRPr="00CC1AD2">
        <w:rPr>
          <w:sz w:val="18"/>
        </w:rPr>
        <w:t xml:space="preserve"> </w:t>
      </w:r>
      <w:r>
        <w:rPr>
          <w:i/>
          <w:sz w:val="18"/>
        </w:rPr>
        <w:t>Kamerstukken II</w:t>
      </w:r>
      <w:r>
        <w:rPr>
          <w:sz w:val="18"/>
        </w:rPr>
        <w:t>, 1998-99, 26 732, nr. 3, p. 4.</w:t>
      </w:r>
    </w:p>
  </w:footnote>
  <w:footnote w:id="57">
    <w:p w14:paraId="0E2E7A00" w14:textId="77777777" w:rsidR="0062439A" w:rsidRDefault="0062439A" w:rsidP="00CB42AA">
      <w:pPr>
        <w:pStyle w:val="Voetnoottekst"/>
      </w:pPr>
      <w:r w:rsidRPr="00D460F6">
        <w:rPr>
          <w:rStyle w:val="Voetnootmarkering"/>
          <w:sz w:val="18"/>
        </w:rPr>
        <w:footnoteRef/>
      </w:r>
      <w:r w:rsidRPr="00D460F6">
        <w:rPr>
          <w:sz w:val="18"/>
        </w:rPr>
        <w:t xml:space="preserve"> </w:t>
      </w:r>
      <w:r>
        <w:rPr>
          <w:sz w:val="18"/>
        </w:rPr>
        <w:t xml:space="preserve">Uit een enquête van het Europese Migratie Netwerk – op verzoek van het ACVZ – blijkt dat geen van de 16 lidstaten die aan de enquête hebben meegedaan een dergelijke glijdende schaal kennen. Zij hanteren allen een open norm en verrichten een individuele beoordeling. </w:t>
      </w:r>
    </w:p>
  </w:footnote>
  <w:footnote w:id="58">
    <w:p w14:paraId="280B0D45" w14:textId="064BCA93" w:rsidR="0062439A" w:rsidRPr="00795853" w:rsidRDefault="0062439A" w:rsidP="00CB42AA">
      <w:pPr>
        <w:pStyle w:val="Voetnoottekst"/>
        <w:rPr>
          <w:sz w:val="18"/>
        </w:rPr>
      </w:pPr>
      <w:r w:rsidRPr="00795853">
        <w:rPr>
          <w:rStyle w:val="Voetnootmarkering"/>
          <w:sz w:val="18"/>
        </w:rPr>
        <w:footnoteRef/>
      </w:r>
      <w:r w:rsidRPr="00795853">
        <w:rPr>
          <w:sz w:val="18"/>
        </w:rPr>
        <w:t xml:space="preserve"> </w:t>
      </w:r>
      <w:r>
        <w:rPr>
          <w:sz w:val="18"/>
        </w:rPr>
        <w:t>De Adviescommissie voor Vreemdelingenzaken (ACVZ), ‘</w:t>
      </w:r>
      <w:r>
        <w:rPr>
          <w:i/>
          <w:sz w:val="18"/>
        </w:rPr>
        <w:t>Advies gewogen gevaar: de belangenafweging in het vreemdelingrechtelijke openbare-ordebeleid</w:t>
      </w:r>
      <w:r>
        <w:rPr>
          <w:sz w:val="18"/>
        </w:rPr>
        <w:t>’</w:t>
      </w:r>
      <w:r>
        <w:rPr>
          <w:i/>
          <w:sz w:val="18"/>
        </w:rPr>
        <w:t xml:space="preserve">, </w:t>
      </w:r>
      <w:r>
        <w:rPr>
          <w:sz w:val="18"/>
        </w:rPr>
        <w:t>Den Haag: ACVZ 2018, p. 33 (online publiek).</w:t>
      </w:r>
    </w:p>
  </w:footnote>
  <w:footnote w:id="59">
    <w:p w14:paraId="4B08DD8B" w14:textId="5E30D2F5" w:rsidR="0062439A" w:rsidRDefault="0062439A" w:rsidP="00CB42AA">
      <w:pPr>
        <w:pStyle w:val="Voetnoottekst"/>
      </w:pPr>
      <w:r w:rsidRPr="00C22518">
        <w:rPr>
          <w:rStyle w:val="Voetnootmarkering"/>
          <w:sz w:val="18"/>
        </w:rPr>
        <w:footnoteRef/>
      </w:r>
      <w:r w:rsidRPr="00C22518">
        <w:rPr>
          <w:sz w:val="18"/>
        </w:rPr>
        <w:t xml:space="preserve"> </w:t>
      </w:r>
      <w:r>
        <w:rPr>
          <w:sz w:val="18"/>
        </w:rPr>
        <w:t>De Adviescommissie voor Vreemdelingenzaken (ACVZ), ‘</w:t>
      </w:r>
      <w:r>
        <w:rPr>
          <w:i/>
          <w:sz w:val="18"/>
        </w:rPr>
        <w:t>Advies gewogen gevaar: de belangenafweging in het vreemdelingrechtelijke openbare-ordebeleid</w:t>
      </w:r>
      <w:r>
        <w:rPr>
          <w:sz w:val="18"/>
        </w:rPr>
        <w:t>’</w:t>
      </w:r>
      <w:r>
        <w:rPr>
          <w:i/>
          <w:sz w:val="18"/>
        </w:rPr>
        <w:t xml:space="preserve">, </w:t>
      </w:r>
      <w:r>
        <w:rPr>
          <w:sz w:val="18"/>
        </w:rPr>
        <w:t>Den Haag: ACVZ 2018, p. 19 (online publiek).</w:t>
      </w:r>
    </w:p>
  </w:footnote>
  <w:footnote w:id="60">
    <w:p w14:paraId="077E2CCB" w14:textId="1274F057" w:rsidR="0062439A" w:rsidRDefault="0062439A">
      <w:pPr>
        <w:pStyle w:val="Voetnoottekst"/>
      </w:pPr>
      <w:r w:rsidRPr="00CB47A7">
        <w:rPr>
          <w:rStyle w:val="Voetnootmarkering"/>
          <w:sz w:val="18"/>
        </w:rPr>
        <w:footnoteRef/>
      </w:r>
      <w:r w:rsidRPr="00CB47A7">
        <w:rPr>
          <w:sz w:val="18"/>
        </w:rPr>
        <w:t xml:space="preserve"> </w:t>
      </w:r>
      <w:r>
        <w:rPr>
          <w:i/>
          <w:sz w:val="18"/>
        </w:rPr>
        <w:t xml:space="preserve">Kamerstukken II </w:t>
      </w:r>
      <w:r>
        <w:rPr>
          <w:sz w:val="18"/>
        </w:rPr>
        <w:t>2017/18, 19 637, nr. 2382, p. 2.</w:t>
      </w:r>
    </w:p>
  </w:footnote>
  <w:footnote w:id="61">
    <w:p w14:paraId="2E27F04B" w14:textId="6B88520A" w:rsidR="0062439A" w:rsidRDefault="0062439A" w:rsidP="00CB42AA">
      <w:pPr>
        <w:pStyle w:val="Voetnoottekst"/>
      </w:pPr>
      <w:r w:rsidRPr="00BA54EB">
        <w:rPr>
          <w:rStyle w:val="Voetnootmarkering"/>
          <w:sz w:val="18"/>
        </w:rPr>
        <w:footnoteRef/>
      </w:r>
      <w:r w:rsidRPr="00BA54EB">
        <w:rPr>
          <w:sz w:val="18"/>
        </w:rPr>
        <w:t xml:space="preserve"> </w:t>
      </w:r>
      <w:r>
        <w:rPr>
          <w:sz w:val="18"/>
        </w:rPr>
        <w:t>De Adviescommissie voor Vreemdelingenzaken (ACVZ), ‘</w:t>
      </w:r>
      <w:r>
        <w:rPr>
          <w:i/>
          <w:sz w:val="18"/>
        </w:rPr>
        <w:t>Advies gewogen gevaar: de belangenafweging in het vreemdelingrechtelijke openbare-ordebeleid</w:t>
      </w:r>
      <w:r>
        <w:rPr>
          <w:sz w:val="18"/>
        </w:rPr>
        <w:t>’</w:t>
      </w:r>
      <w:r>
        <w:rPr>
          <w:i/>
          <w:sz w:val="18"/>
        </w:rPr>
        <w:t xml:space="preserve">, </w:t>
      </w:r>
      <w:r>
        <w:rPr>
          <w:sz w:val="18"/>
        </w:rPr>
        <w:t>Den Haag: ACVZ 2018, p. 37 (online publiek).</w:t>
      </w:r>
    </w:p>
  </w:footnote>
  <w:footnote w:id="62">
    <w:p w14:paraId="4D3A3C12" w14:textId="6E7BEBFE" w:rsidR="0062439A" w:rsidRPr="008D3A6F" w:rsidRDefault="0062439A" w:rsidP="00CB42AA">
      <w:pPr>
        <w:pStyle w:val="Voetnoottekst"/>
        <w:rPr>
          <w:sz w:val="18"/>
        </w:rPr>
      </w:pPr>
      <w:r w:rsidRPr="008D3A6F">
        <w:rPr>
          <w:rStyle w:val="Voetnootmarkering"/>
          <w:sz w:val="18"/>
        </w:rPr>
        <w:footnoteRef/>
      </w:r>
      <w:r w:rsidRPr="008D3A6F">
        <w:rPr>
          <w:sz w:val="18"/>
        </w:rPr>
        <w:t xml:space="preserve"> </w:t>
      </w:r>
      <w:r>
        <w:rPr>
          <w:sz w:val="18"/>
        </w:rPr>
        <w:t xml:space="preserve">P. Boeles, </w:t>
      </w:r>
      <w:r w:rsidRPr="00143ADF">
        <w:rPr>
          <w:sz w:val="18"/>
        </w:rPr>
        <w:t>‘Toetsingsvolgorde van intrekking verblijfsvergunning en inreisverbod: hoe complex kan een routinegeval worden gemaakt?’,</w:t>
      </w:r>
      <w:r>
        <w:rPr>
          <w:sz w:val="18"/>
        </w:rPr>
        <w:t xml:space="preserve"> </w:t>
      </w:r>
      <w:r w:rsidRPr="00143ADF">
        <w:rPr>
          <w:i/>
          <w:sz w:val="18"/>
        </w:rPr>
        <w:t>A&amp;MR</w:t>
      </w:r>
      <w:r>
        <w:rPr>
          <w:sz w:val="18"/>
        </w:rPr>
        <w:t xml:space="preserve"> 2018, nr. 1, p. 28 (online publiek).</w:t>
      </w:r>
    </w:p>
  </w:footnote>
  <w:footnote w:id="63">
    <w:p w14:paraId="57FE78F2" w14:textId="50D443A6" w:rsidR="0062439A" w:rsidRDefault="0062439A">
      <w:pPr>
        <w:pStyle w:val="Voetnoottekst"/>
      </w:pPr>
      <w:r w:rsidRPr="00F90B73">
        <w:rPr>
          <w:rStyle w:val="Voetnootmarkering"/>
          <w:sz w:val="18"/>
        </w:rPr>
        <w:footnoteRef/>
      </w:r>
      <w:r w:rsidRPr="00F90B73">
        <w:rPr>
          <w:sz w:val="18"/>
        </w:rPr>
        <w:t xml:space="preserve"> </w:t>
      </w:r>
      <w:r>
        <w:rPr>
          <w:sz w:val="18"/>
        </w:rPr>
        <w:t>Deze gang van zaken lijkt in strijd te zijn met het Unierecht.</w:t>
      </w:r>
    </w:p>
  </w:footnote>
  <w:footnote w:id="64">
    <w:p w14:paraId="1964A27D" w14:textId="3B472D8C" w:rsidR="0062439A" w:rsidRPr="00AC2A23" w:rsidRDefault="0062439A" w:rsidP="001D0091">
      <w:pPr>
        <w:pStyle w:val="Voetnoottekst"/>
        <w:rPr>
          <w:sz w:val="18"/>
        </w:rPr>
      </w:pPr>
      <w:r w:rsidRPr="00AC2A23">
        <w:rPr>
          <w:rStyle w:val="Voetnootmarkering"/>
          <w:sz w:val="18"/>
        </w:rPr>
        <w:footnoteRef/>
      </w:r>
      <w:r w:rsidRPr="00AC2A23">
        <w:rPr>
          <w:sz w:val="18"/>
        </w:rPr>
        <w:t xml:space="preserve"> </w:t>
      </w:r>
      <w:r>
        <w:rPr>
          <w:sz w:val="18"/>
        </w:rPr>
        <w:t>De Adviescommissie voor Vreemdelingenzaken (ACVZ), ‘</w:t>
      </w:r>
      <w:r>
        <w:rPr>
          <w:i/>
          <w:sz w:val="18"/>
        </w:rPr>
        <w:t>Advies gewogen gevaar: de belangenafweging in het vreemdelingrechtelijke openbare-ordebeleid</w:t>
      </w:r>
      <w:r>
        <w:rPr>
          <w:sz w:val="18"/>
        </w:rPr>
        <w:t>’</w:t>
      </w:r>
      <w:r>
        <w:rPr>
          <w:i/>
          <w:sz w:val="18"/>
        </w:rPr>
        <w:t xml:space="preserve">, </w:t>
      </w:r>
      <w:r>
        <w:rPr>
          <w:sz w:val="18"/>
        </w:rPr>
        <w:t>Den Haag: ACVZ 2018 (online publiek).</w:t>
      </w:r>
    </w:p>
  </w:footnote>
  <w:footnote w:id="65">
    <w:p w14:paraId="3B976E34" w14:textId="54ADEB1E" w:rsidR="0062439A" w:rsidRDefault="0062439A">
      <w:pPr>
        <w:pStyle w:val="Voetnoottekst"/>
      </w:pPr>
      <w:r w:rsidRPr="003C066C">
        <w:rPr>
          <w:rStyle w:val="Voetnootmarkering"/>
          <w:sz w:val="18"/>
        </w:rPr>
        <w:footnoteRef/>
      </w:r>
      <w:r w:rsidRPr="003C066C">
        <w:rPr>
          <w:sz w:val="18"/>
        </w:rPr>
        <w:t xml:space="preserve"> </w:t>
      </w:r>
      <w:r>
        <w:rPr>
          <w:sz w:val="18"/>
        </w:rPr>
        <w:t>De Adviescommissie voor Vreemdelingenzaken (ACVZ), ‘</w:t>
      </w:r>
      <w:r>
        <w:rPr>
          <w:i/>
          <w:sz w:val="18"/>
        </w:rPr>
        <w:t>Advies gewogen gevaar: de belangenafweging in het vreemdelingrechtelijke openbare-ordebeleid</w:t>
      </w:r>
      <w:r>
        <w:rPr>
          <w:sz w:val="18"/>
        </w:rPr>
        <w:t>’</w:t>
      </w:r>
      <w:r>
        <w:rPr>
          <w:i/>
          <w:sz w:val="18"/>
        </w:rPr>
        <w:t xml:space="preserve">, </w:t>
      </w:r>
      <w:r>
        <w:rPr>
          <w:sz w:val="18"/>
        </w:rPr>
        <w:t>Den Haag: ACVZ 2018, p. 8, 18 en 29 (online publiek).</w:t>
      </w:r>
    </w:p>
  </w:footnote>
  <w:footnote w:id="66">
    <w:p w14:paraId="540D1234" w14:textId="2046254D" w:rsidR="0062439A" w:rsidRDefault="0062439A">
      <w:pPr>
        <w:pStyle w:val="Voetnoottekst"/>
      </w:pPr>
      <w:r w:rsidRPr="00652278">
        <w:rPr>
          <w:rStyle w:val="Voetnootmarkering"/>
          <w:sz w:val="18"/>
        </w:rPr>
        <w:footnoteRef/>
      </w:r>
      <w:r w:rsidRPr="00652278">
        <w:rPr>
          <w:sz w:val="18"/>
        </w:rPr>
        <w:t xml:space="preserve"> </w:t>
      </w:r>
      <w:r>
        <w:rPr>
          <w:i/>
          <w:sz w:val="18"/>
        </w:rPr>
        <w:t>Kamerstukken II</w:t>
      </w:r>
      <w:r>
        <w:rPr>
          <w:sz w:val="18"/>
        </w:rPr>
        <w:t>, 2017-18, 19 637, nr. 2382.</w:t>
      </w:r>
    </w:p>
  </w:footnote>
  <w:footnote w:id="67">
    <w:p w14:paraId="69A39B3F" w14:textId="2FA61B23" w:rsidR="0062439A" w:rsidRDefault="0062439A">
      <w:pPr>
        <w:pStyle w:val="Voetnoottekst"/>
      </w:pPr>
      <w:r w:rsidRPr="00B7202F">
        <w:rPr>
          <w:rStyle w:val="Voetnootmarkering"/>
          <w:sz w:val="18"/>
        </w:rPr>
        <w:footnoteRef/>
      </w:r>
      <w:r w:rsidRPr="00B7202F">
        <w:rPr>
          <w:sz w:val="18"/>
        </w:rPr>
        <w:t xml:space="preserve"> </w:t>
      </w:r>
      <w:r>
        <w:rPr>
          <w:i/>
          <w:sz w:val="18"/>
        </w:rPr>
        <w:t>Kamerstukken II</w:t>
      </w:r>
      <w:r>
        <w:rPr>
          <w:sz w:val="18"/>
        </w:rPr>
        <w:t>, 2017-18, 19 637, nr. 2382, p. 4.</w:t>
      </w:r>
    </w:p>
  </w:footnote>
  <w:footnote w:id="68">
    <w:p w14:paraId="157BD7BA" w14:textId="77777777" w:rsidR="0062439A" w:rsidRPr="00E32301" w:rsidRDefault="0062439A" w:rsidP="00261E75">
      <w:pPr>
        <w:pStyle w:val="Voetnoottekst"/>
        <w:rPr>
          <w:i/>
        </w:rPr>
      </w:pPr>
      <w:r w:rsidRPr="00E32301">
        <w:rPr>
          <w:rStyle w:val="Voetnootmarkering"/>
          <w:sz w:val="18"/>
        </w:rPr>
        <w:footnoteRef/>
      </w:r>
      <w:r w:rsidRPr="00E32301">
        <w:rPr>
          <w:sz w:val="18"/>
        </w:rPr>
        <w:t xml:space="preserve"> </w:t>
      </w:r>
      <w:r>
        <w:rPr>
          <w:sz w:val="18"/>
        </w:rPr>
        <w:t xml:space="preserve">Het artikel schrijft voor: </w:t>
      </w:r>
      <w:r>
        <w:rPr>
          <w:i/>
          <w:sz w:val="18"/>
        </w:rPr>
        <w:t>‘Eenieder wiens door het recht van de Unie gewaarborgde rechten en vrijheden zijn geschonden, heeft recht op een doeltreffende voorziening in rechte, met inachtneming van de in dit artikel gestelde voorwaarden. (...) Eenieder heeft recht op een eerlijke en openbare behandeling van zijn zaak, binnen een redelijk termijn, door een onafhankelijk en onpartijdig gerecht dat vooraf bij wet is ingesteld. Eenieder heeft de mogelijkheid zich te laten adviseren, verdedigen en vertegenwoordigen. (…) Rechtsbijstand wordt verleend aan degene die niet over toereikende financiële middelen beschikken (...)’</w:t>
      </w:r>
    </w:p>
  </w:footnote>
  <w:footnote w:id="69">
    <w:p w14:paraId="515D29C6" w14:textId="17DE2BD6" w:rsidR="0062439A" w:rsidRPr="0079751F" w:rsidRDefault="0062439A">
      <w:pPr>
        <w:pStyle w:val="Voetnoottekst"/>
        <w:rPr>
          <w:sz w:val="18"/>
        </w:rPr>
      </w:pPr>
      <w:r w:rsidRPr="0079751F">
        <w:rPr>
          <w:rStyle w:val="Voetnootmarkering"/>
          <w:sz w:val="18"/>
        </w:rPr>
        <w:footnoteRef/>
      </w:r>
      <w:r w:rsidRPr="0079751F">
        <w:rPr>
          <w:sz w:val="18"/>
        </w:rPr>
        <w:t xml:space="preserve"> </w:t>
      </w:r>
      <w:r>
        <w:rPr>
          <w:sz w:val="18"/>
        </w:rPr>
        <w:t xml:space="preserve">In asielprocedures dient eveneens rekening gehouden te worden met de Procedurerichtlijn (Richtlijn </w:t>
      </w:r>
      <w:r w:rsidRPr="0079751F">
        <w:rPr>
          <w:sz w:val="18"/>
        </w:rPr>
        <w:t>2013/32/EU</w:t>
      </w:r>
      <w:r>
        <w:rPr>
          <w:sz w:val="18"/>
        </w:rPr>
        <w:t>). Uit overweging 25 van de considerans van deze richtlijn en uit artikel 20 van deze richtlijn volgt dat elke verzoeker daadwerkelijk toegang dient te hebben tot procedures en bij een negatieve beslissing het recht moet hebben op een daadwerkelijk rechtsmiddel bij een rechterlijke instantie.</w:t>
      </w:r>
    </w:p>
  </w:footnote>
  <w:footnote w:id="70">
    <w:p w14:paraId="4B0FAC3F" w14:textId="77777777" w:rsidR="0062439A" w:rsidRDefault="0062439A" w:rsidP="00261E75">
      <w:pPr>
        <w:pStyle w:val="Voetnoottekst"/>
      </w:pPr>
      <w:r w:rsidRPr="00513B74">
        <w:rPr>
          <w:rStyle w:val="Voetnootmarkering"/>
          <w:sz w:val="18"/>
        </w:rPr>
        <w:footnoteRef/>
      </w:r>
      <w:r w:rsidRPr="00513B74">
        <w:rPr>
          <w:sz w:val="18"/>
        </w:rPr>
        <w:t xml:space="preserve"> </w:t>
      </w:r>
      <w:r>
        <w:rPr>
          <w:sz w:val="18"/>
        </w:rPr>
        <w:t>Officiële toelichting bij artikel 51 Handvest</w:t>
      </w:r>
    </w:p>
  </w:footnote>
  <w:footnote w:id="71">
    <w:p w14:paraId="554A2C2B" w14:textId="77777777" w:rsidR="0062439A" w:rsidRDefault="0062439A" w:rsidP="00656155">
      <w:pPr>
        <w:pStyle w:val="Voetnoottekst"/>
      </w:pPr>
      <w:r w:rsidRPr="00AC65EF">
        <w:rPr>
          <w:rStyle w:val="Voetnootmarkering"/>
          <w:sz w:val="18"/>
        </w:rPr>
        <w:footnoteRef/>
      </w:r>
      <w:r w:rsidRPr="00AC65EF">
        <w:rPr>
          <w:sz w:val="18"/>
        </w:rPr>
        <w:t xml:space="preserve"> </w:t>
      </w:r>
      <w:r>
        <w:rPr>
          <w:sz w:val="18"/>
        </w:rPr>
        <w:t>De regels omtrent de zienswijzeprocedure staan opgenomen in afdeling 4 en de regels omtrent de bezwaar- en (hoger)beroepsprocedure in afdeling 6.</w:t>
      </w:r>
    </w:p>
  </w:footnote>
  <w:footnote w:id="72">
    <w:p w14:paraId="18B40FE0" w14:textId="77777777" w:rsidR="0062439A" w:rsidRDefault="0062439A" w:rsidP="00261E75">
      <w:pPr>
        <w:pStyle w:val="Voetnoottekst"/>
      </w:pPr>
      <w:r w:rsidRPr="0035513D">
        <w:rPr>
          <w:rStyle w:val="Voetnootmarkering"/>
          <w:sz w:val="18"/>
        </w:rPr>
        <w:footnoteRef/>
      </w:r>
      <w:r>
        <w:rPr>
          <w:sz w:val="18"/>
        </w:rPr>
        <w:t xml:space="preserve"> In bijvoorbeeld asielzaken bestaat echter geen bezwaarfase, maar dient de vreemdeling bij een afwijzende beslissing direct beroep in te stellen bij de rechtbank. </w:t>
      </w:r>
    </w:p>
  </w:footnote>
  <w:footnote w:id="73">
    <w:p w14:paraId="4ED1B959" w14:textId="77777777" w:rsidR="0062439A" w:rsidRDefault="0062439A" w:rsidP="00261E75">
      <w:pPr>
        <w:pStyle w:val="Voetnoottekst"/>
      </w:pPr>
      <w:r w:rsidRPr="007F1600">
        <w:rPr>
          <w:rStyle w:val="Voetnootmarkering"/>
          <w:sz w:val="18"/>
        </w:rPr>
        <w:footnoteRef/>
      </w:r>
      <w:r w:rsidRPr="007F1600">
        <w:rPr>
          <w:sz w:val="18"/>
        </w:rPr>
        <w:t xml:space="preserve"> </w:t>
      </w:r>
      <w:r>
        <w:rPr>
          <w:sz w:val="18"/>
        </w:rPr>
        <w:t xml:space="preserve">Op deze termijn worden in het tweede, derde en vierde lid een aantal uitzonderingen gegeven.  </w:t>
      </w:r>
    </w:p>
  </w:footnote>
  <w:footnote w:id="74">
    <w:p w14:paraId="4E192C2E" w14:textId="77777777" w:rsidR="0062439A" w:rsidRPr="00085D51" w:rsidRDefault="0062439A" w:rsidP="008476C2">
      <w:pPr>
        <w:pStyle w:val="Voetnoottekst"/>
        <w:rPr>
          <w:sz w:val="18"/>
          <w:szCs w:val="18"/>
        </w:rPr>
      </w:pPr>
      <w:r w:rsidRPr="00085D51">
        <w:rPr>
          <w:rStyle w:val="Voetnootmarkering"/>
          <w:sz w:val="18"/>
          <w:szCs w:val="18"/>
        </w:rPr>
        <w:footnoteRef/>
      </w:r>
      <w:r w:rsidRPr="00085D51">
        <w:rPr>
          <w:sz w:val="18"/>
          <w:szCs w:val="18"/>
        </w:rPr>
        <w:t xml:space="preserve"> </w:t>
      </w:r>
      <w:r>
        <w:rPr>
          <w:i/>
          <w:sz w:val="18"/>
        </w:rPr>
        <w:t>Kamerstukken II</w:t>
      </w:r>
      <w:r>
        <w:rPr>
          <w:sz w:val="18"/>
        </w:rPr>
        <w:t xml:space="preserve">, 1998-99, 26 732, nr. 3, p. 3 - 6; </w:t>
      </w:r>
      <w:r>
        <w:rPr>
          <w:i/>
          <w:sz w:val="18"/>
        </w:rPr>
        <w:t>Kamerstukken II</w:t>
      </w:r>
      <w:r>
        <w:rPr>
          <w:sz w:val="18"/>
        </w:rPr>
        <w:t xml:space="preserve">, 1999-00, 26 732, nr. 7, p. 36 – 44; </w:t>
      </w:r>
      <w:r w:rsidRPr="00085D51">
        <w:rPr>
          <w:sz w:val="18"/>
          <w:szCs w:val="18"/>
        </w:rPr>
        <w:t>J.</w:t>
      </w:r>
      <w:r>
        <w:rPr>
          <w:sz w:val="18"/>
          <w:szCs w:val="18"/>
        </w:rPr>
        <w:t>C.A de Poorter &amp; B.W.N. de Waardt, ‘</w:t>
      </w:r>
      <w:r>
        <w:rPr>
          <w:i/>
          <w:sz w:val="18"/>
          <w:szCs w:val="18"/>
        </w:rPr>
        <w:t>Het procesbelang in bestuursrechtelijke procedures</w:t>
      </w:r>
      <w:r>
        <w:rPr>
          <w:sz w:val="18"/>
          <w:szCs w:val="18"/>
        </w:rPr>
        <w:t>’</w:t>
      </w:r>
      <w:r>
        <w:rPr>
          <w:i/>
          <w:sz w:val="18"/>
          <w:szCs w:val="18"/>
        </w:rPr>
        <w:t xml:space="preserve">, </w:t>
      </w:r>
      <w:r>
        <w:rPr>
          <w:sz w:val="18"/>
          <w:szCs w:val="18"/>
        </w:rPr>
        <w:t xml:space="preserve">Jurisprudentie Bestuursrecht plus: 2003, p. 105 – 114. </w:t>
      </w:r>
    </w:p>
  </w:footnote>
  <w:footnote w:id="75">
    <w:p w14:paraId="1C98EFB0" w14:textId="7B66EF0C" w:rsidR="0062439A" w:rsidRPr="00E120E8" w:rsidRDefault="0062439A" w:rsidP="008476C2">
      <w:pPr>
        <w:pStyle w:val="Voetnoottekst"/>
        <w:rPr>
          <w:sz w:val="18"/>
        </w:rPr>
      </w:pPr>
      <w:r w:rsidRPr="00E120E8">
        <w:rPr>
          <w:rStyle w:val="Voetnootmarkering"/>
          <w:sz w:val="18"/>
        </w:rPr>
        <w:footnoteRef/>
      </w:r>
      <w:r w:rsidRPr="00E120E8">
        <w:rPr>
          <w:sz w:val="18"/>
        </w:rPr>
        <w:t xml:space="preserve"> </w:t>
      </w:r>
      <w:r>
        <w:rPr>
          <w:sz w:val="18"/>
        </w:rPr>
        <w:t xml:space="preserve">ABRvS 22 november 2002, </w:t>
      </w:r>
      <w:r w:rsidRPr="00B908F8">
        <w:rPr>
          <w:sz w:val="18"/>
        </w:rPr>
        <w:t>200204583/1</w:t>
      </w:r>
      <w:r>
        <w:rPr>
          <w:sz w:val="18"/>
        </w:rPr>
        <w:t>.</w:t>
      </w:r>
    </w:p>
  </w:footnote>
  <w:footnote w:id="76">
    <w:p w14:paraId="322FF4A7" w14:textId="77777777" w:rsidR="0062439A" w:rsidRPr="00227FA3" w:rsidRDefault="0062439A" w:rsidP="008476C2">
      <w:pPr>
        <w:pStyle w:val="Voetnoottekst"/>
        <w:rPr>
          <w:sz w:val="18"/>
        </w:rPr>
      </w:pPr>
      <w:r w:rsidRPr="00227FA3">
        <w:rPr>
          <w:rStyle w:val="Voetnootmarkering"/>
          <w:sz w:val="18"/>
        </w:rPr>
        <w:footnoteRef/>
      </w:r>
      <w:r w:rsidRPr="00227FA3">
        <w:rPr>
          <w:sz w:val="18"/>
        </w:rPr>
        <w:t xml:space="preserve"> </w:t>
      </w:r>
      <w:r>
        <w:rPr>
          <w:sz w:val="18"/>
        </w:rPr>
        <w:t>ABRvS 22 juli 2010, 201001769/1/V2; ABRvS 9 juli 2013, 201204559/1/V1 en 201207753/1/V1; ABRvS 18 februari 2014, 201304257/1/V1 en 201308529/1/V1; ABRvS 29 mei 2015, 201409477/1/V2.</w:t>
      </w:r>
    </w:p>
  </w:footnote>
  <w:footnote w:id="77">
    <w:p w14:paraId="74C9699B" w14:textId="23195DDF" w:rsidR="0062439A" w:rsidRDefault="0062439A" w:rsidP="008476C2">
      <w:pPr>
        <w:pStyle w:val="Voetnoottekst"/>
      </w:pPr>
      <w:r w:rsidRPr="00623127">
        <w:rPr>
          <w:rStyle w:val="Voetnootmarkering"/>
          <w:sz w:val="18"/>
        </w:rPr>
        <w:footnoteRef/>
      </w:r>
      <w:r w:rsidRPr="00623127">
        <w:rPr>
          <w:sz w:val="18"/>
        </w:rPr>
        <w:t xml:space="preserve"> </w:t>
      </w:r>
      <w:r>
        <w:rPr>
          <w:sz w:val="18"/>
        </w:rPr>
        <w:t xml:space="preserve">P. Boeles, </w:t>
      </w:r>
      <w:r w:rsidRPr="00143ADF">
        <w:rPr>
          <w:sz w:val="18"/>
        </w:rPr>
        <w:t>‘Toetsingsvolgorde van intrekking verblijfsvergunning en inreisverbod: hoe complex kan een routinegeval worden gemaakt?’</w:t>
      </w:r>
      <w:r>
        <w:rPr>
          <w:sz w:val="18"/>
        </w:rPr>
        <w:t xml:space="preserve">, </w:t>
      </w:r>
      <w:r w:rsidRPr="00143ADF">
        <w:rPr>
          <w:i/>
          <w:sz w:val="18"/>
        </w:rPr>
        <w:t xml:space="preserve">A&amp;MR </w:t>
      </w:r>
      <w:r>
        <w:rPr>
          <w:sz w:val="18"/>
        </w:rPr>
        <w:t>2018, nr. 1, p. 28 (online publiek);</w:t>
      </w:r>
    </w:p>
  </w:footnote>
  <w:footnote w:id="78">
    <w:p w14:paraId="6DE54F53" w14:textId="77777777" w:rsidR="0062439A" w:rsidRDefault="0062439A" w:rsidP="008476C2">
      <w:pPr>
        <w:pStyle w:val="Voetnoottekst"/>
      </w:pPr>
      <w:r w:rsidRPr="004C0470">
        <w:rPr>
          <w:rStyle w:val="Voetnootmarkering"/>
          <w:sz w:val="18"/>
        </w:rPr>
        <w:footnoteRef/>
      </w:r>
      <w:r w:rsidRPr="004C0470">
        <w:rPr>
          <w:sz w:val="18"/>
        </w:rPr>
        <w:t xml:space="preserve"> </w:t>
      </w:r>
      <w:r>
        <w:rPr>
          <w:sz w:val="18"/>
        </w:rPr>
        <w:t>ABRvS 9 juli 2013, 201204559/1/V1 en 201207753/1/V1.</w:t>
      </w:r>
    </w:p>
  </w:footnote>
  <w:footnote w:id="79">
    <w:p w14:paraId="11211246" w14:textId="1F32EB63" w:rsidR="0062439A" w:rsidRDefault="0062439A" w:rsidP="008476C2">
      <w:pPr>
        <w:pStyle w:val="Voetnoottekst"/>
      </w:pPr>
      <w:r w:rsidRPr="007754E3">
        <w:rPr>
          <w:rStyle w:val="Voetnootmarkering"/>
          <w:sz w:val="18"/>
        </w:rPr>
        <w:footnoteRef/>
      </w:r>
      <w:r w:rsidRPr="007754E3">
        <w:rPr>
          <w:sz w:val="18"/>
        </w:rPr>
        <w:t xml:space="preserve"> </w:t>
      </w:r>
      <w:r>
        <w:rPr>
          <w:sz w:val="18"/>
        </w:rPr>
        <w:t xml:space="preserve">P. Boeles, </w:t>
      </w:r>
      <w:r w:rsidRPr="00143ADF">
        <w:rPr>
          <w:sz w:val="18"/>
        </w:rPr>
        <w:t>‘Toetsingsvolgorde van intrekking verblijfsvergunning en inreisverbod: hoe complex kan een routinegeval worden gemaakt?’</w:t>
      </w:r>
      <w:r>
        <w:rPr>
          <w:sz w:val="18"/>
        </w:rPr>
        <w:t>, A&amp;MR 2018, nr. 1, p. 28 (online publiek).</w:t>
      </w:r>
    </w:p>
  </w:footnote>
  <w:footnote w:id="80">
    <w:p w14:paraId="44EA6994" w14:textId="77777777" w:rsidR="0062439A" w:rsidRPr="00C27A29" w:rsidRDefault="0062439A" w:rsidP="008C09E3">
      <w:pPr>
        <w:pStyle w:val="Voetnoottekst"/>
        <w:rPr>
          <w:sz w:val="18"/>
        </w:rPr>
      </w:pPr>
      <w:r w:rsidRPr="00413CA1">
        <w:rPr>
          <w:rStyle w:val="Voetnootmarkering"/>
          <w:sz w:val="18"/>
        </w:rPr>
        <w:footnoteRef/>
      </w:r>
      <w:r>
        <w:t xml:space="preserve"> </w:t>
      </w:r>
      <w:r>
        <w:rPr>
          <w:sz w:val="18"/>
        </w:rPr>
        <w:t>HR 25 februari 1949, JN 1949 558 (ECLI:NL:HR:1949:AG1963).</w:t>
      </w:r>
    </w:p>
  </w:footnote>
  <w:footnote w:id="81">
    <w:p w14:paraId="28F62C99" w14:textId="7F7CF15A" w:rsidR="0062439A" w:rsidRDefault="0062439A" w:rsidP="00FA7B9E">
      <w:pPr>
        <w:pStyle w:val="Voetnoottekst"/>
      </w:pPr>
      <w:r w:rsidRPr="002E03E0">
        <w:rPr>
          <w:rStyle w:val="Voetnootmarkering"/>
          <w:sz w:val="18"/>
        </w:rPr>
        <w:footnoteRef/>
      </w:r>
      <w:r w:rsidRPr="002E03E0">
        <w:rPr>
          <w:sz w:val="18"/>
        </w:rPr>
        <w:t xml:space="preserve"> </w:t>
      </w:r>
      <w:r>
        <w:rPr>
          <w:sz w:val="18"/>
        </w:rPr>
        <w:t xml:space="preserve">C.A. Groenendijk en M.L. van Riel, </w:t>
      </w:r>
      <w:r>
        <w:rPr>
          <w:i/>
          <w:sz w:val="18"/>
        </w:rPr>
        <w:t>‘</w:t>
      </w:r>
      <w:r w:rsidRPr="00143ADF">
        <w:rPr>
          <w:sz w:val="18"/>
        </w:rPr>
        <w:t>Migratierecht is bijna helemaal Unierecht’</w:t>
      </w:r>
      <w:r>
        <w:rPr>
          <w:sz w:val="18"/>
        </w:rPr>
        <w:t xml:space="preserve">, </w:t>
      </w:r>
      <w:r w:rsidRPr="00143ADF">
        <w:rPr>
          <w:i/>
          <w:sz w:val="18"/>
        </w:rPr>
        <w:t>A&amp;MR</w:t>
      </w:r>
      <w:r>
        <w:rPr>
          <w:sz w:val="18"/>
        </w:rPr>
        <w:t xml:space="preserve"> 2017 nr. 9, p. 405 (online publiek).</w:t>
      </w:r>
    </w:p>
  </w:footnote>
  <w:footnote w:id="82">
    <w:p w14:paraId="261A6DFC" w14:textId="0B40170B" w:rsidR="0062439A" w:rsidRDefault="0062439A">
      <w:pPr>
        <w:pStyle w:val="Voetnoottekst"/>
      </w:pPr>
      <w:r w:rsidRPr="00455C49">
        <w:rPr>
          <w:rStyle w:val="Voetnootmarkering"/>
          <w:sz w:val="18"/>
        </w:rPr>
        <w:footnoteRef/>
      </w:r>
      <w:r w:rsidRPr="00455C49">
        <w:rPr>
          <w:sz w:val="18"/>
        </w:rPr>
        <w:t xml:space="preserve"> </w:t>
      </w:r>
      <w:r>
        <w:rPr>
          <w:sz w:val="18"/>
        </w:rPr>
        <w:t xml:space="preserve">Dit is in ieder geval bij: 1) het vrij verkeer van Unieburgers, 2) de rechten van Turkse burgers op grond van het Associatierecht, 3) de toekenning van een verblijfsrecht door het EU-migratierecht aan derdelanders wanneer aan de voorwaarden van het EU-instrument is voldaan, 4) de toetsing of een lichter middel in plaats van vreemdelingenbewaring noodzakelijk is en 5) de beoordeling van asielverzoeken. </w:t>
      </w:r>
    </w:p>
  </w:footnote>
  <w:footnote w:id="83">
    <w:p w14:paraId="2BB870A6" w14:textId="77441954" w:rsidR="0062439A" w:rsidRPr="00D55727" w:rsidRDefault="0062439A" w:rsidP="008C09E3">
      <w:pPr>
        <w:pStyle w:val="Voetnoottekst"/>
        <w:rPr>
          <w:i/>
          <w:sz w:val="18"/>
          <w:lang w:val="en-US"/>
        </w:rPr>
      </w:pPr>
      <w:r w:rsidRPr="00A41625">
        <w:rPr>
          <w:rStyle w:val="Voetnootmarkering"/>
          <w:sz w:val="18"/>
        </w:rPr>
        <w:footnoteRef/>
      </w:r>
      <w:r w:rsidRPr="00D55727">
        <w:rPr>
          <w:sz w:val="18"/>
          <w:lang w:val="en-US"/>
        </w:rPr>
        <w:t xml:space="preserve"> M. Eliantonio en A. Wiesbrock, </w:t>
      </w:r>
      <w:r w:rsidRPr="00143ADF">
        <w:rPr>
          <w:sz w:val="18"/>
          <w:lang w:val="en-US"/>
        </w:rPr>
        <w:t>‘EU migration law in national courts: the role of national procedural rules and the ECJ’s requirement in the Dutch courts’</w:t>
      </w:r>
      <w:r w:rsidRPr="00D55727">
        <w:rPr>
          <w:i/>
          <w:sz w:val="18"/>
          <w:lang w:val="en-US"/>
        </w:rPr>
        <w:t xml:space="preserve">, </w:t>
      </w:r>
      <w:r w:rsidRPr="00143ADF">
        <w:rPr>
          <w:i/>
          <w:sz w:val="18"/>
          <w:lang w:val="en-US"/>
        </w:rPr>
        <w:t>A&amp;MR</w:t>
      </w:r>
      <w:r w:rsidRPr="00D55727">
        <w:rPr>
          <w:sz w:val="18"/>
          <w:lang w:val="en-US"/>
        </w:rPr>
        <w:t xml:space="preserve"> 2011, nr. 3, p. 104 – 111</w:t>
      </w:r>
      <w:r>
        <w:rPr>
          <w:sz w:val="18"/>
          <w:lang w:val="en-US"/>
        </w:rPr>
        <w:t xml:space="preserve"> (online publiek)</w:t>
      </w:r>
      <w:r w:rsidRPr="00D55727">
        <w:rPr>
          <w:sz w:val="18"/>
          <w:lang w:val="en-US"/>
        </w:rPr>
        <w:t>;</w:t>
      </w:r>
      <w:r w:rsidRPr="00D55727">
        <w:rPr>
          <w:i/>
          <w:sz w:val="18"/>
          <w:lang w:val="en-US"/>
        </w:rPr>
        <w:t xml:space="preserve"> </w:t>
      </w:r>
      <w:r w:rsidRPr="00D55727">
        <w:rPr>
          <w:sz w:val="18"/>
          <w:lang w:val="en-US"/>
        </w:rPr>
        <w:t>ABRvS 11 mei 2016, 201504012/1/V6</w:t>
      </w:r>
      <w:r w:rsidRPr="00D55727">
        <w:rPr>
          <w:i/>
          <w:sz w:val="18"/>
          <w:lang w:val="en-US"/>
        </w:rPr>
        <w:t>.</w:t>
      </w:r>
    </w:p>
  </w:footnote>
  <w:footnote w:id="84">
    <w:p w14:paraId="5DC64AF9" w14:textId="77777777" w:rsidR="0062439A" w:rsidRPr="002F1450" w:rsidRDefault="0062439A" w:rsidP="008C09E3">
      <w:pPr>
        <w:pStyle w:val="Voetnoottekst"/>
        <w:rPr>
          <w:sz w:val="18"/>
        </w:rPr>
      </w:pPr>
      <w:r w:rsidRPr="002F1450">
        <w:rPr>
          <w:rStyle w:val="Voetnootmarkering"/>
          <w:sz w:val="18"/>
        </w:rPr>
        <w:footnoteRef/>
      </w:r>
      <w:r w:rsidRPr="002F1450">
        <w:rPr>
          <w:sz w:val="18"/>
        </w:rPr>
        <w:t xml:space="preserve"> </w:t>
      </w:r>
      <w:r>
        <w:rPr>
          <w:sz w:val="18"/>
        </w:rPr>
        <w:t>Richtlijn 2003/109/EG van de Raad van 25 november 2003 betreffende de status van langdurig ingezeten onderdanen van derde landen, PbEU 2004, L 16/44.</w:t>
      </w:r>
    </w:p>
  </w:footnote>
  <w:footnote w:id="85">
    <w:p w14:paraId="1B3714EA" w14:textId="0A8CB3AA" w:rsidR="0062439A" w:rsidRDefault="0062439A" w:rsidP="008C09E3">
      <w:pPr>
        <w:pStyle w:val="Voetnoottekst"/>
      </w:pPr>
      <w:r w:rsidRPr="00A14EC9">
        <w:rPr>
          <w:rStyle w:val="Voetnootmarkering"/>
          <w:sz w:val="18"/>
        </w:rPr>
        <w:footnoteRef/>
      </w:r>
      <w:r w:rsidRPr="00A14EC9">
        <w:rPr>
          <w:sz w:val="18"/>
        </w:rPr>
        <w:t xml:space="preserve"> </w:t>
      </w:r>
      <w:r>
        <w:rPr>
          <w:sz w:val="18"/>
        </w:rPr>
        <w:t xml:space="preserve">C.A. Groenendijk en M.L. van Riel, </w:t>
      </w:r>
      <w:r>
        <w:rPr>
          <w:i/>
          <w:sz w:val="18"/>
        </w:rPr>
        <w:t>‘</w:t>
      </w:r>
      <w:r w:rsidRPr="00143ADF">
        <w:rPr>
          <w:sz w:val="18"/>
        </w:rPr>
        <w:t>Migratierecht is bijna helemaal Unierecht’,</w:t>
      </w:r>
      <w:r>
        <w:rPr>
          <w:sz w:val="18"/>
        </w:rPr>
        <w:t xml:space="preserve"> </w:t>
      </w:r>
      <w:r w:rsidRPr="00143ADF">
        <w:rPr>
          <w:i/>
          <w:sz w:val="18"/>
        </w:rPr>
        <w:t>A&amp;MR</w:t>
      </w:r>
      <w:r>
        <w:rPr>
          <w:sz w:val="18"/>
        </w:rPr>
        <w:t xml:space="preserve"> 2017 nr. 9, p. 406 (online publiek).</w:t>
      </w:r>
    </w:p>
  </w:footnote>
  <w:footnote w:id="86">
    <w:p w14:paraId="2B2A2269" w14:textId="52D535E2" w:rsidR="0062439A" w:rsidRDefault="0062439A" w:rsidP="008C09E3">
      <w:pPr>
        <w:pStyle w:val="Voetnoottekst"/>
      </w:pPr>
      <w:r w:rsidRPr="000441F5">
        <w:rPr>
          <w:rStyle w:val="Voetnootmarkering"/>
          <w:sz w:val="18"/>
        </w:rPr>
        <w:footnoteRef/>
      </w:r>
      <w:r w:rsidRPr="000441F5">
        <w:rPr>
          <w:sz w:val="18"/>
        </w:rPr>
        <w:t xml:space="preserve"> </w:t>
      </w:r>
      <w:r>
        <w:rPr>
          <w:sz w:val="18"/>
        </w:rPr>
        <w:t xml:space="preserve">C.A. Groenendijk en M.L. van Riel, </w:t>
      </w:r>
      <w:r>
        <w:rPr>
          <w:i/>
          <w:sz w:val="18"/>
        </w:rPr>
        <w:t>‘</w:t>
      </w:r>
      <w:r w:rsidRPr="00143ADF">
        <w:rPr>
          <w:sz w:val="18"/>
        </w:rPr>
        <w:t>Migratierecht is bijna helemaal Unierecht’</w:t>
      </w:r>
      <w:r>
        <w:rPr>
          <w:sz w:val="18"/>
        </w:rPr>
        <w:t xml:space="preserve">, </w:t>
      </w:r>
      <w:r w:rsidRPr="00143ADF">
        <w:rPr>
          <w:i/>
          <w:sz w:val="18"/>
        </w:rPr>
        <w:t xml:space="preserve">A&amp;MR </w:t>
      </w:r>
      <w:r>
        <w:rPr>
          <w:sz w:val="18"/>
        </w:rPr>
        <w:t>2017 nr. 9, p. 407 (online publiek); De gunstigere voorwaarden blijken uit artikel 21 lid 2 tot en met 4 Vw 2000, te weten geen inkomenseis na tien jaren rechtmatig verblijf en voor de tweede generatie een zeer beperkte weigering op gronden van openbare orde.</w:t>
      </w:r>
    </w:p>
  </w:footnote>
  <w:footnote w:id="87">
    <w:p w14:paraId="631827FE" w14:textId="5880F09F" w:rsidR="0062439A" w:rsidRDefault="0062439A" w:rsidP="00240F9B">
      <w:pPr>
        <w:pStyle w:val="Voetnoottekst"/>
      </w:pPr>
      <w:r w:rsidRPr="00D43E25">
        <w:rPr>
          <w:rStyle w:val="Voetnootmarkering"/>
          <w:sz w:val="18"/>
        </w:rPr>
        <w:footnoteRef/>
      </w:r>
      <w:r w:rsidRPr="00D43E25">
        <w:rPr>
          <w:sz w:val="18"/>
        </w:rPr>
        <w:t xml:space="preserve"> </w:t>
      </w:r>
      <w:r>
        <w:rPr>
          <w:sz w:val="18"/>
        </w:rPr>
        <w:t xml:space="preserve">C.A. Groenendijk en M.L. van Riel, </w:t>
      </w:r>
      <w:r w:rsidRPr="00143ADF">
        <w:rPr>
          <w:sz w:val="18"/>
        </w:rPr>
        <w:t>‘Migratierecht is bijna helemaal Unierecht’,</w:t>
      </w:r>
      <w:r>
        <w:rPr>
          <w:sz w:val="18"/>
        </w:rPr>
        <w:t xml:space="preserve"> </w:t>
      </w:r>
      <w:r w:rsidRPr="00143ADF">
        <w:rPr>
          <w:i/>
          <w:sz w:val="18"/>
        </w:rPr>
        <w:t>A&amp;MR</w:t>
      </w:r>
      <w:r>
        <w:rPr>
          <w:sz w:val="18"/>
        </w:rPr>
        <w:t xml:space="preserve"> 2017 nr. 9, p. 409 (online publiek).</w:t>
      </w:r>
    </w:p>
  </w:footnote>
  <w:footnote w:id="88">
    <w:p w14:paraId="2808AEAB" w14:textId="6984BE1D" w:rsidR="0062439A" w:rsidRPr="00597FF7" w:rsidRDefault="0062439A">
      <w:pPr>
        <w:pStyle w:val="Voetnoottekst"/>
        <w:rPr>
          <w:sz w:val="18"/>
        </w:rPr>
      </w:pPr>
      <w:r w:rsidRPr="00597FF7">
        <w:rPr>
          <w:rStyle w:val="Voetnootmarkering"/>
          <w:sz w:val="18"/>
        </w:rPr>
        <w:footnoteRef/>
      </w:r>
      <w:r w:rsidRPr="00597FF7">
        <w:rPr>
          <w:sz w:val="18"/>
        </w:rPr>
        <w:t xml:space="preserve"> </w:t>
      </w:r>
      <w:r>
        <w:rPr>
          <w:sz w:val="18"/>
        </w:rPr>
        <w:t xml:space="preserve">Richtlijn 2004/83/EG van de Raad van 29 april </w:t>
      </w:r>
      <w:r w:rsidRPr="00597FF7">
        <w:rPr>
          <w:sz w:val="18"/>
        </w:rPr>
        <w:t xml:space="preserve">2004 </w:t>
      </w:r>
      <w:r w:rsidRPr="00597FF7">
        <w:rPr>
          <w:bCs/>
          <w:sz w:val="18"/>
        </w:rPr>
        <w:t>inzake minimumnormen voor de erkenning van onderdanen van derde landen en staatlozen als vluchteling of als persoon die anderszins internationale bescherming behoeft, en de inhoud van de verleende bescherming</w:t>
      </w:r>
      <w:r>
        <w:rPr>
          <w:sz w:val="18"/>
        </w:rPr>
        <w:t>.</w:t>
      </w:r>
    </w:p>
  </w:footnote>
  <w:footnote w:id="89">
    <w:p w14:paraId="745D8D89" w14:textId="659BF593" w:rsidR="0062439A" w:rsidRPr="00FB20AA" w:rsidRDefault="0062439A">
      <w:pPr>
        <w:pStyle w:val="Voetnoottekst"/>
        <w:rPr>
          <w:sz w:val="18"/>
        </w:rPr>
      </w:pPr>
      <w:r w:rsidRPr="00FB20AA">
        <w:rPr>
          <w:rStyle w:val="Voetnootmarkering"/>
          <w:sz w:val="18"/>
        </w:rPr>
        <w:footnoteRef/>
      </w:r>
      <w:r w:rsidRPr="00FB20AA">
        <w:rPr>
          <w:sz w:val="18"/>
        </w:rPr>
        <w:t xml:space="preserve"> </w:t>
      </w:r>
      <w:r>
        <w:rPr>
          <w:sz w:val="18"/>
        </w:rPr>
        <w:t xml:space="preserve">C.A. Groenendijk en M.L. van Riel, </w:t>
      </w:r>
      <w:r w:rsidRPr="00143ADF">
        <w:rPr>
          <w:sz w:val="18"/>
        </w:rPr>
        <w:t>‘Migratierecht is bijna helemaal Unierecht’</w:t>
      </w:r>
      <w:r>
        <w:rPr>
          <w:sz w:val="18"/>
        </w:rPr>
        <w:t xml:space="preserve">, </w:t>
      </w:r>
      <w:r w:rsidRPr="00143ADF">
        <w:rPr>
          <w:i/>
          <w:sz w:val="18"/>
        </w:rPr>
        <w:t>A&amp;MR</w:t>
      </w:r>
      <w:r>
        <w:rPr>
          <w:sz w:val="18"/>
        </w:rPr>
        <w:t xml:space="preserve"> 2017 nr. 9, p. 409 (online publiek).</w:t>
      </w:r>
    </w:p>
  </w:footnote>
  <w:footnote w:id="90">
    <w:p w14:paraId="7F4B21F4" w14:textId="5BDD5716" w:rsidR="0062439A" w:rsidRPr="003965E0" w:rsidRDefault="0062439A">
      <w:pPr>
        <w:pStyle w:val="Voetnoottekst"/>
        <w:rPr>
          <w:sz w:val="18"/>
          <w:lang w:val="en-US"/>
        </w:rPr>
      </w:pPr>
      <w:r w:rsidRPr="007C42C7">
        <w:rPr>
          <w:rStyle w:val="Voetnootmarkering"/>
          <w:sz w:val="18"/>
        </w:rPr>
        <w:footnoteRef/>
      </w:r>
      <w:r w:rsidRPr="003965E0">
        <w:rPr>
          <w:sz w:val="18"/>
          <w:lang w:val="en-US"/>
        </w:rPr>
        <w:t xml:space="preserve"> H. Battjes, </w:t>
      </w:r>
      <w:r w:rsidRPr="003965E0">
        <w:rPr>
          <w:i/>
          <w:sz w:val="18"/>
          <w:lang w:val="en-US"/>
        </w:rPr>
        <w:t>‘European Asylum Law and its Relation to International Law’</w:t>
      </w:r>
      <w:r w:rsidRPr="003965E0">
        <w:rPr>
          <w:sz w:val="18"/>
          <w:lang w:val="en-US"/>
        </w:rPr>
        <w:t>, Amsterdam</w:t>
      </w:r>
      <w:r>
        <w:rPr>
          <w:sz w:val="18"/>
          <w:lang w:val="en-US"/>
        </w:rPr>
        <w:t xml:space="preserve">: Migration Law Series 2006, </w:t>
      </w:r>
      <w:r w:rsidRPr="003965E0">
        <w:rPr>
          <w:sz w:val="18"/>
          <w:lang w:val="en-US"/>
        </w:rPr>
        <w:t>p. 162.</w:t>
      </w:r>
    </w:p>
  </w:footnote>
  <w:footnote w:id="91">
    <w:p w14:paraId="0DC7E068" w14:textId="77777777" w:rsidR="0062439A" w:rsidRPr="00BB2039" w:rsidRDefault="0062439A" w:rsidP="008C09E3">
      <w:pPr>
        <w:pStyle w:val="Voetnoottekst"/>
        <w:rPr>
          <w:sz w:val="18"/>
        </w:rPr>
      </w:pPr>
      <w:r w:rsidRPr="00BB2039">
        <w:rPr>
          <w:rStyle w:val="Voetnootmarkering"/>
          <w:sz w:val="18"/>
        </w:rPr>
        <w:footnoteRef/>
      </w:r>
      <w:r w:rsidRPr="00BB2039">
        <w:rPr>
          <w:sz w:val="18"/>
        </w:rPr>
        <w:t xml:space="preserve"> </w:t>
      </w:r>
      <w:r>
        <w:rPr>
          <w:sz w:val="18"/>
        </w:rPr>
        <w:t>Zie bijvoorbeeld: EHRM 5 juli 2005, JV 2005 304 (Said tegen Nederland) en EHRM 11 januari 2007, nr. 1948/04 (Salah Sheekh tegen Nederland).</w:t>
      </w:r>
    </w:p>
  </w:footnote>
  <w:footnote w:id="92">
    <w:p w14:paraId="5DA744D7" w14:textId="77777777" w:rsidR="0062439A" w:rsidRPr="00943D2F" w:rsidRDefault="0062439A" w:rsidP="00FF12E9">
      <w:pPr>
        <w:pStyle w:val="Voetnoottekst"/>
        <w:rPr>
          <w:i/>
          <w:sz w:val="18"/>
        </w:rPr>
      </w:pPr>
      <w:r w:rsidRPr="00EB1D3A">
        <w:rPr>
          <w:rStyle w:val="Voetnootmarkering"/>
          <w:sz w:val="18"/>
        </w:rPr>
        <w:footnoteRef/>
      </w:r>
      <w:r w:rsidRPr="00EB1D3A">
        <w:rPr>
          <w:sz w:val="18"/>
        </w:rPr>
        <w:t xml:space="preserve"> </w:t>
      </w:r>
      <w:r>
        <w:rPr>
          <w:i/>
          <w:sz w:val="18"/>
        </w:rPr>
        <w:t xml:space="preserve">Kamerstukken II </w:t>
      </w:r>
      <w:r>
        <w:rPr>
          <w:sz w:val="18"/>
        </w:rPr>
        <w:t>2010/11, 32 420, nr. 9, p. 3 en p. 6;</w:t>
      </w:r>
      <w:r w:rsidRPr="00891FAD">
        <w:rPr>
          <w:i/>
          <w:sz w:val="18"/>
        </w:rPr>
        <w:t xml:space="preserve"> </w:t>
      </w:r>
      <w:r>
        <w:rPr>
          <w:i/>
          <w:sz w:val="18"/>
        </w:rPr>
        <w:t xml:space="preserve">Kamerstukken II </w:t>
      </w:r>
      <w:r>
        <w:rPr>
          <w:sz w:val="18"/>
        </w:rPr>
        <w:t xml:space="preserve">2010/11, 32 420, nr. 3, p. 10; </w:t>
      </w:r>
      <w:r w:rsidRPr="00943D2F">
        <w:rPr>
          <w:sz w:val="18"/>
        </w:rPr>
        <w:t>Stb.</w:t>
      </w:r>
      <w:r>
        <w:rPr>
          <w:sz w:val="18"/>
        </w:rPr>
        <w:t xml:space="preserve"> 2011, 663.</w:t>
      </w:r>
    </w:p>
  </w:footnote>
  <w:footnote w:id="93">
    <w:p w14:paraId="7508CBDC" w14:textId="77777777" w:rsidR="0062439A" w:rsidRPr="00A93CB0" w:rsidRDefault="0062439A" w:rsidP="00FF12E9">
      <w:pPr>
        <w:pStyle w:val="Voetnoottekst"/>
        <w:rPr>
          <w:sz w:val="18"/>
        </w:rPr>
      </w:pPr>
      <w:r w:rsidRPr="000C0091">
        <w:rPr>
          <w:rStyle w:val="Voetnootmarkering"/>
          <w:sz w:val="18"/>
        </w:rPr>
        <w:footnoteRef/>
      </w:r>
      <w:r>
        <w:rPr>
          <w:i/>
          <w:sz w:val="18"/>
        </w:rPr>
        <w:t xml:space="preserve"> Kamerstukken II </w:t>
      </w:r>
      <w:r>
        <w:rPr>
          <w:sz w:val="18"/>
        </w:rPr>
        <w:t xml:space="preserve">2010/11, 32 420, nr. 14, p. 8; </w:t>
      </w:r>
    </w:p>
  </w:footnote>
  <w:footnote w:id="94">
    <w:p w14:paraId="435A7125" w14:textId="2B29053C" w:rsidR="0062439A" w:rsidRPr="00BC76DE" w:rsidRDefault="0062439A" w:rsidP="00E80A9F">
      <w:pPr>
        <w:pStyle w:val="Voetnoottekst"/>
        <w:rPr>
          <w:sz w:val="18"/>
        </w:rPr>
      </w:pPr>
      <w:r w:rsidRPr="00EE6055">
        <w:rPr>
          <w:rStyle w:val="Voetnootmarkering"/>
          <w:sz w:val="18"/>
        </w:rPr>
        <w:footnoteRef/>
      </w:r>
      <w:r w:rsidRPr="00EE6055">
        <w:rPr>
          <w:sz w:val="18"/>
        </w:rPr>
        <w:t xml:space="preserve"> </w:t>
      </w:r>
      <w:r>
        <w:rPr>
          <w:sz w:val="18"/>
        </w:rPr>
        <w:t xml:space="preserve">J. Waasdorp, </w:t>
      </w:r>
      <w:r w:rsidRPr="00143ADF">
        <w:rPr>
          <w:sz w:val="18"/>
        </w:rPr>
        <w:t>‘Strafrechtelijke aanpak van overtreding van het inreisverbod?’</w:t>
      </w:r>
      <w:r>
        <w:rPr>
          <w:sz w:val="18"/>
        </w:rPr>
        <w:t xml:space="preserve">, </w:t>
      </w:r>
      <w:r w:rsidRPr="00143ADF">
        <w:rPr>
          <w:i/>
          <w:sz w:val="18"/>
        </w:rPr>
        <w:t>A&amp;MR</w:t>
      </w:r>
      <w:r>
        <w:rPr>
          <w:sz w:val="18"/>
        </w:rPr>
        <w:t xml:space="preserve"> 2018, nr. 2, p. 71 (online publiek); A. Leerkes en E. Boersema, </w:t>
      </w:r>
      <w:r>
        <w:rPr>
          <w:i/>
          <w:sz w:val="18"/>
        </w:rPr>
        <w:t>‘Het lot van het inreisverbod. Een onderzoek naar de uitvoeringspraktijk en gepercipieerde effecten van de Terugkeerrichtlijn in Nederland’</w:t>
      </w:r>
      <w:r>
        <w:rPr>
          <w:sz w:val="18"/>
        </w:rPr>
        <w:t xml:space="preserve">, Wetenschappelijk Onderzoeks- en Documentatiecentrum 2014, p. 21 – 35. </w:t>
      </w:r>
    </w:p>
  </w:footnote>
  <w:footnote w:id="95">
    <w:p w14:paraId="25244F52" w14:textId="77777777" w:rsidR="0062439A" w:rsidRDefault="0062439A" w:rsidP="00FF12E9">
      <w:pPr>
        <w:pStyle w:val="Voetnoottekst"/>
      </w:pPr>
      <w:r w:rsidRPr="00FA5552">
        <w:rPr>
          <w:rStyle w:val="Voetnootmarkering"/>
          <w:sz w:val="18"/>
        </w:rPr>
        <w:footnoteRef/>
      </w:r>
      <w:r w:rsidRPr="00FA5552">
        <w:rPr>
          <w:sz w:val="18"/>
        </w:rPr>
        <w:t xml:space="preserve"> </w:t>
      </w:r>
      <w:r>
        <w:rPr>
          <w:i/>
          <w:sz w:val="18"/>
        </w:rPr>
        <w:t xml:space="preserve">Kamerstukken II </w:t>
      </w:r>
      <w:r>
        <w:rPr>
          <w:sz w:val="18"/>
        </w:rPr>
        <w:t>2010/11, 32 420, nr. 9, p. 6.</w:t>
      </w:r>
    </w:p>
  </w:footnote>
  <w:footnote w:id="96">
    <w:p w14:paraId="2614068F" w14:textId="77777777" w:rsidR="0062439A" w:rsidRDefault="0062439A" w:rsidP="006221C6">
      <w:pPr>
        <w:pStyle w:val="Voetnoottekst"/>
      </w:pPr>
      <w:r w:rsidRPr="00EB03DC">
        <w:rPr>
          <w:rStyle w:val="Voetnootmarkering"/>
          <w:sz w:val="18"/>
        </w:rPr>
        <w:footnoteRef/>
      </w:r>
      <w:r w:rsidRPr="00EB03DC">
        <w:rPr>
          <w:sz w:val="18"/>
        </w:rPr>
        <w:t xml:space="preserve"> </w:t>
      </w:r>
      <w:r>
        <w:rPr>
          <w:sz w:val="18"/>
        </w:rPr>
        <w:t>HvJEU 28 april 2011, C-61/11 (El Dridi); HvJEU 6 december 2011, C-329/11 (Achughbabian); HvJEU 6 december 2012, C-430/11 (Sagor); HvJEU 7 juni 2016, C-47/15 (Affum).</w:t>
      </w:r>
    </w:p>
  </w:footnote>
  <w:footnote w:id="97">
    <w:p w14:paraId="29723E25" w14:textId="54C17CDE" w:rsidR="0062439A" w:rsidRDefault="0062439A">
      <w:pPr>
        <w:pStyle w:val="Voetnoottekst"/>
      </w:pPr>
      <w:r w:rsidRPr="009C2DEC">
        <w:rPr>
          <w:rStyle w:val="Voetnootmarkering"/>
          <w:sz w:val="18"/>
        </w:rPr>
        <w:footnoteRef/>
      </w:r>
      <w:r w:rsidRPr="009C2DEC">
        <w:rPr>
          <w:sz w:val="18"/>
        </w:rPr>
        <w:t xml:space="preserve"> </w:t>
      </w:r>
      <w:r>
        <w:rPr>
          <w:sz w:val="18"/>
        </w:rPr>
        <w:t>Hiervan</w:t>
      </w:r>
      <w:r w:rsidRPr="009C2DEC">
        <w:rPr>
          <w:sz w:val="18"/>
        </w:rPr>
        <w:t xml:space="preserve"> is bijvoorbeeld </w:t>
      </w:r>
      <w:r>
        <w:rPr>
          <w:sz w:val="18"/>
        </w:rPr>
        <w:t>sprake indien</w:t>
      </w:r>
      <w:r w:rsidRPr="009C2DEC">
        <w:rPr>
          <w:sz w:val="18"/>
        </w:rPr>
        <w:t xml:space="preserve"> de vreemdeling in bezwaring zit of indien er nog geen beslissing is genomen op een laissez passer aanvraag</w:t>
      </w:r>
      <w:r>
        <w:rPr>
          <w:sz w:val="18"/>
        </w:rPr>
        <w:t>.</w:t>
      </w:r>
    </w:p>
  </w:footnote>
  <w:footnote w:id="98">
    <w:p w14:paraId="16FEF878" w14:textId="220DA132" w:rsidR="0062439A" w:rsidRDefault="0062439A">
      <w:pPr>
        <w:pStyle w:val="Voetnoottekst"/>
      </w:pPr>
      <w:r w:rsidRPr="009C2DEC">
        <w:rPr>
          <w:rStyle w:val="Voetnootmarkering"/>
          <w:sz w:val="18"/>
        </w:rPr>
        <w:footnoteRef/>
      </w:r>
      <w:r w:rsidRPr="009C2DEC">
        <w:rPr>
          <w:sz w:val="18"/>
        </w:rPr>
        <w:t xml:space="preserve"> </w:t>
      </w:r>
      <w:r>
        <w:rPr>
          <w:sz w:val="18"/>
        </w:rPr>
        <w:t xml:space="preserve">HvJEU 7 juni 2016, C-47/15, para. 53 (Affum); G. Cornelisse ‘Inreisverboden die (nog) geen rechtgevolgen hebben’ </w:t>
      </w:r>
      <w:r>
        <w:rPr>
          <w:i/>
          <w:sz w:val="18"/>
        </w:rPr>
        <w:t xml:space="preserve">NJB </w:t>
      </w:r>
      <w:r>
        <w:rPr>
          <w:sz w:val="18"/>
        </w:rPr>
        <w:t xml:space="preserve">2017/2034, p. 3 (online publiek); N. Ros, </w:t>
      </w:r>
      <w:r>
        <w:rPr>
          <w:i/>
          <w:sz w:val="18"/>
        </w:rPr>
        <w:t>‘De jurisprudentie van de Hoge Raad over de strafvervolging en strafoplegging wegens overtreding van artikel 197 Sr beoordeeld in het licht van het Europese recht’</w:t>
      </w:r>
      <w:r>
        <w:rPr>
          <w:sz w:val="18"/>
        </w:rPr>
        <w:t xml:space="preserve">, </w:t>
      </w:r>
      <w:r w:rsidRPr="0029326C">
        <w:rPr>
          <w:i/>
          <w:sz w:val="18"/>
        </w:rPr>
        <w:t xml:space="preserve">TPWS </w:t>
      </w:r>
      <w:r>
        <w:rPr>
          <w:sz w:val="18"/>
        </w:rPr>
        <w:t>2015/7.</w:t>
      </w:r>
    </w:p>
  </w:footnote>
  <w:footnote w:id="99">
    <w:p w14:paraId="139E7AE2" w14:textId="4C04D50E" w:rsidR="0062439A" w:rsidRDefault="0062439A">
      <w:pPr>
        <w:pStyle w:val="Voetnoottekst"/>
      </w:pPr>
      <w:r w:rsidRPr="00361E4D">
        <w:rPr>
          <w:rStyle w:val="Voetnootmarkering"/>
          <w:sz w:val="18"/>
        </w:rPr>
        <w:footnoteRef/>
      </w:r>
      <w:r w:rsidRPr="00361E4D">
        <w:rPr>
          <w:sz w:val="18"/>
        </w:rPr>
        <w:t xml:space="preserve"> </w:t>
      </w:r>
      <w:r>
        <w:rPr>
          <w:sz w:val="18"/>
        </w:rPr>
        <w:t xml:space="preserve">HR 21 mei 2013, </w:t>
      </w:r>
      <w:r w:rsidRPr="00B91B85">
        <w:rPr>
          <w:sz w:val="18"/>
        </w:rPr>
        <w:t xml:space="preserve">11/04684 </w:t>
      </w:r>
      <w:r>
        <w:rPr>
          <w:sz w:val="18"/>
        </w:rPr>
        <w:t>(ECLI:NL:HR:2013:BZ3928).</w:t>
      </w:r>
    </w:p>
  </w:footnote>
  <w:footnote w:id="100">
    <w:p w14:paraId="33A06B74" w14:textId="5FBA99CC" w:rsidR="0062439A" w:rsidRPr="00567F11" w:rsidRDefault="0062439A" w:rsidP="006221C6">
      <w:pPr>
        <w:pStyle w:val="Voetnoottekst"/>
        <w:rPr>
          <w:sz w:val="18"/>
        </w:rPr>
      </w:pPr>
      <w:r w:rsidRPr="00567F11">
        <w:rPr>
          <w:rStyle w:val="Voetnootmarkering"/>
          <w:sz w:val="18"/>
        </w:rPr>
        <w:footnoteRef/>
      </w:r>
      <w:r w:rsidRPr="00567F11">
        <w:rPr>
          <w:sz w:val="18"/>
        </w:rPr>
        <w:t xml:space="preserve"> </w:t>
      </w:r>
      <w:r>
        <w:rPr>
          <w:sz w:val="18"/>
        </w:rPr>
        <w:t>Europese Commissie, ‘</w:t>
      </w:r>
      <w:r w:rsidRPr="00567F11">
        <w:rPr>
          <w:i/>
          <w:sz w:val="18"/>
        </w:rPr>
        <w:t>Aanbeveling (EU) 2017/2338 van de Commissie</w:t>
      </w:r>
      <w:r>
        <w:rPr>
          <w:i/>
          <w:sz w:val="18"/>
        </w:rPr>
        <w:t xml:space="preserve"> van 16 november 2017</w:t>
      </w:r>
      <w:r w:rsidRPr="00567F11">
        <w:rPr>
          <w:i/>
          <w:sz w:val="18"/>
        </w:rPr>
        <w:t>’</w:t>
      </w:r>
      <w:r>
        <w:rPr>
          <w:sz w:val="18"/>
        </w:rPr>
        <w:t xml:space="preserve">, PbEU 19 december 2017, L 339/83, p. 99; J. Waasdorp, </w:t>
      </w:r>
      <w:r>
        <w:rPr>
          <w:i/>
          <w:sz w:val="18"/>
        </w:rPr>
        <w:t>‘</w:t>
      </w:r>
      <w:r w:rsidRPr="00143ADF">
        <w:rPr>
          <w:sz w:val="18"/>
        </w:rPr>
        <w:t>Strafrechtelijke aanpak van overtreding van het inreisverbod?</w:t>
      </w:r>
      <w:r>
        <w:rPr>
          <w:i/>
          <w:sz w:val="18"/>
        </w:rPr>
        <w:t>’</w:t>
      </w:r>
      <w:r>
        <w:rPr>
          <w:sz w:val="18"/>
        </w:rPr>
        <w:t xml:space="preserve">, </w:t>
      </w:r>
      <w:r w:rsidRPr="00143ADF">
        <w:rPr>
          <w:i/>
          <w:sz w:val="18"/>
        </w:rPr>
        <w:t>A&amp;MR</w:t>
      </w:r>
      <w:r>
        <w:rPr>
          <w:sz w:val="18"/>
        </w:rPr>
        <w:t xml:space="preserve"> 2018, nr. 2, p. 72 (online publiek).</w:t>
      </w:r>
    </w:p>
  </w:footnote>
  <w:footnote w:id="101">
    <w:p w14:paraId="73307FEE" w14:textId="77777777" w:rsidR="0062439A" w:rsidRPr="00D55727" w:rsidRDefault="0062439A" w:rsidP="009F68C9">
      <w:pPr>
        <w:pStyle w:val="Voetnoottekst"/>
        <w:rPr>
          <w:lang w:val="en-US"/>
        </w:rPr>
      </w:pPr>
      <w:r w:rsidRPr="00DE05AF">
        <w:rPr>
          <w:rStyle w:val="Voetnootmarkering"/>
          <w:sz w:val="18"/>
        </w:rPr>
        <w:footnoteRef/>
      </w:r>
      <w:r w:rsidRPr="00D55727">
        <w:rPr>
          <w:sz w:val="18"/>
          <w:lang w:val="en-US"/>
        </w:rPr>
        <w:t xml:space="preserve"> HvJEU 26 juli 2017, C-225/16 (Ouhrami), para. 33.</w:t>
      </w:r>
    </w:p>
  </w:footnote>
  <w:footnote w:id="102">
    <w:p w14:paraId="36018EA5" w14:textId="77777777" w:rsidR="0062439A" w:rsidRDefault="0062439A" w:rsidP="004F48FC">
      <w:pPr>
        <w:pStyle w:val="Voetnoottekst"/>
      </w:pPr>
      <w:r w:rsidRPr="00C04617">
        <w:rPr>
          <w:rStyle w:val="Voetnootmarkering"/>
          <w:sz w:val="18"/>
        </w:rPr>
        <w:footnoteRef/>
      </w:r>
      <w:r w:rsidRPr="00D55727">
        <w:rPr>
          <w:lang w:val="en-US"/>
        </w:rPr>
        <w:t xml:space="preserve"> </w:t>
      </w:r>
      <w:r w:rsidRPr="00D55727">
        <w:rPr>
          <w:sz w:val="18"/>
          <w:lang w:val="en-US"/>
        </w:rPr>
        <w:t xml:space="preserve">HvJEU 26 juli 2017, C-225/16 (Ouhrami), para. </w:t>
      </w:r>
      <w:r>
        <w:rPr>
          <w:sz w:val="18"/>
        </w:rPr>
        <w:t>53 en 58.</w:t>
      </w:r>
    </w:p>
  </w:footnote>
  <w:footnote w:id="103">
    <w:p w14:paraId="74CA1ADE" w14:textId="77777777" w:rsidR="0062439A" w:rsidRDefault="0062439A" w:rsidP="004F48FC">
      <w:pPr>
        <w:pStyle w:val="Voetnoottekst"/>
      </w:pPr>
      <w:r w:rsidRPr="00C04617">
        <w:rPr>
          <w:rStyle w:val="Voetnootmarkering"/>
          <w:sz w:val="18"/>
        </w:rPr>
        <w:footnoteRef/>
      </w:r>
      <w:r w:rsidRPr="00C04617">
        <w:rPr>
          <w:sz w:val="18"/>
        </w:rPr>
        <w:t xml:space="preserve"> </w:t>
      </w:r>
      <w:r>
        <w:rPr>
          <w:sz w:val="18"/>
        </w:rPr>
        <w:t xml:space="preserve">HR 21 mei 2013, </w:t>
      </w:r>
      <w:r w:rsidRPr="00B91B85">
        <w:rPr>
          <w:sz w:val="18"/>
        </w:rPr>
        <w:t xml:space="preserve">11/04684 </w:t>
      </w:r>
      <w:r>
        <w:rPr>
          <w:sz w:val="18"/>
        </w:rPr>
        <w:t>(ECLI:NL:HR:2013:BZ3928).</w:t>
      </w:r>
    </w:p>
  </w:footnote>
  <w:footnote w:id="104">
    <w:p w14:paraId="0875A911" w14:textId="77777777" w:rsidR="0062439A" w:rsidRPr="00D55727" w:rsidRDefault="0062439A" w:rsidP="004F48FC">
      <w:pPr>
        <w:pStyle w:val="Voetnoottekst"/>
        <w:rPr>
          <w:lang w:val="en-US"/>
        </w:rPr>
      </w:pPr>
      <w:r w:rsidRPr="00571CA5">
        <w:rPr>
          <w:rStyle w:val="Voetnootmarkering"/>
          <w:sz w:val="18"/>
        </w:rPr>
        <w:footnoteRef/>
      </w:r>
      <w:r w:rsidRPr="00D55727">
        <w:rPr>
          <w:lang w:val="en-US"/>
        </w:rPr>
        <w:t xml:space="preserve"> </w:t>
      </w:r>
      <w:r w:rsidRPr="00D55727">
        <w:rPr>
          <w:sz w:val="18"/>
          <w:lang w:val="en-US"/>
        </w:rPr>
        <w:t>HvJEU 26 juli 2017, C-225/16 (Ouhrami), para. 47.</w:t>
      </w:r>
    </w:p>
  </w:footnote>
  <w:footnote w:id="105">
    <w:p w14:paraId="24E3B2BD" w14:textId="77777777" w:rsidR="0062439A" w:rsidRPr="00D55727" w:rsidRDefault="0062439A" w:rsidP="004F48FC">
      <w:pPr>
        <w:pStyle w:val="Voetnoottekst"/>
        <w:rPr>
          <w:lang w:val="en-US"/>
        </w:rPr>
      </w:pPr>
      <w:r w:rsidRPr="004A2102">
        <w:rPr>
          <w:rStyle w:val="Voetnootmarkering"/>
          <w:sz w:val="18"/>
        </w:rPr>
        <w:footnoteRef/>
      </w:r>
      <w:r w:rsidRPr="00D55727">
        <w:rPr>
          <w:sz w:val="18"/>
          <w:lang w:val="en-US"/>
        </w:rPr>
        <w:t xml:space="preserve"> HvJEU 26 juli 2017, C-225/16 (Ouhrami), para. 50.</w:t>
      </w:r>
    </w:p>
  </w:footnote>
  <w:footnote w:id="106">
    <w:p w14:paraId="4E4CD407" w14:textId="77777777" w:rsidR="0062439A" w:rsidRPr="00D55727" w:rsidRDefault="0062439A" w:rsidP="004F48FC">
      <w:pPr>
        <w:pStyle w:val="Voetnoottekst"/>
        <w:rPr>
          <w:sz w:val="18"/>
          <w:lang w:val="en-US"/>
        </w:rPr>
      </w:pPr>
      <w:r w:rsidRPr="00C66DB4">
        <w:rPr>
          <w:rStyle w:val="Voetnootmarkering"/>
          <w:sz w:val="18"/>
        </w:rPr>
        <w:footnoteRef/>
      </w:r>
      <w:r w:rsidRPr="00D55727">
        <w:rPr>
          <w:sz w:val="18"/>
          <w:lang w:val="en-US"/>
        </w:rPr>
        <w:t xml:space="preserve"> HvJEU 26 juli 2017, C-225/16 (Ouhrami), para. 45.</w:t>
      </w:r>
    </w:p>
  </w:footnote>
  <w:footnote w:id="107">
    <w:p w14:paraId="746EE270" w14:textId="77777777" w:rsidR="0062439A" w:rsidRPr="00D55727" w:rsidRDefault="0062439A" w:rsidP="004F48FC">
      <w:pPr>
        <w:pStyle w:val="Voetnoottekst"/>
        <w:rPr>
          <w:sz w:val="18"/>
          <w:lang w:val="en-US"/>
        </w:rPr>
      </w:pPr>
      <w:r w:rsidRPr="00B30C8E">
        <w:rPr>
          <w:rStyle w:val="Voetnootmarkering"/>
          <w:sz w:val="18"/>
        </w:rPr>
        <w:footnoteRef/>
      </w:r>
      <w:r w:rsidRPr="00D55727">
        <w:rPr>
          <w:sz w:val="18"/>
          <w:lang w:val="en-US"/>
        </w:rPr>
        <w:t xml:space="preserve"> HvJEU 26 juli 2017, C-225/16 (Ouhrami), para. 43.</w:t>
      </w:r>
    </w:p>
  </w:footnote>
  <w:footnote w:id="108">
    <w:p w14:paraId="5CF1D0FB" w14:textId="77777777" w:rsidR="0062439A" w:rsidRPr="00D55727" w:rsidRDefault="0062439A" w:rsidP="004F48FC">
      <w:pPr>
        <w:pStyle w:val="Voetnoottekst"/>
        <w:rPr>
          <w:lang w:val="en-US"/>
        </w:rPr>
      </w:pPr>
      <w:r w:rsidRPr="00A01A4B">
        <w:rPr>
          <w:rStyle w:val="Voetnootmarkering"/>
          <w:sz w:val="18"/>
        </w:rPr>
        <w:footnoteRef/>
      </w:r>
      <w:r w:rsidRPr="00D55727">
        <w:rPr>
          <w:sz w:val="18"/>
          <w:lang w:val="en-US"/>
        </w:rPr>
        <w:t xml:space="preserve"> HvJEU 26 juli 2017, C-225/16 (Ouhrami), para. 48.</w:t>
      </w:r>
    </w:p>
  </w:footnote>
  <w:footnote w:id="109">
    <w:p w14:paraId="43EB1569" w14:textId="77777777" w:rsidR="0062439A" w:rsidRPr="00C25BDA" w:rsidRDefault="0062439A" w:rsidP="004F48FC">
      <w:pPr>
        <w:pStyle w:val="Voetnoottekst"/>
        <w:rPr>
          <w:sz w:val="18"/>
          <w:lang w:val="en-US"/>
        </w:rPr>
      </w:pPr>
      <w:r w:rsidRPr="00E82A3A">
        <w:rPr>
          <w:rStyle w:val="Voetnootmarkering"/>
          <w:sz w:val="18"/>
        </w:rPr>
        <w:footnoteRef/>
      </w:r>
      <w:r w:rsidRPr="00D55727">
        <w:rPr>
          <w:sz w:val="18"/>
          <w:lang w:val="en-US"/>
        </w:rPr>
        <w:t xml:space="preserve"> HvJEU 26 juli 2017, C-225/16 (Ouhrami), para. </w:t>
      </w:r>
      <w:r w:rsidRPr="00C25BDA">
        <w:rPr>
          <w:sz w:val="18"/>
          <w:lang w:val="en-US"/>
        </w:rPr>
        <w:t>49.</w:t>
      </w:r>
    </w:p>
  </w:footnote>
  <w:footnote w:id="110">
    <w:p w14:paraId="3AD36E6E" w14:textId="45E6C721" w:rsidR="0062439A" w:rsidRDefault="0062439A">
      <w:pPr>
        <w:pStyle w:val="Voetnoottekst"/>
      </w:pPr>
      <w:r w:rsidRPr="001E7855">
        <w:rPr>
          <w:rStyle w:val="Voetnootmarkering"/>
          <w:sz w:val="18"/>
        </w:rPr>
        <w:footnoteRef/>
      </w:r>
      <w:r w:rsidRPr="00863199">
        <w:rPr>
          <w:lang w:val="en-US"/>
        </w:rPr>
        <w:t xml:space="preserve"> </w:t>
      </w:r>
      <w:r w:rsidRPr="00863199">
        <w:rPr>
          <w:sz w:val="18"/>
          <w:lang w:val="en-US"/>
        </w:rPr>
        <w:t xml:space="preserve">HvJEU 26 juli 2017, C-225/16 (Ouhrami), para. </w:t>
      </w:r>
      <w:r>
        <w:rPr>
          <w:sz w:val="18"/>
        </w:rPr>
        <w:t xml:space="preserve">55 en 56; </w:t>
      </w:r>
      <w:r w:rsidRPr="001C1577">
        <w:rPr>
          <w:sz w:val="18"/>
        </w:rPr>
        <w:t xml:space="preserve">J.R.K.A.M. Waasdorp en A. Pahladsingh, </w:t>
      </w:r>
      <w:r w:rsidRPr="001C1577">
        <w:rPr>
          <w:i/>
          <w:sz w:val="18"/>
        </w:rPr>
        <w:t>‘Het inreisverbod – over de doorwerking van deze Unierechtelijke maatregel in het Nederlandse vreemdelingenstrafrecht’</w:t>
      </w:r>
      <w:r w:rsidRPr="001C1577">
        <w:rPr>
          <w:sz w:val="18"/>
        </w:rPr>
        <w:t>, Den Haag: Sdu uitgevers 2018</w:t>
      </w:r>
      <w:r>
        <w:rPr>
          <w:sz w:val="18"/>
        </w:rPr>
        <w:t>, p. 87.</w:t>
      </w:r>
    </w:p>
  </w:footnote>
  <w:footnote w:id="111">
    <w:p w14:paraId="0E06533F" w14:textId="46521E9A" w:rsidR="0062439A" w:rsidRPr="00456B89" w:rsidRDefault="0062439A">
      <w:pPr>
        <w:pStyle w:val="Voetnoottekst"/>
        <w:rPr>
          <w:sz w:val="18"/>
        </w:rPr>
      </w:pPr>
      <w:r w:rsidRPr="00456B89">
        <w:rPr>
          <w:rStyle w:val="Voetnootmarkering"/>
          <w:sz w:val="18"/>
        </w:rPr>
        <w:footnoteRef/>
      </w:r>
      <w:r w:rsidRPr="00456B89">
        <w:rPr>
          <w:sz w:val="18"/>
        </w:rPr>
        <w:t xml:space="preserve"> </w:t>
      </w:r>
      <w:r>
        <w:rPr>
          <w:sz w:val="18"/>
        </w:rPr>
        <w:t>De Kwalificatierichtlijn (richtlijn 2011/95/EU) is van toepassing, zie paragraaf 2.4.4.</w:t>
      </w:r>
    </w:p>
  </w:footnote>
  <w:footnote w:id="112">
    <w:p w14:paraId="6D3E22C0" w14:textId="6B82D8E2" w:rsidR="0062439A" w:rsidRDefault="0062439A">
      <w:pPr>
        <w:pStyle w:val="Voetnoottekst"/>
      </w:pPr>
      <w:r w:rsidRPr="00456B89">
        <w:rPr>
          <w:rStyle w:val="Voetnootmarkering"/>
          <w:sz w:val="18"/>
        </w:rPr>
        <w:footnoteRef/>
      </w:r>
      <w:r w:rsidRPr="00456B89">
        <w:rPr>
          <w:sz w:val="18"/>
        </w:rPr>
        <w:t xml:space="preserve"> </w:t>
      </w:r>
      <w:r>
        <w:rPr>
          <w:sz w:val="18"/>
        </w:rPr>
        <w:t>De Gezinsherenigingsrichtlijn (richtlijn 2003/86/EG) is van toepassing, zie paragraaf 2.4.4.</w:t>
      </w:r>
    </w:p>
  </w:footnote>
  <w:footnote w:id="113">
    <w:p w14:paraId="33E89865" w14:textId="72F419DB" w:rsidR="0062439A" w:rsidRDefault="0062439A" w:rsidP="00C428E5">
      <w:pPr>
        <w:pStyle w:val="Voetnoottekst"/>
      </w:pPr>
      <w:r w:rsidRPr="00742357">
        <w:rPr>
          <w:rStyle w:val="Voetnootmarkering"/>
          <w:sz w:val="18"/>
        </w:rPr>
        <w:footnoteRef/>
      </w:r>
      <w:r w:rsidRPr="00742357">
        <w:rPr>
          <w:sz w:val="18"/>
        </w:rPr>
        <w:t xml:space="preserve"> </w:t>
      </w:r>
      <w:r>
        <w:rPr>
          <w:sz w:val="18"/>
        </w:rPr>
        <w:t>Deze quote is afkomstig uit dossier 2, maar een soortgelijke motivering is ook in alle andere dossiers terug te vinden.</w:t>
      </w:r>
    </w:p>
  </w:footnote>
  <w:footnote w:id="114">
    <w:p w14:paraId="457A31C5" w14:textId="636C3F48" w:rsidR="0062439A" w:rsidRDefault="0062439A">
      <w:pPr>
        <w:pStyle w:val="Voetnoottekst"/>
      </w:pPr>
      <w:r w:rsidRPr="00E74E9B">
        <w:rPr>
          <w:rStyle w:val="Voetnootmarkering"/>
          <w:sz w:val="18"/>
        </w:rPr>
        <w:footnoteRef/>
      </w:r>
      <w:r w:rsidRPr="00E74E9B">
        <w:rPr>
          <w:sz w:val="18"/>
        </w:rPr>
        <w:t xml:space="preserve"> </w:t>
      </w:r>
      <w:r>
        <w:rPr>
          <w:sz w:val="18"/>
        </w:rPr>
        <w:t>Dit was het geval in dossier 1, dossier 2, dossier 3, dossier 4, dossier 5, dossier 9, dossier 10, dossier 11 en dossier 12.</w:t>
      </w:r>
    </w:p>
  </w:footnote>
  <w:footnote w:id="115">
    <w:p w14:paraId="7EC8ADB8" w14:textId="4E49BB18" w:rsidR="0062439A" w:rsidRDefault="0062439A">
      <w:pPr>
        <w:pStyle w:val="Voetnoottekst"/>
      </w:pPr>
      <w:r w:rsidRPr="002B562E">
        <w:rPr>
          <w:rStyle w:val="Voetnootmarkering"/>
          <w:sz w:val="18"/>
        </w:rPr>
        <w:footnoteRef/>
      </w:r>
      <w:r w:rsidRPr="002B562E">
        <w:rPr>
          <w:sz w:val="18"/>
        </w:rPr>
        <w:t xml:space="preserve"> </w:t>
      </w:r>
      <w:r>
        <w:rPr>
          <w:sz w:val="18"/>
        </w:rPr>
        <w:t>Dit betreffen belangen die niet door de IND zijn betrokken bij de beoordeling.</w:t>
      </w:r>
    </w:p>
  </w:footnote>
  <w:footnote w:id="116">
    <w:p w14:paraId="78FC5814" w14:textId="77777777" w:rsidR="0062439A" w:rsidRDefault="0062439A" w:rsidP="00866621">
      <w:pPr>
        <w:pStyle w:val="Voetnoottekst"/>
      </w:pPr>
      <w:r w:rsidRPr="0090469D">
        <w:rPr>
          <w:rStyle w:val="Voetnootmarkering"/>
          <w:sz w:val="18"/>
        </w:rPr>
        <w:footnoteRef/>
      </w:r>
      <w:r w:rsidRPr="0090469D">
        <w:rPr>
          <w:sz w:val="18"/>
        </w:rPr>
        <w:t xml:space="preserve"> </w:t>
      </w:r>
      <w:r>
        <w:rPr>
          <w:sz w:val="18"/>
        </w:rPr>
        <w:t>Dossier 2, dossier 10 en dossier 11.</w:t>
      </w:r>
    </w:p>
  </w:footnote>
  <w:footnote w:id="117">
    <w:p w14:paraId="250E57AF" w14:textId="67B72EBC" w:rsidR="0062439A" w:rsidRDefault="0062439A" w:rsidP="00C64293">
      <w:pPr>
        <w:pStyle w:val="Voetnoottekst"/>
      </w:pPr>
      <w:r w:rsidRPr="00A54140">
        <w:rPr>
          <w:rStyle w:val="Voetnootmarkering"/>
          <w:sz w:val="18"/>
        </w:rPr>
        <w:footnoteRef/>
      </w:r>
      <w:r w:rsidRPr="00A54140">
        <w:rPr>
          <w:sz w:val="18"/>
        </w:rPr>
        <w:t xml:space="preserve"> </w:t>
      </w:r>
      <w:r>
        <w:rPr>
          <w:sz w:val="18"/>
        </w:rPr>
        <w:t>In dossiers 2, 10 en 11 had dit te maken met: de duur van het verblijf van de vreemdeling in Nederland, de gezinssituatie van de vreemdeling, de banden van de vreemdeling met Nederland en de banden van de vreemdeling met het derde land.</w:t>
      </w:r>
    </w:p>
  </w:footnote>
  <w:footnote w:id="118">
    <w:p w14:paraId="0C3FCF96" w14:textId="30898DE1" w:rsidR="0062439A" w:rsidRPr="00A659AD" w:rsidRDefault="0062439A">
      <w:pPr>
        <w:pStyle w:val="Voetnoottekst"/>
        <w:rPr>
          <w:sz w:val="18"/>
        </w:rPr>
      </w:pPr>
      <w:r w:rsidRPr="00A659AD">
        <w:rPr>
          <w:rStyle w:val="Voetnootmarkering"/>
          <w:sz w:val="18"/>
        </w:rPr>
        <w:footnoteRef/>
      </w:r>
      <w:r w:rsidRPr="00A659AD">
        <w:rPr>
          <w:sz w:val="18"/>
        </w:rPr>
        <w:t xml:space="preserve"> </w:t>
      </w:r>
      <w:r>
        <w:rPr>
          <w:sz w:val="18"/>
        </w:rPr>
        <w:t>Deze quote is afkomstig uit dossier 2, maar een soortgelijke motivering is ook in dossier 10 en 11 terug te vinden.</w:t>
      </w:r>
    </w:p>
  </w:footnote>
  <w:footnote w:id="119">
    <w:p w14:paraId="3246A32D" w14:textId="73FAF687" w:rsidR="0062439A" w:rsidRDefault="0062439A" w:rsidP="00C64293">
      <w:pPr>
        <w:pStyle w:val="Voetnoottekst"/>
      </w:pPr>
      <w:r w:rsidRPr="008D0DDE">
        <w:rPr>
          <w:rStyle w:val="Voetnootmarkering"/>
          <w:sz w:val="18"/>
        </w:rPr>
        <w:footnoteRef/>
      </w:r>
      <w:r w:rsidRPr="008D0DDE">
        <w:rPr>
          <w:sz w:val="18"/>
        </w:rPr>
        <w:t xml:space="preserve"> </w:t>
      </w:r>
      <w:r>
        <w:rPr>
          <w:sz w:val="18"/>
        </w:rPr>
        <w:t xml:space="preserve">Een voorbeeld van een dergelijke algemene motivering is: </w:t>
      </w:r>
      <w:r w:rsidRPr="008D0DDE">
        <w:rPr>
          <w:i/>
          <w:sz w:val="18"/>
        </w:rPr>
        <w:t>‘De normale binding die ontstaat met Nederland enkel door het langdurige verblijf hier te lande, zoals het voorzien in eigen levensonderhoud en het aangaan van vriendschappen is op zichzelf niet voldoende om een schending van het privéleven aan te nemen.</w:t>
      </w:r>
      <w:r>
        <w:rPr>
          <w:i/>
          <w:sz w:val="18"/>
        </w:rPr>
        <w:t xml:space="preserve"> De belangenafweging valt om deze reden uit in het nadeel van de betrokkene/</w:t>
      </w:r>
      <w:r w:rsidRPr="008D0DDE">
        <w:rPr>
          <w:i/>
          <w:sz w:val="18"/>
        </w:rPr>
        <w:t>’</w:t>
      </w:r>
    </w:p>
  </w:footnote>
  <w:footnote w:id="120">
    <w:p w14:paraId="36C4F638" w14:textId="4B90FE0E" w:rsidR="0062439A" w:rsidRDefault="0062439A">
      <w:pPr>
        <w:pStyle w:val="Voetnoottekst"/>
      </w:pPr>
      <w:r w:rsidRPr="00F6498E">
        <w:rPr>
          <w:rStyle w:val="Voetnootmarkering"/>
          <w:sz w:val="18"/>
        </w:rPr>
        <w:footnoteRef/>
      </w:r>
      <w:r w:rsidRPr="00F6498E">
        <w:rPr>
          <w:sz w:val="18"/>
        </w:rPr>
        <w:t xml:space="preserve"> </w:t>
      </w:r>
      <w:r>
        <w:rPr>
          <w:sz w:val="18"/>
        </w:rPr>
        <w:t>Deze quote is afkomstig uit dossier 6, maar een soortgelijke motivering is ook in alle andere dossiers terug te vinden.</w:t>
      </w:r>
    </w:p>
  </w:footnote>
  <w:footnote w:id="121">
    <w:p w14:paraId="77C3A379" w14:textId="19516F6A" w:rsidR="0062439A" w:rsidRDefault="0062439A">
      <w:pPr>
        <w:pStyle w:val="Voetnoottekst"/>
      </w:pPr>
      <w:r w:rsidRPr="007A3FFA">
        <w:rPr>
          <w:rStyle w:val="Voetnootmarkering"/>
          <w:sz w:val="18"/>
        </w:rPr>
        <w:footnoteRef/>
      </w:r>
      <w:r w:rsidRPr="007A3FFA">
        <w:rPr>
          <w:sz w:val="18"/>
        </w:rPr>
        <w:t xml:space="preserve"> </w:t>
      </w:r>
      <w:r>
        <w:rPr>
          <w:sz w:val="18"/>
        </w:rPr>
        <w:t xml:space="preserve">Dossier 2, dossier 3, dossier 4, dossier 5, dossier 6, dossier 7, dossier 10 en dossier 11. </w:t>
      </w:r>
    </w:p>
  </w:footnote>
  <w:footnote w:id="122">
    <w:p w14:paraId="7EF8C5BA" w14:textId="00272AC9" w:rsidR="0062439A" w:rsidRDefault="0062439A">
      <w:pPr>
        <w:pStyle w:val="Voetnoottekst"/>
      </w:pPr>
      <w:r w:rsidRPr="00AC54B7">
        <w:rPr>
          <w:rStyle w:val="Voetnootmarkering"/>
          <w:sz w:val="18"/>
        </w:rPr>
        <w:footnoteRef/>
      </w:r>
      <w:r w:rsidRPr="00AC54B7">
        <w:rPr>
          <w:sz w:val="18"/>
        </w:rPr>
        <w:t xml:space="preserve"> </w:t>
      </w:r>
      <w:r>
        <w:rPr>
          <w:sz w:val="18"/>
        </w:rPr>
        <w:t>Deze quote is afkomstig uit dossier 6, maar een soortgelijke motivering is ook in de andere acht dossiers terug te vinden.</w:t>
      </w:r>
    </w:p>
  </w:footnote>
  <w:footnote w:id="123">
    <w:p w14:paraId="6DE7AFC7" w14:textId="258DA417" w:rsidR="0062439A" w:rsidRDefault="0062439A">
      <w:pPr>
        <w:pStyle w:val="Voetnoottekst"/>
      </w:pPr>
      <w:r w:rsidRPr="00894D67">
        <w:rPr>
          <w:rStyle w:val="Voetnootmarkering"/>
          <w:sz w:val="18"/>
        </w:rPr>
        <w:footnoteRef/>
      </w:r>
      <w:r w:rsidRPr="00894D67">
        <w:rPr>
          <w:sz w:val="18"/>
        </w:rPr>
        <w:t xml:space="preserve"> </w:t>
      </w:r>
      <w:r>
        <w:rPr>
          <w:sz w:val="18"/>
        </w:rPr>
        <w:t>Dossier 7.</w:t>
      </w:r>
    </w:p>
  </w:footnote>
  <w:footnote w:id="124">
    <w:p w14:paraId="06EF7ACD" w14:textId="76468BCC" w:rsidR="0062439A" w:rsidRDefault="0062439A">
      <w:pPr>
        <w:pStyle w:val="Voetnoottekst"/>
      </w:pPr>
      <w:r w:rsidRPr="008A1012">
        <w:rPr>
          <w:rStyle w:val="Voetnootmarkering"/>
          <w:sz w:val="18"/>
        </w:rPr>
        <w:footnoteRef/>
      </w:r>
      <w:r w:rsidRPr="008A1012">
        <w:rPr>
          <w:sz w:val="18"/>
        </w:rPr>
        <w:t xml:space="preserve"> </w:t>
      </w:r>
      <w:r>
        <w:rPr>
          <w:sz w:val="18"/>
        </w:rPr>
        <w:t>Dossier 2, dossier 3, dossier 4, dossier 5, dossier 6, dossier 10 en dossier 11.</w:t>
      </w:r>
    </w:p>
  </w:footnote>
  <w:footnote w:id="125">
    <w:p w14:paraId="2BEFC0EE" w14:textId="463433B8" w:rsidR="0062439A" w:rsidRDefault="0062439A">
      <w:pPr>
        <w:pStyle w:val="Voetnoottekst"/>
      </w:pPr>
      <w:r w:rsidRPr="006F3EE4">
        <w:rPr>
          <w:rStyle w:val="Voetnootmarkering"/>
          <w:sz w:val="18"/>
        </w:rPr>
        <w:footnoteRef/>
      </w:r>
      <w:r w:rsidRPr="006F3EE4">
        <w:rPr>
          <w:sz w:val="18"/>
        </w:rPr>
        <w:t xml:space="preserve"> </w:t>
      </w:r>
      <w:r>
        <w:rPr>
          <w:sz w:val="18"/>
        </w:rPr>
        <w:t>Dossier 8, dossier 9, dossier 12 en dossier 13.</w:t>
      </w:r>
    </w:p>
  </w:footnote>
  <w:footnote w:id="126">
    <w:p w14:paraId="4DA76A5D" w14:textId="57BE7C86" w:rsidR="0062439A" w:rsidRDefault="0062439A">
      <w:pPr>
        <w:pStyle w:val="Voetnoottekst"/>
      </w:pPr>
      <w:r w:rsidRPr="00534684">
        <w:rPr>
          <w:rStyle w:val="Voetnootmarkering"/>
          <w:sz w:val="18"/>
        </w:rPr>
        <w:footnoteRef/>
      </w:r>
      <w:r w:rsidRPr="00534684">
        <w:rPr>
          <w:sz w:val="18"/>
        </w:rPr>
        <w:t xml:space="preserve"> </w:t>
      </w:r>
      <w:r>
        <w:rPr>
          <w:sz w:val="18"/>
        </w:rPr>
        <w:t>Uitspraak 9 en uitspraak 20.</w:t>
      </w:r>
    </w:p>
  </w:footnote>
  <w:footnote w:id="127">
    <w:p w14:paraId="62CF6930" w14:textId="0CD81F87" w:rsidR="0062439A" w:rsidRDefault="0062439A">
      <w:pPr>
        <w:pStyle w:val="Voetnoottekst"/>
      </w:pPr>
      <w:r w:rsidRPr="00D333BE">
        <w:rPr>
          <w:rStyle w:val="Voetnootmarkering"/>
          <w:sz w:val="18"/>
        </w:rPr>
        <w:footnoteRef/>
      </w:r>
      <w:r w:rsidRPr="00D333BE">
        <w:rPr>
          <w:sz w:val="18"/>
        </w:rPr>
        <w:t xml:space="preserve"> </w:t>
      </w:r>
      <w:r>
        <w:rPr>
          <w:sz w:val="18"/>
        </w:rPr>
        <w:t>Deze quote is afkomstig uit dossier 20.</w:t>
      </w:r>
    </w:p>
  </w:footnote>
  <w:footnote w:id="128">
    <w:p w14:paraId="6720D1BE" w14:textId="6132D435" w:rsidR="0062439A" w:rsidRDefault="0062439A">
      <w:pPr>
        <w:pStyle w:val="Voetnoottekst"/>
      </w:pPr>
      <w:r w:rsidRPr="00B91BF6">
        <w:rPr>
          <w:rStyle w:val="Voetnootmarkering"/>
          <w:sz w:val="18"/>
        </w:rPr>
        <w:footnoteRef/>
      </w:r>
      <w:r w:rsidRPr="00B91BF6">
        <w:rPr>
          <w:sz w:val="18"/>
        </w:rPr>
        <w:t xml:space="preserve"> </w:t>
      </w:r>
      <w:r>
        <w:rPr>
          <w:sz w:val="18"/>
        </w:rPr>
        <w:t>De duur van de opgelegde gevangenisstraffen varieerde in de uitspraken van 9 weken tot en met 4 maanden.</w:t>
      </w:r>
    </w:p>
  </w:footnote>
  <w:footnote w:id="129">
    <w:p w14:paraId="77C06B0F" w14:textId="51952BBC" w:rsidR="0062439A" w:rsidRDefault="0062439A">
      <w:pPr>
        <w:pStyle w:val="Voetnoottekst"/>
      </w:pPr>
      <w:r w:rsidRPr="000559F9">
        <w:rPr>
          <w:rStyle w:val="Voetnootmarkering"/>
          <w:sz w:val="18"/>
        </w:rPr>
        <w:footnoteRef/>
      </w:r>
      <w:r w:rsidRPr="000559F9">
        <w:rPr>
          <w:sz w:val="18"/>
        </w:rPr>
        <w:t xml:space="preserve"> </w:t>
      </w:r>
      <w:r>
        <w:rPr>
          <w:sz w:val="18"/>
        </w:rPr>
        <w:t>Uitspraak 16.</w:t>
      </w:r>
    </w:p>
  </w:footnote>
  <w:footnote w:id="130">
    <w:p w14:paraId="3F62B675" w14:textId="5D7B91A4" w:rsidR="0062439A" w:rsidRDefault="0062439A">
      <w:pPr>
        <w:pStyle w:val="Voetnoottekst"/>
      </w:pPr>
      <w:r w:rsidRPr="003362FA">
        <w:rPr>
          <w:rStyle w:val="Voetnootmarkering"/>
          <w:sz w:val="18"/>
        </w:rPr>
        <w:footnoteRef/>
      </w:r>
      <w:r w:rsidRPr="003362FA">
        <w:rPr>
          <w:sz w:val="18"/>
        </w:rPr>
        <w:t xml:space="preserve"> </w:t>
      </w:r>
      <w:r>
        <w:rPr>
          <w:sz w:val="18"/>
        </w:rPr>
        <w:t xml:space="preserve">Reden hiervoor was dat de Terugkeerprocedure naar het oordeel van de strafrechter nog niet was doorlopen. </w:t>
      </w:r>
    </w:p>
  </w:footnote>
  <w:footnote w:id="131">
    <w:p w14:paraId="34FA85F7" w14:textId="76A9F2FF" w:rsidR="0062439A" w:rsidRDefault="0062439A">
      <w:pPr>
        <w:pStyle w:val="Voetnoottekst"/>
      </w:pPr>
      <w:r w:rsidRPr="00B06E5C">
        <w:rPr>
          <w:rStyle w:val="Voetnootmarkering"/>
          <w:sz w:val="18"/>
        </w:rPr>
        <w:footnoteRef/>
      </w:r>
      <w:r w:rsidRPr="00B06E5C">
        <w:rPr>
          <w:sz w:val="18"/>
        </w:rPr>
        <w:t xml:space="preserve"> </w:t>
      </w:r>
      <w:r>
        <w:rPr>
          <w:sz w:val="18"/>
        </w:rPr>
        <w:t>In een drietal zaken ging het bij de bewijsoverwegingen ook om de ontvankelijkheid van het Openbaar Ministerie.</w:t>
      </w:r>
    </w:p>
  </w:footnote>
  <w:footnote w:id="132">
    <w:p w14:paraId="33C8878D" w14:textId="68354AAA" w:rsidR="0062439A" w:rsidRDefault="0062439A">
      <w:pPr>
        <w:pStyle w:val="Voetnoottekst"/>
      </w:pPr>
      <w:r w:rsidRPr="004E183E">
        <w:rPr>
          <w:rStyle w:val="Voetnootmarkering"/>
          <w:sz w:val="18"/>
        </w:rPr>
        <w:footnoteRef/>
      </w:r>
      <w:r w:rsidRPr="004E183E">
        <w:rPr>
          <w:sz w:val="18"/>
        </w:rPr>
        <w:t xml:space="preserve"> </w:t>
      </w:r>
      <w:r>
        <w:rPr>
          <w:sz w:val="18"/>
        </w:rPr>
        <w:t xml:space="preserve">In alle uitspraken komen, afhankelijk indien van toepassing, de volgende overwegingen terug bij de beoordeling of de terugkeerprocedure volledig is doorlopen: 1) vreemdeling heeft in vreemdelingenbewaring gezeten, 2) er heeft een presentatie plaatsgevonden, 3) er zijn vertrekgesprekken geweest en 4) verdachte heeft zelf geen adequate pogingen ondernomen om een reisdocument te verkrijgen zodat hij Nederland kan verlaten. </w:t>
      </w:r>
    </w:p>
  </w:footnote>
  <w:footnote w:id="133">
    <w:p w14:paraId="62225E08" w14:textId="6271B674" w:rsidR="0062439A" w:rsidRDefault="0062439A">
      <w:pPr>
        <w:pStyle w:val="Voetnoottekst"/>
      </w:pPr>
      <w:r w:rsidRPr="00993A59">
        <w:rPr>
          <w:rStyle w:val="Voetnootmarkering"/>
          <w:sz w:val="18"/>
        </w:rPr>
        <w:footnoteRef/>
      </w:r>
      <w:r w:rsidRPr="00993A59">
        <w:rPr>
          <w:sz w:val="18"/>
        </w:rPr>
        <w:t xml:space="preserve"> </w:t>
      </w:r>
      <w:r>
        <w:rPr>
          <w:sz w:val="18"/>
        </w:rPr>
        <w:t>Let wel: deze gronden kunnen slechts worden gebruikt wanneer de vreemdeling het grondgebied van de lidstaten nog niet heeft verlaten. Kijkend naar het Ouhrami arrest is het inreisverbod bij terugkeer immers wel reeds in werking getreden.</w:t>
      </w:r>
    </w:p>
  </w:footnote>
  <w:footnote w:id="134">
    <w:p w14:paraId="60FF1FDF" w14:textId="57897817" w:rsidR="0062439A" w:rsidRDefault="0062439A">
      <w:pPr>
        <w:pStyle w:val="Voetnoottekst"/>
      </w:pPr>
      <w:r w:rsidRPr="00F56C15">
        <w:rPr>
          <w:rStyle w:val="Voetnootmarkering"/>
          <w:sz w:val="18"/>
        </w:rPr>
        <w:footnoteRef/>
      </w:r>
      <w:r w:rsidRPr="00F56C15">
        <w:rPr>
          <w:sz w:val="18"/>
        </w:rPr>
        <w:t xml:space="preserve"> </w:t>
      </w:r>
      <w:r>
        <w:rPr>
          <w:sz w:val="18"/>
        </w:rPr>
        <w:t>Let wel: deze gronden kunnen slechts worden gebruikt wanneer het Unierecht van toepassing is. Uit het onderhavige onderzoek is gebleken dat dit in veel gevallen wel het geval is.</w:t>
      </w:r>
    </w:p>
  </w:footnote>
  <w:footnote w:id="135">
    <w:p w14:paraId="257B270C" w14:textId="77777777" w:rsidR="0062439A" w:rsidRDefault="0062439A" w:rsidP="00FA2CC0">
      <w:pPr>
        <w:pStyle w:val="Voetnoottekst"/>
      </w:pPr>
      <w:r w:rsidRPr="00DE6D3F">
        <w:rPr>
          <w:rStyle w:val="Voetnootmarkering"/>
          <w:sz w:val="18"/>
        </w:rPr>
        <w:footnoteRef/>
      </w:r>
      <w:r w:rsidRPr="00DE6D3F">
        <w:rPr>
          <w:sz w:val="18"/>
        </w:rPr>
        <w:t xml:space="preserve"> </w:t>
      </w:r>
      <w:r>
        <w:rPr>
          <w:sz w:val="18"/>
        </w:rPr>
        <w:t>Let wel: deze gronden kunnen slechts worden gebruikt wanneer het Unierecht van toepassing is. Daarbij zullen de exacte gronden per individueel geval verschillen.</w:t>
      </w:r>
    </w:p>
  </w:footnote>
  <w:footnote w:id="136">
    <w:p w14:paraId="28F3D668" w14:textId="1E8E8D21" w:rsidR="0062439A" w:rsidRDefault="0062439A">
      <w:pPr>
        <w:pStyle w:val="Voetnoottekst"/>
      </w:pPr>
      <w:r w:rsidRPr="00150080">
        <w:rPr>
          <w:rStyle w:val="Voetnootmarkering"/>
          <w:sz w:val="18"/>
        </w:rPr>
        <w:footnoteRef/>
      </w:r>
      <w:r w:rsidRPr="00150080">
        <w:rPr>
          <w:sz w:val="18"/>
        </w:rPr>
        <w:t xml:space="preserve"> </w:t>
      </w:r>
      <w:r>
        <w:rPr>
          <w:sz w:val="18"/>
        </w:rPr>
        <w:t>Let wel: deze gronden kunnen slechts worden gebruikt wanneer de vreemdeling het grondgebied van de lidstaten nog niet heeft verlaten. Kijkend naar het Ouhrami arrest is het inreisverbod bij terugkeer immers wel reeds in werking getreden.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292D4C2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pt;height:15pt" o:bullet="t">
        <v:imagedata r:id="rId1" o:title="Word Work File L_532318405"/>
      </v:shape>
    </w:pict>
  </w:numPicBullet>
  <w:abstractNum w:abstractNumId="0" w15:restartNumberingAfterBreak="0">
    <w:nsid w:val="03DA7EB0"/>
    <w:multiLevelType w:val="hybridMultilevel"/>
    <w:tmpl w:val="15525F7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5A070D2"/>
    <w:multiLevelType w:val="hybridMultilevel"/>
    <w:tmpl w:val="15D01088"/>
    <w:lvl w:ilvl="0" w:tplc="04130003">
      <w:start w:val="1"/>
      <w:numFmt w:val="bullet"/>
      <w:lvlText w:val="o"/>
      <w:lvlJc w:val="left"/>
      <w:pPr>
        <w:ind w:left="787" w:hanging="360"/>
      </w:pPr>
      <w:rPr>
        <w:rFonts w:ascii="Courier New" w:hAnsi="Courier New" w:cs="Courier New" w:hint="default"/>
      </w:rPr>
    </w:lvl>
    <w:lvl w:ilvl="1" w:tplc="04130003" w:tentative="1">
      <w:start w:val="1"/>
      <w:numFmt w:val="bullet"/>
      <w:lvlText w:val="o"/>
      <w:lvlJc w:val="left"/>
      <w:pPr>
        <w:ind w:left="1507" w:hanging="360"/>
      </w:pPr>
      <w:rPr>
        <w:rFonts w:ascii="Courier New" w:hAnsi="Courier New" w:cs="Courier New" w:hint="default"/>
      </w:rPr>
    </w:lvl>
    <w:lvl w:ilvl="2" w:tplc="04130005" w:tentative="1">
      <w:start w:val="1"/>
      <w:numFmt w:val="bullet"/>
      <w:lvlText w:val=""/>
      <w:lvlJc w:val="left"/>
      <w:pPr>
        <w:ind w:left="2227" w:hanging="360"/>
      </w:pPr>
      <w:rPr>
        <w:rFonts w:ascii="Wingdings" w:hAnsi="Wingdings" w:hint="default"/>
      </w:rPr>
    </w:lvl>
    <w:lvl w:ilvl="3" w:tplc="04130001" w:tentative="1">
      <w:start w:val="1"/>
      <w:numFmt w:val="bullet"/>
      <w:lvlText w:val=""/>
      <w:lvlJc w:val="left"/>
      <w:pPr>
        <w:ind w:left="2947" w:hanging="360"/>
      </w:pPr>
      <w:rPr>
        <w:rFonts w:ascii="Symbol" w:hAnsi="Symbol" w:hint="default"/>
      </w:rPr>
    </w:lvl>
    <w:lvl w:ilvl="4" w:tplc="04130003" w:tentative="1">
      <w:start w:val="1"/>
      <w:numFmt w:val="bullet"/>
      <w:lvlText w:val="o"/>
      <w:lvlJc w:val="left"/>
      <w:pPr>
        <w:ind w:left="3667" w:hanging="360"/>
      </w:pPr>
      <w:rPr>
        <w:rFonts w:ascii="Courier New" w:hAnsi="Courier New" w:cs="Courier New" w:hint="default"/>
      </w:rPr>
    </w:lvl>
    <w:lvl w:ilvl="5" w:tplc="04130005" w:tentative="1">
      <w:start w:val="1"/>
      <w:numFmt w:val="bullet"/>
      <w:lvlText w:val=""/>
      <w:lvlJc w:val="left"/>
      <w:pPr>
        <w:ind w:left="4387" w:hanging="360"/>
      </w:pPr>
      <w:rPr>
        <w:rFonts w:ascii="Wingdings" w:hAnsi="Wingdings" w:hint="default"/>
      </w:rPr>
    </w:lvl>
    <w:lvl w:ilvl="6" w:tplc="04130001" w:tentative="1">
      <w:start w:val="1"/>
      <w:numFmt w:val="bullet"/>
      <w:lvlText w:val=""/>
      <w:lvlJc w:val="left"/>
      <w:pPr>
        <w:ind w:left="5107" w:hanging="360"/>
      </w:pPr>
      <w:rPr>
        <w:rFonts w:ascii="Symbol" w:hAnsi="Symbol" w:hint="default"/>
      </w:rPr>
    </w:lvl>
    <w:lvl w:ilvl="7" w:tplc="04130003" w:tentative="1">
      <w:start w:val="1"/>
      <w:numFmt w:val="bullet"/>
      <w:lvlText w:val="o"/>
      <w:lvlJc w:val="left"/>
      <w:pPr>
        <w:ind w:left="5827" w:hanging="360"/>
      </w:pPr>
      <w:rPr>
        <w:rFonts w:ascii="Courier New" w:hAnsi="Courier New" w:cs="Courier New" w:hint="default"/>
      </w:rPr>
    </w:lvl>
    <w:lvl w:ilvl="8" w:tplc="04130005" w:tentative="1">
      <w:start w:val="1"/>
      <w:numFmt w:val="bullet"/>
      <w:lvlText w:val=""/>
      <w:lvlJc w:val="left"/>
      <w:pPr>
        <w:ind w:left="6547" w:hanging="360"/>
      </w:pPr>
      <w:rPr>
        <w:rFonts w:ascii="Wingdings" w:hAnsi="Wingdings" w:hint="default"/>
      </w:rPr>
    </w:lvl>
  </w:abstractNum>
  <w:abstractNum w:abstractNumId="2" w15:restartNumberingAfterBreak="0">
    <w:nsid w:val="07C07DF4"/>
    <w:multiLevelType w:val="hybridMultilevel"/>
    <w:tmpl w:val="BCF496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4FF337E"/>
    <w:multiLevelType w:val="hybridMultilevel"/>
    <w:tmpl w:val="9732F2BC"/>
    <w:lvl w:ilvl="0" w:tplc="B896F66C">
      <w:start w:val="1"/>
      <w:numFmt w:val="decimal"/>
      <w:lvlText w:val="%1."/>
      <w:lvlJc w:val="left"/>
      <w:pPr>
        <w:ind w:left="720" w:hanging="360"/>
      </w:pPr>
      <w:rPr>
        <w:b w:val="0"/>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6961ABE"/>
    <w:multiLevelType w:val="hybridMultilevel"/>
    <w:tmpl w:val="F8185190"/>
    <w:lvl w:ilvl="0" w:tplc="0413000F">
      <w:start w:val="1"/>
      <w:numFmt w:val="decimal"/>
      <w:lvlText w:val="%1."/>
      <w:lvlJc w:val="left"/>
      <w:pPr>
        <w:ind w:left="720" w:hanging="360"/>
      </w:pPr>
      <w:rPr>
        <w:rFonts w:eastAsia="Times New Roman"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9063856"/>
    <w:multiLevelType w:val="hybridMultilevel"/>
    <w:tmpl w:val="2516374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A446376"/>
    <w:multiLevelType w:val="hybridMultilevel"/>
    <w:tmpl w:val="CA6629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FFD68C4"/>
    <w:multiLevelType w:val="hybridMultilevel"/>
    <w:tmpl w:val="9732F2BC"/>
    <w:lvl w:ilvl="0" w:tplc="B896F66C">
      <w:start w:val="1"/>
      <w:numFmt w:val="decimal"/>
      <w:lvlText w:val="%1."/>
      <w:lvlJc w:val="left"/>
      <w:pPr>
        <w:ind w:left="720" w:hanging="360"/>
      </w:pPr>
      <w:rPr>
        <w:b w:val="0"/>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887024E"/>
    <w:multiLevelType w:val="hybridMultilevel"/>
    <w:tmpl w:val="2D2EBF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1DB4E96"/>
    <w:multiLevelType w:val="hybridMultilevel"/>
    <w:tmpl w:val="31C82068"/>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357912E7"/>
    <w:multiLevelType w:val="hybridMultilevel"/>
    <w:tmpl w:val="F8185190"/>
    <w:lvl w:ilvl="0" w:tplc="0413000F">
      <w:start w:val="1"/>
      <w:numFmt w:val="decimal"/>
      <w:lvlText w:val="%1."/>
      <w:lvlJc w:val="left"/>
      <w:pPr>
        <w:ind w:left="720" w:hanging="360"/>
      </w:pPr>
      <w:rPr>
        <w:rFonts w:eastAsia="Times New Roman"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39720FE6"/>
    <w:multiLevelType w:val="hybridMultilevel"/>
    <w:tmpl w:val="448289D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CF00A0F"/>
    <w:multiLevelType w:val="hybridMultilevel"/>
    <w:tmpl w:val="9732F2BC"/>
    <w:lvl w:ilvl="0" w:tplc="B896F66C">
      <w:start w:val="1"/>
      <w:numFmt w:val="decimal"/>
      <w:lvlText w:val="%1."/>
      <w:lvlJc w:val="left"/>
      <w:pPr>
        <w:ind w:left="720" w:hanging="360"/>
      </w:pPr>
      <w:rPr>
        <w:b w:val="0"/>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49EF18C8"/>
    <w:multiLevelType w:val="hybridMultilevel"/>
    <w:tmpl w:val="EF5C1E9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F75745B"/>
    <w:multiLevelType w:val="hybridMultilevel"/>
    <w:tmpl w:val="AEDCD6A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56FB2D68"/>
    <w:multiLevelType w:val="hybridMultilevel"/>
    <w:tmpl w:val="BFA6E5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611A6D3D"/>
    <w:multiLevelType w:val="hybridMultilevel"/>
    <w:tmpl w:val="40F8D66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62145D4D"/>
    <w:multiLevelType w:val="hybridMultilevel"/>
    <w:tmpl w:val="CFCA118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644330AA"/>
    <w:multiLevelType w:val="hybridMultilevel"/>
    <w:tmpl w:val="AEDCD6A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67296757"/>
    <w:multiLevelType w:val="hybridMultilevel"/>
    <w:tmpl w:val="8842F62C"/>
    <w:lvl w:ilvl="0" w:tplc="04130007">
      <w:start w:val="1"/>
      <w:numFmt w:val="bullet"/>
      <w:lvlText w:val=""/>
      <w:lvlPicBulletId w:val="0"/>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67AA3F2B"/>
    <w:multiLevelType w:val="hybridMultilevel"/>
    <w:tmpl w:val="6D4C9FD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6813754F"/>
    <w:multiLevelType w:val="hybridMultilevel"/>
    <w:tmpl w:val="6E8089E8"/>
    <w:lvl w:ilvl="0" w:tplc="E490156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720925B3"/>
    <w:multiLevelType w:val="hybridMultilevel"/>
    <w:tmpl w:val="F8185190"/>
    <w:lvl w:ilvl="0" w:tplc="0413000F">
      <w:start w:val="1"/>
      <w:numFmt w:val="decimal"/>
      <w:lvlText w:val="%1."/>
      <w:lvlJc w:val="left"/>
      <w:pPr>
        <w:ind w:left="720" w:hanging="360"/>
      </w:pPr>
      <w:rPr>
        <w:rFonts w:eastAsia="Times New Roman"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72741359"/>
    <w:multiLevelType w:val="hybridMultilevel"/>
    <w:tmpl w:val="AEDCD6A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76BA1C12"/>
    <w:multiLevelType w:val="hybridMultilevel"/>
    <w:tmpl w:val="89BC53C6"/>
    <w:lvl w:ilvl="0" w:tplc="6BD453BA">
      <w:start w:val="1"/>
      <w:numFmt w:val="bullet"/>
      <w:lvlText w:val="-"/>
      <w:lvlJc w:val="left"/>
      <w:pPr>
        <w:tabs>
          <w:tab w:val="num" w:pos="720"/>
        </w:tabs>
        <w:ind w:left="720" w:hanging="360"/>
      </w:pPr>
      <w:rPr>
        <w:rFonts w:ascii="Helvetica" w:eastAsia="Times New Roman" w:hAnsi="Helvetica"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Symbol" w:hAnsi="Symbo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Symbol" w:hAnsi="Symbol"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18"/>
  </w:num>
  <w:num w:numId="3">
    <w:abstractNumId w:val="3"/>
  </w:num>
  <w:num w:numId="4">
    <w:abstractNumId w:val="7"/>
  </w:num>
  <w:num w:numId="5">
    <w:abstractNumId w:val="0"/>
  </w:num>
  <w:num w:numId="6">
    <w:abstractNumId w:val="20"/>
  </w:num>
  <w:num w:numId="7">
    <w:abstractNumId w:val="16"/>
  </w:num>
  <w:num w:numId="8">
    <w:abstractNumId w:val="5"/>
  </w:num>
  <w:num w:numId="9">
    <w:abstractNumId w:val="19"/>
  </w:num>
  <w:num w:numId="10">
    <w:abstractNumId w:val="6"/>
  </w:num>
  <w:num w:numId="11">
    <w:abstractNumId w:val="2"/>
  </w:num>
  <w:num w:numId="12">
    <w:abstractNumId w:val="8"/>
  </w:num>
  <w:num w:numId="13">
    <w:abstractNumId w:val="15"/>
  </w:num>
  <w:num w:numId="14">
    <w:abstractNumId w:val="12"/>
  </w:num>
  <w:num w:numId="15">
    <w:abstractNumId w:val="22"/>
  </w:num>
  <w:num w:numId="16">
    <w:abstractNumId w:val="23"/>
  </w:num>
  <w:num w:numId="17">
    <w:abstractNumId w:val="14"/>
  </w:num>
  <w:num w:numId="18">
    <w:abstractNumId w:val="21"/>
  </w:num>
  <w:num w:numId="19">
    <w:abstractNumId w:val="24"/>
  </w:num>
  <w:num w:numId="20">
    <w:abstractNumId w:val="9"/>
  </w:num>
  <w:num w:numId="21">
    <w:abstractNumId w:val="11"/>
  </w:num>
  <w:num w:numId="22">
    <w:abstractNumId w:val="1"/>
  </w:num>
  <w:num w:numId="23">
    <w:abstractNumId w:val="17"/>
  </w:num>
  <w:num w:numId="24">
    <w:abstractNumId w:val="13"/>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2F91"/>
    <w:rsid w:val="00002DC6"/>
    <w:rsid w:val="000031BD"/>
    <w:rsid w:val="0000459F"/>
    <w:rsid w:val="0000467A"/>
    <w:rsid w:val="00004885"/>
    <w:rsid w:val="00004CBC"/>
    <w:rsid w:val="000059B7"/>
    <w:rsid w:val="000060E0"/>
    <w:rsid w:val="0000670F"/>
    <w:rsid w:val="0000677B"/>
    <w:rsid w:val="000069E6"/>
    <w:rsid w:val="00007A89"/>
    <w:rsid w:val="00012FFC"/>
    <w:rsid w:val="00013E3B"/>
    <w:rsid w:val="00013F0E"/>
    <w:rsid w:val="000140FD"/>
    <w:rsid w:val="00015710"/>
    <w:rsid w:val="000164BF"/>
    <w:rsid w:val="00016817"/>
    <w:rsid w:val="00016F50"/>
    <w:rsid w:val="00020154"/>
    <w:rsid w:val="00020480"/>
    <w:rsid w:val="000209D7"/>
    <w:rsid w:val="00020FC4"/>
    <w:rsid w:val="0002283F"/>
    <w:rsid w:val="00023B3E"/>
    <w:rsid w:val="00024908"/>
    <w:rsid w:val="00024C3B"/>
    <w:rsid w:val="00024F41"/>
    <w:rsid w:val="00027A84"/>
    <w:rsid w:val="00027D14"/>
    <w:rsid w:val="00030B39"/>
    <w:rsid w:val="00030B4F"/>
    <w:rsid w:val="00030CC4"/>
    <w:rsid w:val="0003128C"/>
    <w:rsid w:val="00031F7B"/>
    <w:rsid w:val="00032840"/>
    <w:rsid w:val="00032DC9"/>
    <w:rsid w:val="00033449"/>
    <w:rsid w:val="00034C89"/>
    <w:rsid w:val="00034E66"/>
    <w:rsid w:val="00034EE5"/>
    <w:rsid w:val="00035190"/>
    <w:rsid w:val="00035F2D"/>
    <w:rsid w:val="00036C99"/>
    <w:rsid w:val="00040622"/>
    <w:rsid w:val="00040967"/>
    <w:rsid w:val="00041239"/>
    <w:rsid w:val="000418DF"/>
    <w:rsid w:val="000428EB"/>
    <w:rsid w:val="000432A3"/>
    <w:rsid w:val="00043441"/>
    <w:rsid w:val="000437B9"/>
    <w:rsid w:val="00043860"/>
    <w:rsid w:val="0004499F"/>
    <w:rsid w:val="00044AB3"/>
    <w:rsid w:val="00045BAA"/>
    <w:rsid w:val="000475DC"/>
    <w:rsid w:val="000500AB"/>
    <w:rsid w:val="0005018E"/>
    <w:rsid w:val="00050689"/>
    <w:rsid w:val="00050FEC"/>
    <w:rsid w:val="000515E0"/>
    <w:rsid w:val="000518BE"/>
    <w:rsid w:val="00052C0C"/>
    <w:rsid w:val="000539FB"/>
    <w:rsid w:val="00053C5C"/>
    <w:rsid w:val="00054BF8"/>
    <w:rsid w:val="00054FE2"/>
    <w:rsid w:val="000559F9"/>
    <w:rsid w:val="0005603E"/>
    <w:rsid w:val="000561A0"/>
    <w:rsid w:val="00056A6E"/>
    <w:rsid w:val="00057F20"/>
    <w:rsid w:val="00060343"/>
    <w:rsid w:val="00062515"/>
    <w:rsid w:val="000627BF"/>
    <w:rsid w:val="00062A5D"/>
    <w:rsid w:val="00063108"/>
    <w:rsid w:val="0006484B"/>
    <w:rsid w:val="00064E49"/>
    <w:rsid w:val="000650BB"/>
    <w:rsid w:val="0006510E"/>
    <w:rsid w:val="00065605"/>
    <w:rsid w:val="0006648F"/>
    <w:rsid w:val="000664AC"/>
    <w:rsid w:val="0006745E"/>
    <w:rsid w:val="00067C67"/>
    <w:rsid w:val="00070A25"/>
    <w:rsid w:val="000714E1"/>
    <w:rsid w:val="000718BC"/>
    <w:rsid w:val="000719D0"/>
    <w:rsid w:val="00071B30"/>
    <w:rsid w:val="00072A8F"/>
    <w:rsid w:val="00073C65"/>
    <w:rsid w:val="0007432F"/>
    <w:rsid w:val="0007436D"/>
    <w:rsid w:val="00074C0D"/>
    <w:rsid w:val="00075552"/>
    <w:rsid w:val="00075D20"/>
    <w:rsid w:val="000760DD"/>
    <w:rsid w:val="00076376"/>
    <w:rsid w:val="00076E86"/>
    <w:rsid w:val="00077327"/>
    <w:rsid w:val="000775DB"/>
    <w:rsid w:val="0007796E"/>
    <w:rsid w:val="0008087F"/>
    <w:rsid w:val="00081957"/>
    <w:rsid w:val="00083BF2"/>
    <w:rsid w:val="00084C5F"/>
    <w:rsid w:val="000857EC"/>
    <w:rsid w:val="00085A30"/>
    <w:rsid w:val="00085BA3"/>
    <w:rsid w:val="00085CC6"/>
    <w:rsid w:val="00085D05"/>
    <w:rsid w:val="00086263"/>
    <w:rsid w:val="0008635E"/>
    <w:rsid w:val="00090D6E"/>
    <w:rsid w:val="00090FF5"/>
    <w:rsid w:val="00091101"/>
    <w:rsid w:val="00091116"/>
    <w:rsid w:val="00091E37"/>
    <w:rsid w:val="00091E4C"/>
    <w:rsid w:val="0009292D"/>
    <w:rsid w:val="00092EBD"/>
    <w:rsid w:val="00093A90"/>
    <w:rsid w:val="00093C15"/>
    <w:rsid w:val="000941A8"/>
    <w:rsid w:val="00094F28"/>
    <w:rsid w:val="000950C8"/>
    <w:rsid w:val="000952CF"/>
    <w:rsid w:val="0009658D"/>
    <w:rsid w:val="00096C0B"/>
    <w:rsid w:val="000975D8"/>
    <w:rsid w:val="000A0BAA"/>
    <w:rsid w:val="000A116E"/>
    <w:rsid w:val="000A1629"/>
    <w:rsid w:val="000A1A1B"/>
    <w:rsid w:val="000A2478"/>
    <w:rsid w:val="000A2541"/>
    <w:rsid w:val="000A2BAA"/>
    <w:rsid w:val="000A354E"/>
    <w:rsid w:val="000A4426"/>
    <w:rsid w:val="000A4D3E"/>
    <w:rsid w:val="000A510B"/>
    <w:rsid w:val="000A54F7"/>
    <w:rsid w:val="000A5657"/>
    <w:rsid w:val="000A59A6"/>
    <w:rsid w:val="000A75A6"/>
    <w:rsid w:val="000B0461"/>
    <w:rsid w:val="000B083B"/>
    <w:rsid w:val="000B0F03"/>
    <w:rsid w:val="000B2285"/>
    <w:rsid w:val="000B2A60"/>
    <w:rsid w:val="000B57F7"/>
    <w:rsid w:val="000B7594"/>
    <w:rsid w:val="000B7C52"/>
    <w:rsid w:val="000C05F9"/>
    <w:rsid w:val="000C06EB"/>
    <w:rsid w:val="000C116F"/>
    <w:rsid w:val="000C1BF9"/>
    <w:rsid w:val="000C2018"/>
    <w:rsid w:val="000C21E3"/>
    <w:rsid w:val="000C23FE"/>
    <w:rsid w:val="000C38ED"/>
    <w:rsid w:val="000C39B9"/>
    <w:rsid w:val="000C4925"/>
    <w:rsid w:val="000C62E7"/>
    <w:rsid w:val="000C72CE"/>
    <w:rsid w:val="000C75D4"/>
    <w:rsid w:val="000C79EB"/>
    <w:rsid w:val="000C7E57"/>
    <w:rsid w:val="000D094A"/>
    <w:rsid w:val="000D171B"/>
    <w:rsid w:val="000D1E14"/>
    <w:rsid w:val="000D1ED0"/>
    <w:rsid w:val="000D267C"/>
    <w:rsid w:val="000D2E88"/>
    <w:rsid w:val="000D4022"/>
    <w:rsid w:val="000D4F9F"/>
    <w:rsid w:val="000D6B02"/>
    <w:rsid w:val="000D715C"/>
    <w:rsid w:val="000D763D"/>
    <w:rsid w:val="000E0CD6"/>
    <w:rsid w:val="000E232A"/>
    <w:rsid w:val="000E2570"/>
    <w:rsid w:val="000E31BE"/>
    <w:rsid w:val="000E3862"/>
    <w:rsid w:val="000E3DFF"/>
    <w:rsid w:val="000E40EB"/>
    <w:rsid w:val="000E4CAC"/>
    <w:rsid w:val="000E4D98"/>
    <w:rsid w:val="000E6986"/>
    <w:rsid w:val="000E6E3F"/>
    <w:rsid w:val="000E7AD9"/>
    <w:rsid w:val="000F0A06"/>
    <w:rsid w:val="000F0A7D"/>
    <w:rsid w:val="000F1801"/>
    <w:rsid w:val="000F45BF"/>
    <w:rsid w:val="000F46BB"/>
    <w:rsid w:val="000F47B8"/>
    <w:rsid w:val="000F500B"/>
    <w:rsid w:val="000F6545"/>
    <w:rsid w:val="000F6655"/>
    <w:rsid w:val="000F6AE1"/>
    <w:rsid w:val="000F7401"/>
    <w:rsid w:val="000F768C"/>
    <w:rsid w:val="00100830"/>
    <w:rsid w:val="0010153B"/>
    <w:rsid w:val="00101C1B"/>
    <w:rsid w:val="001027A0"/>
    <w:rsid w:val="001032DF"/>
    <w:rsid w:val="001044CB"/>
    <w:rsid w:val="00104955"/>
    <w:rsid w:val="0010550D"/>
    <w:rsid w:val="00105B2C"/>
    <w:rsid w:val="001061B9"/>
    <w:rsid w:val="00110424"/>
    <w:rsid w:val="001111A1"/>
    <w:rsid w:val="00111654"/>
    <w:rsid w:val="00111D40"/>
    <w:rsid w:val="001128C1"/>
    <w:rsid w:val="00113F49"/>
    <w:rsid w:val="0011414D"/>
    <w:rsid w:val="00117572"/>
    <w:rsid w:val="00117A95"/>
    <w:rsid w:val="00117F61"/>
    <w:rsid w:val="00117FB9"/>
    <w:rsid w:val="0012004A"/>
    <w:rsid w:val="00120217"/>
    <w:rsid w:val="001202D8"/>
    <w:rsid w:val="00122015"/>
    <w:rsid w:val="001220D3"/>
    <w:rsid w:val="00122F46"/>
    <w:rsid w:val="0012301D"/>
    <w:rsid w:val="00124AF9"/>
    <w:rsid w:val="00125625"/>
    <w:rsid w:val="00126DAA"/>
    <w:rsid w:val="00126E44"/>
    <w:rsid w:val="001279AF"/>
    <w:rsid w:val="00127E93"/>
    <w:rsid w:val="0013027E"/>
    <w:rsid w:val="00132042"/>
    <w:rsid w:val="00132AD4"/>
    <w:rsid w:val="00135506"/>
    <w:rsid w:val="00136F62"/>
    <w:rsid w:val="00137AFE"/>
    <w:rsid w:val="00140377"/>
    <w:rsid w:val="0014066E"/>
    <w:rsid w:val="001409C9"/>
    <w:rsid w:val="00140E38"/>
    <w:rsid w:val="001418A3"/>
    <w:rsid w:val="00142F4B"/>
    <w:rsid w:val="00143ADF"/>
    <w:rsid w:val="001440A3"/>
    <w:rsid w:val="001440B8"/>
    <w:rsid w:val="00144F49"/>
    <w:rsid w:val="0014513C"/>
    <w:rsid w:val="00146973"/>
    <w:rsid w:val="00147057"/>
    <w:rsid w:val="0014709F"/>
    <w:rsid w:val="00150080"/>
    <w:rsid w:val="00150670"/>
    <w:rsid w:val="00150911"/>
    <w:rsid w:val="00150EA9"/>
    <w:rsid w:val="00151238"/>
    <w:rsid w:val="00152647"/>
    <w:rsid w:val="00152BEF"/>
    <w:rsid w:val="00153DCA"/>
    <w:rsid w:val="00154604"/>
    <w:rsid w:val="001550F5"/>
    <w:rsid w:val="001552F8"/>
    <w:rsid w:val="0015716D"/>
    <w:rsid w:val="0015727F"/>
    <w:rsid w:val="00160887"/>
    <w:rsid w:val="00161038"/>
    <w:rsid w:val="001615BA"/>
    <w:rsid w:val="00161C1B"/>
    <w:rsid w:val="0016477C"/>
    <w:rsid w:val="00164B32"/>
    <w:rsid w:val="00165DCD"/>
    <w:rsid w:val="00166014"/>
    <w:rsid w:val="001679D0"/>
    <w:rsid w:val="00167B9A"/>
    <w:rsid w:val="00167D86"/>
    <w:rsid w:val="001709BB"/>
    <w:rsid w:val="00170A07"/>
    <w:rsid w:val="0017107B"/>
    <w:rsid w:val="00171388"/>
    <w:rsid w:val="00171E57"/>
    <w:rsid w:val="001720C6"/>
    <w:rsid w:val="00173D6E"/>
    <w:rsid w:val="0017443B"/>
    <w:rsid w:val="00174BB3"/>
    <w:rsid w:val="00175435"/>
    <w:rsid w:val="00175702"/>
    <w:rsid w:val="00175751"/>
    <w:rsid w:val="001762B4"/>
    <w:rsid w:val="00176AAF"/>
    <w:rsid w:val="001776D2"/>
    <w:rsid w:val="00180871"/>
    <w:rsid w:val="001808D0"/>
    <w:rsid w:val="0018099D"/>
    <w:rsid w:val="001810A1"/>
    <w:rsid w:val="00181186"/>
    <w:rsid w:val="00181496"/>
    <w:rsid w:val="00181867"/>
    <w:rsid w:val="001824CA"/>
    <w:rsid w:val="00182C22"/>
    <w:rsid w:val="00185119"/>
    <w:rsid w:val="001857BD"/>
    <w:rsid w:val="00185C8F"/>
    <w:rsid w:val="00185E0A"/>
    <w:rsid w:val="001904E4"/>
    <w:rsid w:val="00191025"/>
    <w:rsid w:val="00191BF4"/>
    <w:rsid w:val="001923BF"/>
    <w:rsid w:val="001925D5"/>
    <w:rsid w:val="001927E4"/>
    <w:rsid w:val="00192953"/>
    <w:rsid w:val="001939EA"/>
    <w:rsid w:val="00193CAE"/>
    <w:rsid w:val="00194DCC"/>
    <w:rsid w:val="001950BA"/>
    <w:rsid w:val="001953B0"/>
    <w:rsid w:val="00195537"/>
    <w:rsid w:val="00195A35"/>
    <w:rsid w:val="00195FCA"/>
    <w:rsid w:val="00196A3E"/>
    <w:rsid w:val="001A0FE1"/>
    <w:rsid w:val="001A16D2"/>
    <w:rsid w:val="001A2820"/>
    <w:rsid w:val="001A2D72"/>
    <w:rsid w:val="001A3A81"/>
    <w:rsid w:val="001A4946"/>
    <w:rsid w:val="001A6363"/>
    <w:rsid w:val="001A6DA2"/>
    <w:rsid w:val="001A7153"/>
    <w:rsid w:val="001B188B"/>
    <w:rsid w:val="001B1FCE"/>
    <w:rsid w:val="001B2D77"/>
    <w:rsid w:val="001B305B"/>
    <w:rsid w:val="001B30EF"/>
    <w:rsid w:val="001B43D1"/>
    <w:rsid w:val="001B4526"/>
    <w:rsid w:val="001B45C2"/>
    <w:rsid w:val="001B4CB8"/>
    <w:rsid w:val="001B526F"/>
    <w:rsid w:val="001B55FD"/>
    <w:rsid w:val="001B6146"/>
    <w:rsid w:val="001B64AB"/>
    <w:rsid w:val="001B672E"/>
    <w:rsid w:val="001B7701"/>
    <w:rsid w:val="001B7BDC"/>
    <w:rsid w:val="001C054F"/>
    <w:rsid w:val="001C0945"/>
    <w:rsid w:val="001C0AAA"/>
    <w:rsid w:val="001C1577"/>
    <w:rsid w:val="001C30D1"/>
    <w:rsid w:val="001C3870"/>
    <w:rsid w:val="001C3F5C"/>
    <w:rsid w:val="001C40CB"/>
    <w:rsid w:val="001C44DF"/>
    <w:rsid w:val="001C4763"/>
    <w:rsid w:val="001C759E"/>
    <w:rsid w:val="001D005E"/>
    <w:rsid w:val="001D0091"/>
    <w:rsid w:val="001D0145"/>
    <w:rsid w:val="001D0A9C"/>
    <w:rsid w:val="001D13D6"/>
    <w:rsid w:val="001D204A"/>
    <w:rsid w:val="001D291B"/>
    <w:rsid w:val="001D2D41"/>
    <w:rsid w:val="001D35AC"/>
    <w:rsid w:val="001D3AAF"/>
    <w:rsid w:val="001D4B24"/>
    <w:rsid w:val="001D4D32"/>
    <w:rsid w:val="001D506C"/>
    <w:rsid w:val="001D519E"/>
    <w:rsid w:val="001D5D21"/>
    <w:rsid w:val="001D65C4"/>
    <w:rsid w:val="001D6B3C"/>
    <w:rsid w:val="001E0132"/>
    <w:rsid w:val="001E033D"/>
    <w:rsid w:val="001E0D3B"/>
    <w:rsid w:val="001E1374"/>
    <w:rsid w:val="001E2760"/>
    <w:rsid w:val="001E2C08"/>
    <w:rsid w:val="001E382D"/>
    <w:rsid w:val="001E3B56"/>
    <w:rsid w:val="001E435A"/>
    <w:rsid w:val="001E46EA"/>
    <w:rsid w:val="001E5875"/>
    <w:rsid w:val="001E5929"/>
    <w:rsid w:val="001E69C2"/>
    <w:rsid w:val="001E6D8D"/>
    <w:rsid w:val="001E721C"/>
    <w:rsid w:val="001E7855"/>
    <w:rsid w:val="001F0AEA"/>
    <w:rsid w:val="001F12CA"/>
    <w:rsid w:val="001F200E"/>
    <w:rsid w:val="001F2028"/>
    <w:rsid w:val="001F2AD6"/>
    <w:rsid w:val="001F2E8C"/>
    <w:rsid w:val="001F55A2"/>
    <w:rsid w:val="001F6584"/>
    <w:rsid w:val="001F79C3"/>
    <w:rsid w:val="001F7D41"/>
    <w:rsid w:val="001F7DAD"/>
    <w:rsid w:val="001F7DF9"/>
    <w:rsid w:val="00200F1E"/>
    <w:rsid w:val="002012ED"/>
    <w:rsid w:val="00202622"/>
    <w:rsid w:val="00202E40"/>
    <w:rsid w:val="00202F93"/>
    <w:rsid w:val="00203BF6"/>
    <w:rsid w:val="0020433F"/>
    <w:rsid w:val="00204B14"/>
    <w:rsid w:val="00204BDD"/>
    <w:rsid w:val="00205A62"/>
    <w:rsid w:val="00205D59"/>
    <w:rsid w:val="0020676D"/>
    <w:rsid w:val="002073C3"/>
    <w:rsid w:val="00207B7E"/>
    <w:rsid w:val="00211FB7"/>
    <w:rsid w:val="002122FD"/>
    <w:rsid w:val="002138A4"/>
    <w:rsid w:val="00213F57"/>
    <w:rsid w:val="00214F7C"/>
    <w:rsid w:val="002154D2"/>
    <w:rsid w:val="002162A8"/>
    <w:rsid w:val="00216928"/>
    <w:rsid w:val="0021712C"/>
    <w:rsid w:val="00217676"/>
    <w:rsid w:val="002176DC"/>
    <w:rsid w:val="00220771"/>
    <w:rsid w:val="0022079D"/>
    <w:rsid w:val="00220C06"/>
    <w:rsid w:val="0022120D"/>
    <w:rsid w:val="00221D55"/>
    <w:rsid w:val="002227B7"/>
    <w:rsid w:val="002227EC"/>
    <w:rsid w:val="00223256"/>
    <w:rsid w:val="00223A55"/>
    <w:rsid w:val="00223EB3"/>
    <w:rsid w:val="00226CEC"/>
    <w:rsid w:val="00230C38"/>
    <w:rsid w:val="002319B6"/>
    <w:rsid w:val="00232585"/>
    <w:rsid w:val="00232771"/>
    <w:rsid w:val="00232AC2"/>
    <w:rsid w:val="0023405F"/>
    <w:rsid w:val="00234A28"/>
    <w:rsid w:val="00235FA7"/>
    <w:rsid w:val="0023630E"/>
    <w:rsid w:val="0023774A"/>
    <w:rsid w:val="002407C8"/>
    <w:rsid w:val="00240D31"/>
    <w:rsid w:val="00240F9B"/>
    <w:rsid w:val="002411F4"/>
    <w:rsid w:val="002416EB"/>
    <w:rsid w:val="00243AD9"/>
    <w:rsid w:val="00244256"/>
    <w:rsid w:val="002446C6"/>
    <w:rsid w:val="0024485C"/>
    <w:rsid w:val="002454EC"/>
    <w:rsid w:val="002467CC"/>
    <w:rsid w:val="0024781E"/>
    <w:rsid w:val="0025020E"/>
    <w:rsid w:val="00250E36"/>
    <w:rsid w:val="00250EEB"/>
    <w:rsid w:val="002521A8"/>
    <w:rsid w:val="00253722"/>
    <w:rsid w:val="00253724"/>
    <w:rsid w:val="00254383"/>
    <w:rsid w:val="00254DAE"/>
    <w:rsid w:val="00254ED7"/>
    <w:rsid w:val="002556EE"/>
    <w:rsid w:val="00255CE7"/>
    <w:rsid w:val="0025787D"/>
    <w:rsid w:val="002606A1"/>
    <w:rsid w:val="00260F14"/>
    <w:rsid w:val="0026139A"/>
    <w:rsid w:val="00261E75"/>
    <w:rsid w:val="00262CFA"/>
    <w:rsid w:val="00263556"/>
    <w:rsid w:val="00263E1F"/>
    <w:rsid w:val="002657CC"/>
    <w:rsid w:val="00266380"/>
    <w:rsid w:val="00267AC2"/>
    <w:rsid w:val="00271E12"/>
    <w:rsid w:val="0027300A"/>
    <w:rsid w:val="002730D7"/>
    <w:rsid w:val="00273179"/>
    <w:rsid w:val="002746AA"/>
    <w:rsid w:val="0027523A"/>
    <w:rsid w:val="0027541F"/>
    <w:rsid w:val="002771DE"/>
    <w:rsid w:val="00277376"/>
    <w:rsid w:val="002805FE"/>
    <w:rsid w:val="00280A3C"/>
    <w:rsid w:val="00280F96"/>
    <w:rsid w:val="00282411"/>
    <w:rsid w:val="00282C83"/>
    <w:rsid w:val="002836BC"/>
    <w:rsid w:val="00283771"/>
    <w:rsid w:val="002837F3"/>
    <w:rsid w:val="00283972"/>
    <w:rsid w:val="0028402B"/>
    <w:rsid w:val="00285459"/>
    <w:rsid w:val="002862A4"/>
    <w:rsid w:val="0028650A"/>
    <w:rsid w:val="0028783D"/>
    <w:rsid w:val="00290713"/>
    <w:rsid w:val="00290E92"/>
    <w:rsid w:val="0029248F"/>
    <w:rsid w:val="0029387E"/>
    <w:rsid w:val="00293CAB"/>
    <w:rsid w:val="00293CB6"/>
    <w:rsid w:val="00294120"/>
    <w:rsid w:val="00294800"/>
    <w:rsid w:val="00294CDF"/>
    <w:rsid w:val="002957BB"/>
    <w:rsid w:val="00295FD6"/>
    <w:rsid w:val="00296C5D"/>
    <w:rsid w:val="00297DCB"/>
    <w:rsid w:val="00297DE2"/>
    <w:rsid w:val="002A29E6"/>
    <w:rsid w:val="002A2A17"/>
    <w:rsid w:val="002A2F99"/>
    <w:rsid w:val="002A33A2"/>
    <w:rsid w:val="002A47BF"/>
    <w:rsid w:val="002A48E5"/>
    <w:rsid w:val="002A4B1C"/>
    <w:rsid w:val="002A5236"/>
    <w:rsid w:val="002A524C"/>
    <w:rsid w:val="002A53B6"/>
    <w:rsid w:val="002A583F"/>
    <w:rsid w:val="002A736C"/>
    <w:rsid w:val="002B2B19"/>
    <w:rsid w:val="002B2CAD"/>
    <w:rsid w:val="002B3C98"/>
    <w:rsid w:val="002B455E"/>
    <w:rsid w:val="002B4CEC"/>
    <w:rsid w:val="002B4DBD"/>
    <w:rsid w:val="002B562E"/>
    <w:rsid w:val="002B679D"/>
    <w:rsid w:val="002B73D1"/>
    <w:rsid w:val="002B7781"/>
    <w:rsid w:val="002B7B3D"/>
    <w:rsid w:val="002B7CFE"/>
    <w:rsid w:val="002C2233"/>
    <w:rsid w:val="002C28CE"/>
    <w:rsid w:val="002C375A"/>
    <w:rsid w:val="002C3D0B"/>
    <w:rsid w:val="002C3D14"/>
    <w:rsid w:val="002C55C0"/>
    <w:rsid w:val="002C5821"/>
    <w:rsid w:val="002C7DF3"/>
    <w:rsid w:val="002D0158"/>
    <w:rsid w:val="002D1411"/>
    <w:rsid w:val="002D33E9"/>
    <w:rsid w:val="002D649B"/>
    <w:rsid w:val="002E0DD9"/>
    <w:rsid w:val="002E1524"/>
    <w:rsid w:val="002E1B68"/>
    <w:rsid w:val="002E1E39"/>
    <w:rsid w:val="002E1F3D"/>
    <w:rsid w:val="002E28EB"/>
    <w:rsid w:val="002E4477"/>
    <w:rsid w:val="002E549F"/>
    <w:rsid w:val="002E5566"/>
    <w:rsid w:val="002E5A0C"/>
    <w:rsid w:val="002E5B46"/>
    <w:rsid w:val="002E5F6A"/>
    <w:rsid w:val="002E6259"/>
    <w:rsid w:val="002E6DF8"/>
    <w:rsid w:val="002F0B49"/>
    <w:rsid w:val="002F14D3"/>
    <w:rsid w:val="002F17CC"/>
    <w:rsid w:val="002F1F2A"/>
    <w:rsid w:val="002F2F53"/>
    <w:rsid w:val="002F3026"/>
    <w:rsid w:val="002F4A66"/>
    <w:rsid w:val="002F5431"/>
    <w:rsid w:val="002F71B5"/>
    <w:rsid w:val="002F74E9"/>
    <w:rsid w:val="002F7983"/>
    <w:rsid w:val="00301742"/>
    <w:rsid w:val="00301F76"/>
    <w:rsid w:val="00302A9B"/>
    <w:rsid w:val="00302E53"/>
    <w:rsid w:val="00303BD3"/>
    <w:rsid w:val="00305646"/>
    <w:rsid w:val="00306570"/>
    <w:rsid w:val="00306990"/>
    <w:rsid w:val="00306CB2"/>
    <w:rsid w:val="003075AF"/>
    <w:rsid w:val="003104F2"/>
    <w:rsid w:val="00312CAC"/>
    <w:rsid w:val="00313CD5"/>
    <w:rsid w:val="00314609"/>
    <w:rsid w:val="003151A8"/>
    <w:rsid w:val="00316168"/>
    <w:rsid w:val="0031657B"/>
    <w:rsid w:val="00316627"/>
    <w:rsid w:val="00316BFE"/>
    <w:rsid w:val="00316F0E"/>
    <w:rsid w:val="00321230"/>
    <w:rsid w:val="0032278E"/>
    <w:rsid w:val="00322CEF"/>
    <w:rsid w:val="00322D91"/>
    <w:rsid w:val="003241C7"/>
    <w:rsid w:val="003272C6"/>
    <w:rsid w:val="00331248"/>
    <w:rsid w:val="0033141F"/>
    <w:rsid w:val="00332B98"/>
    <w:rsid w:val="00332E26"/>
    <w:rsid w:val="00333441"/>
    <w:rsid w:val="00333BC7"/>
    <w:rsid w:val="00334924"/>
    <w:rsid w:val="0033569E"/>
    <w:rsid w:val="003362FA"/>
    <w:rsid w:val="0033634F"/>
    <w:rsid w:val="00336996"/>
    <w:rsid w:val="00336F64"/>
    <w:rsid w:val="00337AA3"/>
    <w:rsid w:val="00337C14"/>
    <w:rsid w:val="00340455"/>
    <w:rsid w:val="00340C99"/>
    <w:rsid w:val="00340CE6"/>
    <w:rsid w:val="00342409"/>
    <w:rsid w:val="00342519"/>
    <w:rsid w:val="003429FE"/>
    <w:rsid w:val="00343C1D"/>
    <w:rsid w:val="00343E2B"/>
    <w:rsid w:val="00343F81"/>
    <w:rsid w:val="003441E6"/>
    <w:rsid w:val="003442F0"/>
    <w:rsid w:val="00344A8D"/>
    <w:rsid w:val="00344F8A"/>
    <w:rsid w:val="00345280"/>
    <w:rsid w:val="00346F2D"/>
    <w:rsid w:val="00350FE6"/>
    <w:rsid w:val="003528F1"/>
    <w:rsid w:val="00354079"/>
    <w:rsid w:val="00354BAE"/>
    <w:rsid w:val="00354F11"/>
    <w:rsid w:val="003561B1"/>
    <w:rsid w:val="00356DF9"/>
    <w:rsid w:val="003575C8"/>
    <w:rsid w:val="00360014"/>
    <w:rsid w:val="00360C50"/>
    <w:rsid w:val="0036105C"/>
    <w:rsid w:val="00361560"/>
    <w:rsid w:val="00361E4D"/>
    <w:rsid w:val="003626A9"/>
    <w:rsid w:val="003630C6"/>
    <w:rsid w:val="003630EF"/>
    <w:rsid w:val="003633BC"/>
    <w:rsid w:val="003635CB"/>
    <w:rsid w:val="00364179"/>
    <w:rsid w:val="00365591"/>
    <w:rsid w:val="00365594"/>
    <w:rsid w:val="00365E23"/>
    <w:rsid w:val="00365EEB"/>
    <w:rsid w:val="00366BDA"/>
    <w:rsid w:val="00366DE5"/>
    <w:rsid w:val="00367567"/>
    <w:rsid w:val="00367A90"/>
    <w:rsid w:val="00371197"/>
    <w:rsid w:val="00371533"/>
    <w:rsid w:val="003716D2"/>
    <w:rsid w:val="00372075"/>
    <w:rsid w:val="003720F9"/>
    <w:rsid w:val="0037233C"/>
    <w:rsid w:val="00372860"/>
    <w:rsid w:val="003730A7"/>
    <w:rsid w:val="0037354B"/>
    <w:rsid w:val="003738F5"/>
    <w:rsid w:val="00373EED"/>
    <w:rsid w:val="00374293"/>
    <w:rsid w:val="003746B5"/>
    <w:rsid w:val="00374918"/>
    <w:rsid w:val="00374B32"/>
    <w:rsid w:val="0037544A"/>
    <w:rsid w:val="00376157"/>
    <w:rsid w:val="003770D8"/>
    <w:rsid w:val="00377277"/>
    <w:rsid w:val="00377D0E"/>
    <w:rsid w:val="00380531"/>
    <w:rsid w:val="003805C4"/>
    <w:rsid w:val="00381E48"/>
    <w:rsid w:val="003826C6"/>
    <w:rsid w:val="00384467"/>
    <w:rsid w:val="0038545B"/>
    <w:rsid w:val="00385CB1"/>
    <w:rsid w:val="00386BD1"/>
    <w:rsid w:val="00387081"/>
    <w:rsid w:val="00387E72"/>
    <w:rsid w:val="00390B53"/>
    <w:rsid w:val="0039101B"/>
    <w:rsid w:val="00391E44"/>
    <w:rsid w:val="00391FEA"/>
    <w:rsid w:val="00392566"/>
    <w:rsid w:val="00394473"/>
    <w:rsid w:val="00394AE9"/>
    <w:rsid w:val="0039625C"/>
    <w:rsid w:val="003965E0"/>
    <w:rsid w:val="003967D2"/>
    <w:rsid w:val="003968DE"/>
    <w:rsid w:val="003977BE"/>
    <w:rsid w:val="00397F16"/>
    <w:rsid w:val="003A0C13"/>
    <w:rsid w:val="003A170A"/>
    <w:rsid w:val="003A21AA"/>
    <w:rsid w:val="003A23CC"/>
    <w:rsid w:val="003A250D"/>
    <w:rsid w:val="003A3613"/>
    <w:rsid w:val="003A396F"/>
    <w:rsid w:val="003A3A8E"/>
    <w:rsid w:val="003A41E2"/>
    <w:rsid w:val="003A483A"/>
    <w:rsid w:val="003A58B6"/>
    <w:rsid w:val="003A5A29"/>
    <w:rsid w:val="003A69A5"/>
    <w:rsid w:val="003A7264"/>
    <w:rsid w:val="003A7E49"/>
    <w:rsid w:val="003B075B"/>
    <w:rsid w:val="003B1BD4"/>
    <w:rsid w:val="003B1EF0"/>
    <w:rsid w:val="003B3EED"/>
    <w:rsid w:val="003B5491"/>
    <w:rsid w:val="003B7030"/>
    <w:rsid w:val="003B72AA"/>
    <w:rsid w:val="003B72D5"/>
    <w:rsid w:val="003B7F20"/>
    <w:rsid w:val="003C0372"/>
    <w:rsid w:val="003C066C"/>
    <w:rsid w:val="003C0CF9"/>
    <w:rsid w:val="003C1593"/>
    <w:rsid w:val="003C1B3B"/>
    <w:rsid w:val="003C235E"/>
    <w:rsid w:val="003C3381"/>
    <w:rsid w:val="003C3411"/>
    <w:rsid w:val="003C3AA0"/>
    <w:rsid w:val="003C5E21"/>
    <w:rsid w:val="003C6B69"/>
    <w:rsid w:val="003C7BCA"/>
    <w:rsid w:val="003D007E"/>
    <w:rsid w:val="003D02A5"/>
    <w:rsid w:val="003D0F70"/>
    <w:rsid w:val="003D34C9"/>
    <w:rsid w:val="003D3D68"/>
    <w:rsid w:val="003D52AF"/>
    <w:rsid w:val="003D6CD3"/>
    <w:rsid w:val="003D74AA"/>
    <w:rsid w:val="003E1E7E"/>
    <w:rsid w:val="003E2174"/>
    <w:rsid w:val="003E2935"/>
    <w:rsid w:val="003E294D"/>
    <w:rsid w:val="003E2A4D"/>
    <w:rsid w:val="003E2FC2"/>
    <w:rsid w:val="003E414E"/>
    <w:rsid w:val="003E5053"/>
    <w:rsid w:val="003E6719"/>
    <w:rsid w:val="003E6892"/>
    <w:rsid w:val="003E7406"/>
    <w:rsid w:val="003E7418"/>
    <w:rsid w:val="003E785B"/>
    <w:rsid w:val="003E7F97"/>
    <w:rsid w:val="003F140F"/>
    <w:rsid w:val="003F16DA"/>
    <w:rsid w:val="003F1F2E"/>
    <w:rsid w:val="003F27C4"/>
    <w:rsid w:val="003F36D8"/>
    <w:rsid w:val="003F3C6F"/>
    <w:rsid w:val="003F67C9"/>
    <w:rsid w:val="003F6936"/>
    <w:rsid w:val="003F7204"/>
    <w:rsid w:val="003F73A3"/>
    <w:rsid w:val="003F752F"/>
    <w:rsid w:val="003F7E83"/>
    <w:rsid w:val="00400BDF"/>
    <w:rsid w:val="00401F00"/>
    <w:rsid w:val="004022F9"/>
    <w:rsid w:val="00402F2A"/>
    <w:rsid w:val="004051AF"/>
    <w:rsid w:val="00405A76"/>
    <w:rsid w:val="00405AEA"/>
    <w:rsid w:val="0040622E"/>
    <w:rsid w:val="004062C8"/>
    <w:rsid w:val="004069C7"/>
    <w:rsid w:val="0040763C"/>
    <w:rsid w:val="00410818"/>
    <w:rsid w:val="00410B8B"/>
    <w:rsid w:val="00410DF7"/>
    <w:rsid w:val="00411079"/>
    <w:rsid w:val="004111DD"/>
    <w:rsid w:val="004119D9"/>
    <w:rsid w:val="00411D80"/>
    <w:rsid w:val="0041260C"/>
    <w:rsid w:val="00413B22"/>
    <w:rsid w:val="004141AA"/>
    <w:rsid w:val="00415D0D"/>
    <w:rsid w:val="004179B9"/>
    <w:rsid w:val="00420151"/>
    <w:rsid w:val="00421B4D"/>
    <w:rsid w:val="00424143"/>
    <w:rsid w:val="00424895"/>
    <w:rsid w:val="004249E0"/>
    <w:rsid w:val="0042590D"/>
    <w:rsid w:val="00425D8C"/>
    <w:rsid w:val="0042610F"/>
    <w:rsid w:val="00426553"/>
    <w:rsid w:val="004266C9"/>
    <w:rsid w:val="00426C41"/>
    <w:rsid w:val="0042733A"/>
    <w:rsid w:val="00427D1D"/>
    <w:rsid w:val="00431321"/>
    <w:rsid w:val="00431714"/>
    <w:rsid w:val="00431E2D"/>
    <w:rsid w:val="004326DA"/>
    <w:rsid w:val="00435723"/>
    <w:rsid w:val="00436797"/>
    <w:rsid w:val="00436A2C"/>
    <w:rsid w:val="00436F35"/>
    <w:rsid w:val="004373D1"/>
    <w:rsid w:val="004402CF"/>
    <w:rsid w:val="00441049"/>
    <w:rsid w:val="00441469"/>
    <w:rsid w:val="004426C9"/>
    <w:rsid w:val="00442805"/>
    <w:rsid w:val="004429BC"/>
    <w:rsid w:val="00442FA2"/>
    <w:rsid w:val="004469CB"/>
    <w:rsid w:val="00447301"/>
    <w:rsid w:val="00447384"/>
    <w:rsid w:val="004502DA"/>
    <w:rsid w:val="004505A8"/>
    <w:rsid w:val="00451042"/>
    <w:rsid w:val="0045168D"/>
    <w:rsid w:val="00451700"/>
    <w:rsid w:val="00452200"/>
    <w:rsid w:val="004524BD"/>
    <w:rsid w:val="0045299F"/>
    <w:rsid w:val="00452BB6"/>
    <w:rsid w:val="00452C52"/>
    <w:rsid w:val="0045327F"/>
    <w:rsid w:val="004537FD"/>
    <w:rsid w:val="00453EF2"/>
    <w:rsid w:val="004544C2"/>
    <w:rsid w:val="0045455B"/>
    <w:rsid w:val="00455C49"/>
    <w:rsid w:val="00455E97"/>
    <w:rsid w:val="00455F2E"/>
    <w:rsid w:val="00456B89"/>
    <w:rsid w:val="0046051F"/>
    <w:rsid w:val="004609A8"/>
    <w:rsid w:val="00460F19"/>
    <w:rsid w:val="004619A1"/>
    <w:rsid w:val="0046220E"/>
    <w:rsid w:val="004628BD"/>
    <w:rsid w:val="00462FFC"/>
    <w:rsid w:val="0046493C"/>
    <w:rsid w:val="0046679C"/>
    <w:rsid w:val="00466EA5"/>
    <w:rsid w:val="0046735D"/>
    <w:rsid w:val="00467548"/>
    <w:rsid w:val="0047052B"/>
    <w:rsid w:val="004714D0"/>
    <w:rsid w:val="0047201F"/>
    <w:rsid w:val="00472656"/>
    <w:rsid w:val="0047443A"/>
    <w:rsid w:val="00474502"/>
    <w:rsid w:val="00475833"/>
    <w:rsid w:val="00475F0B"/>
    <w:rsid w:val="00476978"/>
    <w:rsid w:val="00477474"/>
    <w:rsid w:val="00477779"/>
    <w:rsid w:val="00477D84"/>
    <w:rsid w:val="00477EF3"/>
    <w:rsid w:val="004806B3"/>
    <w:rsid w:val="00480B90"/>
    <w:rsid w:val="00480C11"/>
    <w:rsid w:val="00481340"/>
    <w:rsid w:val="0048385E"/>
    <w:rsid w:val="00483AED"/>
    <w:rsid w:val="0048411C"/>
    <w:rsid w:val="00484BC4"/>
    <w:rsid w:val="00486427"/>
    <w:rsid w:val="00486A6C"/>
    <w:rsid w:val="0048756D"/>
    <w:rsid w:val="0048793E"/>
    <w:rsid w:val="00487F8B"/>
    <w:rsid w:val="00492FF9"/>
    <w:rsid w:val="00494445"/>
    <w:rsid w:val="00494E3D"/>
    <w:rsid w:val="0049501D"/>
    <w:rsid w:val="00495DFB"/>
    <w:rsid w:val="004963EC"/>
    <w:rsid w:val="00496E70"/>
    <w:rsid w:val="00497BB8"/>
    <w:rsid w:val="00497C7B"/>
    <w:rsid w:val="004A060E"/>
    <w:rsid w:val="004A19E8"/>
    <w:rsid w:val="004A2E2D"/>
    <w:rsid w:val="004A359B"/>
    <w:rsid w:val="004A4503"/>
    <w:rsid w:val="004A45D6"/>
    <w:rsid w:val="004A51C6"/>
    <w:rsid w:val="004A57F3"/>
    <w:rsid w:val="004A62F5"/>
    <w:rsid w:val="004A6565"/>
    <w:rsid w:val="004A6794"/>
    <w:rsid w:val="004A6BCD"/>
    <w:rsid w:val="004A7AB1"/>
    <w:rsid w:val="004B066C"/>
    <w:rsid w:val="004B101D"/>
    <w:rsid w:val="004B1E90"/>
    <w:rsid w:val="004B218C"/>
    <w:rsid w:val="004B23C8"/>
    <w:rsid w:val="004B3BCB"/>
    <w:rsid w:val="004B4430"/>
    <w:rsid w:val="004B4460"/>
    <w:rsid w:val="004B4C6A"/>
    <w:rsid w:val="004B67FE"/>
    <w:rsid w:val="004B6BC2"/>
    <w:rsid w:val="004B742E"/>
    <w:rsid w:val="004C00F1"/>
    <w:rsid w:val="004C04BC"/>
    <w:rsid w:val="004C0C45"/>
    <w:rsid w:val="004C173E"/>
    <w:rsid w:val="004C2750"/>
    <w:rsid w:val="004C3C23"/>
    <w:rsid w:val="004C3D49"/>
    <w:rsid w:val="004C428F"/>
    <w:rsid w:val="004C4A3B"/>
    <w:rsid w:val="004C7644"/>
    <w:rsid w:val="004C7FD1"/>
    <w:rsid w:val="004D0306"/>
    <w:rsid w:val="004D037A"/>
    <w:rsid w:val="004D0D95"/>
    <w:rsid w:val="004D0E4C"/>
    <w:rsid w:val="004D0FC9"/>
    <w:rsid w:val="004D11B1"/>
    <w:rsid w:val="004D1A35"/>
    <w:rsid w:val="004D3B8E"/>
    <w:rsid w:val="004D4861"/>
    <w:rsid w:val="004D4928"/>
    <w:rsid w:val="004D4EF8"/>
    <w:rsid w:val="004D4F0A"/>
    <w:rsid w:val="004D6A52"/>
    <w:rsid w:val="004D721E"/>
    <w:rsid w:val="004D7B51"/>
    <w:rsid w:val="004E0195"/>
    <w:rsid w:val="004E08D0"/>
    <w:rsid w:val="004E0A0B"/>
    <w:rsid w:val="004E183E"/>
    <w:rsid w:val="004E27B0"/>
    <w:rsid w:val="004E2DD3"/>
    <w:rsid w:val="004E3082"/>
    <w:rsid w:val="004E3511"/>
    <w:rsid w:val="004E361C"/>
    <w:rsid w:val="004E41C4"/>
    <w:rsid w:val="004E4877"/>
    <w:rsid w:val="004E5AFB"/>
    <w:rsid w:val="004E61C1"/>
    <w:rsid w:val="004E759F"/>
    <w:rsid w:val="004E7BCF"/>
    <w:rsid w:val="004F07D0"/>
    <w:rsid w:val="004F14BF"/>
    <w:rsid w:val="004F1582"/>
    <w:rsid w:val="004F18FE"/>
    <w:rsid w:val="004F22E3"/>
    <w:rsid w:val="004F4701"/>
    <w:rsid w:val="004F48FC"/>
    <w:rsid w:val="004F6BF4"/>
    <w:rsid w:val="004F6C14"/>
    <w:rsid w:val="004F6E1A"/>
    <w:rsid w:val="004F7985"/>
    <w:rsid w:val="00501E29"/>
    <w:rsid w:val="00502224"/>
    <w:rsid w:val="00502498"/>
    <w:rsid w:val="005028F2"/>
    <w:rsid w:val="00502EC8"/>
    <w:rsid w:val="00503072"/>
    <w:rsid w:val="00503F36"/>
    <w:rsid w:val="00504012"/>
    <w:rsid w:val="0050431C"/>
    <w:rsid w:val="005044E9"/>
    <w:rsid w:val="0050510D"/>
    <w:rsid w:val="0050528C"/>
    <w:rsid w:val="00505318"/>
    <w:rsid w:val="00506E82"/>
    <w:rsid w:val="00507651"/>
    <w:rsid w:val="005078D6"/>
    <w:rsid w:val="00507ADE"/>
    <w:rsid w:val="00507BE9"/>
    <w:rsid w:val="0051343D"/>
    <w:rsid w:val="00513E4C"/>
    <w:rsid w:val="00514044"/>
    <w:rsid w:val="00514A34"/>
    <w:rsid w:val="00514F04"/>
    <w:rsid w:val="00515799"/>
    <w:rsid w:val="00515E5F"/>
    <w:rsid w:val="00515E97"/>
    <w:rsid w:val="005165B7"/>
    <w:rsid w:val="00516916"/>
    <w:rsid w:val="00517223"/>
    <w:rsid w:val="0051740B"/>
    <w:rsid w:val="0051748C"/>
    <w:rsid w:val="005209AA"/>
    <w:rsid w:val="00520D06"/>
    <w:rsid w:val="00521030"/>
    <w:rsid w:val="005213D0"/>
    <w:rsid w:val="005217DB"/>
    <w:rsid w:val="0052187C"/>
    <w:rsid w:val="00521BC2"/>
    <w:rsid w:val="00521BEF"/>
    <w:rsid w:val="00522B3D"/>
    <w:rsid w:val="0052387A"/>
    <w:rsid w:val="00524133"/>
    <w:rsid w:val="00524475"/>
    <w:rsid w:val="00524822"/>
    <w:rsid w:val="00524BEE"/>
    <w:rsid w:val="005257B6"/>
    <w:rsid w:val="00525C4F"/>
    <w:rsid w:val="00525C90"/>
    <w:rsid w:val="00526552"/>
    <w:rsid w:val="00527D86"/>
    <w:rsid w:val="00531230"/>
    <w:rsid w:val="0053135E"/>
    <w:rsid w:val="005326B7"/>
    <w:rsid w:val="005335B0"/>
    <w:rsid w:val="00534466"/>
    <w:rsid w:val="00534684"/>
    <w:rsid w:val="00534CB1"/>
    <w:rsid w:val="00535D22"/>
    <w:rsid w:val="0053724A"/>
    <w:rsid w:val="005377E5"/>
    <w:rsid w:val="00537D18"/>
    <w:rsid w:val="00537E98"/>
    <w:rsid w:val="005413CA"/>
    <w:rsid w:val="00541CBB"/>
    <w:rsid w:val="00541D04"/>
    <w:rsid w:val="00542970"/>
    <w:rsid w:val="00542AE5"/>
    <w:rsid w:val="00542EB6"/>
    <w:rsid w:val="00543654"/>
    <w:rsid w:val="00543A3F"/>
    <w:rsid w:val="00544081"/>
    <w:rsid w:val="0054417E"/>
    <w:rsid w:val="00545AB7"/>
    <w:rsid w:val="00545C99"/>
    <w:rsid w:val="00546070"/>
    <w:rsid w:val="005463DD"/>
    <w:rsid w:val="005469C2"/>
    <w:rsid w:val="00547207"/>
    <w:rsid w:val="00547228"/>
    <w:rsid w:val="0054791F"/>
    <w:rsid w:val="00551267"/>
    <w:rsid w:val="00551280"/>
    <w:rsid w:val="00551BEC"/>
    <w:rsid w:val="00551E98"/>
    <w:rsid w:val="005529ED"/>
    <w:rsid w:val="00552E2B"/>
    <w:rsid w:val="005531FC"/>
    <w:rsid w:val="00553BED"/>
    <w:rsid w:val="005543EF"/>
    <w:rsid w:val="005544EA"/>
    <w:rsid w:val="00555064"/>
    <w:rsid w:val="00555249"/>
    <w:rsid w:val="0055632B"/>
    <w:rsid w:val="005564E8"/>
    <w:rsid w:val="005565EC"/>
    <w:rsid w:val="00556600"/>
    <w:rsid w:val="0055691E"/>
    <w:rsid w:val="0055752E"/>
    <w:rsid w:val="00557A91"/>
    <w:rsid w:val="00560244"/>
    <w:rsid w:val="00560F1D"/>
    <w:rsid w:val="00561D74"/>
    <w:rsid w:val="00562169"/>
    <w:rsid w:val="00562293"/>
    <w:rsid w:val="00562F6C"/>
    <w:rsid w:val="005630C5"/>
    <w:rsid w:val="005632A4"/>
    <w:rsid w:val="00563371"/>
    <w:rsid w:val="005634C0"/>
    <w:rsid w:val="005638CE"/>
    <w:rsid w:val="005646E2"/>
    <w:rsid w:val="0056499E"/>
    <w:rsid w:val="00564D5F"/>
    <w:rsid w:val="00565BDC"/>
    <w:rsid w:val="005660A0"/>
    <w:rsid w:val="005661C4"/>
    <w:rsid w:val="00566640"/>
    <w:rsid w:val="00566678"/>
    <w:rsid w:val="005668B9"/>
    <w:rsid w:val="00566B08"/>
    <w:rsid w:val="00571587"/>
    <w:rsid w:val="0057174A"/>
    <w:rsid w:val="00572405"/>
    <w:rsid w:val="00572493"/>
    <w:rsid w:val="00574066"/>
    <w:rsid w:val="00574134"/>
    <w:rsid w:val="00574306"/>
    <w:rsid w:val="00574618"/>
    <w:rsid w:val="00574D00"/>
    <w:rsid w:val="00575637"/>
    <w:rsid w:val="00575B0D"/>
    <w:rsid w:val="00577783"/>
    <w:rsid w:val="0058049A"/>
    <w:rsid w:val="005806FF"/>
    <w:rsid w:val="00580BD2"/>
    <w:rsid w:val="00581E26"/>
    <w:rsid w:val="005826B1"/>
    <w:rsid w:val="00585270"/>
    <w:rsid w:val="00586777"/>
    <w:rsid w:val="00586B09"/>
    <w:rsid w:val="00586DA0"/>
    <w:rsid w:val="005877AD"/>
    <w:rsid w:val="0059012D"/>
    <w:rsid w:val="005901B9"/>
    <w:rsid w:val="00590552"/>
    <w:rsid w:val="00592197"/>
    <w:rsid w:val="00593FDD"/>
    <w:rsid w:val="00594567"/>
    <w:rsid w:val="005947DA"/>
    <w:rsid w:val="005948A3"/>
    <w:rsid w:val="00595812"/>
    <w:rsid w:val="00595EAD"/>
    <w:rsid w:val="005979CF"/>
    <w:rsid w:val="00597FF7"/>
    <w:rsid w:val="005A1079"/>
    <w:rsid w:val="005A1526"/>
    <w:rsid w:val="005A2F2D"/>
    <w:rsid w:val="005A2FE8"/>
    <w:rsid w:val="005A3592"/>
    <w:rsid w:val="005A3652"/>
    <w:rsid w:val="005A471A"/>
    <w:rsid w:val="005A48A7"/>
    <w:rsid w:val="005A5398"/>
    <w:rsid w:val="005A7213"/>
    <w:rsid w:val="005A7C2A"/>
    <w:rsid w:val="005B014D"/>
    <w:rsid w:val="005B01AC"/>
    <w:rsid w:val="005B059E"/>
    <w:rsid w:val="005B3D8E"/>
    <w:rsid w:val="005B42BD"/>
    <w:rsid w:val="005B51FF"/>
    <w:rsid w:val="005B611F"/>
    <w:rsid w:val="005B6ECB"/>
    <w:rsid w:val="005B7439"/>
    <w:rsid w:val="005B75C3"/>
    <w:rsid w:val="005B7751"/>
    <w:rsid w:val="005C0273"/>
    <w:rsid w:val="005C0965"/>
    <w:rsid w:val="005C0EDC"/>
    <w:rsid w:val="005C1D14"/>
    <w:rsid w:val="005C3A71"/>
    <w:rsid w:val="005C4368"/>
    <w:rsid w:val="005C447D"/>
    <w:rsid w:val="005C5098"/>
    <w:rsid w:val="005C5549"/>
    <w:rsid w:val="005C6A59"/>
    <w:rsid w:val="005C6C4D"/>
    <w:rsid w:val="005C7466"/>
    <w:rsid w:val="005C78AF"/>
    <w:rsid w:val="005C7D35"/>
    <w:rsid w:val="005D238F"/>
    <w:rsid w:val="005D4067"/>
    <w:rsid w:val="005D43B2"/>
    <w:rsid w:val="005D5B73"/>
    <w:rsid w:val="005D6A04"/>
    <w:rsid w:val="005D6AD0"/>
    <w:rsid w:val="005D7F2D"/>
    <w:rsid w:val="005E0E09"/>
    <w:rsid w:val="005E148F"/>
    <w:rsid w:val="005E157B"/>
    <w:rsid w:val="005E2F9F"/>
    <w:rsid w:val="005E4F2A"/>
    <w:rsid w:val="005E68BE"/>
    <w:rsid w:val="005E6A47"/>
    <w:rsid w:val="005E738C"/>
    <w:rsid w:val="005F02C7"/>
    <w:rsid w:val="005F06A6"/>
    <w:rsid w:val="005F2038"/>
    <w:rsid w:val="005F21CA"/>
    <w:rsid w:val="005F264E"/>
    <w:rsid w:val="005F2817"/>
    <w:rsid w:val="005F2D3A"/>
    <w:rsid w:val="005F2F14"/>
    <w:rsid w:val="005F3288"/>
    <w:rsid w:val="005F3455"/>
    <w:rsid w:val="005F3B7B"/>
    <w:rsid w:val="005F5516"/>
    <w:rsid w:val="005F6253"/>
    <w:rsid w:val="005F66FA"/>
    <w:rsid w:val="005F6E68"/>
    <w:rsid w:val="005F7441"/>
    <w:rsid w:val="005F76B3"/>
    <w:rsid w:val="006002B5"/>
    <w:rsid w:val="0060043E"/>
    <w:rsid w:val="00600C86"/>
    <w:rsid w:val="00601168"/>
    <w:rsid w:val="00603205"/>
    <w:rsid w:val="00603599"/>
    <w:rsid w:val="006037AA"/>
    <w:rsid w:val="006042A3"/>
    <w:rsid w:val="006046A3"/>
    <w:rsid w:val="0060645E"/>
    <w:rsid w:val="006065B6"/>
    <w:rsid w:val="00606855"/>
    <w:rsid w:val="006103E6"/>
    <w:rsid w:val="00610B4F"/>
    <w:rsid w:val="00611C02"/>
    <w:rsid w:val="006125C6"/>
    <w:rsid w:val="00613007"/>
    <w:rsid w:val="00613B00"/>
    <w:rsid w:val="00614380"/>
    <w:rsid w:val="0061464B"/>
    <w:rsid w:val="006157A8"/>
    <w:rsid w:val="0061598A"/>
    <w:rsid w:val="00615AA1"/>
    <w:rsid w:val="00615D1C"/>
    <w:rsid w:val="0061670B"/>
    <w:rsid w:val="00617124"/>
    <w:rsid w:val="0061727D"/>
    <w:rsid w:val="0061737C"/>
    <w:rsid w:val="006173E6"/>
    <w:rsid w:val="006176C3"/>
    <w:rsid w:val="0061797A"/>
    <w:rsid w:val="00617F90"/>
    <w:rsid w:val="00621A16"/>
    <w:rsid w:val="006221C6"/>
    <w:rsid w:val="006237CD"/>
    <w:rsid w:val="0062439A"/>
    <w:rsid w:val="00625B31"/>
    <w:rsid w:val="00625CD6"/>
    <w:rsid w:val="00625FD1"/>
    <w:rsid w:val="0062654F"/>
    <w:rsid w:val="00626FBD"/>
    <w:rsid w:val="00627727"/>
    <w:rsid w:val="00630963"/>
    <w:rsid w:val="00630A4D"/>
    <w:rsid w:val="00631766"/>
    <w:rsid w:val="006319A4"/>
    <w:rsid w:val="00632392"/>
    <w:rsid w:val="006330DA"/>
    <w:rsid w:val="00633EF6"/>
    <w:rsid w:val="00634238"/>
    <w:rsid w:val="00634421"/>
    <w:rsid w:val="006359C8"/>
    <w:rsid w:val="006365C2"/>
    <w:rsid w:val="00636D25"/>
    <w:rsid w:val="00637B11"/>
    <w:rsid w:val="0064102D"/>
    <w:rsid w:val="00641144"/>
    <w:rsid w:val="00641338"/>
    <w:rsid w:val="00641699"/>
    <w:rsid w:val="00643A41"/>
    <w:rsid w:val="00643C53"/>
    <w:rsid w:val="00645047"/>
    <w:rsid w:val="006454BB"/>
    <w:rsid w:val="006468C3"/>
    <w:rsid w:val="00646ACA"/>
    <w:rsid w:val="00647EAB"/>
    <w:rsid w:val="006506FD"/>
    <w:rsid w:val="00651293"/>
    <w:rsid w:val="00652278"/>
    <w:rsid w:val="006526EB"/>
    <w:rsid w:val="006531FD"/>
    <w:rsid w:val="0065397B"/>
    <w:rsid w:val="006539D7"/>
    <w:rsid w:val="00654201"/>
    <w:rsid w:val="006544A9"/>
    <w:rsid w:val="006548C4"/>
    <w:rsid w:val="006549E8"/>
    <w:rsid w:val="00654A7C"/>
    <w:rsid w:val="00654B41"/>
    <w:rsid w:val="00654FC9"/>
    <w:rsid w:val="00654FFD"/>
    <w:rsid w:val="006557E1"/>
    <w:rsid w:val="006560AE"/>
    <w:rsid w:val="00656155"/>
    <w:rsid w:val="006561FA"/>
    <w:rsid w:val="006579F8"/>
    <w:rsid w:val="00657DAD"/>
    <w:rsid w:val="00660E3F"/>
    <w:rsid w:val="00661076"/>
    <w:rsid w:val="00661476"/>
    <w:rsid w:val="006632D4"/>
    <w:rsid w:val="006636AE"/>
    <w:rsid w:val="00663AA6"/>
    <w:rsid w:val="00663AF9"/>
    <w:rsid w:val="006640BB"/>
    <w:rsid w:val="00664956"/>
    <w:rsid w:val="00664C08"/>
    <w:rsid w:val="00665564"/>
    <w:rsid w:val="0066598A"/>
    <w:rsid w:val="00665C85"/>
    <w:rsid w:val="006663A6"/>
    <w:rsid w:val="00667473"/>
    <w:rsid w:val="0067014B"/>
    <w:rsid w:val="0067052C"/>
    <w:rsid w:val="00671585"/>
    <w:rsid w:val="00672121"/>
    <w:rsid w:val="006727D7"/>
    <w:rsid w:val="00672940"/>
    <w:rsid w:val="0067373E"/>
    <w:rsid w:val="00674DF6"/>
    <w:rsid w:val="006752B1"/>
    <w:rsid w:val="00676054"/>
    <w:rsid w:val="006760A0"/>
    <w:rsid w:val="00676BD2"/>
    <w:rsid w:val="006819B6"/>
    <w:rsid w:val="00681DAB"/>
    <w:rsid w:val="006826EA"/>
    <w:rsid w:val="00682944"/>
    <w:rsid w:val="00682F6C"/>
    <w:rsid w:val="00684C4B"/>
    <w:rsid w:val="00685D8B"/>
    <w:rsid w:val="006862B0"/>
    <w:rsid w:val="0068721D"/>
    <w:rsid w:val="00687244"/>
    <w:rsid w:val="00687524"/>
    <w:rsid w:val="00687C9E"/>
    <w:rsid w:val="00687EE4"/>
    <w:rsid w:val="00690960"/>
    <w:rsid w:val="00690ECE"/>
    <w:rsid w:val="00690FA6"/>
    <w:rsid w:val="00692455"/>
    <w:rsid w:val="00692B5F"/>
    <w:rsid w:val="00693A22"/>
    <w:rsid w:val="00694DB7"/>
    <w:rsid w:val="006955AF"/>
    <w:rsid w:val="006956DE"/>
    <w:rsid w:val="00696080"/>
    <w:rsid w:val="00696F1E"/>
    <w:rsid w:val="00697074"/>
    <w:rsid w:val="00697188"/>
    <w:rsid w:val="006976B9"/>
    <w:rsid w:val="00697978"/>
    <w:rsid w:val="00697C42"/>
    <w:rsid w:val="006A0622"/>
    <w:rsid w:val="006A155D"/>
    <w:rsid w:val="006A32B3"/>
    <w:rsid w:val="006A4BE1"/>
    <w:rsid w:val="006A54A1"/>
    <w:rsid w:val="006A6B4E"/>
    <w:rsid w:val="006A6BBE"/>
    <w:rsid w:val="006A7034"/>
    <w:rsid w:val="006A788F"/>
    <w:rsid w:val="006A78AE"/>
    <w:rsid w:val="006A795B"/>
    <w:rsid w:val="006B001D"/>
    <w:rsid w:val="006B0177"/>
    <w:rsid w:val="006B0AFB"/>
    <w:rsid w:val="006B1207"/>
    <w:rsid w:val="006B1AE4"/>
    <w:rsid w:val="006B2861"/>
    <w:rsid w:val="006B3179"/>
    <w:rsid w:val="006B3451"/>
    <w:rsid w:val="006B4F95"/>
    <w:rsid w:val="006B56E4"/>
    <w:rsid w:val="006B57CE"/>
    <w:rsid w:val="006B596F"/>
    <w:rsid w:val="006B6122"/>
    <w:rsid w:val="006B67FF"/>
    <w:rsid w:val="006C0427"/>
    <w:rsid w:val="006C0601"/>
    <w:rsid w:val="006C1DDC"/>
    <w:rsid w:val="006C305C"/>
    <w:rsid w:val="006C44E5"/>
    <w:rsid w:val="006C4DA6"/>
    <w:rsid w:val="006C64D7"/>
    <w:rsid w:val="006C7E62"/>
    <w:rsid w:val="006D0838"/>
    <w:rsid w:val="006D0A1E"/>
    <w:rsid w:val="006D0FE3"/>
    <w:rsid w:val="006D13BB"/>
    <w:rsid w:val="006D16BE"/>
    <w:rsid w:val="006D18DE"/>
    <w:rsid w:val="006D255D"/>
    <w:rsid w:val="006D387F"/>
    <w:rsid w:val="006D3CB8"/>
    <w:rsid w:val="006D43E9"/>
    <w:rsid w:val="006D4B8B"/>
    <w:rsid w:val="006D4F6A"/>
    <w:rsid w:val="006D5E4D"/>
    <w:rsid w:val="006D6CF0"/>
    <w:rsid w:val="006E00D8"/>
    <w:rsid w:val="006E2A93"/>
    <w:rsid w:val="006E31C5"/>
    <w:rsid w:val="006E33D1"/>
    <w:rsid w:val="006E3EB0"/>
    <w:rsid w:val="006E4063"/>
    <w:rsid w:val="006E4195"/>
    <w:rsid w:val="006E4379"/>
    <w:rsid w:val="006E4A01"/>
    <w:rsid w:val="006E4C14"/>
    <w:rsid w:val="006E4CB3"/>
    <w:rsid w:val="006E551A"/>
    <w:rsid w:val="006E63F4"/>
    <w:rsid w:val="006F098B"/>
    <w:rsid w:val="006F1966"/>
    <w:rsid w:val="006F1B43"/>
    <w:rsid w:val="006F2C51"/>
    <w:rsid w:val="006F3418"/>
    <w:rsid w:val="006F3EE4"/>
    <w:rsid w:val="006F520D"/>
    <w:rsid w:val="006F68A6"/>
    <w:rsid w:val="006F6F6F"/>
    <w:rsid w:val="006F7F57"/>
    <w:rsid w:val="007000BF"/>
    <w:rsid w:val="0070301B"/>
    <w:rsid w:val="007036C1"/>
    <w:rsid w:val="007047DE"/>
    <w:rsid w:val="007053B9"/>
    <w:rsid w:val="0070685D"/>
    <w:rsid w:val="007072AD"/>
    <w:rsid w:val="00707D87"/>
    <w:rsid w:val="00711C97"/>
    <w:rsid w:val="00712AE1"/>
    <w:rsid w:val="00712DC5"/>
    <w:rsid w:val="007133C6"/>
    <w:rsid w:val="007139EE"/>
    <w:rsid w:val="00713EDC"/>
    <w:rsid w:val="0071455A"/>
    <w:rsid w:val="00715A91"/>
    <w:rsid w:val="0071659D"/>
    <w:rsid w:val="007171AC"/>
    <w:rsid w:val="00717F04"/>
    <w:rsid w:val="007208D4"/>
    <w:rsid w:val="0072143A"/>
    <w:rsid w:val="00721B2E"/>
    <w:rsid w:val="00723FA1"/>
    <w:rsid w:val="0072502D"/>
    <w:rsid w:val="007264C4"/>
    <w:rsid w:val="0072664D"/>
    <w:rsid w:val="00726D58"/>
    <w:rsid w:val="007274B2"/>
    <w:rsid w:val="00727DBF"/>
    <w:rsid w:val="007300C8"/>
    <w:rsid w:val="007300D8"/>
    <w:rsid w:val="007305E0"/>
    <w:rsid w:val="00731077"/>
    <w:rsid w:val="00731C39"/>
    <w:rsid w:val="007324FC"/>
    <w:rsid w:val="0073326E"/>
    <w:rsid w:val="00733400"/>
    <w:rsid w:val="00735B8B"/>
    <w:rsid w:val="007366D5"/>
    <w:rsid w:val="00736823"/>
    <w:rsid w:val="0073697D"/>
    <w:rsid w:val="00736A67"/>
    <w:rsid w:val="007408D0"/>
    <w:rsid w:val="00741A9A"/>
    <w:rsid w:val="00742357"/>
    <w:rsid w:val="00742EE7"/>
    <w:rsid w:val="00743009"/>
    <w:rsid w:val="00746927"/>
    <w:rsid w:val="00746D00"/>
    <w:rsid w:val="00746F79"/>
    <w:rsid w:val="00747533"/>
    <w:rsid w:val="00751E82"/>
    <w:rsid w:val="00752719"/>
    <w:rsid w:val="00752721"/>
    <w:rsid w:val="00752878"/>
    <w:rsid w:val="00752FF2"/>
    <w:rsid w:val="00753F1D"/>
    <w:rsid w:val="00755196"/>
    <w:rsid w:val="00755511"/>
    <w:rsid w:val="007559A0"/>
    <w:rsid w:val="00755FDF"/>
    <w:rsid w:val="0075662B"/>
    <w:rsid w:val="0075715C"/>
    <w:rsid w:val="007572AE"/>
    <w:rsid w:val="00760BB8"/>
    <w:rsid w:val="007614C4"/>
    <w:rsid w:val="00761681"/>
    <w:rsid w:val="007617E9"/>
    <w:rsid w:val="00762235"/>
    <w:rsid w:val="00762C35"/>
    <w:rsid w:val="00762EA3"/>
    <w:rsid w:val="00763FA5"/>
    <w:rsid w:val="00764925"/>
    <w:rsid w:val="00764B2B"/>
    <w:rsid w:val="00765138"/>
    <w:rsid w:val="00765599"/>
    <w:rsid w:val="00765D0F"/>
    <w:rsid w:val="00765FEE"/>
    <w:rsid w:val="0076720E"/>
    <w:rsid w:val="007673F0"/>
    <w:rsid w:val="00767681"/>
    <w:rsid w:val="00767D34"/>
    <w:rsid w:val="0077021F"/>
    <w:rsid w:val="007707D4"/>
    <w:rsid w:val="00770CA1"/>
    <w:rsid w:val="0077174A"/>
    <w:rsid w:val="00773012"/>
    <w:rsid w:val="00773A6C"/>
    <w:rsid w:val="0077473C"/>
    <w:rsid w:val="00775003"/>
    <w:rsid w:val="0077529A"/>
    <w:rsid w:val="0077532C"/>
    <w:rsid w:val="00775E55"/>
    <w:rsid w:val="00776137"/>
    <w:rsid w:val="007761DF"/>
    <w:rsid w:val="00776340"/>
    <w:rsid w:val="0077666F"/>
    <w:rsid w:val="007766B5"/>
    <w:rsid w:val="00776D23"/>
    <w:rsid w:val="00780AE7"/>
    <w:rsid w:val="00780DC2"/>
    <w:rsid w:val="00781077"/>
    <w:rsid w:val="00781710"/>
    <w:rsid w:val="00781CA1"/>
    <w:rsid w:val="00781CB5"/>
    <w:rsid w:val="00783363"/>
    <w:rsid w:val="00783364"/>
    <w:rsid w:val="007834B3"/>
    <w:rsid w:val="007868B0"/>
    <w:rsid w:val="00787E59"/>
    <w:rsid w:val="00790356"/>
    <w:rsid w:val="0079066B"/>
    <w:rsid w:val="007911F4"/>
    <w:rsid w:val="007931EC"/>
    <w:rsid w:val="00793B3A"/>
    <w:rsid w:val="00793F8B"/>
    <w:rsid w:val="007957A4"/>
    <w:rsid w:val="007959C1"/>
    <w:rsid w:val="007963E9"/>
    <w:rsid w:val="00796A31"/>
    <w:rsid w:val="0079751F"/>
    <w:rsid w:val="00797776"/>
    <w:rsid w:val="00797777"/>
    <w:rsid w:val="007A0252"/>
    <w:rsid w:val="007A0458"/>
    <w:rsid w:val="007A0A45"/>
    <w:rsid w:val="007A279C"/>
    <w:rsid w:val="007A29B7"/>
    <w:rsid w:val="007A2C3B"/>
    <w:rsid w:val="007A38F2"/>
    <w:rsid w:val="007A3FFA"/>
    <w:rsid w:val="007A41CF"/>
    <w:rsid w:val="007A4FAC"/>
    <w:rsid w:val="007A50A0"/>
    <w:rsid w:val="007A51FA"/>
    <w:rsid w:val="007A5CCB"/>
    <w:rsid w:val="007A6352"/>
    <w:rsid w:val="007A6A48"/>
    <w:rsid w:val="007A6FF2"/>
    <w:rsid w:val="007A7359"/>
    <w:rsid w:val="007B1F78"/>
    <w:rsid w:val="007B27D2"/>
    <w:rsid w:val="007B3B6B"/>
    <w:rsid w:val="007B459C"/>
    <w:rsid w:val="007B5979"/>
    <w:rsid w:val="007B771F"/>
    <w:rsid w:val="007C1638"/>
    <w:rsid w:val="007C1AE0"/>
    <w:rsid w:val="007C1DF3"/>
    <w:rsid w:val="007C1F28"/>
    <w:rsid w:val="007C1FB2"/>
    <w:rsid w:val="007C2571"/>
    <w:rsid w:val="007C30DC"/>
    <w:rsid w:val="007C33D5"/>
    <w:rsid w:val="007C3D63"/>
    <w:rsid w:val="007C42C7"/>
    <w:rsid w:val="007C48E0"/>
    <w:rsid w:val="007C4A71"/>
    <w:rsid w:val="007C4C87"/>
    <w:rsid w:val="007C5302"/>
    <w:rsid w:val="007C59B1"/>
    <w:rsid w:val="007C5C9E"/>
    <w:rsid w:val="007C7053"/>
    <w:rsid w:val="007C71BB"/>
    <w:rsid w:val="007C7A29"/>
    <w:rsid w:val="007D260C"/>
    <w:rsid w:val="007D2F86"/>
    <w:rsid w:val="007D3236"/>
    <w:rsid w:val="007D3573"/>
    <w:rsid w:val="007D3B09"/>
    <w:rsid w:val="007D4AF0"/>
    <w:rsid w:val="007D4BF2"/>
    <w:rsid w:val="007D4DB5"/>
    <w:rsid w:val="007D5510"/>
    <w:rsid w:val="007D56A5"/>
    <w:rsid w:val="007D62AB"/>
    <w:rsid w:val="007D62EC"/>
    <w:rsid w:val="007D65EB"/>
    <w:rsid w:val="007D70CE"/>
    <w:rsid w:val="007E0741"/>
    <w:rsid w:val="007E151A"/>
    <w:rsid w:val="007E1CBB"/>
    <w:rsid w:val="007E1D4B"/>
    <w:rsid w:val="007E2CFA"/>
    <w:rsid w:val="007E393F"/>
    <w:rsid w:val="007E3AA6"/>
    <w:rsid w:val="007E4BA8"/>
    <w:rsid w:val="007E5FCF"/>
    <w:rsid w:val="007E617B"/>
    <w:rsid w:val="007E7B67"/>
    <w:rsid w:val="007F0B2A"/>
    <w:rsid w:val="007F147F"/>
    <w:rsid w:val="007F2272"/>
    <w:rsid w:val="007F2BF5"/>
    <w:rsid w:val="007F31A2"/>
    <w:rsid w:val="007F3560"/>
    <w:rsid w:val="007F4435"/>
    <w:rsid w:val="007F5002"/>
    <w:rsid w:val="007F53DD"/>
    <w:rsid w:val="007F7F08"/>
    <w:rsid w:val="00800191"/>
    <w:rsid w:val="00801CD0"/>
    <w:rsid w:val="00803901"/>
    <w:rsid w:val="00804160"/>
    <w:rsid w:val="00805F1C"/>
    <w:rsid w:val="00805F89"/>
    <w:rsid w:val="00807075"/>
    <w:rsid w:val="00807DD1"/>
    <w:rsid w:val="00810432"/>
    <w:rsid w:val="00812BCE"/>
    <w:rsid w:val="0081385D"/>
    <w:rsid w:val="00814552"/>
    <w:rsid w:val="00814BFA"/>
    <w:rsid w:val="008151F0"/>
    <w:rsid w:val="00815536"/>
    <w:rsid w:val="008160B0"/>
    <w:rsid w:val="008161F4"/>
    <w:rsid w:val="00817BF8"/>
    <w:rsid w:val="00817E48"/>
    <w:rsid w:val="00817ED6"/>
    <w:rsid w:val="0082274C"/>
    <w:rsid w:val="008228AD"/>
    <w:rsid w:val="008228C1"/>
    <w:rsid w:val="00822966"/>
    <w:rsid w:val="00823288"/>
    <w:rsid w:val="00823ECB"/>
    <w:rsid w:val="00825CD5"/>
    <w:rsid w:val="008265EA"/>
    <w:rsid w:val="008274AD"/>
    <w:rsid w:val="008279B3"/>
    <w:rsid w:val="00827A53"/>
    <w:rsid w:val="008307C5"/>
    <w:rsid w:val="00831BBC"/>
    <w:rsid w:val="0083292D"/>
    <w:rsid w:val="00833889"/>
    <w:rsid w:val="00833CF4"/>
    <w:rsid w:val="00834732"/>
    <w:rsid w:val="008349E2"/>
    <w:rsid w:val="00835638"/>
    <w:rsid w:val="00835881"/>
    <w:rsid w:val="0083600F"/>
    <w:rsid w:val="008361F6"/>
    <w:rsid w:val="008364A9"/>
    <w:rsid w:val="0083757B"/>
    <w:rsid w:val="008378F4"/>
    <w:rsid w:val="00840432"/>
    <w:rsid w:val="008407C5"/>
    <w:rsid w:val="00840CAB"/>
    <w:rsid w:val="008413BE"/>
    <w:rsid w:val="00841F27"/>
    <w:rsid w:val="0084211B"/>
    <w:rsid w:val="0084314F"/>
    <w:rsid w:val="00843357"/>
    <w:rsid w:val="0084416D"/>
    <w:rsid w:val="00844E61"/>
    <w:rsid w:val="008454FA"/>
    <w:rsid w:val="0084658B"/>
    <w:rsid w:val="008465AE"/>
    <w:rsid w:val="00846CB0"/>
    <w:rsid w:val="00846F1C"/>
    <w:rsid w:val="008476C2"/>
    <w:rsid w:val="00855AAE"/>
    <w:rsid w:val="00855C0A"/>
    <w:rsid w:val="0085606E"/>
    <w:rsid w:val="008567AB"/>
    <w:rsid w:val="00856A44"/>
    <w:rsid w:val="008574A4"/>
    <w:rsid w:val="00857CD3"/>
    <w:rsid w:val="00860BAB"/>
    <w:rsid w:val="00863199"/>
    <w:rsid w:val="008650B3"/>
    <w:rsid w:val="008658E3"/>
    <w:rsid w:val="008659CE"/>
    <w:rsid w:val="00865F82"/>
    <w:rsid w:val="008661ED"/>
    <w:rsid w:val="008661FF"/>
    <w:rsid w:val="00866223"/>
    <w:rsid w:val="00866621"/>
    <w:rsid w:val="00867D1A"/>
    <w:rsid w:val="00870257"/>
    <w:rsid w:val="008708B9"/>
    <w:rsid w:val="008714A4"/>
    <w:rsid w:val="00871A74"/>
    <w:rsid w:val="00872E91"/>
    <w:rsid w:val="00873E8F"/>
    <w:rsid w:val="00874540"/>
    <w:rsid w:val="008747EE"/>
    <w:rsid w:val="00874B98"/>
    <w:rsid w:val="00874FC4"/>
    <w:rsid w:val="008759F2"/>
    <w:rsid w:val="00875F5B"/>
    <w:rsid w:val="0087623B"/>
    <w:rsid w:val="008778BC"/>
    <w:rsid w:val="008804E5"/>
    <w:rsid w:val="00881C97"/>
    <w:rsid w:val="008826FC"/>
    <w:rsid w:val="008839A7"/>
    <w:rsid w:val="00884DAD"/>
    <w:rsid w:val="00884F22"/>
    <w:rsid w:val="008853BB"/>
    <w:rsid w:val="00886166"/>
    <w:rsid w:val="008861A1"/>
    <w:rsid w:val="00886279"/>
    <w:rsid w:val="0088741E"/>
    <w:rsid w:val="00887BDD"/>
    <w:rsid w:val="008900E5"/>
    <w:rsid w:val="0089031E"/>
    <w:rsid w:val="00890624"/>
    <w:rsid w:val="0089123C"/>
    <w:rsid w:val="00891F8C"/>
    <w:rsid w:val="00893101"/>
    <w:rsid w:val="008934A2"/>
    <w:rsid w:val="00893520"/>
    <w:rsid w:val="00893EB2"/>
    <w:rsid w:val="008940D0"/>
    <w:rsid w:val="00894D67"/>
    <w:rsid w:val="00894E79"/>
    <w:rsid w:val="00896476"/>
    <w:rsid w:val="0089680F"/>
    <w:rsid w:val="008A0B91"/>
    <w:rsid w:val="008A1012"/>
    <w:rsid w:val="008A1253"/>
    <w:rsid w:val="008A21C0"/>
    <w:rsid w:val="008A31D7"/>
    <w:rsid w:val="008A40A5"/>
    <w:rsid w:val="008A4655"/>
    <w:rsid w:val="008A4E6F"/>
    <w:rsid w:val="008A539A"/>
    <w:rsid w:val="008A59B3"/>
    <w:rsid w:val="008A7C01"/>
    <w:rsid w:val="008B0595"/>
    <w:rsid w:val="008B0B6F"/>
    <w:rsid w:val="008B1EAB"/>
    <w:rsid w:val="008B1F00"/>
    <w:rsid w:val="008B2C15"/>
    <w:rsid w:val="008B3977"/>
    <w:rsid w:val="008B4994"/>
    <w:rsid w:val="008B54E1"/>
    <w:rsid w:val="008B56D3"/>
    <w:rsid w:val="008B5783"/>
    <w:rsid w:val="008B69DF"/>
    <w:rsid w:val="008B7E4A"/>
    <w:rsid w:val="008C05EB"/>
    <w:rsid w:val="008C089C"/>
    <w:rsid w:val="008C09D5"/>
    <w:rsid w:val="008C09E3"/>
    <w:rsid w:val="008C110F"/>
    <w:rsid w:val="008C186D"/>
    <w:rsid w:val="008C1C44"/>
    <w:rsid w:val="008C1CD8"/>
    <w:rsid w:val="008C303F"/>
    <w:rsid w:val="008C3145"/>
    <w:rsid w:val="008C465C"/>
    <w:rsid w:val="008C5F2B"/>
    <w:rsid w:val="008C6544"/>
    <w:rsid w:val="008C6666"/>
    <w:rsid w:val="008C6EEA"/>
    <w:rsid w:val="008D0313"/>
    <w:rsid w:val="008D0402"/>
    <w:rsid w:val="008D086A"/>
    <w:rsid w:val="008D0DDE"/>
    <w:rsid w:val="008D19A3"/>
    <w:rsid w:val="008D2120"/>
    <w:rsid w:val="008D2519"/>
    <w:rsid w:val="008D282E"/>
    <w:rsid w:val="008D2B96"/>
    <w:rsid w:val="008D3BA7"/>
    <w:rsid w:val="008D4652"/>
    <w:rsid w:val="008D50E2"/>
    <w:rsid w:val="008D5809"/>
    <w:rsid w:val="008D58F0"/>
    <w:rsid w:val="008D5B28"/>
    <w:rsid w:val="008D5EF8"/>
    <w:rsid w:val="008D60AA"/>
    <w:rsid w:val="008D62B1"/>
    <w:rsid w:val="008D71D8"/>
    <w:rsid w:val="008E4757"/>
    <w:rsid w:val="008E52EC"/>
    <w:rsid w:val="008E5379"/>
    <w:rsid w:val="008E619F"/>
    <w:rsid w:val="008E64D6"/>
    <w:rsid w:val="008E6A7C"/>
    <w:rsid w:val="008E6E39"/>
    <w:rsid w:val="008E7FBA"/>
    <w:rsid w:val="008F0115"/>
    <w:rsid w:val="008F037E"/>
    <w:rsid w:val="008F0508"/>
    <w:rsid w:val="008F05FB"/>
    <w:rsid w:val="008F062D"/>
    <w:rsid w:val="008F074F"/>
    <w:rsid w:val="008F084C"/>
    <w:rsid w:val="008F0D0D"/>
    <w:rsid w:val="008F0E15"/>
    <w:rsid w:val="008F16E4"/>
    <w:rsid w:val="008F196B"/>
    <w:rsid w:val="008F3077"/>
    <w:rsid w:val="008F30D3"/>
    <w:rsid w:val="008F3197"/>
    <w:rsid w:val="008F3983"/>
    <w:rsid w:val="008F4AAD"/>
    <w:rsid w:val="008F5182"/>
    <w:rsid w:val="008F5577"/>
    <w:rsid w:val="008F68AF"/>
    <w:rsid w:val="008F6D15"/>
    <w:rsid w:val="008F7BC3"/>
    <w:rsid w:val="00900939"/>
    <w:rsid w:val="00900E33"/>
    <w:rsid w:val="00901587"/>
    <w:rsid w:val="00902057"/>
    <w:rsid w:val="00902717"/>
    <w:rsid w:val="00902AD4"/>
    <w:rsid w:val="00903CB4"/>
    <w:rsid w:val="0090443F"/>
    <w:rsid w:val="0090469D"/>
    <w:rsid w:val="009049E2"/>
    <w:rsid w:val="0090637C"/>
    <w:rsid w:val="00906B6C"/>
    <w:rsid w:val="009101C4"/>
    <w:rsid w:val="0091110F"/>
    <w:rsid w:val="00911485"/>
    <w:rsid w:val="00911B08"/>
    <w:rsid w:val="009133BE"/>
    <w:rsid w:val="009143D1"/>
    <w:rsid w:val="009147B3"/>
    <w:rsid w:val="00914817"/>
    <w:rsid w:val="00915D1F"/>
    <w:rsid w:val="00915E9B"/>
    <w:rsid w:val="00916982"/>
    <w:rsid w:val="00916F32"/>
    <w:rsid w:val="00917961"/>
    <w:rsid w:val="00917B08"/>
    <w:rsid w:val="00917E26"/>
    <w:rsid w:val="00920458"/>
    <w:rsid w:val="00920A26"/>
    <w:rsid w:val="00920CDA"/>
    <w:rsid w:val="00920FD7"/>
    <w:rsid w:val="009210BA"/>
    <w:rsid w:val="00921FCE"/>
    <w:rsid w:val="00922A04"/>
    <w:rsid w:val="0092327D"/>
    <w:rsid w:val="00924548"/>
    <w:rsid w:val="009245DE"/>
    <w:rsid w:val="00924EC2"/>
    <w:rsid w:val="0092571D"/>
    <w:rsid w:val="009260A4"/>
    <w:rsid w:val="00926100"/>
    <w:rsid w:val="00926874"/>
    <w:rsid w:val="0093078B"/>
    <w:rsid w:val="00930FE5"/>
    <w:rsid w:val="00933A43"/>
    <w:rsid w:val="00934C03"/>
    <w:rsid w:val="0093566B"/>
    <w:rsid w:val="00935CA9"/>
    <w:rsid w:val="00937A34"/>
    <w:rsid w:val="00940334"/>
    <w:rsid w:val="0094263E"/>
    <w:rsid w:val="00942C17"/>
    <w:rsid w:val="00942E74"/>
    <w:rsid w:val="00943445"/>
    <w:rsid w:val="00943C27"/>
    <w:rsid w:val="00944733"/>
    <w:rsid w:val="00944F3A"/>
    <w:rsid w:val="00945C7C"/>
    <w:rsid w:val="00945F43"/>
    <w:rsid w:val="00946022"/>
    <w:rsid w:val="009460C2"/>
    <w:rsid w:val="009464E8"/>
    <w:rsid w:val="009466B3"/>
    <w:rsid w:val="00947057"/>
    <w:rsid w:val="0095014A"/>
    <w:rsid w:val="0095050B"/>
    <w:rsid w:val="00950B66"/>
    <w:rsid w:val="00951037"/>
    <w:rsid w:val="009516FA"/>
    <w:rsid w:val="0095179A"/>
    <w:rsid w:val="00951D20"/>
    <w:rsid w:val="0095245C"/>
    <w:rsid w:val="00952BCE"/>
    <w:rsid w:val="00953007"/>
    <w:rsid w:val="009536A2"/>
    <w:rsid w:val="0095381C"/>
    <w:rsid w:val="00955553"/>
    <w:rsid w:val="009565A9"/>
    <w:rsid w:val="0095698F"/>
    <w:rsid w:val="009574E6"/>
    <w:rsid w:val="00957DF3"/>
    <w:rsid w:val="00960219"/>
    <w:rsid w:val="00960A09"/>
    <w:rsid w:val="00962029"/>
    <w:rsid w:val="00962B66"/>
    <w:rsid w:val="00962EB9"/>
    <w:rsid w:val="009635D1"/>
    <w:rsid w:val="00963B1C"/>
    <w:rsid w:val="00964AD5"/>
    <w:rsid w:val="009653C5"/>
    <w:rsid w:val="00965BEF"/>
    <w:rsid w:val="0096634C"/>
    <w:rsid w:val="0096659E"/>
    <w:rsid w:val="00966AD2"/>
    <w:rsid w:val="00966FB4"/>
    <w:rsid w:val="009675F5"/>
    <w:rsid w:val="009701F0"/>
    <w:rsid w:val="00970267"/>
    <w:rsid w:val="00970A18"/>
    <w:rsid w:val="00970DAD"/>
    <w:rsid w:val="00970EF9"/>
    <w:rsid w:val="0097123F"/>
    <w:rsid w:val="00972355"/>
    <w:rsid w:val="00972CC9"/>
    <w:rsid w:val="00972F41"/>
    <w:rsid w:val="00973101"/>
    <w:rsid w:val="00973587"/>
    <w:rsid w:val="00973650"/>
    <w:rsid w:val="009741C9"/>
    <w:rsid w:val="00974981"/>
    <w:rsid w:val="00974D7E"/>
    <w:rsid w:val="00975E87"/>
    <w:rsid w:val="009764C9"/>
    <w:rsid w:val="009773CB"/>
    <w:rsid w:val="00977788"/>
    <w:rsid w:val="0097786F"/>
    <w:rsid w:val="009778F7"/>
    <w:rsid w:val="009801CF"/>
    <w:rsid w:val="00981ADA"/>
    <w:rsid w:val="0098226B"/>
    <w:rsid w:val="00982A35"/>
    <w:rsid w:val="00982BFA"/>
    <w:rsid w:val="00983402"/>
    <w:rsid w:val="00984397"/>
    <w:rsid w:val="009846CA"/>
    <w:rsid w:val="00984923"/>
    <w:rsid w:val="009849B7"/>
    <w:rsid w:val="00984FFF"/>
    <w:rsid w:val="0098556D"/>
    <w:rsid w:val="00985E41"/>
    <w:rsid w:val="00986115"/>
    <w:rsid w:val="00986DF3"/>
    <w:rsid w:val="00986FEA"/>
    <w:rsid w:val="00987288"/>
    <w:rsid w:val="00990101"/>
    <w:rsid w:val="0099092E"/>
    <w:rsid w:val="00990CF3"/>
    <w:rsid w:val="00990DE4"/>
    <w:rsid w:val="009912A2"/>
    <w:rsid w:val="009912CC"/>
    <w:rsid w:val="009919CE"/>
    <w:rsid w:val="00992272"/>
    <w:rsid w:val="00992D3B"/>
    <w:rsid w:val="0099338A"/>
    <w:rsid w:val="009934E1"/>
    <w:rsid w:val="0099355D"/>
    <w:rsid w:val="00993A59"/>
    <w:rsid w:val="009946F4"/>
    <w:rsid w:val="009959C8"/>
    <w:rsid w:val="00996E07"/>
    <w:rsid w:val="0099710F"/>
    <w:rsid w:val="00997127"/>
    <w:rsid w:val="00997DB7"/>
    <w:rsid w:val="00997F60"/>
    <w:rsid w:val="009A15ED"/>
    <w:rsid w:val="009A29D1"/>
    <w:rsid w:val="009A2D6E"/>
    <w:rsid w:val="009A2DF3"/>
    <w:rsid w:val="009A33CA"/>
    <w:rsid w:val="009A3700"/>
    <w:rsid w:val="009A3E4F"/>
    <w:rsid w:val="009A4DCA"/>
    <w:rsid w:val="009A4EAB"/>
    <w:rsid w:val="009A5234"/>
    <w:rsid w:val="009A5503"/>
    <w:rsid w:val="009A6638"/>
    <w:rsid w:val="009A6835"/>
    <w:rsid w:val="009A68BD"/>
    <w:rsid w:val="009B00CD"/>
    <w:rsid w:val="009B0FFA"/>
    <w:rsid w:val="009B12C8"/>
    <w:rsid w:val="009B1467"/>
    <w:rsid w:val="009B189A"/>
    <w:rsid w:val="009B1FBA"/>
    <w:rsid w:val="009B2157"/>
    <w:rsid w:val="009B223E"/>
    <w:rsid w:val="009B249F"/>
    <w:rsid w:val="009B2B00"/>
    <w:rsid w:val="009B32CE"/>
    <w:rsid w:val="009B3529"/>
    <w:rsid w:val="009B384F"/>
    <w:rsid w:val="009B442C"/>
    <w:rsid w:val="009B5F3F"/>
    <w:rsid w:val="009B6203"/>
    <w:rsid w:val="009B6987"/>
    <w:rsid w:val="009B77F0"/>
    <w:rsid w:val="009B7DBA"/>
    <w:rsid w:val="009C0DC7"/>
    <w:rsid w:val="009C1269"/>
    <w:rsid w:val="009C1578"/>
    <w:rsid w:val="009C1D63"/>
    <w:rsid w:val="009C25C7"/>
    <w:rsid w:val="009C2DEC"/>
    <w:rsid w:val="009C3303"/>
    <w:rsid w:val="009C3738"/>
    <w:rsid w:val="009C3FA2"/>
    <w:rsid w:val="009C51AF"/>
    <w:rsid w:val="009C5401"/>
    <w:rsid w:val="009C6288"/>
    <w:rsid w:val="009C6E8B"/>
    <w:rsid w:val="009C700E"/>
    <w:rsid w:val="009D03FB"/>
    <w:rsid w:val="009D0CBE"/>
    <w:rsid w:val="009D20DA"/>
    <w:rsid w:val="009D2C05"/>
    <w:rsid w:val="009D3681"/>
    <w:rsid w:val="009D3FC5"/>
    <w:rsid w:val="009D444F"/>
    <w:rsid w:val="009D54FD"/>
    <w:rsid w:val="009D703C"/>
    <w:rsid w:val="009D719F"/>
    <w:rsid w:val="009D7C03"/>
    <w:rsid w:val="009E0F5A"/>
    <w:rsid w:val="009E2D53"/>
    <w:rsid w:val="009E3AC0"/>
    <w:rsid w:val="009E4319"/>
    <w:rsid w:val="009E444D"/>
    <w:rsid w:val="009E487C"/>
    <w:rsid w:val="009E4907"/>
    <w:rsid w:val="009E51E6"/>
    <w:rsid w:val="009E5D91"/>
    <w:rsid w:val="009E6D0E"/>
    <w:rsid w:val="009E7A27"/>
    <w:rsid w:val="009F0924"/>
    <w:rsid w:val="009F154F"/>
    <w:rsid w:val="009F1CE5"/>
    <w:rsid w:val="009F2EEA"/>
    <w:rsid w:val="009F3A6D"/>
    <w:rsid w:val="009F4433"/>
    <w:rsid w:val="009F450D"/>
    <w:rsid w:val="009F68C9"/>
    <w:rsid w:val="00A0087E"/>
    <w:rsid w:val="00A00EE7"/>
    <w:rsid w:val="00A016BA"/>
    <w:rsid w:val="00A0172F"/>
    <w:rsid w:val="00A0263B"/>
    <w:rsid w:val="00A031A3"/>
    <w:rsid w:val="00A05B42"/>
    <w:rsid w:val="00A05EAB"/>
    <w:rsid w:val="00A06049"/>
    <w:rsid w:val="00A06702"/>
    <w:rsid w:val="00A0769D"/>
    <w:rsid w:val="00A076A2"/>
    <w:rsid w:val="00A07763"/>
    <w:rsid w:val="00A106B8"/>
    <w:rsid w:val="00A10BA6"/>
    <w:rsid w:val="00A11B88"/>
    <w:rsid w:val="00A11D5D"/>
    <w:rsid w:val="00A128C2"/>
    <w:rsid w:val="00A13133"/>
    <w:rsid w:val="00A13572"/>
    <w:rsid w:val="00A13FAD"/>
    <w:rsid w:val="00A14222"/>
    <w:rsid w:val="00A147E7"/>
    <w:rsid w:val="00A14945"/>
    <w:rsid w:val="00A14EE7"/>
    <w:rsid w:val="00A15240"/>
    <w:rsid w:val="00A20AC5"/>
    <w:rsid w:val="00A22585"/>
    <w:rsid w:val="00A23254"/>
    <w:rsid w:val="00A23764"/>
    <w:rsid w:val="00A2428C"/>
    <w:rsid w:val="00A24D85"/>
    <w:rsid w:val="00A24FCE"/>
    <w:rsid w:val="00A25B2B"/>
    <w:rsid w:val="00A261E0"/>
    <w:rsid w:val="00A26575"/>
    <w:rsid w:val="00A26A1E"/>
    <w:rsid w:val="00A26F6F"/>
    <w:rsid w:val="00A272C4"/>
    <w:rsid w:val="00A27BDD"/>
    <w:rsid w:val="00A30C1A"/>
    <w:rsid w:val="00A31053"/>
    <w:rsid w:val="00A32D26"/>
    <w:rsid w:val="00A33E00"/>
    <w:rsid w:val="00A34D39"/>
    <w:rsid w:val="00A3562B"/>
    <w:rsid w:val="00A35A9D"/>
    <w:rsid w:val="00A35EFD"/>
    <w:rsid w:val="00A36E22"/>
    <w:rsid w:val="00A377D5"/>
    <w:rsid w:val="00A405A2"/>
    <w:rsid w:val="00A41E14"/>
    <w:rsid w:val="00A420D1"/>
    <w:rsid w:val="00A4239E"/>
    <w:rsid w:val="00A4251F"/>
    <w:rsid w:val="00A42DD4"/>
    <w:rsid w:val="00A434E5"/>
    <w:rsid w:val="00A4376D"/>
    <w:rsid w:val="00A439ED"/>
    <w:rsid w:val="00A43DC7"/>
    <w:rsid w:val="00A442D5"/>
    <w:rsid w:val="00A44F82"/>
    <w:rsid w:val="00A45008"/>
    <w:rsid w:val="00A4556E"/>
    <w:rsid w:val="00A45D81"/>
    <w:rsid w:val="00A46063"/>
    <w:rsid w:val="00A46290"/>
    <w:rsid w:val="00A4633E"/>
    <w:rsid w:val="00A464F3"/>
    <w:rsid w:val="00A46520"/>
    <w:rsid w:val="00A46B75"/>
    <w:rsid w:val="00A514C7"/>
    <w:rsid w:val="00A51566"/>
    <w:rsid w:val="00A5173B"/>
    <w:rsid w:val="00A520BC"/>
    <w:rsid w:val="00A52537"/>
    <w:rsid w:val="00A52D59"/>
    <w:rsid w:val="00A534C1"/>
    <w:rsid w:val="00A54140"/>
    <w:rsid w:val="00A541A0"/>
    <w:rsid w:val="00A541E1"/>
    <w:rsid w:val="00A54CDE"/>
    <w:rsid w:val="00A54F5F"/>
    <w:rsid w:val="00A556DA"/>
    <w:rsid w:val="00A5573C"/>
    <w:rsid w:val="00A5598A"/>
    <w:rsid w:val="00A560D0"/>
    <w:rsid w:val="00A56590"/>
    <w:rsid w:val="00A56948"/>
    <w:rsid w:val="00A56AA7"/>
    <w:rsid w:val="00A60BC4"/>
    <w:rsid w:val="00A618B4"/>
    <w:rsid w:val="00A61968"/>
    <w:rsid w:val="00A621D6"/>
    <w:rsid w:val="00A63025"/>
    <w:rsid w:val="00A64685"/>
    <w:rsid w:val="00A659AD"/>
    <w:rsid w:val="00A6627C"/>
    <w:rsid w:val="00A66285"/>
    <w:rsid w:val="00A66315"/>
    <w:rsid w:val="00A6762E"/>
    <w:rsid w:val="00A67752"/>
    <w:rsid w:val="00A7019F"/>
    <w:rsid w:val="00A715AB"/>
    <w:rsid w:val="00A71B46"/>
    <w:rsid w:val="00A728F4"/>
    <w:rsid w:val="00A73739"/>
    <w:rsid w:val="00A737CA"/>
    <w:rsid w:val="00A74136"/>
    <w:rsid w:val="00A7560D"/>
    <w:rsid w:val="00A75CDB"/>
    <w:rsid w:val="00A7696A"/>
    <w:rsid w:val="00A76D99"/>
    <w:rsid w:val="00A76EE8"/>
    <w:rsid w:val="00A7798A"/>
    <w:rsid w:val="00A80204"/>
    <w:rsid w:val="00A809F9"/>
    <w:rsid w:val="00A81AEC"/>
    <w:rsid w:val="00A81E96"/>
    <w:rsid w:val="00A82545"/>
    <w:rsid w:val="00A829A4"/>
    <w:rsid w:val="00A831BD"/>
    <w:rsid w:val="00A836D9"/>
    <w:rsid w:val="00A844FD"/>
    <w:rsid w:val="00A848FB"/>
    <w:rsid w:val="00A84EB1"/>
    <w:rsid w:val="00A85022"/>
    <w:rsid w:val="00A85BA0"/>
    <w:rsid w:val="00A863E6"/>
    <w:rsid w:val="00A86CBD"/>
    <w:rsid w:val="00A86CCF"/>
    <w:rsid w:val="00A87BD9"/>
    <w:rsid w:val="00A9000E"/>
    <w:rsid w:val="00A9048D"/>
    <w:rsid w:val="00A9074C"/>
    <w:rsid w:val="00A908FF"/>
    <w:rsid w:val="00A90F38"/>
    <w:rsid w:val="00A92ECE"/>
    <w:rsid w:val="00A93CC9"/>
    <w:rsid w:val="00A94678"/>
    <w:rsid w:val="00A94EF5"/>
    <w:rsid w:val="00A95204"/>
    <w:rsid w:val="00A9623E"/>
    <w:rsid w:val="00A96722"/>
    <w:rsid w:val="00A9730D"/>
    <w:rsid w:val="00AA05A6"/>
    <w:rsid w:val="00AA1AAC"/>
    <w:rsid w:val="00AA32B7"/>
    <w:rsid w:val="00AA3F31"/>
    <w:rsid w:val="00AA4CC5"/>
    <w:rsid w:val="00AA5470"/>
    <w:rsid w:val="00AA63C9"/>
    <w:rsid w:val="00AA6E55"/>
    <w:rsid w:val="00AA721C"/>
    <w:rsid w:val="00AA7787"/>
    <w:rsid w:val="00AA7DC4"/>
    <w:rsid w:val="00AA7F7A"/>
    <w:rsid w:val="00AB002B"/>
    <w:rsid w:val="00AB06B9"/>
    <w:rsid w:val="00AB20D0"/>
    <w:rsid w:val="00AB2553"/>
    <w:rsid w:val="00AB35C5"/>
    <w:rsid w:val="00AB3B5C"/>
    <w:rsid w:val="00AB4E63"/>
    <w:rsid w:val="00AB53BE"/>
    <w:rsid w:val="00AB5D5B"/>
    <w:rsid w:val="00AB5E9C"/>
    <w:rsid w:val="00AB605F"/>
    <w:rsid w:val="00AC05FE"/>
    <w:rsid w:val="00AC0F94"/>
    <w:rsid w:val="00AC2BEF"/>
    <w:rsid w:val="00AC46EC"/>
    <w:rsid w:val="00AC54B7"/>
    <w:rsid w:val="00AC568B"/>
    <w:rsid w:val="00AC5C53"/>
    <w:rsid w:val="00AC65EF"/>
    <w:rsid w:val="00AC6C12"/>
    <w:rsid w:val="00AC7CCF"/>
    <w:rsid w:val="00AD071C"/>
    <w:rsid w:val="00AD0DCB"/>
    <w:rsid w:val="00AD1B05"/>
    <w:rsid w:val="00AD2674"/>
    <w:rsid w:val="00AD268D"/>
    <w:rsid w:val="00AD2A8A"/>
    <w:rsid w:val="00AD308C"/>
    <w:rsid w:val="00AD3B56"/>
    <w:rsid w:val="00AD41B5"/>
    <w:rsid w:val="00AD42BA"/>
    <w:rsid w:val="00AD5857"/>
    <w:rsid w:val="00AD5C1C"/>
    <w:rsid w:val="00AD6AD6"/>
    <w:rsid w:val="00AD6E39"/>
    <w:rsid w:val="00AE1DCC"/>
    <w:rsid w:val="00AE1FB5"/>
    <w:rsid w:val="00AE218E"/>
    <w:rsid w:val="00AE29D6"/>
    <w:rsid w:val="00AE3225"/>
    <w:rsid w:val="00AE33BD"/>
    <w:rsid w:val="00AE358A"/>
    <w:rsid w:val="00AE38FA"/>
    <w:rsid w:val="00AE51A9"/>
    <w:rsid w:val="00AE51E6"/>
    <w:rsid w:val="00AE53F4"/>
    <w:rsid w:val="00AE635C"/>
    <w:rsid w:val="00AE6709"/>
    <w:rsid w:val="00AE6E75"/>
    <w:rsid w:val="00AE7A5E"/>
    <w:rsid w:val="00AE7E19"/>
    <w:rsid w:val="00AF0300"/>
    <w:rsid w:val="00AF12BE"/>
    <w:rsid w:val="00AF226A"/>
    <w:rsid w:val="00AF2736"/>
    <w:rsid w:val="00AF3C35"/>
    <w:rsid w:val="00AF3E8C"/>
    <w:rsid w:val="00AF426C"/>
    <w:rsid w:val="00AF4E38"/>
    <w:rsid w:val="00AF5AE2"/>
    <w:rsid w:val="00AF6043"/>
    <w:rsid w:val="00AF63B0"/>
    <w:rsid w:val="00AF6418"/>
    <w:rsid w:val="00AF7EFD"/>
    <w:rsid w:val="00AF7FA4"/>
    <w:rsid w:val="00B00300"/>
    <w:rsid w:val="00B00570"/>
    <w:rsid w:val="00B00A71"/>
    <w:rsid w:val="00B02235"/>
    <w:rsid w:val="00B035CE"/>
    <w:rsid w:val="00B0434E"/>
    <w:rsid w:val="00B04493"/>
    <w:rsid w:val="00B064DB"/>
    <w:rsid w:val="00B06BB5"/>
    <w:rsid w:val="00B06E5C"/>
    <w:rsid w:val="00B07397"/>
    <w:rsid w:val="00B10B47"/>
    <w:rsid w:val="00B117BC"/>
    <w:rsid w:val="00B12989"/>
    <w:rsid w:val="00B13BB0"/>
    <w:rsid w:val="00B14366"/>
    <w:rsid w:val="00B15327"/>
    <w:rsid w:val="00B1546F"/>
    <w:rsid w:val="00B165BA"/>
    <w:rsid w:val="00B172D7"/>
    <w:rsid w:val="00B21617"/>
    <w:rsid w:val="00B22DC8"/>
    <w:rsid w:val="00B23657"/>
    <w:rsid w:val="00B240C1"/>
    <w:rsid w:val="00B24203"/>
    <w:rsid w:val="00B248EA"/>
    <w:rsid w:val="00B249A5"/>
    <w:rsid w:val="00B24CC3"/>
    <w:rsid w:val="00B253FF"/>
    <w:rsid w:val="00B25763"/>
    <w:rsid w:val="00B25D64"/>
    <w:rsid w:val="00B2602D"/>
    <w:rsid w:val="00B26C9C"/>
    <w:rsid w:val="00B27BB8"/>
    <w:rsid w:val="00B30019"/>
    <w:rsid w:val="00B30763"/>
    <w:rsid w:val="00B31A89"/>
    <w:rsid w:val="00B322C0"/>
    <w:rsid w:val="00B33BE7"/>
    <w:rsid w:val="00B34188"/>
    <w:rsid w:val="00B34205"/>
    <w:rsid w:val="00B35050"/>
    <w:rsid w:val="00B366D1"/>
    <w:rsid w:val="00B369E9"/>
    <w:rsid w:val="00B37032"/>
    <w:rsid w:val="00B3733A"/>
    <w:rsid w:val="00B378B5"/>
    <w:rsid w:val="00B378CD"/>
    <w:rsid w:val="00B41250"/>
    <w:rsid w:val="00B42896"/>
    <w:rsid w:val="00B43520"/>
    <w:rsid w:val="00B43749"/>
    <w:rsid w:val="00B4410B"/>
    <w:rsid w:val="00B4476E"/>
    <w:rsid w:val="00B4497D"/>
    <w:rsid w:val="00B451A4"/>
    <w:rsid w:val="00B4588F"/>
    <w:rsid w:val="00B476A9"/>
    <w:rsid w:val="00B4785D"/>
    <w:rsid w:val="00B50E83"/>
    <w:rsid w:val="00B510FB"/>
    <w:rsid w:val="00B51976"/>
    <w:rsid w:val="00B5330C"/>
    <w:rsid w:val="00B5791B"/>
    <w:rsid w:val="00B60784"/>
    <w:rsid w:val="00B6117D"/>
    <w:rsid w:val="00B61D2B"/>
    <w:rsid w:val="00B61D8E"/>
    <w:rsid w:val="00B61FBF"/>
    <w:rsid w:val="00B62E20"/>
    <w:rsid w:val="00B631F0"/>
    <w:rsid w:val="00B63352"/>
    <w:rsid w:val="00B64997"/>
    <w:rsid w:val="00B655E0"/>
    <w:rsid w:val="00B66775"/>
    <w:rsid w:val="00B66E44"/>
    <w:rsid w:val="00B67B33"/>
    <w:rsid w:val="00B707E8"/>
    <w:rsid w:val="00B7086B"/>
    <w:rsid w:val="00B70883"/>
    <w:rsid w:val="00B70B47"/>
    <w:rsid w:val="00B70D1C"/>
    <w:rsid w:val="00B713F9"/>
    <w:rsid w:val="00B71AEE"/>
    <w:rsid w:val="00B7202F"/>
    <w:rsid w:val="00B72951"/>
    <w:rsid w:val="00B730AA"/>
    <w:rsid w:val="00B7313A"/>
    <w:rsid w:val="00B7410C"/>
    <w:rsid w:val="00B74674"/>
    <w:rsid w:val="00B75956"/>
    <w:rsid w:val="00B759BB"/>
    <w:rsid w:val="00B75DA9"/>
    <w:rsid w:val="00B767F4"/>
    <w:rsid w:val="00B76F2D"/>
    <w:rsid w:val="00B8047C"/>
    <w:rsid w:val="00B80AD7"/>
    <w:rsid w:val="00B820CC"/>
    <w:rsid w:val="00B85652"/>
    <w:rsid w:val="00B85862"/>
    <w:rsid w:val="00B86995"/>
    <w:rsid w:val="00B90D13"/>
    <w:rsid w:val="00B91BF6"/>
    <w:rsid w:val="00B95358"/>
    <w:rsid w:val="00B96228"/>
    <w:rsid w:val="00B96C43"/>
    <w:rsid w:val="00B96E33"/>
    <w:rsid w:val="00BA0343"/>
    <w:rsid w:val="00BA0B8E"/>
    <w:rsid w:val="00BA0C8D"/>
    <w:rsid w:val="00BA10A4"/>
    <w:rsid w:val="00BA1CC2"/>
    <w:rsid w:val="00BA2EA0"/>
    <w:rsid w:val="00BA2F1D"/>
    <w:rsid w:val="00BA4519"/>
    <w:rsid w:val="00BA477A"/>
    <w:rsid w:val="00BA4858"/>
    <w:rsid w:val="00BA4FE9"/>
    <w:rsid w:val="00BA5627"/>
    <w:rsid w:val="00BA581B"/>
    <w:rsid w:val="00BA5CB2"/>
    <w:rsid w:val="00BA621D"/>
    <w:rsid w:val="00BA6889"/>
    <w:rsid w:val="00BA68E2"/>
    <w:rsid w:val="00BA7848"/>
    <w:rsid w:val="00BB0789"/>
    <w:rsid w:val="00BB230E"/>
    <w:rsid w:val="00BB2732"/>
    <w:rsid w:val="00BB3770"/>
    <w:rsid w:val="00BB4DDE"/>
    <w:rsid w:val="00BB5592"/>
    <w:rsid w:val="00BB61C6"/>
    <w:rsid w:val="00BB74D6"/>
    <w:rsid w:val="00BB7877"/>
    <w:rsid w:val="00BB78F6"/>
    <w:rsid w:val="00BC0A14"/>
    <w:rsid w:val="00BC0ACE"/>
    <w:rsid w:val="00BC0EB3"/>
    <w:rsid w:val="00BC1717"/>
    <w:rsid w:val="00BC42FE"/>
    <w:rsid w:val="00BC4571"/>
    <w:rsid w:val="00BC4FFB"/>
    <w:rsid w:val="00BC60BF"/>
    <w:rsid w:val="00BC61F7"/>
    <w:rsid w:val="00BD0F78"/>
    <w:rsid w:val="00BD1704"/>
    <w:rsid w:val="00BD1E86"/>
    <w:rsid w:val="00BD3E6A"/>
    <w:rsid w:val="00BD43B4"/>
    <w:rsid w:val="00BD470F"/>
    <w:rsid w:val="00BD6C0E"/>
    <w:rsid w:val="00BD6DDA"/>
    <w:rsid w:val="00BD7551"/>
    <w:rsid w:val="00BE0455"/>
    <w:rsid w:val="00BE08A2"/>
    <w:rsid w:val="00BE0F46"/>
    <w:rsid w:val="00BE0FF1"/>
    <w:rsid w:val="00BE1435"/>
    <w:rsid w:val="00BE157D"/>
    <w:rsid w:val="00BE1942"/>
    <w:rsid w:val="00BE267E"/>
    <w:rsid w:val="00BE2DDE"/>
    <w:rsid w:val="00BE3204"/>
    <w:rsid w:val="00BE3894"/>
    <w:rsid w:val="00BE3BC3"/>
    <w:rsid w:val="00BE3CC9"/>
    <w:rsid w:val="00BE4174"/>
    <w:rsid w:val="00BE4C72"/>
    <w:rsid w:val="00BE6399"/>
    <w:rsid w:val="00BE64CA"/>
    <w:rsid w:val="00BE658B"/>
    <w:rsid w:val="00BE668F"/>
    <w:rsid w:val="00BE6E50"/>
    <w:rsid w:val="00BE74B8"/>
    <w:rsid w:val="00BE7B61"/>
    <w:rsid w:val="00BF0134"/>
    <w:rsid w:val="00BF067C"/>
    <w:rsid w:val="00BF097C"/>
    <w:rsid w:val="00BF265A"/>
    <w:rsid w:val="00BF35F2"/>
    <w:rsid w:val="00BF4597"/>
    <w:rsid w:val="00BF4FD5"/>
    <w:rsid w:val="00BF6796"/>
    <w:rsid w:val="00BF735A"/>
    <w:rsid w:val="00BF767F"/>
    <w:rsid w:val="00C008D1"/>
    <w:rsid w:val="00C013FD"/>
    <w:rsid w:val="00C0163C"/>
    <w:rsid w:val="00C01E32"/>
    <w:rsid w:val="00C03044"/>
    <w:rsid w:val="00C03428"/>
    <w:rsid w:val="00C04103"/>
    <w:rsid w:val="00C048E1"/>
    <w:rsid w:val="00C04B37"/>
    <w:rsid w:val="00C05FE1"/>
    <w:rsid w:val="00C05FFF"/>
    <w:rsid w:val="00C0601A"/>
    <w:rsid w:val="00C06D5F"/>
    <w:rsid w:val="00C06F37"/>
    <w:rsid w:val="00C0709D"/>
    <w:rsid w:val="00C106BA"/>
    <w:rsid w:val="00C10EE9"/>
    <w:rsid w:val="00C1114C"/>
    <w:rsid w:val="00C11794"/>
    <w:rsid w:val="00C11F5B"/>
    <w:rsid w:val="00C1243E"/>
    <w:rsid w:val="00C1355C"/>
    <w:rsid w:val="00C13DED"/>
    <w:rsid w:val="00C140FE"/>
    <w:rsid w:val="00C141D9"/>
    <w:rsid w:val="00C14676"/>
    <w:rsid w:val="00C160DB"/>
    <w:rsid w:val="00C168D9"/>
    <w:rsid w:val="00C17204"/>
    <w:rsid w:val="00C201C5"/>
    <w:rsid w:val="00C20965"/>
    <w:rsid w:val="00C20C83"/>
    <w:rsid w:val="00C20CDD"/>
    <w:rsid w:val="00C210FA"/>
    <w:rsid w:val="00C210FC"/>
    <w:rsid w:val="00C2291C"/>
    <w:rsid w:val="00C22A55"/>
    <w:rsid w:val="00C23475"/>
    <w:rsid w:val="00C23807"/>
    <w:rsid w:val="00C23C39"/>
    <w:rsid w:val="00C243C5"/>
    <w:rsid w:val="00C245CC"/>
    <w:rsid w:val="00C24F19"/>
    <w:rsid w:val="00C25BDA"/>
    <w:rsid w:val="00C25F3B"/>
    <w:rsid w:val="00C26DCE"/>
    <w:rsid w:val="00C27288"/>
    <w:rsid w:val="00C301C3"/>
    <w:rsid w:val="00C320A7"/>
    <w:rsid w:val="00C327CE"/>
    <w:rsid w:val="00C333E3"/>
    <w:rsid w:val="00C335D1"/>
    <w:rsid w:val="00C3389A"/>
    <w:rsid w:val="00C34357"/>
    <w:rsid w:val="00C353F7"/>
    <w:rsid w:val="00C35665"/>
    <w:rsid w:val="00C37754"/>
    <w:rsid w:val="00C40AD2"/>
    <w:rsid w:val="00C414C2"/>
    <w:rsid w:val="00C4150E"/>
    <w:rsid w:val="00C41F20"/>
    <w:rsid w:val="00C42449"/>
    <w:rsid w:val="00C428E5"/>
    <w:rsid w:val="00C42F23"/>
    <w:rsid w:val="00C4331C"/>
    <w:rsid w:val="00C44343"/>
    <w:rsid w:val="00C44E23"/>
    <w:rsid w:val="00C45C9E"/>
    <w:rsid w:val="00C47C1A"/>
    <w:rsid w:val="00C47F6D"/>
    <w:rsid w:val="00C50DEE"/>
    <w:rsid w:val="00C5134F"/>
    <w:rsid w:val="00C5344F"/>
    <w:rsid w:val="00C5359A"/>
    <w:rsid w:val="00C5367E"/>
    <w:rsid w:val="00C537FD"/>
    <w:rsid w:val="00C53CE3"/>
    <w:rsid w:val="00C54D26"/>
    <w:rsid w:val="00C54EF2"/>
    <w:rsid w:val="00C5510C"/>
    <w:rsid w:val="00C55C7C"/>
    <w:rsid w:val="00C55D0B"/>
    <w:rsid w:val="00C615B7"/>
    <w:rsid w:val="00C61AC6"/>
    <w:rsid w:val="00C62759"/>
    <w:rsid w:val="00C627B6"/>
    <w:rsid w:val="00C62DB6"/>
    <w:rsid w:val="00C631F1"/>
    <w:rsid w:val="00C63238"/>
    <w:rsid w:val="00C6420F"/>
    <w:rsid w:val="00C64293"/>
    <w:rsid w:val="00C65040"/>
    <w:rsid w:val="00C65607"/>
    <w:rsid w:val="00C65ACF"/>
    <w:rsid w:val="00C66A58"/>
    <w:rsid w:val="00C66B0A"/>
    <w:rsid w:val="00C679B0"/>
    <w:rsid w:val="00C70A7D"/>
    <w:rsid w:val="00C712FC"/>
    <w:rsid w:val="00C71345"/>
    <w:rsid w:val="00C71EB7"/>
    <w:rsid w:val="00C720B7"/>
    <w:rsid w:val="00C7268B"/>
    <w:rsid w:val="00C73D63"/>
    <w:rsid w:val="00C74123"/>
    <w:rsid w:val="00C75A54"/>
    <w:rsid w:val="00C76325"/>
    <w:rsid w:val="00C7735A"/>
    <w:rsid w:val="00C805E7"/>
    <w:rsid w:val="00C8335F"/>
    <w:rsid w:val="00C8460C"/>
    <w:rsid w:val="00C84ECA"/>
    <w:rsid w:val="00C85475"/>
    <w:rsid w:val="00C8671D"/>
    <w:rsid w:val="00C8737A"/>
    <w:rsid w:val="00C90F23"/>
    <w:rsid w:val="00C91FD6"/>
    <w:rsid w:val="00C9208B"/>
    <w:rsid w:val="00C92325"/>
    <w:rsid w:val="00C92B9F"/>
    <w:rsid w:val="00C92D88"/>
    <w:rsid w:val="00C93820"/>
    <w:rsid w:val="00C93850"/>
    <w:rsid w:val="00C93CA0"/>
    <w:rsid w:val="00C94A03"/>
    <w:rsid w:val="00C95629"/>
    <w:rsid w:val="00C9663B"/>
    <w:rsid w:val="00C966AD"/>
    <w:rsid w:val="00C974FF"/>
    <w:rsid w:val="00C97B64"/>
    <w:rsid w:val="00CA15B0"/>
    <w:rsid w:val="00CA1A89"/>
    <w:rsid w:val="00CA2827"/>
    <w:rsid w:val="00CA38B8"/>
    <w:rsid w:val="00CA3A26"/>
    <w:rsid w:val="00CA49F4"/>
    <w:rsid w:val="00CA4A75"/>
    <w:rsid w:val="00CA550C"/>
    <w:rsid w:val="00CB0210"/>
    <w:rsid w:val="00CB0D3B"/>
    <w:rsid w:val="00CB2BE3"/>
    <w:rsid w:val="00CB42AA"/>
    <w:rsid w:val="00CB4404"/>
    <w:rsid w:val="00CB467C"/>
    <w:rsid w:val="00CB47A7"/>
    <w:rsid w:val="00CB4B92"/>
    <w:rsid w:val="00CB5DA7"/>
    <w:rsid w:val="00CB6027"/>
    <w:rsid w:val="00CB6D02"/>
    <w:rsid w:val="00CB6D0E"/>
    <w:rsid w:val="00CB709B"/>
    <w:rsid w:val="00CC000D"/>
    <w:rsid w:val="00CC0CEE"/>
    <w:rsid w:val="00CC20F3"/>
    <w:rsid w:val="00CC29A6"/>
    <w:rsid w:val="00CC311F"/>
    <w:rsid w:val="00CC5E08"/>
    <w:rsid w:val="00CC6023"/>
    <w:rsid w:val="00CC6C19"/>
    <w:rsid w:val="00CC7B97"/>
    <w:rsid w:val="00CC7F76"/>
    <w:rsid w:val="00CD275D"/>
    <w:rsid w:val="00CD2971"/>
    <w:rsid w:val="00CD2D66"/>
    <w:rsid w:val="00CD2F95"/>
    <w:rsid w:val="00CD4168"/>
    <w:rsid w:val="00CD439E"/>
    <w:rsid w:val="00CD4E41"/>
    <w:rsid w:val="00CD5784"/>
    <w:rsid w:val="00CD5FBD"/>
    <w:rsid w:val="00CD6CF8"/>
    <w:rsid w:val="00CD735B"/>
    <w:rsid w:val="00CD7F12"/>
    <w:rsid w:val="00CE0274"/>
    <w:rsid w:val="00CE0A7E"/>
    <w:rsid w:val="00CE0D17"/>
    <w:rsid w:val="00CE0EB7"/>
    <w:rsid w:val="00CE1124"/>
    <w:rsid w:val="00CE1A33"/>
    <w:rsid w:val="00CE1BA1"/>
    <w:rsid w:val="00CE2C05"/>
    <w:rsid w:val="00CE35D6"/>
    <w:rsid w:val="00CE3882"/>
    <w:rsid w:val="00CE4342"/>
    <w:rsid w:val="00CE521E"/>
    <w:rsid w:val="00CE5D26"/>
    <w:rsid w:val="00CE7137"/>
    <w:rsid w:val="00CE7B15"/>
    <w:rsid w:val="00CE7B6B"/>
    <w:rsid w:val="00CF1409"/>
    <w:rsid w:val="00CF1CFA"/>
    <w:rsid w:val="00CF1E56"/>
    <w:rsid w:val="00CF2161"/>
    <w:rsid w:val="00CF326A"/>
    <w:rsid w:val="00CF3F0D"/>
    <w:rsid w:val="00CF49F2"/>
    <w:rsid w:val="00CF4D40"/>
    <w:rsid w:val="00CF4D71"/>
    <w:rsid w:val="00CF52D6"/>
    <w:rsid w:val="00CF5C27"/>
    <w:rsid w:val="00CF5CF3"/>
    <w:rsid w:val="00CF5DD4"/>
    <w:rsid w:val="00CF5E05"/>
    <w:rsid w:val="00CF735E"/>
    <w:rsid w:val="00D001B2"/>
    <w:rsid w:val="00D00678"/>
    <w:rsid w:val="00D00E33"/>
    <w:rsid w:val="00D02128"/>
    <w:rsid w:val="00D026EA"/>
    <w:rsid w:val="00D02A77"/>
    <w:rsid w:val="00D03286"/>
    <w:rsid w:val="00D03BF9"/>
    <w:rsid w:val="00D04C43"/>
    <w:rsid w:val="00D04C66"/>
    <w:rsid w:val="00D04DC6"/>
    <w:rsid w:val="00D04F5F"/>
    <w:rsid w:val="00D05384"/>
    <w:rsid w:val="00D0604E"/>
    <w:rsid w:val="00D065BC"/>
    <w:rsid w:val="00D075FC"/>
    <w:rsid w:val="00D10950"/>
    <w:rsid w:val="00D12AC5"/>
    <w:rsid w:val="00D13336"/>
    <w:rsid w:val="00D13776"/>
    <w:rsid w:val="00D13A8F"/>
    <w:rsid w:val="00D13C03"/>
    <w:rsid w:val="00D14095"/>
    <w:rsid w:val="00D14B16"/>
    <w:rsid w:val="00D1551A"/>
    <w:rsid w:val="00D15EA0"/>
    <w:rsid w:val="00D17E92"/>
    <w:rsid w:val="00D203A6"/>
    <w:rsid w:val="00D20C5A"/>
    <w:rsid w:val="00D2153D"/>
    <w:rsid w:val="00D216C9"/>
    <w:rsid w:val="00D216CF"/>
    <w:rsid w:val="00D22FAE"/>
    <w:rsid w:val="00D2389F"/>
    <w:rsid w:val="00D241F9"/>
    <w:rsid w:val="00D259F9"/>
    <w:rsid w:val="00D27160"/>
    <w:rsid w:val="00D279E8"/>
    <w:rsid w:val="00D30153"/>
    <w:rsid w:val="00D305A4"/>
    <w:rsid w:val="00D30B7E"/>
    <w:rsid w:val="00D31A31"/>
    <w:rsid w:val="00D33316"/>
    <w:rsid w:val="00D33335"/>
    <w:rsid w:val="00D333BE"/>
    <w:rsid w:val="00D33457"/>
    <w:rsid w:val="00D34DCB"/>
    <w:rsid w:val="00D3516E"/>
    <w:rsid w:val="00D35444"/>
    <w:rsid w:val="00D36643"/>
    <w:rsid w:val="00D36EFD"/>
    <w:rsid w:val="00D37DFF"/>
    <w:rsid w:val="00D41281"/>
    <w:rsid w:val="00D41296"/>
    <w:rsid w:val="00D42871"/>
    <w:rsid w:val="00D44620"/>
    <w:rsid w:val="00D44E69"/>
    <w:rsid w:val="00D4555E"/>
    <w:rsid w:val="00D46D08"/>
    <w:rsid w:val="00D50434"/>
    <w:rsid w:val="00D505C7"/>
    <w:rsid w:val="00D50C85"/>
    <w:rsid w:val="00D51392"/>
    <w:rsid w:val="00D519CA"/>
    <w:rsid w:val="00D51BB0"/>
    <w:rsid w:val="00D52B83"/>
    <w:rsid w:val="00D53162"/>
    <w:rsid w:val="00D546C2"/>
    <w:rsid w:val="00D54C56"/>
    <w:rsid w:val="00D55492"/>
    <w:rsid w:val="00D55727"/>
    <w:rsid w:val="00D55C7C"/>
    <w:rsid w:val="00D56117"/>
    <w:rsid w:val="00D568AE"/>
    <w:rsid w:val="00D569E5"/>
    <w:rsid w:val="00D5781F"/>
    <w:rsid w:val="00D57936"/>
    <w:rsid w:val="00D57ACE"/>
    <w:rsid w:val="00D60216"/>
    <w:rsid w:val="00D61707"/>
    <w:rsid w:val="00D6261D"/>
    <w:rsid w:val="00D6361F"/>
    <w:rsid w:val="00D63DEF"/>
    <w:rsid w:val="00D65EC4"/>
    <w:rsid w:val="00D65EF0"/>
    <w:rsid w:val="00D66764"/>
    <w:rsid w:val="00D67532"/>
    <w:rsid w:val="00D72248"/>
    <w:rsid w:val="00D72A12"/>
    <w:rsid w:val="00D73281"/>
    <w:rsid w:val="00D74030"/>
    <w:rsid w:val="00D7412F"/>
    <w:rsid w:val="00D743F3"/>
    <w:rsid w:val="00D747E0"/>
    <w:rsid w:val="00D74C71"/>
    <w:rsid w:val="00D74E8B"/>
    <w:rsid w:val="00D77510"/>
    <w:rsid w:val="00D779CE"/>
    <w:rsid w:val="00D77BC6"/>
    <w:rsid w:val="00D80071"/>
    <w:rsid w:val="00D80CF2"/>
    <w:rsid w:val="00D81972"/>
    <w:rsid w:val="00D81B4D"/>
    <w:rsid w:val="00D82199"/>
    <w:rsid w:val="00D82C0D"/>
    <w:rsid w:val="00D8334D"/>
    <w:rsid w:val="00D83AE8"/>
    <w:rsid w:val="00D83B53"/>
    <w:rsid w:val="00D84564"/>
    <w:rsid w:val="00D84B87"/>
    <w:rsid w:val="00D85359"/>
    <w:rsid w:val="00D8588A"/>
    <w:rsid w:val="00D86143"/>
    <w:rsid w:val="00D863AE"/>
    <w:rsid w:val="00D864AC"/>
    <w:rsid w:val="00D872B9"/>
    <w:rsid w:val="00D8797F"/>
    <w:rsid w:val="00D87EAC"/>
    <w:rsid w:val="00D90196"/>
    <w:rsid w:val="00D93463"/>
    <w:rsid w:val="00D934E3"/>
    <w:rsid w:val="00D93742"/>
    <w:rsid w:val="00D94933"/>
    <w:rsid w:val="00D949DE"/>
    <w:rsid w:val="00D94FB4"/>
    <w:rsid w:val="00D95B13"/>
    <w:rsid w:val="00D96044"/>
    <w:rsid w:val="00D96135"/>
    <w:rsid w:val="00D96FDE"/>
    <w:rsid w:val="00D970ED"/>
    <w:rsid w:val="00D97595"/>
    <w:rsid w:val="00DA0F79"/>
    <w:rsid w:val="00DA14B6"/>
    <w:rsid w:val="00DA16D8"/>
    <w:rsid w:val="00DA3A25"/>
    <w:rsid w:val="00DA3A8E"/>
    <w:rsid w:val="00DA4AC4"/>
    <w:rsid w:val="00DA540E"/>
    <w:rsid w:val="00DA587A"/>
    <w:rsid w:val="00DA5951"/>
    <w:rsid w:val="00DA5BDA"/>
    <w:rsid w:val="00DA5F02"/>
    <w:rsid w:val="00DA66B9"/>
    <w:rsid w:val="00DA6FC8"/>
    <w:rsid w:val="00DA72A8"/>
    <w:rsid w:val="00DB0FD5"/>
    <w:rsid w:val="00DB1663"/>
    <w:rsid w:val="00DB17E7"/>
    <w:rsid w:val="00DB24A9"/>
    <w:rsid w:val="00DB2853"/>
    <w:rsid w:val="00DB2BA5"/>
    <w:rsid w:val="00DB2FBC"/>
    <w:rsid w:val="00DB305A"/>
    <w:rsid w:val="00DB3080"/>
    <w:rsid w:val="00DB5898"/>
    <w:rsid w:val="00DB6B43"/>
    <w:rsid w:val="00DB72F4"/>
    <w:rsid w:val="00DB7F37"/>
    <w:rsid w:val="00DC21B6"/>
    <w:rsid w:val="00DC310E"/>
    <w:rsid w:val="00DC320E"/>
    <w:rsid w:val="00DC4258"/>
    <w:rsid w:val="00DC4290"/>
    <w:rsid w:val="00DC44EE"/>
    <w:rsid w:val="00DC4F28"/>
    <w:rsid w:val="00DC59CA"/>
    <w:rsid w:val="00DC5CEB"/>
    <w:rsid w:val="00DC6551"/>
    <w:rsid w:val="00DC7415"/>
    <w:rsid w:val="00DC7A90"/>
    <w:rsid w:val="00DC7E7E"/>
    <w:rsid w:val="00DD16CB"/>
    <w:rsid w:val="00DD461D"/>
    <w:rsid w:val="00DD4AD7"/>
    <w:rsid w:val="00DD4FEF"/>
    <w:rsid w:val="00DD556F"/>
    <w:rsid w:val="00DD6314"/>
    <w:rsid w:val="00DD7438"/>
    <w:rsid w:val="00DD78D9"/>
    <w:rsid w:val="00DD7BD5"/>
    <w:rsid w:val="00DE0046"/>
    <w:rsid w:val="00DE1153"/>
    <w:rsid w:val="00DE11D3"/>
    <w:rsid w:val="00DE3DB8"/>
    <w:rsid w:val="00DE4CC8"/>
    <w:rsid w:val="00DE5B28"/>
    <w:rsid w:val="00DE6D3F"/>
    <w:rsid w:val="00DF065D"/>
    <w:rsid w:val="00DF07B8"/>
    <w:rsid w:val="00DF0D6C"/>
    <w:rsid w:val="00DF167A"/>
    <w:rsid w:val="00DF269C"/>
    <w:rsid w:val="00DF47B3"/>
    <w:rsid w:val="00DF4F5F"/>
    <w:rsid w:val="00DF56CA"/>
    <w:rsid w:val="00DF63B7"/>
    <w:rsid w:val="00DF685C"/>
    <w:rsid w:val="00DF7B6F"/>
    <w:rsid w:val="00DF7DEB"/>
    <w:rsid w:val="00E000CE"/>
    <w:rsid w:val="00E00CE3"/>
    <w:rsid w:val="00E00EFF"/>
    <w:rsid w:val="00E02383"/>
    <w:rsid w:val="00E0241A"/>
    <w:rsid w:val="00E034FE"/>
    <w:rsid w:val="00E03B10"/>
    <w:rsid w:val="00E0461E"/>
    <w:rsid w:val="00E10029"/>
    <w:rsid w:val="00E10D4C"/>
    <w:rsid w:val="00E10FE4"/>
    <w:rsid w:val="00E1239E"/>
    <w:rsid w:val="00E1268B"/>
    <w:rsid w:val="00E1274C"/>
    <w:rsid w:val="00E12BD7"/>
    <w:rsid w:val="00E12C37"/>
    <w:rsid w:val="00E130FB"/>
    <w:rsid w:val="00E13780"/>
    <w:rsid w:val="00E13DEC"/>
    <w:rsid w:val="00E1445C"/>
    <w:rsid w:val="00E14ADD"/>
    <w:rsid w:val="00E14BDA"/>
    <w:rsid w:val="00E165BD"/>
    <w:rsid w:val="00E16C23"/>
    <w:rsid w:val="00E16CCB"/>
    <w:rsid w:val="00E17892"/>
    <w:rsid w:val="00E17E2C"/>
    <w:rsid w:val="00E20730"/>
    <w:rsid w:val="00E214CF"/>
    <w:rsid w:val="00E21E13"/>
    <w:rsid w:val="00E21E48"/>
    <w:rsid w:val="00E223AB"/>
    <w:rsid w:val="00E22A4A"/>
    <w:rsid w:val="00E22DF3"/>
    <w:rsid w:val="00E230BC"/>
    <w:rsid w:val="00E23346"/>
    <w:rsid w:val="00E2467A"/>
    <w:rsid w:val="00E24F57"/>
    <w:rsid w:val="00E2561D"/>
    <w:rsid w:val="00E25B09"/>
    <w:rsid w:val="00E25F24"/>
    <w:rsid w:val="00E26321"/>
    <w:rsid w:val="00E27B00"/>
    <w:rsid w:val="00E27F1F"/>
    <w:rsid w:val="00E3045F"/>
    <w:rsid w:val="00E3095A"/>
    <w:rsid w:val="00E32031"/>
    <w:rsid w:val="00E322E9"/>
    <w:rsid w:val="00E335EF"/>
    <w:rsid w:val="00E347DA"/>
    <w:rsid w:val="00E34AE2"/>
    <w:rsid w:val="00E353DE"/>
    <w:rsid w:val="00E3540D"/>
    <w:rsid w:val="00E369B2"/>
    <w:rsid w:val="00E37FBF"/>
    <w:rsid w:val="00E40036"/>
    <w:rsid w:val="00E41718"/>
    <w:rsid w:val="00E45172"/>
    <w:rsid w:val="00E4667C"/>
    <w:rsid w:val="00E51BD2"/>
    <w:rsid w:val="00E51D23"/>
    <w:rsid w:val="00E51FD3"/>
    <w:rsid w:val="00E52609"/>
    <w:rsid w:val="00E535EC"/>
    <w:rsid w:val="00E5425C"/>
    <w:rsid w:val="00E54542"/>
    <w:rsid w:val="00E54F2C"/>
    <w:rsid w:val="00E551C7"/>
    <w:rsid w:val="00E55D64"/>
    <w:rsid w:val="00E57AB1"/>
    <w:rsid w:val="00E57AE5"/>
    <w:rsid w:val="00E60B21"/>
    <w:rsid w:val="00E60EA0"/>
    <w:rsid w:val="00E60F5F"/>
    <w:rsid w:val="00E61201"/>
    <w:rsid w:val="00E62210"/>
    <w:rsid w:val="00E62F8F"/>
    <w:rsid w:val="00E6417B"/>
    <w:rsid w:val="00E644F6"/>
    <w:rsid w:val="00E66093"/>
    <w:rsid w:val="00E665F9"/>
    <w:rsid w:val="00E72481"/>
    <w:rsid w:val="00E72553"/>
    <w:rsid w:val="00E72770"/>
    <w:rsid w:val="00E72A60"/>
    <w:rsid w:val="00E73951"/>
    <w:rsid w:val="00E73C8D"/>
    <w:rsid w:val="00E73D1A"/>
    <w:rsid w:val="00E749BC"/>
    <w:rsid w:val="00E74E9B"/>
    <w:rsid w:val="00E75A73"/>
    <w:rsid w:val="00E75B59"/>
    <w:rsid w:val="00E76BAD"/>
    <w:rsid w:val="00E7789B"/>
    <w:rsid w:val="00E77A80"/>
    <w:rsid w:val="00E77E0E"/>
    <w:rsid w:val="00E801F6"/>
    <w:rsid w:val="00E80A9F"/>
    <w:rsid w:val="00E80B63"/>
    <w:rsid w:val="00E80EB2"/>
    <w:rsid w:val="00E82C27"/>
    <w:rsid w:val="00E84103"/>
    <w:rsid w:val="00E85088"/>
    <w:rsid w:val="00E8515F"/>
    <w:rsid w:val="00E85B5A"/>
    <w:rsid w:val="00E86509"/>
    <w:rsid w:val="00E87FD1"/>
    <w:rsid w:val="00E902DA"/>
    <w:rsid w:val="00E90598"/>
    <w:rsid w:val="00E90DED"/>
    <w:rsid w:val="00E90ED3"/>
    <w:rsid w:val="00E91FBA"/>
    <w:rsid w:val="00E92373"/>
    <w:rsid w:val="00E92720"/>
    <w:rsid w:val="00E92FDF"/>
    <w:rsid w:val="00E92FF1"/>
    <w:rsid w:val="00E93244"/>
    <w:rsid w:val="00E9368D"/>
    <w:rsid w:val="00E93E69"/>
    <w:rsid w:val="00E942EC"/>
    <w:rsid w:val="00E948ED"/>
    <w:rsid w:val="00E94C8F"/>
    <w:rsid w:val="00E95723"/>
    <w:rsid w:val="00E968A1"/>
    <w:rsid w:val="00E97071"/>
    <w:rsid w:val="00EA0371"/>
    <w:rsid w:val="00EA0CDE"/>
    <w:rsid w:val="00EA1100"/>
    <w:rsid w:val="00EA2291"/>
    <w:rsid w:val="00EA2E1B"/>
    <w:rsid w:val="00EA432D"/>
    <w:rsid w:val="00EA4755"/>
    <w:rsid w:val="00EA4773"/>
    <w:rsid w:val="00EA4CC9"/>
    <w:rsid w:val="00EA4F24"/>
    <w:rsid w:val="00EA4FF7"/>
    <w:rsid w:val="00EA5549"/>
    <w:rsid w:val="00EA732A"/>
    <w:rsid w:val="00EA7F13"/>
    <w:rsid w:val="00EA7F1C"/>
    <w:rsid w:val="00EB14A8"/>
    <w:rsid w:val="00EB1715"/>
    <w:rsid w:val="00EB23E4"/>
    <w:rsid w:val="00EB2D82"/>
    <w:rsid w:val="00EB456F"/>
    <w:rsid w:val="00EB4D21"/>
    <w:rsid w:val="00EB4E45"/>
    <w:rsid w:val="00EB5135"/>
    <w:rsid w:val="00EB561F"/>
    <w:rsid w:val="00EB5625"/>
    <w:rsid w:val="00EB6DFF"/>
    <w:rsid w:val="00EB790D"/>
    <w:rsid w:val="00EB7DC0"/>
    <w:rsid w:val="00EB7FC9"/>
    <w:rsid w:val="00EC0F7E"/>
    <w:rsid w:val="00EC1069"/>
    <w:rsid w:val="00EC1AB9"/>
    <w:rsid w:val="00EC2EB0"/>
    <w:rsid w:val="00EC2FB4"/>
    <w:rsid w:val="00EC3D00"/>
    <w:rsid w:val="00EC4657"/>
    <w:rsid w:val="00EC6564"/>
    <w:rsid w:val="00EC6707"/>
    <w:rsid w:val="00EC78AE"/>
    <w:rsid w:val="00ED0307"/>
    <w:rsid w:val="00ED12F1"/>
    <w:rsid w:val="00ED12FF"/>
    <w:rsid w:val="00ED168E"/>
    <w:rsid w:val="00ED3232"/>
    <w:rsid w:val="00ED4788"/>
    <w:rsid w:val="00ED4E4A"/>
    <w:rsid w:val="00ED6D08"/>
    <w:rsid w:val="00ED75E3"/>
    <w:rsid w:val="00ED7842"/>
    <w:rsid w:val="00EE0B3D"/>
    <w:rsid w:val="00EE26DE"/>
    <w:rsid w:val="00EE356E"/>
    <w:rsid w:val="00EE3616"/>
    <w:rsid w:val="00EE364B"/>
    <w:rsid w:val="00EE3B50"/>
    <w:rsid w:val="00EE3D64"/>
    <w:rsid w:val="00EE3DD1"/>
    <w:rsid w:val="00EE3E50"/>
    <w:rsid w:val="00EE3EF0"/>
    <w:rsid w:val="00EE3F69"/>
    <w:rsid w:val="00EE4927"/>
    <w:rsid w:val="00EE50A0"/>
    <w:rsid w:val="00EE56E3"/>
    <w:rsid w:val="00EE5E5C"/>
    <w:rsid w:val="00EE5FFF"/>
    <w:rsid w:val="00EE6276"/>
    <w:rsid w:val="00EE788A"/>
    <w:rsid w:val="00EF1320"/>
    <w:rsid w:val="00EF1AF2"/>
    <w:rsid w:val="00EF2117"/>
    <w:rsid w:val="00EF26E8"/>
    <w:rsid w:val="00EF2B96"/>
    <w:rsid w:val="00EF3EFB"/>
    <w:rsid w:val="00EF4455"/>
    <w:rsid w:val="00EF47D6"/>
    <w:rsid w:val="00EF4B6D"/>
    <w:rsid w:val="00EF512E"/>
    <w:rsid w:val="00EF524F"/>
    <w:rsid w:val="00EF564E"/>
    <w:rsid w:val="00EF75C0"/>
    <w:rsid w:val="00F00AE1"/>
    <w:rsid w:val="00F013F2"/>
    <w:rsid w:val="00F0151B"/>
    <w:rsid w:val="00F0172C"/>
    <w:rsid w:val="00F01888"/>
    <w:rsid w:val="00F024B1"/>
    <w:rsid w:val="00F0288D"/>
    <w:rsid w:val="00F034C3"/>
    <w:rsid w:val="00F0400D"/>
    <w:rsid w:val="00F05DFB"/>
    <w:rsid w:val="00F06CA1"/>
    <w:rsid w:val="00F070EE"/>
    <w:rsid w:val="00F105B3"/>
    <w:rsid w:val="00F111B1"/>
    <w:rsid w:val="00F118BC"/>
    <w:rsid w:val="00F123B4"/>
    <w:rsid w:val="00F12948"/>
    <w:rsid w:val="00F12FE8"/>
    <w:rsid w:val="00F130B9"/>
    <w:rsid w:val="00F136AB"/>
    <w:rsid w:val="00F14328"/>
    <w:rsid w:val="00F14CEC"/>
    <w:rsid w:val="00F1531C"/>
    <w:rsid w:val="00F15554"/>
    <w:rsid w:val="00F15F75"/>
    <w:rsid w:val="00F16ABA"/>
    <w:rsid w:val="00F17305"/>
    <w:rsid w:val="00F17BA6"/>
    <w:rsid w:val="00F20865"/>
    <w:rsid w:val="00F21577"/>
    <w:rsid w:val="00F21A4E"/>
    <w:rsid w:val="00F239CB"/>
    <w:rsid w:val="00F24173"/>
    <w:rsid w:val="00F24509"/>
    <w:rsid w:val="00F24DAF"/>
    <w:rsid w:val="00F257AB"/>
    <w:rsid w:val="00F26407"/>
    <w:rsid w:val="00F27CA9"/>
    <w:rsid w:val="00F304AE"/>
    <w:rsid w:val="00F30FE9"/>
    <w:rsid w:val="00F3127B"/>
    <w:rsid w:val="00F31AD0"/>
    <w:rsid w:val="00F31B55"/>
    <w:rsid w:val="00F32FF0"/>
    <w:rsid w:val="00F3397A"/>
    <w:rsid w:val="00F35965"/>
    <w:rsid w:val="00F35CB8"/>
    <w:rsid w:val="00F3628E"/>
    <w:rsid w:val="00F374CB"/>
    <w:rsid w:val="00F37AC6"/>
    <w:rsid w:val="00F407B9"/>
    <w:rsid w:val="00F411FD"/>
    <w:rsid w:val="00F41A3F"/>
    <w:rsid w:val="00F41D89"/>
    <w:rsid w:val="00F4219B"/>
    <w:rsid w:val="00F43983"/>
    <w:rsid w:val="00F43A52"/>
    <w:rsid w:val="00F43AD9"/>
    <w:rsid w:val="00F45308"/>
    <w:rsid w:val="00F454C7"/>
    <w:rsid w:val="00F457A5"/>
    <w:rsid w:val="00F46163"/>
    <w:rsid w:val="00F46623"/>
    <w:rsid w:val="00F46649"/>
    <w:rsid w:val="00F47148"/>
    <w:rsid w:val="00F47FD0"/>
    <w:rsid w:val="00F514C9"/>
    <w:rsid w:val="00F52092"/>
    <w:rsid w:val="00F53210"/>
    <w:rsid w:val="00F53C71"/>
    <w:rsid w:val="00F53F37"/>
    <w:rsid w:val="00F5623F"/>
    <w:rsid w:val="00F56B2A"/>
    <w:rsid w:val="00F56C15"/>
    <w:rsid w:val="00F56DB8"/>
    <w:rsid w:val="00F605D3"/>
    <w:rsid w:val="00F62A19"/>
    <w:rsid w:val="00F62E48"/>
    <w:rsid w:val="00F63213"/>
    <w:rsid w:val="00F6498E"/>
    <w:rsid w:val="00F65622"/>
    <w:rsid w:val="00F65D61"/>
    <w:rsid w:val="00F660F4"/>
    <w:rsid w:val="00F6623D"/>
    <w:rsid w:val="00F662AC"/>
    <w:rsid w:val="00F66C7C"/>
    <w:rsid w:val="00F66FC4"/>
    <w:rsid w:val="00F700E8"/>
    <w:rsid w:val="00F71E40"/>
    <w:rsid w:val="00F721C4"/>
    <w:rsid w:val="00F7272B"/>
    <w:rsid w:val="00F74677"/>
    <w:rsid w:val="00F756C6"/>
    <w:rsid w:val="00F7765A"/>
    <w:rsid w:val="00F81960"/>
    <w:rsid w:val="00F81C1A"/>
    <w:rsid w:val="00F829E0"/>
    <w:rsid w:val="00F83EBF"/>
    <w:rsid w:val="00F840FA"/>
    <w:rsid w:val="00F84A26"/>
    <w:rsid w:val="00F84C2A"/>
    <w:rsid w:val="00F86CD2"/>
    <w:rsid w:val="00F874DF"/>
    <w:rsid w:val="00F87B4A"/>
    <w:rsid w:val="00F90421"/>
    <w:rsid w:val="00F905E8"/>
    <w:rsid w:val="00F90B73"/>
    <w:rsid w:val="00F91EFB"/>
    <w:rsid w:val="00F9306F"/>
    <w:rsid w:val="00F932E5"/>
    <w:rsid w:val="00F93354"/>
    <w:rsid w:val="00F942CF"/>
    <w:rsid w:val="00F95500"/>
    <w:rsid w:val="00F9677C"/>
    <w:rsid w:val="00F97104"/>
    <w:rsid w:val="00F97184"/>
    <w:rsid w:val="00FA05E0"/>
    <w:rsid w:val="00FA097B"/>
    <w:rsid w:val="00FA109A"/>
    <w:rsid w:val="00FA169C"/>
    <w:rsid w:val="00FA1BBD"/>
    <w:rsid w:val="00FA2CC0"/>
    <w:rsid w:val="00FA3826"/>
    <w:rsid w:val="00FA3B83"/>
    <w:rsid w:val="00FA4AC2"/>
    <w:rsid w:val="00FA53BD"/>
    <w:rsid w:val="00FA5D77"/>
    <w:rsid w:val="00FA5D86"/>
    <w:rsid w:val="00FA5DBF"/>
    <w:rsid w:val="00FA6013"/>
    <w:rsid w:val="00FA7B9E"/>
    <w:rsid w:val="00FB0210"/>
    <w:rsid w:val="00FB20AA"/>
    <w:rsid w:val="00FB2841"/>
    <w:rsid w:val="00FB43B3"/>
    <w:rsid w:val="00FB446C"/>
    <w:rsid w:val="00FB45B6"/>
    <w:rsid w:val="00FB52BE"/>
    <w:rsid w:val="00FB65C8"/>
    <w:rsid w:val="00FB71B6"/>
    <w:rsid w:val="00FC182B"/>
    <w:rsid w:val="00FC2290"/>
    <w:rsid w:val="00FC23F6"/>
    <w:rsid w:val="00FC2436"/>
    <w:rsid w:val="00FC2F91"/>
    <w:rsid w:val="00FC3957"/>
    <w:rsid w:val="00FC3B69"/>
    <w:rsid w:val="00FC3D99"/>
    <w:rsid w:val="00FC487C"/>
    <w:rsid w:val="00FC614D"/>
    <w:rsid w:val="00FC66CC"/>
    <w:rsid w:val="00FC6DC8"/>
    <w:rsid w:val="00FC78B3"/>
    <w:rsid w:val="00FD0021"/>
    <w:rsid w:val="00FD0694"/>
    <w:rsid w:val="00FD26B0"/>
    <w:rsid w:val="00FD26C2"/>
    <w:rsid w:val="00FD3ABE"/>
    <w:rsid w:val="00FD41BB"/>
    <w:rsid w:val="00FD4342"/>
    <w:rsid w:val="00FD446C"/>
    <w:rsid w:val="00FD5A75"/>
    <w:rsid w:val="00FD79D1"/>
    <w:rsid w:val="00FD7D8A"/>
    <w:rsid w:val="00FE0089"/>
    <w:rsid w:val="00FE054B"/>
    <w:rsid w:val="00FE09FB"/>
    <w:rsid w:val="00FE2479"/>
    <w:rsid w:val="00FE2B35"/>
    <w:rsid w:val="00FE3048"/>
    <w:rsid w:val="00FE3591"/>
    <w:rsid w:val="00FE5676"/>
    <w:rsid w:val="00FE611B"/>
    <w:rsid w:val="00FE6639"/>
    <w:rsid w:val="00FE69D1"/>
    <w:rsid w:val="00FE7132"/>
    <w:rsid w:val="00FF0A7E"/>
    <w:rsid w:val="00FF0AD3"/>
    <w:rsid w:val="00FF0F0A"/>
    <w:rsid w:val="00FF0F6A"/>
    <w:rsid w:val="00FF12E9"/>
    <w:rsid w:val="00FF3F18"/>
    <w:rsid w:val="00FF3FC1"/>
    <w:rsid w:val="00FF42B1"/>
    <w:rsid w:val="00FF42F2"/>
    <w:rsid w:val="00FF43F9"/>
    <w:rsid w:val="00FF4766"/>
    <w:rsid w:val="00FF5502"/>
    <w:rsid w:val="00FF6DD8"/>
    <w:rsid w:val="00FF6DEB"/>
    <w:rsid w:val="00FF6FB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5BDD03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FC2F91"/>
    <w:pPr>
      <w:spacing w:after="160" w:line="259" w:lineRule="auto"/>
    </w:pPr>
    <w:rPr>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E223AB"/>
    <w:pPr>
      <w:spacing w:before="100" w:beforeAutospacing="1" w:after="100" w:afterAutospacing="1" w:line="240" w:lineRule="auto"/>
    </w:pPr>
    <w:rPr>
      <w:rFonts w:ascii="Times New Roman" w:hAnsi="Times New Roman" w:cs="Times New Roman"/>
      <w:sz w:val="24"/>
      <w:szCs w:val="24"/>
      <w:lang w:eastAsia="nl-NL"/>
    </w:rPr>
  </w:style>
  <w:style w:type="paragraph" w:styleId="Voetnoottekst">
    <w:name w:val="footnote text"/>
    <w:basedOn w:val="Standaard"/>
    <w:link w:val="VoetnoottekstChar"/>
    <w:uiPriority w:val="99"/>
    <w:unhideWhenUsed/>
    <w:rsid w:val="00BE3204"/>
    <w:pPr>
      <w:spacing w:after="0" w:line="240" w:lineRule="auto"/>
    </w:pPr>
    <w:rPr>
      <w:sz w:val="24"/>
      <w:szCs w:val="24"/>
    </w:rPr>
  </w:style>
  <w:style w:type="character" w:customStyle="1" w:styleId="VoetnoottekstChar">
    <w:name w:val="Voetnoottekst Char"/>
    <w:basedOn w:val="Standaardalinea-lettertype"/>
    <w:link w:val="Voetnoottekst"/>
    <w:uiPriority w:val="99"/>
    <w:rsid w:val="00BE3204"/>
  </w:style>
  <w:style w:type="character" w:styleId="Voetnootmarkering">
    <w:name w:val="footnote reference"/>
    <w:basedOn w:val="Standaardalinea-lettertype"/>
    <w:uiPriority w:val="99"/>
    <w:unhideWhenUsed/>
    <w:rsid w:val="00BE3204"/>
    <w:rPr>
      <w:vertAlign w:val="superscript"/>
    </w:rPr>
  </w:style>
  <w:style w:type="paragraph" w:styleId="Voettekst">
    <w:name w:val="footer"/>
    <w:basedOn w:val="Standaard"/>
    <w:link w:val="VoettekstChar"/>
    <w:uiPriority w:val="99"/>
    <w:unhideWhenUsed/>
    <w:rsid w:val="000F768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F768C"/>
    <w:rPr>
      <w:sz w:val="22"/>
      <w:szCs w:val="22"/>
    </w:rPr>
  </w:style>
  <w:style w:type="character" w:styleId="Paginanummer">
    <w:name w:val="page number"/>
    <w:basedOn w:val="Standaardalinea-lettertype"/>
    <w:uiPriority w:val="99"/>
    <w:semiHidden/>
    <w:unhideWhenUsed/>
    <w:rsid w:val="000F768C"/>
  </w:style>
  <w:style w:type="paragraph" w:styleId="Lijstalinea">
    <w:name w:val="List Paragraph"/>
    <w:basedOn w:val="Standaard"/>
    <w:uiPriority w:val="34"/>
    <w:qFormat/>
    <w:rsid w:val="00E0241A"/>
    <w:pPr>
      <w:ind w:left="720"/>
      <w:contextualSpacing/>
    </w:pPr>
  </w:style>
  <w:style w:type="character" w:styleId="Hyperlink">
    <w:name w:val="Hyperlink"/>
    <w:basedOn w:val="Standaardalinea-lettertype"/>
    <w:uiPriority w:val="99"/>
    <w:semiHidden/>
    <w:unhideWhenUsed/>
    <w:rsid w:val="00F4219B"/>
    <w:rPr>
      <w:color w:val="0000FF"/>
      <w:u w:val="single"/>
    </w:rPr>
  </w:style>
  <w:style w:type="character" w:styleId="Zwaar">
    <w:name w:val="Strong"/>
    <w:basedOn w:val="Standaardalinea-lettertype"/>
    <w:uiPriority w:val="22"/>
    <w:qFormat/>
    <w:rsid w:val="00F4219B"/>
    <w:rPr>
      <w:b/>
      <w:bCs/>
    </w:rPr>
  </w:style>
  <w:style w:type="table" w:customStyle="1" w:styleId="Onopgemaaktetabel11">
    <w:name w:val="Onopgemaakte tabel 11"/>
    <w:basedOn w:val="Standaardtabel"/>
    <w:uiPriority w:val="41"/>
    <w:rsid w:val="006F1B43"/>
    <w:rPr>
      <w:rFonts w:eastAsiaTheme="minorEastAsia"/>
      <w:sz w:val="20"/>
      <w:szCs w:val="20"/>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Koptekst">
    <w:name w:val="header"/>
    <w:basedOn w:val="Standaard"/>
    <w:link w:val="KoptekstChar"/>
    <w:uiPriority w:val="99"/>
    <w:unhideWhenUsed/>
    <w:rsid w:val="00D5316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53162"/>
    <w:rPr>
      <w:sz w:val="22"/>
      <w:szCs w:val="22"/>
    </w:rPr>
  </w:style>
  <w:style w:type="table" w:styleId="Tabelraster">
    <w:name w:val="Table Grid"/>
    <w:basedOn w:val="Standaardtabel"/>
    <w:uiPriority w:val="39"/>
    <w:rsid w:val="00027D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indnoottekst">
    <w:name w:val="endnote text"/>
    <w:basedOn w:val="Standaard"/>
    <w:link w:val="EindnoottekstChar"/>
    <w:uiPriority w:val="99"/>
    <w:unhideWhenUsed/>
    <w:rsid w:val="00F90B73"/>
    <w:pPr>
      <w:spacing w:after="0" w:line="240" w:lineRule="auto"/>
    </w:pPr>
    <w:rPr>
      <w:sz w:val="24"/>
      <w:szCs w:val="24"/>
    </w:rPr>
  </w:style>
  <w:style w:type="character" w:customStyle="1" w:styleId="EindnoottekstChar">
    <w:name w:val="Eindnoottekst Char"/>
    <w:basedOn w:val="Standaardalinea-lettertype"/>
    <w:link w:val="Eindnoottekst"/>
    <w:uiPriority w:val="99"/>
    <w:rsid w:val="00F90B73"/>
  </w:style>
  <w:style w:type="character" w:styleId="Eindnootmarkering">
    <w:name w:val="endnote reference"/>
    <w:basedOn w:val="Standaardalinea-lettertype"/>
    <w:uiPriority w:val="99"/>
    <w:unhideWhenUsed/>
    <w:rsid w:val="00F90B73"/>
    <w:rPr>
      <w:vertAlign w:val="superscript"/>
    </w:rPr>
  </w:style>
  <w:style w:type="character" w:styleId="Nadruk">
    <w:name w:val="Emphasis"/>
    <w:basedOn w:val="Standaardalinea-lettertype"/>
    <w:uiPriority w:val="20"/>
    <w:qFormat/>
    <w:rsid w:val="00525C4F"/>
    <w:rPr>
      <w:i/>
      <w:iCs/>
    </w:rPr>
  </w:style>
  <w:style w:type="character" w:customStyle="1" w:styleId="docsearchterm">
    <w:name w:val="docsearchterm"/>
    <w:basedOn w:val="Standaardalinea-lettertype"/>
    <w:rsid w:val="00525C4F"/>
  </w:style>
  <w:style w:type="character" w:customStyle="1" w:styleId="wknlfootnotehref">
    <w:name w:val="wknl_footnote_href"/>
    <w:basedOn w:val="Standaardalinea-lettertype"/>
    <w:rsid w:val="00525C4F"/>
  </w:style>
  <w:style w:type="character" w:customStyle="1" w:styleId="apple-converted-space">
    <w:name w:val="apple-converted-space"/>
    <w:basedOn w:val="Standaardalinea-lettertype"/>
    <w:rsid w:val="00EC0F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945137">
      <w:bodyDiv w:val="1"/>
      <w:marLeft w:val="0"/>
      <w:marRight w:val="0"/>
      <w:marTop w:val="0"/>
      <w:marBottom w:val="0"/>
      <w:divBdr>
        <w:top w:val="none" w:sz="0" w:space="0" w:color="auto"/>
        <w:left w:val="none" w:sz="0" w:space="0" w:color="auto"/>
        <w:bottom w:val="none" w:sz="0" w:space="0" w:color="auto"/>
        <w:right w:val="none" w:sz="0" w:space="0" w:color="auto"/>
      </w:divBdr>
    </w:div>
    <w:div w:id="137385242">
      <w:bodyDiv w:val="1"/>
      <w:marLeft w:val="0"/>
      <w:marRight w:val="0"/>
      <w:marTop w:val="0"/>
      <w:marBottom w:val="0"/>
      <w:divBdr>
        <w:top w:val="none" w:sz="0" w:space="0" w:color="auto"/>
        <w:left w:val="none" w:sz="0" w:space="0" w:color="auto"/>
        <w:bottom w:val="none" w:sz="0" w:space="0" w:color="auto"/>
        <w:right w:val="none" w:sz="0" w:space="0" w:color="auto"/>
      </w:divBdr>
    </w:div>
    <w:div w:id="139466315">
      <w:bodyDiv w:val="1"/>
      <w:marLeft w:val="0"/>
      <w:marRight w:val="0"/>
      <w:marTop w:val="0"/>
      <w:marBottom w:val="0"/>
      <w:divBdr>
        <w:top w:val="none" w:sz="0" w:space="0" w:color="auto"/>
        <w:left w:val="none" w:sz="0" w:space="0" w:color="auto"/>
        <w:bottom w:val="none" w:sz="0" w:space="0" w:color="auto"/>
        <w:right w:val="none" w:sz="0" w:space="0" w:color="auto"/>
      </w:divBdr>
    </w:div>
    <w:div w:id="182743817">
      <w:bodyDiv w:val="1"/>
      <w:marLeft w:val="0"/>
      <w:marRight w:val="0"/>
      <w:marTop w:val="0"/>
      <w:marBottom w:val="0"/>
      <w:divBdr>
        <w:top w:val="none" w:sz="0" w:space="0" w:color="auto"/>
        <w:left w:val="none" w:sz="0" w:space="0" w:color="auto"/>
        <w:bottom w:val="none" w:sz="0" w:space="0" w:color="auto"/>
        <w:right w:val="none" w:sz="0" w:space="0" w:color="auto"/>
      </w:divBdr>
    </w:div>
    <w:div w:id="286274652">
      <w:bodyDiv w:val="1"/>
      <w:marLeft w:val="0"/>
      <w:marRight w:val="0"/>
      <w:marTop w:val="0"/>
      <w:marBottom w:val="0"/>
      <w:divBdr>
        <w:top w:val="none" w:sz="0" w:space="0" w:color="auto"/>
        <w:left w:val="none" w:sz="0" w:space="0" w:color="auto"/>
        <w:bottom w:val="none" w:sz="0" w:space="0" w:color="auto"/>
        <w:right w:val="none" w:sz="0" w:space="0" w:color="auto"/>
      </w:divBdr>
    </w:div>
    <w:div w:id="435908856">
      <w:bodyDiv w:val="1"/>
      <w:marLeft w:val="0"/>
      <w:marRight w:val="0"/>
      <w:marTop w:val="0"/>
      <w:marBottom w:val="0"/>
      <w:divBdr>
        <w:top w:val="none" w:sz="0" w:space="0" w:color="auto"/>
        <w:left w:val="none" w:sz="0" w:space="0" w:color="auto"/>
        <w:bottom w:val="none" w:sz="0" w:space="0" w:color="auto"/>
        <w:right w:val="none" w:sz="0" w:space="0" w:color="auto"/>
      </w:divBdr>
    </w:div>
    <w:div w:id="512577368">
      <w:bodyDiv w:val="1"/>
      <w:marLeft w:val="0"/>
      <w:marRight w:val="0"/>
      <w:marTop w:val="0"/>
      <w:marBottom w:val="0"/>
      <w:divBdr>
        <w:top w:val="none" w:sz="0" w:space="0" w:color="auto"/>
        <w:left w:val="none" w:sz="0" w:space="0" w:color="auto"/>
        <w:bottom w:val="none" w:sz="0" w:space="0" w:color="auto"/>
        <w:right w:val="none" w:sz="0" w:space="0" w:color="auto"/>
      </w:divBdr>
    </w:div>
    <w:div w:id="562954945">
      <w:bodyDiv w:val="1"/>
      <w:marLeft w:val="0"/>
      <w:marRight w:val="0"/>
      <w:marTop w:val="0"/>
      <w:marBottom w:val="0"/>
      <w:divBdr>
        <w:top w:val="none" w:sz="0" w:space="0" w:color="auto"/>
        <w:left w:val="none" w:sz="0" w:space="0" w:color="auto"/>
        <w:bottom w:val="none" w:sz="0" w:space="0" w:color="auto"/>
        <w:right w:val="none" w:sz="0" w:space="0" w:color="auto"/>
      </w:divBdr>
    </w:div>
    <w:div w:id="574559101">
      <w:bodyDiv w:val="1"/>
      <w:marLeft w:val="0"/>
      <w:marRight w:val="0"/>
      <w:marTop w:val="0"/>
      <w:marBottom w:val="0"/>
      <w:divBdr>
        <w:top w:val="none" w:sz="0" w:space="0" w:color="auto"/>
        <w:left w:val="none" w:sz="0" w:space="0" w:color="auto"/>
        <w:bottom w:val="none" w:sz="0" w:space="0" w:color="auto"/>
        <w:right w:val="none" w:sz="0" w:space="0" w:color="auto"/>
      </w:divBdr>
    </w:div>
    <w:div w:id="625702978">
      <w:bodyDiv w:val="1"/>
      <w:marLeft w:val="0"/>
      <w:marRight w:val="0"/>
      <w:marTop w:val="0"/>
      <w:marBottom w:val="0"/>
      <w:divBdr>
        <w:top w:val="none" w:sz="0" w:space="0" w:color="auto"/>
        <w:left w:val="none" w:sz="0" w:space="0" w:color="auto"/>
        <w:bottom w:val="none" w:sz="0" w:space="0" w:color="auto"/>
        <w:right w:val="none" w:sz="0" w:space="0" w:color="auto"/>
      </w:divBdr>
    </w:div>
    <w:div w:id="628391114">
      <w:bodyDiv w:val="1"/>
      <w:marLeft w:val="0"/>
      <w:marRight w:val="0"/>
      <w:marTop w:val="0"/>
      <w:marBottom w:val="0"/>
      <w:divBdr>
        <w:top w:val="none" w:sz="0" w:space="0" w:color="auto"/>
        <w:left w:val="none" w:sz="0" w:space="0" w:color="auto"/>
        <w:bottom w:val="none" w:sz="0" w:space="0" w:color="auto"/>
        <w:right w:val="none" w:sz="0" w:space="0" w:color="auto"/>
      </w:divBdr>
    </w:div>
    <w:div w:id="640883541">
      <w:bodyDiv w:val="1"/>
      <w:marLeft w:val="0"/>
      <w:marRight w:val="0"/>
      <w:marTop w:val="0"/>
      <w:marBottom w:val="0"/>
      <w:divBdr>
        <w:top w:val="none" w:sz="0" w:space="0" w:color="auto"/>
        <w:left w:val="none" w:sz="0" w:space="0" w:color="auto"/>
        <w:bottom w:val="none" w:sz="0" w:space="0" w:color="auto"/>
        <w:right w:val="none" w:sz="0" w:space="0" w:color="auto"/>
      </w:divBdr>
    </w:div>
    <w:div w:id="645353659">
      <w:bodyDiv w:val="1"/>
      <w:marLeft w:val="0"/>
      <w:marRight w:val="0"/>
      <w:marTop w:val="0"/>
      <w:marBottom w:val="0"/>
      <w:divBdr>
        <w:top w:val="none" w:sz="0" w:space="0" w:color="auto"/>
        <w:left w:val="none" w:sz="0" w:space="0" w:color="auto"/>
        <w:bottom w:val="none" w:sz="0" w:space="0" w:color="auto"/>
        <w:right w:val="none" w:sz="0" w:space="0" w:color="auto"/>
      </w:divBdr>
    </w:div>
    <w:div w:id="724914884">
      <w:bodyDiv w:val="1"/>
      <w:marLeft w:val="0"/>
      <w:marRight w:val="0"/>
      <w:marTop w:val="0"/>
      <w:marBottom w:val="0"/>
      <w:divBdr>
        <w:top w:val="none" w:sz="0" w:space="0" w:color="auto"/>
        <w:left w:val="none" w:sz="0" w:space="0" w:color="auto"/>
        <w:bottom w:val="none" w:sz="0" w:space="0" w:color="auto"/>
        <w:right w:val="none" w:sz="0" w:space="0" w:color="auto"/>
      </w:divBdr>
    </w:div>
    <w:div w:id="852374974">
      <w:bodyDiv w:val="1"/>
      <w:marLeft w:val="0"/>
      <w:marRight w:val="0"/>
      <w:marTop w:val="0"/>
      <w:marBottom w:val="0"/>
      <w:divBdr>
        <w:top w:val="none" w:sz="0" w:space="0" w:color="auto"/>
        <w:left w:val="none" w:sz="0" w:space="0" w:color="auto"/>
        <w:bottom w:val="none" w:sz="0" w:space="0" w:color="auto"/>
        <w:right w:val="none" w:sz="0" w:space="0" w:color="auto"/>
      </w:divBdr>
    </w:div>
    <w:div w:id="903639297">
      <w:bodyDiv w:val="1"/>
      <w:marLeft w:val="0"/>
      <w:marRight w:val="0"/>
      <w:marTop w:val="0"/>
      <w:marBottom w:val="0"/>
      <w:divBdr>
        <w:top w:val="none" w:sz="0" w:space="0" w:color="auto"/>
        <w:left w:val="none" w:sz="0" w:space="0" w:color="auto"/>
        <w:bottom w:val="none" w:sz="0" w:space="0" w:color="auto"/>
        <w:right w:val="none" w:sz="0" w:space="0" w:color="auto"/>
      </w:divBdr>
    </w:div>
    <w:div w:id="977958638">
      <w:bodyDiv w:val="1"/>
      <w:marLeft w:val="0"/>
      <w:marRight w:val="0"/>
      <w:marTop w:val="0"/>
      <w:marBottom w:val="0"/>
      <w:divBdr>
        <w:top w:val="none" w:sz="0" w:space="0" w:color="auto"/>
        <w:left w:val="none" w:sz="0" w:space="0" w:color="auto"/>
        <w:bottom w:val="none" w:sz="0" w:space="0" w:color="auto"/>
        <w:right w:val="none" w:sz="0" w:space="0" w:color="auto"/>
      </w:divBdr>
    </w:div>
    <w:div w:id="1082336127">
      <w:bodyDiv w:val="1"/>
      <w:marLeft w:val="0"/>
      <w:marRight w:val="0"/>
      <w:marTop w:val="0"/>
      <w:marBottom w:val="0"/>
      <w:divBdr>
        <w:top w:val="none" w:sz="0" w:space="0" w:color="auto"/>
        <w:left w:val="none" w:sz="0" w:space="0" w:color="auto"/>
        <w:bottom w:val="none" w:sz="0" w:space="0" w:color="auto"/>
        <w:right w:val="none" w:sz="0" w:space="0" w:color="auto"/>
      </w:divBdr>
    </w:div>
    <w:div w:id="1145660293">
      <w:bodyDiv w:val="1"/>
      <w:marLeft w:val="0"/>
      <w:marRight w:val="0"/>
      <w:marTop w:val="0"/>
      <w:marBottom w:val="0"/>
      <w:divBdr>
        <w:top w:val="none" w:sz="0" w:space="0" w:color="auto"/>
        <w:left w:val="none" w:sz="0" w:space="0" w:color="auto"/>
        <w:bottom w:val="none" w:sz="0" w:space="0" w:color="auto"/>
        <w:right w:val="none" w:sz="0" w:space="0" w:color="auto"/>
      </w:divBdr>
    </w:div>
    <w:div w:id="1220244110">
      <w:bodyDiv w:val="1"/>
      <w:marLeft w:val="0"/>
      <w:marRight w:val="0"/>
      <w:marTop w:val="0"/>
      <w:marBottom w:val="0"/>
      <w:divBdr>
        <w:top w:val="none" w:sz="0" w:space="0" w:color="auto"/>
        <w:left w:val="none" w:sz="0" w:space="0" w:color="auto"/>
        <w:bottom w:val="none" w:sz="0" w:space="0" w:color="auto"/>
        <w:right w:val="none" w:sz="0" w:space="0" w:color="auto"/>
      </w:divBdr>
    </w:div>
    <w:div w:id="1220365070">
      <w:bodyDiv w:val="1"/>
      <w:marLeft w:val="0"/>
      <w:marRight w:val="0"/>
      <w:marTop w:val="0"/>
      <w:marBottom w:val="0"/>
      <w:divBdr>
        <w:top w:val="none" w:sz="0" w:space="0" w:color="auto"/>
        <w:left w:val="none" w:sz="0" w:space="0" w:color="auto"/>
        <w:bottom w:val="none" w:sz="0" w:space="0" w:color="auto"/>
        <w:right w:val="none" w:sz="0" w:space="0" w:color="auto"/>
      </w:divBdr>
    </w:div>
    <w:div w:id="1222982802">
      <w:bodyDiv w:val="1"/>
      <w:marLeft w:val="0"/>
      <w:marRight w:val="0"/>
      <w:marTop w:val="0"/>
      <w:marBottom w:val="0"/>
      <w:divBdr>
        <w:top w:val="none" w:sz="0" w:space="0" w:color="auto"/>
        <w:left w:val="none" w:sz="0" w:space="0" w:color="auto"/>
        <w:bottom w:val="none" w:sz="0" w:space="0" w:color="auto"/>
        <w:right w:val="none" w:sz="0" w:space="0" w:color="auto"/>
      </w:divBdr>
    </w:div>
    <w:div w:id="1260676956">
      <w:bodyDiv w:val="1"/>
      <w:marLeft w:val="0"/>
      <w:marRight w:val="0"/>
      <w:marTop w:val="0"/>
      <w:marBottom w:val="0"/>
      <w:divBdr>
        <w:top w:val="none" w:sz="0" w:space="0" w:color="auto"/>
        <w:left w:val="none" w:sz="0" w:space="0" w:color="auto"/>
        <w:bottom w:val="none" w:sz="0" w:space="0" w:color="auto"/>
        <w:right w:val="none" w:sz="0" w:space="0" w:color="auto"/>
      </w:divBdr>
    </w:div>
    <w:div w:id="1283994431">
      <w:bodyDiv w:val="1"/>
      <w:marLeft w:val="0"/>
      <w:marRight w:val="0"/>
      <w:marTop w:val="0"/>
      <w:marBottom w:val="0"/>
      <w:divBdr>
        <w:top w:val="none" w:sz="0" w:space="0" w:color="auto"/>
        <w:left w:val="none" w:sz="0" w:space="0" w:color="auto"/>
        <w:bottom w:val="none" w:sz="0" w:space="0" w:color="auto"/>
        <w:right w:val="none" w:sz="0" w:space="0" w:color="auto"/>
      </w:divBdr>
    </w:div>
    <w:div w:id="1324621311">
      <w:bodyDiv w:val="1"/>
      <w:marLeft w:val="0"/>
      <w:marRight w:val="0"/>
      <w:marTop w:val="0"/>
      <w:marBottom w:val="0"/>
      <w:divBdr>
        <w:top w:val="none" w:sz="0" w:space="0" w:color="auto"/>
        <w:left w:val="none" w:sz="0" w:space="0" w:color="auto"/>
        <w:bottom w:val="none" w:sz="0" w:space="0" w:color="auto"/>
        <w:right w:val="none" w:sz="0" w:space="0" w:color="auto"/>
      </w:divBdr>
    </w:div>
    <w:div w:id="1353339451">
      <w:bodyDiv w:val="1"/>
      <w:marLeft w:val="0"/>
      <w:marRight w:val="0"/>
      <w:marTop w:val="0"/>
      <w:marBottom w:val="0"/>
      <w:divBdr>
        <w:top w:val="none" w:sz="0" w:space="0" w:color="auto"/>
        <w:left w:val="none" w:sz="0" w:space="0" w:color="auto"/>
        <w:bottom w:val="none" w:sz="0" w:space="0" w:color="auto"/>
        <w:right w:val="none" w:sz="0" w:space="0" w:color="auto"/>
      </w:divBdr>
    </w:div>
    <w:div w:id="1357385315">
      <w:bodyDiv w:val="1"/>
      <w:marLeft w:val="0"/>
      <w:marRight w:val="0"/>
      <w:marTop w:val="0"/>
      <w:marBottom w:val="0"/>
      <w:divBdr>
        <w:top w:val="none" w:sz="0" w:space="0" w:color="auto"/>
        <w:left w:val="none" w:sz="0" w:space="0" w:color="auto"/>
        <w:bottom w:val="none" w:sz="0" w:space="0" w:color="auto"/>
        <w:right w:val="none" w:sz="0" w:space="0" w:color="auto"/>
      </w:divBdr>
    </w:div>
    <w:div w:id="1391151116">
      <w:bodyDiv w:val="1"/>
      <w:marLeft w:val="0"/>
      <w:marRight w:val="0"/>
      <w:marTop w:val="0"/>
      <w:marBottom w:val="0"/>
      <w:divBdr>
        <w:top w:val="none" w:sz="0" w:space="0" w:color="auto"/>
        <w:left w:val="none" w:sz="0" w:space="0" w:color="auto"/>
        <w:bottom w:val="none" w:sz="0" w:space="0" w:color="auto"/>
        <w:right w:val="none" w:sz="0" w:space="0" w:color="auto"/>
      </w:divBdr>
    </w:div>
    <w:div w:id="1393847640">
      <w:bodyDiv w:val="1"/>
      <w:marLeft w:val="0"/>
      <w:marRight w:val="0"/>
      <w:marTop w:val="0"/>
      <w:marBottom w:val="0"/>
      <w:divBdr>
        <w:top w:val="none" w:sz="0" w:space="0" w:color="auto"/>
        <w:left w:val="none" w:sz="0" w:space="0" w:color="auto"/>
        <w:bottom w:val="none" w:sz="0" w:space="0" w:color="auto"/>
        <w:right w:val="none" w:sz="0" w:space="0" w:color="auto"/>
      </w:divBdr>
    </w:div>
    <w:div w:id="1523283680">
      <w:bodyDiv w:val="1"/>
      <w:marLeft w:val="0"/>
      <w:marRight w:val="0"/>
      <w:marTop w:val="0"/>
      <w:marBottom w:val="0"/>
      <w:divBdr>
        <w:top w:val="none" w:sz="0" w:space="0" w:color="auto"/>
        <w:left w:val="none" w:sz="0" w:space="0" w:color="auto"/>
        <w:bottom w:val="none" w:sz="0" w:space="0" w:color="auto"/>
        <w:right w:val="none" w:sz="0" w:space="0" w:color="auto"/>
      </w:divBdr>
    </w:div>
    <w:div w:id="1560676380">
      <w:bodyDiv w:val="1"/>
      <w:marLeft w:val="0"/>
      <w:marRight w:val="0"/>
      <w:marTop w:val="0"/>
      <w:marBottom w:val="0"/>
      <w:divBdr>
        <w:top w:val="none" w:sz="0" w:space="0" w:color="auto"/>
        <w:left w:val="none" w:sz="0" w:space="0" w:color="auto"/>
        <w:bottom w:val="none" w:sz="0" w:space="0" w:color="auto"/>
        <w:right w:val="none" w:sz="0" w:space="0" w:color="auto"/>
      </w:divBdr>
    </w:div>
    <w:div w:id="1571235464">
      <w:bodyDiv w:val="1"/>
      <w:marLeft w:val="0"/>
      <w:marRight w:val="0"/>
      <w:marTop w:val="0"/>
      <w:marBottom w:val="0"/>
      <w:divBdr>
        <w:top w:val="none" w:sz="0" w:space="0" w:color="auto"/>
        <w:left w:val="none" w:sz="0" w:space="0" w:color="auto"/>
        <w:bottom w:val="none" w:sz="0" w:space="0" w:color="auto"/>
        <w:right w:val="none" w:sz="0" w:space="0" w:color="auto"/>
      </w:divBdr>
    </w:div>
    <w:div w:id="1725326756">
      <w:bodyDiv w:val="1"/>
      <w:marLeft w:val="0"/>
      <w:marRight w:val="0"/>
      <w:marTop w:val="0"/>
      <w:marBottom w:val="0"/>
      <w:divBdr>
        <w:top w:val="none" w:sz="0" w:space="0" w:color="auto"/>
        <w:left w:val="none" w:sz="0" w:space="0" w:color="auto"/>
        <w:bottom w:val="none" w:sz="0" w:space="0" w:color="auto"/>
        <w:right w:val="none" w:sz="0" w:space="0" w:color="auto"/>
      </w:divBdr>
    </w:div>
    <w:div w:id="1790271829">
      <w:bodyDiv w:val="1"/>
      <w:marLeft w:val="0"/>
      <w:marRight w:val="0"/>
      <w:marTop w:val="0"/>
      <w:marBottom w:val="0"/>
      <w:divBdr>
        <w:top w:val="none" w:sz="0" w:space="0" w:color="auto"/>
        <w:left w:val="none" w:sz="0" w:space="0" w:color="auto"/>
        <w:bottom w:val="none" w:sz="0" w:space="0" w:color="auto"/>
        <w:right w:val="none" w:sz="0" w:space="0" w:color="auto"/>
      </w:divBdr>
    </w:div>
    <w:div w:id="1944873074">
      <w:bodyDiv w:val="1"/>
      <w:marLeft w:val="0"/>
      <w:marRight w:val="0"/>
      <w:marTop w:val="0"/>
      <w:marBottom w:val="0"/>
      <w:divBdr>
        <w:top w:val="none" w:sz="0" w:space="0" w:color="auto"/>
        <w:left w:val="none" w:sz="0" w:space="0" w:color="auto"/>
        <w:bottom w:val="none" w:sz="0" w:space="0" w:color="auto"/>
        <w:right w:val="none" w:sz="0" w:space="0" w:color="auto"/>
      </w:divBdr>
    </w:div>
    <w:div w:id="2040819220">
      <w:bodyDiv w:val="1"/>
      <w:marLeft w:val="0"/>
      <w:marRight w:val="0"/>
      <w:marTop w:val="0"/>
      <w:marBottom w:val="0"/>
      <w:divBdr>
        <w:top w:val="none" w:sz="0" w:space="0" w:color="auto"/>
        <w:left w:val="none" w:sz="0" w:space="0" w:color="auto"/>
        <w:bottom w:val="none" w:sz="0" w:space="0" w:color="auto"/>
        <w:right w:val="none" w:sz="0" w:space="0" w:color="auto"/>
      </w:divBdr>
    </w:div>
    <w:div w:id="2059084006">
      <w:bodyDiv w:val="1"/>
      <w:marLeft w:val="0"/>
      <w:marRight w:val="0"/>
      <w:marTop w:val="0"/>
      <w:marBottom w:val="0"/>
      <w:divBdr>
        <w:top w:val="none" w:sz="0" w:space="0" w:color="auto"/>
        <w:left w:val="none" w:sz="0" w:space="0" w:color="auto"/>
        <w:bottom w:val="none" w:sz="0" w:space="0" w:color="auto"/>
        <w:right w:val="none" w:sz="0" w:space="0" w:color="auto"/>
      </w:divBdr>
    </w:div>
    <w:div w:id="2091463222">
      <w:bodyDiv w:val="1"/>
      <w:marLeft w:val="0"/>
      <w:marRight w:val="0"/>
      <w:marTop w:val="0"/>
      <w:marBottom w:val="0"/>
      <w:divBdr>
        <w:top w:val="none" w:sz="0" w:space="0" w:color="auto"/>
        <w:left w:val="none" w:sz="0" w:space="0" w:color="auto"/>
        <w:bottom w:val="none" w:sz="0" w:space="0" w:color="auto"/>
        <w:right w:val="none" w:sz="0" w:space="0" w:color="auto"/>
      </w:divBdr>
    </w:div>
    <w:div w:id="21361731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FD4668B-D270-46EC-B706-384EA72A1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54</Pages>
  <Words>18111</Words>
  <Characters>99612</Characters>
  <Application>Microsoft Office Word</Application>
  <DocSecurity>0</DocSecurity>
  <Lines>830</Lines>
  <Paragraphs>234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117489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Ibisevic, Lejla</dc:creator>
  <cp:keywords/>
  <dc:description/>
  <cp:lastModifiedBy>Ruiter, Pamela de</cp:lastModifiedBy>
  <cp:revision>2</cp:revision>
  <cp:lastPrinted>2018-06-08T06:37:00Z</cp:lastPrinted>
  <dcterms:created xsi:type="dcterms:W3CDTF">2018-09-18T11:29:00Z</dcterms:created>
  <dcterms:modified xsi:type="dcterms:W3CDTF">2018-09-18T11:29:00Z</dcterms:modified>
</cp:coreProperties>
</file>