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4F" w:rsidRPr="00243D2B" w:rsidRDefault="00AD274F" w:rsidP="0092501F">
      <w:pPr>
        <w:spacing w:after="0" w:line="22" w:lineRule="atLeast"/>
        <w:jc w:val="center"/>
        <w:rPr>
          <w:rFonts w:ascii="Verdana" w:hAnsi="Verdana"/>
          <w:b/>
          <w:sz w:val="56"/>
          <w:szCs w:val="56"/>
        </w:rPr>
      </w:pPr>
      <w:r>
        <w:rPr>
          <w:noProof/>
          <w:sz w:val="40"/>
          <w:szCs w:val="40"/>
          <w:lang w:eastAsia="nl-NL"/>
        </w:rPr>
        <w:drawing>
          <wp:anchor distT="0" distB="0" distL="114300" distR="114300" simplePos="0" relativeHeight="251659264" behindDoc="1" locked="0" layoutInCell="1" allowOverlap="1">
            <wp:simplePos x="0" y="0"/>
            <wp:positionH relativeFrom="column">
              <wp:posOffset>-914400</wp:posOffset>
            </wp:positionH>
            <wp:positionV relativeFrom="paragraph">
              <wp:posOffset>-914400</wp:posOffset>
            </wp:positionV>
            <wp:extent cx="7658100" cy="2729230"/>
            <wp:effectExtent l="0" t="0" r="1270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alphaModFix amt="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8100" cy="2729230"/>
                    </a:xfrm>
                    <a:prstGeom prst="rect">
                      <a:avLst/>
                    </a:prstGeom>
                    <a:noFill/>
                    <a:ln>
                      <a:noFill/>
                    </a:ln>
                  </pic:spPr>
                </pic:pic>
              </a:graphicData>
            </a:graphic>
          </wp:anchor>
        </w:drawing>
      </w:r>
    </w:p>
    <w:p w:rsidR="00AD274F" w:rsidRDefault="00AD274F" w:rsidP="0092501F">
      <w:pPr>
        <w:spacing w:after="0" w:line="22" w:lineRule="atLeast"/>
        <w:jc w:val="center"/>
        <w:rPr>
          <w:rFonts w:ascii="Verdana" w:hAnsi="Verdana"/>
          <w:b/>
          <w:sz w:val="40"/>
          <w:szCs w:val="40"/>
        </w:rPr>
      </w:pPr>
    </w:p>
    <w:p w:rsidR="00AD274F" w:rsidRDefault="00AD274F" w:rsidP="0092501F">
      <w:pPr>
        <w:spacing w:after="0" w:line="22" w:lineRule="atLeast"/>
        <w:rPr>
          <w:rFonts w:ascii="Verdana" w:hAnsi="Verdana"/>
          <w:b/>
          <w:i/>
          <w:sz w:val="40"/>
          <w:szCs w:val="40"/>
        </w:rPr>
      </w:pPr>
    </w:p>
    <w:p w:rsidR="00AD274F" w:rsidRDefault="00AD274F" w:rsidP="0092501F">
      <w:pPr>
        <w:spacing w:after="0" w:line="22" w:lineRule="atLeast"/>
        <w:rPr>
          <w:rFonts w:ascii="Verdana" w:hAnsi="Verdana"/>
          <w:b/>
          <w:sz w:val="32"/>
          <w:szCs w:val="32"/>
        </w:rPr>
      </w:pPr>
    </w:p>
    <w:p w:rsidR="00AD274F" w:rsidRDefault="00AD274F" w:rsidP="0092501F">
      <w:pPr>
        <w:spacing w:after="0" w:line="22" w:lineRule="atLeast"/>
        <w:ind w:firstLine="708"/>
        <w:jc w:val="center"/>
        <w:rPr>
          <w:rFonts w:ascii="Verdana" w:hAnsi="Verdana"/>
          <w:b/>
          <w:i/>
          <w:sz w:val="56"/>
          <w:szCs w:val="56"/>
        </w:rPr>
      </w:pPr>
    </w:p>
    <w:p w:rsidR="00AD274F" w:rsidRDefault="00AD274F" w:rsidP="0092501F">
      <w:pPr>
        <w:spacing w:after="0" w:line="22" w:lineRule="atLeast"/>
        <w:ind w:firstLine="708"/>
        <w:jc w:val="center"/>
        <w:rPr>
          <w:rFonts w:ascii="Verdana" w:hAnsi="Verdana"/>
          <w:b/>
          <w:i/>
          <w:sz w:val="56"/>
          <w:szCs w:val="56"/>
        </w:rPr>
      </w:pPr>
    </w:p>
    <w:p w:rsidR="00AD274F" w:rsidRDefault="00AD274F" w:rsidP="0092501F">
      <w:pPr>
        <w:spacing w:after="0" w:line="22" w:lineRule="atLeast"/>
        <w:ind w:firstLine="708"/>
        <w:jc w:val="center"/>
        <w:rPr>
          <w:rFonts w:ascii="Verdana" w:hAnsi="Verdana"/>
          <w:b/>
          <w:i/>
          <w:sz w:val="56"/>
          <w:szCs w:val="56"/>
        </w:rPr>
      </w:pPr>
      <w:r>
        <w:rPr>
          <w:rFonts w:ascii="Verdana" w:hAnsi="Verdana"/>
          <w:b/>
          <w:i/>
          <w:sz w:val="56"/>
          <w:szCs w:val="56"/>
        </w:rPr>
        <w:t>Onderzoeksrapport:</w:t>
      </w:r>
    </w:p>
    <w:p w:rsidR="00AD274F" w:rsidRDefault="00AD274F" w:rsidP="0092501F">
      <w:pPr>
        <w:spacing w:after="0" w:line="22" w:lineRule="atLeast"/>
        <w:jc w:val="center"/>
        <w:rPr>
          <w:rFonts w:ascii="Verdana" w:hAnsi="Verdana"/>
          <w:b/>
          <w:spacing w:val="-3"/>
          <w:sz w:val="28"/>
          <w:szCs w:val="18"/>
        </w:rPr>
      </w:pPr>
    </w:p>
    <w:p w:rsidR="00FC3619" w:rsidRDefault="00AD274F" w:rsidP="0092501F">
      <w:pPr>
        <w:spacing w:after="0" w:line="22" w:lineRule="atLeast"/>
        <w:jc w:val="center"/>
        <w:rPr>
          <w:rFonts w:ascii="Verdana" w:hAnsi="Verdana"/>
          <w:b/>
          <w:spacing w:val="-3"/>
          <w:sz w:val="32"/>
          <w:szCs w:val="18"/>
        </w:rPr>
      </w:pPr>
      <w:r>
        <w:rPr>
          <w:rFonts w:ascii="Verdana" w:hAnsi="Verdana"/>
          <w:b/>
          <w:spacing w:val="-3"/>
          <w:sz w:val="32"/>
          <w:szCs w:val="18"/>
        </w:rPr>
        <w:t>“ Verduidelijking van de factoren die van belang zijn bij de toetsing van de rechtmatigheid van inbeslagname bij verschoningsgerechtigde beroepsbeoefenaren”</w:t>
      </w:r>
    </w:p>
    <w:p w:rsidR="00FC3619" w:rsidRDefault="00FC3619" w:rsidP="0092501F">
      <w:pPr>
        <w:spacing w:after="0" w:line="22" w:lineRule="atLeast"/>
        <w:jc w:val="center"/>
        <w:rPr>
          <w:rFonts w:ascii="Verdana" w:hAnsi="Verdana"/>
          <w:b/>
          <w:spacing w:val="-3"/>
          <w:sz w:val="32"/>
          <w:szCs w:val="18"/>
        </w:rPr>
      </w:pPr>
    </w:p>
    <w:p w:rsidR="00AD274F" w:rsidRDefault="00AD274F" w:rsidP="0092501F">
      <w:pPr>
        <w:spacing w:after="0" w:line="22" w:lineRule="atLeast"/>
        <w:rPr>
          <w:rFonts w:ascii="Verdana" w:hAnsi="Verdana"/>
          <w:i/>
          <w:spacing w:val="-3"/>
          <w:sz w:val="28"/>
          <w:szCs w:val="18"/>
          <w:u w:val="single"/>
        </w:rPr>
      </w:pPr>
    </w:p>
    <w:p w:rsidR="00AD274F" w:rsidRDefault="00AD274F" w:rsidP="0092501F">
      <w:pPr>
        <w:spacing w:after="0" w:line="22" w:lineRule="atLeast"/>
        <w:rPr>
          <w:rFonts w:ascii="Verdana" w:hAnsi="Verdana"/>
          <w:b/>
          <w:i/>
          <w:sz w:val="40"/>
          <w:szCs w:val="40"/>
        </w:rPr>
      </w:pPr>
    </w:p>
    <w:p w:rsidR="00AD274F" w:rsidRPr="00A47FC6" w:rsidRDefault="00AD274F" w:rsidP="0092501F">
      <w:pPr>
        <w:spacing w:after="0" w:line="22" w:lineRule="atLeast"/>
        <w:jc w:val="center"/>
        <w:rPr>
          <w:rFonts w:ascii="Verdana" w:hAnsi="Verdana"/>
          <w:b/>
          <w:sz w:val="40"/>
          <w:szCs w:val="40"/>
        </w:rPr>
      </w:pPr>
      <w:r w:rsidRPr="00A47FC6">
        <w:rPr>
          <w:rFonts w:ascii="Verdana" w:hAnsi="Verdana"/>
          <w:b/>
          <w:sz w:val="40"/>
          <w:szCs w:val="40"/>
        </w:rPr>
        <w:t>Toetsing van:</w:t>
      </w:r>
    </w:p>
    <w:p w:rsidR="00AD274F" w:rsidRPr="005D715B" w:rsidRDefault="007A2966" w:rsidP="0092501F">
      <w:pPr>
        <w:spacing w:after="0" w:line="22" w:lineRule="atLeast"/>
        <w:jc w:val="center"/>
        <w:rPr>
          <w:rFonts w:ascii="Verdana" w:hAnsi="Verdana"/>
          <w:b/>
          <w:sz w:val="48"/>
          <w:szCs w:val="48"/>
        </w:rPr>
      </w:pPr>
      <w:r>
        <w:rPr>
          <w:rFonts w:ascii="Verdana" w:hAnsi="Verdana"/>
          <w:b/>
          <w:sz w:val="48"/>
          <w:szCs w:val="48"/>
        </w:rPr>
        <w:t>Afstudeeronderzoek</w:t>
      </w:r>
    </w:p>
    <w:p w:rsidR="00AD274F" w:rsidRDefault="00AD274F" w:rsidP="0092501F">
      <w:pPr>
        <w:spacing w:after="0" w:line="22" w:lineRule="atLeast"/>
        <w:jc w:val="center"/>
        <w:rPr>
          <w:rFonts w:ascii="Verdana" w:hAnsi="Verdana"/>
          <w:b/>
          <w:sz w:val="48"/>
          <w:szCs w:val="48"/>
        </w:rPr>
      </w:pPr>
      <w:r w:rsidRPr="007A2966">
        <w:rPr>
          <w:rFonts w:ascii="Verdana" w:hAnsi="Verdana"/>
          <w:b/>
          <w:sz w:val="48"/>
          <w:szCs w:val="48"/>
        </w:rPr>
        <w:t>RE</w:t>
      </w:r>
      <w:r w:rsidR="007A2966" w:rsidRPr="007A2966">
        <w:rPr>
          <w:rFonts w:ascii="Verdana" w:hAnsi="Verdana"/>
          <w:b/>
          <w:sz w:val="48"/>
          <w:szCs w:val="48"/>
        </w:rPr>
        <w:t>4</w:t>
      </w:r>
      <w:r w:rsidR="007A2966">
        <w:rPr>
          <w:rFonts w:ascii="Verdana" w:hAnsi="Verdana"/>
          <w:b/>
          <w:sz w:val="48"/>
          <w:szCs w:val="48"/>
        </w:rPr>
        <w:t>41C</w:t>
      </w:r>
    </w:p>
    <w:p w:rsidR="00AD274F" w:rsidRDefault="00AD274F" w:rsidP="0092501F">
      <w:pPr>
        <w:spacing w:after="0" w:line="22" w:lineRule="atLeast"/>
        <w:jc w:val="center"/>
        <w:rPr>
          <w:rFonts w:ascii="Verdana" w:hAnsi="Verdana"/>
          <w:b/>
          <w:sz w:val="32"/>
          <w:szCs w:val="32"/>
        </w:rPr>
      </w:pPr>
    </w:p>
    <w:p w:rsidR="00AD274F" w:rsidRDefault="00AD274F" w:rsidP="0092501F">
      <w:pPr>
        <w:spacing w:after="0" w:line="22" w:lineRule="atLeast"/>
        <w:jc w:val="center"/>
        <w:rPr>
          <w:rFonts w:ascii="Verdana" w:hAnsi="Verdana"/>
          <w:b/>
          <w:sz w:val="32"/>
          <w:szCs w:val="32"/>
        </w:rPr>
      </w:pPr>
    </w:p>
    <w:p w:rsidR="00AD274F" w:rsidRPr="005C4739" w:rsidRDefault="00AD274F" w:rsidP="0092501F">
      <w:pPr>
        <w:spacing w:after="0" w:line="22" w:lineRule="atLeast"/>
        <w:jc w:val="center"/>
        <w:rPr>
          <w:rFonts w:ascii="Verdana" w:hAnsi="Verdana"/>
          <w:b/>
          <w:sz w:val="32"/>
          <w:szCs w:val="32"/>
        </w:rPr>
      </w:pPr>
    </w:p>
    <w:p w:rsidR="00AD274F" w:rsidRPr="005C4739" w:rsidRDefault="00AD274F" w:rsidP="0092501F">
      <w:pPr>
        <w:pBdr>
          <w:top w:val="single" w:sz="4" w:space="1" w:color="auto"/>
          <w:left w:val="single" w:sz="4" w:space="4" w:color="auto"/>
          <w:bottom w:val="single" w:sz="4" w:space="24" w:color="auto"/>
          <w:right w:val="single" w:sz="4" w:space="4" w:color="auto"/>
        </w:pBdr>
        <w:spacing w:after="0" w:line="22" w:lineRule="atLeast"/>
        <w:rPr>
          <w:rFonts w:ascii="Verdana" w:hAnsi="Verdana"/>
          <w:b/>
        </w:rPr>
      </w:pPr>
      <w:r w:rsidRPr="005C4739">
        <w:rPr>
          <w:rFonts w:ascii="Verdana" w:hAnsi="Verdana"/>
          <w:b/>
        </w:rPr>
        <w:t>Hogeschool Leid</w:t>
      </w:r>
      <w:r w:rsidR="00257D0D">
        <w:rPr>
          <w:rFonts w:ascii="Verdana" w:hAnsi="Verdana"/>
          <w:b/>
        </w:rPr>
        <w:t>en</w:t>
      </w:r>
      <w:r w:rsidR="00257D0D">
        <w:rPr>
          <w:rFonts w:ascii="Verdana" w:hAnsi="Verdana"/>
          <w:b/>
        </w:rPr>
        <w:tab/>
      </w:r>
      <w:r w:rsidR="00257D0D">
        <w:rPr>
          <w:rFonts w:ascii="Verdana" w:hAnsi="Verdana"/>
          <w:b/>
        </w:rPr>
        <w:tab/>
      </w:r>
      <w:r w:rsidR="00257D0D">
        <w:rPr>
          <w:rFonts w:ascii="Verdana" w:hAnsi="Verdana"/>
          <w:b/>
        </w:rPr>
        <w:tab/>
      </w:r>
      <w:r>
        <w:rPr>
          <w:rFonts w:ascii="Verdana" w:hAnsi="Verdana"/>
          <w:b/>
        </w:rPr>
        <w:t>Opleiding HBO-Rechten</w:t>
      </w:r>
    </w:p>
    <w:p w:rsidR="00AD274F" w:rsidRDefault="00AD274F" w:rsidP="0092501F">
      <w:pPr>
        <w:pBdr>
          <w:top w:val="single" w:sz="4" w:space="1" w:color="auto"/>
          <w:left w:val="single" w:sz="4" w:space="4" w:color="auto"/>
          <w:bottom w:val="single" w:sz="4" w:space="24" w:color="auto"/>
          <w:right w:val="single" w:sz="4" w:space="4" w:color="auto"/>
        </w:pBdr>
        <w:spacing w:after="0" w:line="22" w:lineRule="atLeast"/>
        <w:rPr>
          <w:rFonts w:ascii="Verdana" w:hAnsi="Verdana"/>
        </w:rPr>
      </w:pPr>
    </w:p>
    <w:p w:rsidR="00B40FAC" w:rsidRDefault="00257D0D" w:rsidP="0092501F">
      <w:pPr>
        <w:pBdr>
          <w:top w:val="single" w:sz="4" w:space="1" w:color="auto"/>
          <w:left w:val="single" w:sz="4" w:space="4" w:color="auto"/>
          <w:bottom w:val="single" w:sz="4" w:space="24" w:color="auto"/>
          <w:right w:val="single" w:sz="4" w:space="4" w:color="auto"/>
        </w:pBdr>
        <w:spacing w:after="0" w:line="22" w:lineRule="atLeast"/>
        <w:rPr>
          <w:rFonts w:ascii="Verdana" w:hAnsi="Verdana"/>
        </w:rPr>
      </w:pPr>
      <w:r>
        <w:rPr>
          <w:rFonts w:ascii="Verdana" w:hAnsi="Verdana"/>
        </w:rPr>
        <w:t>Kirsten Devilee – S1079555</w:t>
      </w:r>
      <w:r>
        <w:rPr>
          <w:rFonts w:ascii="Verdana" w:hAnsi="Verdana"/>
        </w:rPr>
        <w:tab/>
      </w:r>
      <w:r>
        <w:rPr>
          <w:rFonts w:ascii="Verdana" w:hAnsi="Verdana"/>
        </w:rPr>
        <w:tab/>
      </w:r>
      <w:r w:rsidR="00B40FAC">
        <w:rPr>
          <w:rFonts w:ascii="Verdana" w:hAnsi="Verdana"/>
        </w:rPr>
        <w:t>Onderzoeksdocent</w:t>
      </w:r>
      <w:r>
        <w:rPr>
          <w:rFonts w:ascii="Verdana" w:hAnsi="Verdana"/>
        </w:rPr>
        <w:tab/>
      </w:r>
      <w:r>
        <w:rPr>
          <w:rFonts w:ascii="Verdana" w:hAnsi="Verdana"/>
        </w:rPr>
        <w:tab/>
      </w:r>
      <w:r w:rsidR="00B40FAC">
        <w:rPr>
          <w:rFonts w:ascii="Verdana" w:hAnsi="Verdana"/>
        </w:rPr>
        <w:t>: Gerdo Kuiper</w:t>
      </w:r>
    </w:p>
    <w:p w:rsidR="00B40FAC" w:rsidRDefault="00257D0D" w:rsidP="0092501F">
      <w:pPr>
        <w:pBdr>
          <w:top w:val="single" w:sz="4" w:space="1" w:color="auto"/>
          <w:left w:val="single" w:sz="4" w:space="4" w:color="auto"/>
          <w:bottom w:val="single" w:sz="4" w:space="24" w:color="auto"/>
          <w:right w:val="single" w:sz="4" w:space="4" w:color="auto"/>
        </w:pBdr>
        <w:spacing w:after="0" w:line="22" w:lineRule="atLeas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B40FAC">
        <w:rPr>
          <w:rFonts w:ascii="Verdana" w:hAnsi="Verdana"/>
        </w:rPr>
        <w:t>Afstudeerbegeleider</w:t>
      </w:r>
      <w:r>
        <w:rPr>
          <w:rFonts w:ascii="Verdana" w:hAnsi="Verdana"/>
        </w:rPr>
        <w:tab/>
      </w:r>
      <w:r w:rsidR="00B40FAC">
        <w:rPr>
          <w:rFonts w:ascii="Verdana" w:hAnsi="Verdana"/>
        </w:rPr>
        <w:t>: Bas den Boer</w:t>
      </w:r>
    </w:p>
    <w:p w:rsidR="00AD274F" w:rsidRDefault="00257D0D" w:rsidP="0092501F">
      <w:pPr>
        <w:pBdr>
          <w:top w:val="single" w:sz="4" w:space="1" w:color="auto"/>
          <w:left w:val="single" w:sz="4" w:space="4" w:color="auto"/>
          <w:bottom w:val="single" w:sz="4" w:space="24" w:color="auto"/>
          <w:right w:val="single" w:sz="4" w:space="4" w:color="auto"/>
        </w:pBdr>
        <w:spacing w:after="0" w:line="22" w:lineRule="atLeas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B40FAC">
        <w:rPr>
          <w:rFonts w:ascii="Verdana" w:hAnsi="Verdana"/>
        </w:rPr>
        <w:t>Opdrachtgever</w:t>
      </w:r>
      <w:r>
        <w:rPr>
          <w:rFonts w:ascii="Verdana" w:hAnsi="Verdana"/>
        </w:rPr>
        <w:tab/>
      </w:r>
      <w:r>
        <w:rPr>
          <w:rFonts w:ascii="Verdana" w:hAnsi="Verdana"/>
        </w:rPr>
        <w:tab/>
      </w:r>
      <w:r w:rsidR="00B40FAC">
        <w:rPr>
          <w:rFonts w:ascii="Verdana" w:hAnsi="Verdana"/>
        </w:rPr>
        <w:t>: Serdal</w:t>
      </w:r>
      <w:r w:rsidR="00E1766A">
        <w:rPr>
          <w:rFonts w:ascii="Verdana" w:hAnsi="Verdana"/>
        </w:rPr>
        <w:t> </w:t>
      </w:r>
      <w:r w:rsidR="00B40FAC">
        <w:rPr>
          <w:rFonts w:ascii="Verdana" w:hAnsi="Verdana"/>
        </w:rPr>
        <w:t>Günday</w:t>
      </w:r>
      <w:r w:rsidR="00FC3619">
        <w:rPr>
          <w:rFonts w:ascii="Verdana" w:hAnsi="Verdana"/>
        </w:rPr>
        <w:tab/>
      </w:r>
    </w:p>
    <w:p w:rsidR="00257D0D" w:rsidRPr="005D715B" w:rsidRDefault="00257D0D" w:rsidP="0092501F">
      <w:pPr>
        <w:pBdr>
          <w:top w:val="single" w:sz="4" w:space="1" w:color="auto"/>
          <w:left w:val="single" w:sz="4" w:space="4" w:color="auto"/>
          <w:bottom w:val="single" w:sz="4" w:space="24" w:color="auto"/>
          <w:right w:val="single" w:sz="4" w:space="4" w:color="auto"/>
        </w:pBdr>
        <w:spacing w:after="0" w:line="22" w:lineRule="atLeast"/>
        <w:rPr>
          <w:rFonts w:ascii="Verdana" w:hAnsi="Verdana"/>
        </w:rPr>
      </w:pPr>
    </w:p>
    <w:p w:rsidR="00AD274F" w:rsidRPr="005D715B" w:rsidRDefault="00257D0D" w:rsidP="0092501F">
      <w:pPr>
        <w:pBdr>
          <w:top w:val="single" w:sz="4" w:space="1" w:color="auto"/>
          <w:left w:val="single" w:sz="4" w:space="4" w:color="auto"/>
          <w:bottom w:val="single" w:sz="4" w:space="24" w:color="auto"/>
          <w:right w:val="single" w:sz="4" w:space="4" w:color="auto"/>
        </w:pBdr>
        <w:spacing w:after="0" w:line="22" w:lineRule="atLeast"/>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740DFD">
        <w:rPr>
          <w:rFonts w:ascii="Verdana" w:hAnsi="Verdana"/>
          <w:b/>
        </w:rPr>
        <w:t>26 m</w:t>
      </w:r>
      <w:r w:rsidR="00F3271F">
        <w:rPr>
          <w:rFonts w:ascii="Verdana" w:hAnsi="Verdana"/>
          <w:b/>
        </w:rPr>
        <w:t>ei</w:t>
      </w:r>
      <w:r w:rsidR="00AD274F" w:rsidRPr="005D715B">
        <w:rPr>
          <w:rFonts w:ascii="Verdana" w:hAnsi="Verdana"/>
          <w:b/>
        </w:rPr>
        <w:t xml:space="preserve"> 2016</w:t>
      </w:r>
    </w:p>
    <w:p w:rsidR="00AD274F" w:rsidRPr="005D715B" w:rsidRDefault="00257D0D" w:rsidP="0092501F">
      <w:pPr>
        <w:pBdr>
          <w:top w:val="single" w:sz="4" w:space="1" w:color="auto"/>
          <w:left w:val="single" w:sz="4" w:space="4" w:color="auto"/>
          <w:bottom w:val="single" w:sz="4" w:space="24" w:color="auto"/>
          <w:right w:val="single" w:sz="4" w:space="4" w:color="auto"/>
        </w:pBdr>
        <w:spacing w:after="0" w:line="22" w:lineRule="atLeas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AD274F" w:rsidRPr="005D715B">
        <w:rPr>
          <w:rFonts w:ascii="Verdana" w:hAnsi="Verdana"/>
        </w:rPr>
        <w:t>Reguliere kans</w:t>
      </w:r>
    </w:p>
    <w:p w:rsidR="00AD274F" w:rsidRPr="005D715B" w:rsidRDefault="00AD274F" w:rsidP="0092501F">
      <w:pPr>
        <w:pBdr>
          <w:top w:val="single" w:sz="4" w:space="1" w:color="auto"/>
          <w:left w:val="single" w:sz="4" w:space="4" w:color="auto"/>
          <w:bottom w:val="single" w:sz="4" w:space="24" w:color="auto"/>
          <w:right w:val="single" w:sz="4" w:space="4" w:color="auto"/>
        </w:pBdr>
        <w:spacing w:after="0" w:line="22" w:lineRule="atLeast"/>
        <w:rPr>
          <w:rFonts w:ascii="Verdana" w:hAnsi="Verdana"/>
        </w:rPr>
      </w:pPr>
    </w:p>
    <w:p w:rsidR="00AD274F" w:rsidRPr="00D8006A" w:rsidRDefault="00257D0D" w:rsidP="0092501F">
      <w:pPr>
        <w:pBdr>
          <w:top w:val="single" w:sz="4" w:space="1" w:color="auto"/>
          <w:left w:val="single" w:sz="4" w:space="4" w:color="auto"/>
          <w:bottom w:val="single" w:sz="4" w:space="24" w:color="auto"/>
          <w:right w:val="single" w:sz="4" w:space="4" w:color="auto"/>
        </w:pBdr>
        <w:spacing w:after="0" w:line="22" w:lineRule="atLeast"/>
        <w:rPr>
          <w:rFonts w:ascii="Verdana" w:hAnsi="Verdana"/>
        </w:rPr>
      </w:pPr>
      <w:r>
        <w:rPr>
          <w:rFonts w:ascii="Verdana" w:hAnsi="Verdana"/>
        </w:rPr>
        <w:t>Klas Law 4A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AD274F" w:rsidRPr="00D8006A">
        <w:rPr>
          <w:rFonts w:ascii="Verdana" w:hAnsi="Verdana"/>
        </w:rPr>
        <w:t>Collegejaar 2015/2016, blok 15/16</w:t>
      </w:r>
    </w:p>
    <w:p w:rsidR="00AD274F" w:rsidRPr="00D8006A" w:rsidRDefault="00AD274F" w:rsidP="0092501F">
      <w:pPr>
        <w:spacing w:after="0" w:line="22" w:lineRule="atLeast"/>
      </w:pPr>
    </w:p>
    <w:p w:rsidR="00AD274F" w:rsidRDefault="00AD274F" w:rsidP="0092501F">
      <w:pPr>
        <w:pStyle w:val="Kop1"/>
        <w:spacing w:before="0" w:line="22" w:lineRule="atLeast"/>
        <w:rPr>
          <w:rFonts w:ascii="Verdana" w:hAnsi="Verdana"/>
          <w:b/>
          <w:sz w:val="36"/>
        </w:rPr>
      </w:pPr>
      <w:bookmarkStart w:id="0" w:name="_Toc451894972"/>
      <w:r w:rsidRPr="00AD274F">
        <w:rPr>
          <w:rFonts w:ascii="Verdana" w:hAnsi="Verdana"/>
          <w:b/>
          <w:sz w:val="36"/>
        </w:rPr>
        <w:lastRenderedPageBreak/>
        <w:t>Voorwoord</w:t>
      </w:r>
      <w:bookmarkEnd w:id="0"/>
    </w:p>
    <w:p w:rsidR="00AD274F" w:rsidRPr="00AF00ED" w:rsidRDefault="005E6F5A" w:rsidP="0092501F">
      <w:pPr>
        <w:spacing w:after="0" w:line="22" w:lineRule="atLeast"/>
        <w:jc w:val="both"/>
        <w:rPr>
          <w:rFonts w:ascii="Verdana" w:hAnsi="Verdana"/>
        </w:rPr>
      </w:pPr>
      <w:r>
        <w:rPr>
          <w:rFonts w:ascii="Verdana" w:hAnsi="Verdana"/>
        </w:rPr>
        <w:t xml:space="preserve">De </w:t>
      </w:r>
      <w:r w:rsidR="00AD274F" w:rsidRPr="00AF00ED">
        <w:rPr>
          <w:rFonts w:ascii="Verdana" w:hAnsi="Verdana"/>
        </w:rPr>
        <w:t>afstudeerscriptie</w:t>
      </w:r>
      <w:r w:rsidR="00A07829">
        <w:rPr>
          <w:rFonts w:ascii="Verdana" w:hAnsi="Verdana"/>
        </w:rPr>
        <w:t>. B</w:t>
      </w:r>
      <w:r w:rsidR="00AD274F" w:rsidRPr="00AF00ED">
        <w:rPr>
          <w:rFonts w:ascii="Verdana" w:hAnsi="Verdana"/>
        </w:rPr>
        <w:t xml:space="preserve">egin februari </w:t>
      </w:r>
      <w:r w:rsidR="00C54E41">
        <w:rPr>
          <w:rFonts w:ascii="Verdana" w:hAnsi="Verdana"/>
        </w:rPr>
        <w:t xml:space="preserve">van </w:t>
      </w:r>
      <w:r w:rsidR="00AD274F" w:rsidRPr="00AF00ED">
        <w:rPr>
          <w:rFonts w:ascii="Verdana" w:hAnsi="Verdana"/>
        </w:rPr>
        <w:t xml:space="preserve">dit jaar moest ik er toch echt aan geloven; het afstuderen begon. </w:t>
      </w:r>
      <w:r w:rsidR="00A07829">
        <w:rPr>
          <w:rFonts w:ascii="Verdana" w:hAnsi="Verdana"/>
        </w:rPr>
        <w:t>Ik was er e</w:t>
      </w:r>
      <w:r w:rsidR="00AD274F" w:rsidRPr="00AF00ED">
        <w:rPr>
          <w:rFonts w:ascii="Verdana" w:hAnsi="Verdana"/>
        </w:rPr>
        <w:t>igenlijk</w:t>
      </w:r>
      <w:r w:rsidR="00A07829">
        <w:rPr>
          <w:rFonts w:ascii="Verdana" w:hAnsi="Verdana"/>
        </w:rPr>
        <w:t xml:space="preserve"> a</w:t>
      </w:r>
      <w:r w:rsidR="00AD274F" w:rsidRPr="00AF00ED">
        <w:rPr>
          <w:rFonts w:ascii="Verdana" w:hAnsi="Verdana"/>
        </w:rPr>
        <w:t xml:space="preserve">l veel langer mee bezig, in september 2015 begon ik namelijk al met het zoeken van een opdrachtgever en een afstudeeronderwerp. Het vinden van een opdrachtgever ging nog vrij </w:t>
      </w:r>
      <w:r w:rsidR="00A07829">
        <w:rPr>
          <w:rFonts w:ascii="Verdana" w:hAnsi="Verdana"/>
        </w:rPr>
        <w:t>ge</w:t>
      </w:r>
      <w:r w:rsidR="00AD274F" w:rsidRPr="00AF00ED">
        <w:rPr>
          <w:rFonts w:ascii="Verdana" w:hAnsi="Verdana"/>
        </w:rPr>
        <w:t>makkelijk, ik mocht namelijk stage lopen bij het kabinet rechter-commissaris van rechtbank Rotterdam en zij wilden ook funger</w:t>
      </w:r>
      <w:r w:rsidR="00A07829">
        <w:rPr>
          <w:rFonts w:ascii="Verdana" w:hAnsi="Verdana"/>
        </w:rPr>
        <w:t>en als opdrachtgever. Vervolgens</w:t>
      </w:r>
      <w:r w:rsidR="00564B85" w:rsidRPr="00AF00ED">
        <w:rPr>
          <w:rFonts w:ascii="Verdana" w:hAnsi="Verdana"/>
        </w:rPr>
        <w:t xml:space="preserve"> moest ik</w:t>
      </w:r>
      <w:r w:rsidR="00A07829">
        <w:rPr>
          <w:rFonts w:ascii="Verdana" w:hAnsi="Verdana"/>
        </w:rPr>
        <w:t xml:space="preserve"> op zoek</w:t>
      </w:r>
      <w:r w:rsidR="00564B85" w:rsidRPr="00AF00ED">
        <w:rPr>
          <w:rFonts w:ascii="Verdana" w:hAnsi="Verdana"/>
        </w:rPr>
        <w:t xml:space="preserve"> naar</w:t>
      </w:r>
      <w:r w:rsidR="00AD274F" w:rsidRPr="00AF00ED">
        <w:rPr>
          <w:rFonts w:ascii="Verdana" w:hAnsi="Verdana"/>
        </w:rPr>
        <w:t xml:space="preserve"> een a</w:t>
      </w:r>
      <w:r w:rsidR="00A07829">
        <w:rPr>
          <w:rFonts w:ascii="Verdana" w:hAnsi="Verdana"/>
        </w:rPr>
        <w:t>fstudeeronderwerp. Dat ging</w:t>
      </w:r>
      <w:r w:rsidR="00AD274F" w:rsidRPr="00AF00ED">
        <w:rPr>
          <w:rFonts w:ascii="Verdana" w:hAnsi="Verdana"/>
        </w:rPr>
        <w:t xml:space="preserve"> iets moeizamer, maar uiteindelijk stuitte ik </w:t>
      </w:r>
      <w:r w:rsidR="00A07829">
        <w:rPr>
          <w:rFonts w:ascii="Verdana" w:hAnsi="Verdana"/>
        </w:rPr>
        <w:t>per toeval</w:t>
      </w:r>
      <w:r w:rsidR="00AD274F" w:rsidRPr="00AF00ED">
        <w:rPr>
          <w:rFonts w:ascii="Verdana" w:hAnsi="Verdana"/>
        </w:rPr>
        <w:t xml:space="preserve"> op een heel goed onderwerp: de</w:t>
      </w:r>
      <w:r w:rsidR="00A07829">
        <w:rPr>
          <w:rFonts w:ascii="Verdana" w:hAnsi="Verdana"/>
        </w:rPr>
        <w:t xml:space="preserve"> toetsing van de rechtmatigheid van de</w:t>
      </w:r>
      <w:r w:rsidR="00AD274F" w:rsidRPr="00AF00ED">
        <w:rPr>
          <w:rFonts w:ascii="Verdana" w:hAnsi="Verdana"/>
        </w:rPr>
        <w:t xml:space="preserve"> inbeslagname bij verschonings</w:t>
      </w:r>
      <w:r w:rsidR="00C54E41">
        <w:rPr>
          <w:rFonts w:ascii="Verdana" w:hAnsi="Verdana"/>
        </w:rPr>
        <w:t>-</w:t>
      </w:r>
      <w:r w:rsidR="00AD274F" w:rsidRPr="00AF00ED">
        <w:rPr>
          <w:rFonts w:ascii="Verdana" w:hAnsi="Verdana"/>
        </w:rPr>
        <w:t>gerechtigde</w:t>
      </w:r>
      <w:r w:rsidR="00A07829">
        <w:rPr>
          <w:rFonts w:ascii="Verdana" w:hAnsi="Verdana"/>
        </w:rPr>
        <w:t>n</w:t>
      </w:r>
      <w:r w:rsidR="00AD274F" w:rsidRPr="00AF00ED">
        <w:rPr>
          <w:rFonts w:ascii="Verdana" w:hAnsi="Verdana"/>
        </w:rPr>
        <w:t xml:space="preserve">. Gelukkig waren </w:t>
      </w:r>
      <w:r w:rsidR="00A07829">
        <w:rPr>
          <w:rFonts w:ascii="Verdana" w:hAnsi="Verdana"/>
        </w:rPr>
        <w:t xml:space="preserve">mijn scriptiebegeleider en </w:t>
      </w:r>
      <w:r w:rsidR="00AD274F" w:rsidRPr="00AF00ED">
        <w:rPr>
          <w:rFonts w:ascii="Verdana" w:hAnsi="Verdana"/>
        </w:rPr>
        <w:t xml:space="preserve">opdrachtgever ook enthousiast over het onderwerp. Toen was het ‘alleen’ nog een kwestie van schrijven. </w:t>
      </w:r>
    </w:p>
    <w:p w:rsidR="00AD274F" w:rsidRPr="00AF00ED" w:rsidRDefault="00AD274F" w:rsidP="0092501F">
      <w:pPr>
        <w:spacing w:after="0" w:line="22" w:lineRule="atLeast"/>
        <w:jc w:val="both"/>
        <w:rPr>
          <w:rFonts w:ascii="Verdana" w:hAnsi="Verdana"/>
        </w:rPr>
      </w:pPr>
    </w:p>
    <w:p w:rsidR="00AD274F" w:rsidRPr="00AF00ED" w:rsidRDefault="00AD274F" w:rsidP="0092501F">
      <w:pPr>
        <w:spacing w:after="0" w:line="22" w:lineRule="atLeast"/>
        <w:jc w:val="both"/>
        <w:rPr>
          <w:rFonts w:ascii="Verdana" w:hAnsi="Verdana"/>
        </w:rPr>
      </w:pPr>
    </w:p>
    <w:p w:rsidR="00AD274F" w:rsidRPr="00AF00ED" w:rsidRDefault="006933E6" w:rsidP="0092501F">
      <w:pPr>
        <w:spacing w:after="0" w:line="22" w:lineRule="atLeast"/>
        <w:jc w:val="both"/>
        <w:rPr>
          <w:rFonts w:ascii="Verdana" w:hAnsi="Verdana"/>
        </w:rPr>
      </w:pPr>
      <w:r w:rsidRPr="00AF00ED">
        <w:rPr>
          <w:rFonts w:ascii="Verdana" w:hAnsi="Verdana"/>
        </w:rPr>
        <w:t>Kirsten Devilee</w:t>
      </w:r>
      <w:r w:rsidR="00564B85" w:rsidRPr="00AF00ED">
        <w:rPr>
          <w:rFonts w:ascii="Verdana" w:hAnsi="Verdana"/>
        </w:rPr>
        <w:t>,</w:t>
      </w:r>
    </w:p>
    <w:p w:rsidR="00564B85" w:rsidRPr="00AF00ED" w:rsidRDefault="00564B85" w:rsidP="0092501F">
      <w:pPr>
        <w:spacing w:after="0" w:line="22" w:lineRule="atLeast"/>
        <w:jc w:val="both"/>
        <w:rPr>
          <w:rFonts w:ascii="Verdana" w:hAnsi="Verdana"/>
        </w:rPr>
      </w:pPr>
    </w:p>
    <w:p w:rsidR="00564B85" w:rsidRPr="00AF00ED" w:rsidRDefault="00A07829" w:rsidP="0092501F">
      <w:pPr>
        <w:spacing w:after="0" w:line="22" w:lineRule="atLeast"/>
        <w:jc w:val="both"/>
        <w:rPr>
          <w:rFonts w:ascii="Verdana" w:hAnsi="Verdana"/>
        </w:rPr>
      </w:pPr>
      <w:r>
        <w:rPr>
          <w:rFonts w:ascii="Verdana" w:hAnsi="Verdana"/>
        </w:rPr>
        <w:t>Rotterdam, 09 mei 2016</w:t>
      </w:r>
    </w:p>
    <w:p w:rsidR="00AD274F" w:rsidRDefault="00AD274F" w:rsidP="0092501F">
      <w:pPr>
        <w:spacing w:after="0" w:line="22" w:lineRule="atLeast"/>
        <w:rPr>
          <w:rFonts w:ascii="Verdana" w:hAnsi="Verdana"/>
          <w:sz w:val="24"/>
        </w:rPr>
      </w:pPr>
    </w:p>
    <w:p w:rsidR="00AD274F" w:rsidRDefault="00AD274F" w:rsidP="0092501F">
      <w:pPr>
        <w:spacing w:after="0" w:line="22" w:lineRule="atLeast"/>
      </w:pPr>
    </w:p>
    <w:p w:rsidR="00AD274F" w:rsidRDefault="00AD274F" w:rsidP="0092501F">
      <w:pPr>
        <w:spacing w:after="0" w:line="22" w:lineRule="atLeast"/>
      </w:pPr>
    </w:p>
    <w:p w:rsidR="00403DAB" w:rsidRDefault="00AD274F" w:rsidP="0092501F">
      <w:pPr>
        <w:spacing w:after="0" w:line="22" w:lineRule="atLeast"/>
        <w:rPr>
          <w:rFonts w:ascii="Verdana" w:eastAsiaTheme="majorEastAsia" w:hAnsi="Verdana" w:cstheme="majorBidi"/>
          <w:b/>
          <w:color w:val="365F91" w:themeColor="accent1" w:themeShade="BF"/>
          <w:sz w:val="36"/>
          <w:szCs w:val="36"/>
        </w:rPr>
      </w:pPr>
      <w:r>
        <w:rPr>
          <w:rFonts w:ascii="Verdana" w:hAnsi="Verdana"/>
          <w:b/>
          <w:sz w:val="36"/>
          <w:szCs w:val="36"/>
        </w:rPr>
        <w:br w:type="page"/>
      </w:r>
    </w:p>
    <w:p w:rsidR="00AD274F" w:rsidRPr="00AD274F" w:rsidRDefault="00AD274F" w:rsidP="0092501F">
      <w:pPr>
        <w:pStyle w:val="Kop1"/>
        <w:spacing w:before="0" w:line="22" w:lineRule="atLeast"/>
        <w:rPr>
          <w:rFonts w:ascii="Verdana" w:hAnsi="Verdana"/>
          <w:b/>
          <w:sz w:val="36"/>
          <w:szCs w:val="36"/>
        </w:rPr>
      </w:pPr>
      <w:bookmarkStart w:id="1" w:name="_Toc451894973"/>
      <w:r w:rsidRPr="00AD274F">
        <w:rPr>
          <w:rFonts w:ascii="Verdana" w:hAnsi="Verdana"/>
          <w:b/>
          <w:sz w:val="36"/>
          <w:szCs w:val="36"/>
        </w:rPr>
        <w:lastRenderedPageBreak/>
        <w:t>Samenvatting</w:t>
      </w:r>
      <w:bookmarkEnd w:id="1"/>
    </w:p>
    <w:p w:rsidR="00B0719A" w:rsidRDefault="00F329C0" w:rsidP="0092501F">
      <w:pPr>
        <w:spacing w:after="0" w:line="22" w:lineRule="atLeast"/>
        <w:jc w:val="both"/>
        <w:rPr>
          <w:rFonts w:ascii="Verdana" w:hAnsi="Verdana"/>
        </w:rPr>
      </w:pPr>
      <w:r w:rsidRPr="003A751E">
        <w:rPr>
          <w:rFonts w:ascii="Verdana" w:hAnsi="Verdana"/>
        </w:rPr>
        <w:t xml:space="preserve">In Nederland hebben onder andere </w:t>
      </w:r>
      <w:r w:rsidR="00BC286B" w:rsidRPr="003A751E">
        <w:rPr>
          <w:rFonts w:ascii="Verdana" w:hAnsi="Verdana"/>
        </w:rPr>
        <w:t>artsen, notarissen en advocaten</w:t>
      </w:r>
      <w:r w:rsidRPr="003A751E">
        <w:rPr>
          <w:rFonts w:ascii="Verdana" w:hAnsi="Verdana"/>
        </w:rPr>
        <w:t xml:space="preserve"> een geheimhoudingsplicht</w:t>
      </w:r>
      <w:r w:rsidR="00687878">
        <w:rPr>
          <w:rFonts w:ascii="Verdana" w:hAnsi="Verdana"/>
        </w:rPr>
        <w:t xml:space="preserve"> waaraan ook een </w:t>
      </w:r>
      <w:r w:rsidRPr="003A751E">
        <w:rPr>
          <w:rFonts w:ascii="Verdana" w:hAnsi="Verdana"/>
        </w:rPr>
        <w:t>verschoningsrecht</w:t>
      </w:r>
      <w:r w:rsidR="00687878">
        <w:rPr>
          <w:rFonts w:ascii="Verdana" w:hAnsi="Verdana"/>
        </w:rPr>
        <w:t xml:space="preserve"> is </w:t>
      </w:r>
      <w:r w:rsidRPr="003A751E">
        <w:rPr>
          <w:rFonts w:ascii="Verdana" w:hAnsi="Verdana"/>
        </w:rPr>
        <w:t>gekoppeld</w:t>
      </w:r>
      <w:r w:rsidR="007C5853" w:rsidRPr="003A751E">
        <w:rPr>
          <w:rFonts w:ascii="Verdana" w:hAnsi="Verdana"/>
        </w:rPr>
        <w:t xml:space="preserve"> op grond van artikel 218 Sv</w:t>
      </w:r>
      <w:r w:rsidRPr="003A751E">
        <w:rPr>
          <w:rFonts w:ascii="Verdana" w:hAnsi="Verdana"/>
        </w:rPr>
        <w:t xml:space="preserve">. </w:t>
      </w:r>
      <w:r w:rsidR="00B0719A" w:rsidRPr="003A751E">
        <w:rPr>
          <w:rFonts w:ascii="Verdana" w:hAnsi="Verdana"/>
        </w:rPr>
        <w:t xml:space="preserve">Dit verschoningsrecht kan onder andere geëffectueerd worden in geval er bevel tot inbeslagname ex artikel 96a Sv wordt afgegeven door de Officier van Justitie of de rechter-commissaris. </w:t>
      </w:r>
      <w:r w:rsidR="007C5853" w:rsidRPr="003A751E">
        <w:rPr>
          <w:rFonts w:ascii="Verdana" w:hAnsi="Verdana"/>
        </w:rPr>
        <w:t>Indien de beroepsbe</w:t>
      </w:r>
      <w:r w:rsidR="00687878">
        <w:rPr>
          <w:rFonts w:ascii="Verdana" w:hAnsi="Verdana"/>
        </w:rPr>
        <w:t>-</w:t>
      </w:r>
      <w:r w:rsidR="007C5853" w:rsidRPr="003A751E">
        <w:rPr>
          <w:rFonts w:ascii="Verdana" w:hAnsi="Verdana"/>
        </w:rPr>
        <w:t xml:space="preserve">oefenaar geen toestemming geeft, mogen de voorwerpen niet in beslag worden genomen. In de praktijk komt het </w:t>
      </w:r>
      <w:r w:rsidR="00FD656A">
        <w:rPr>
          <w:rFonts w:ascii="Verdana" w:hAnsi="Verdana"/>
        </w:rPr>
        <w:t xml:space="preserve">echter </w:t>
      </w:r>
      <w:r w:rsidR="007C5853" w:rsidRPr="003A751E">
        <w:rPr>
          <w:rFonts w:ascii="Verdana" w:hAnsi="Verdana"/>
        </w:rPr>
        <w:t>nogal eens voor dat de voorwerpen alsnog in beslag worden genomen en dat deze in een gesloten en verzegelde envelop worden afgegeven aan de rechter-commissaris. Daar blijven de gegevens</w:t>
      </w:r>
      <w:r w:rsidR="00BF2C8A" w:rsidRPr="003A751E">
        <w:rPr>
          <w:rFonts w:ascii="Verdana" w:hAnsi="Verdana"/>
        </w:rPr>
        <w:t>,</w:t>
      </w:r>
      <w:r w:rsidR="007C5853" w:rsidRPr="003A751E">
        <w:rPr>
          <w:rFonts w:ascii="Verdana" w:hAnsi="Verdana"/>
        </w:rPr>
        <w:t xml:space="preserve"> in afwa</w:t>
      </w:r>
      <w:r w:rsidR="00C54E41">
        <w:rPr>
          <w:rFonts w:ascii="Verdana" w:hAnsi="Verdana"/>
        </w:rPr>
        <w:t>chting van</w:t>
      </w:r>
      <w:r w:rsidR="007C5853" w:rsidRPr="003A751E">
        <w:rPr>
          <w:rFonts w:ascii="Verdana" w:hAnsi="Verdana"/>
        </w:rPr>
        <w:t xml:space="preserve"> een eventuele </w:t>
      </w:r>
      <w:r w:rsidR="00BF2C8A" w:rsidRPr="003A751E">
        <w:rPr>
          <w:rFonts w:ascii="Verdana" w:hAnsi="Verdana"/>
        </w:rPr>
        <w:t>beklagprocedur</w:t>
      </w:r>
      <w:r w:rsidR="005908EC" w:rsidRPr="003A751E">
        <w:rPr>
          <w:rFonts w:ascii="Verdana" w:hAnsi="Verdana"/>
        </w:rPr>
        <w:t>e</w:t>
      </w:r>
      <w:r w:rsidR="00E748C8">
        <w:rPr>
          <w:rFonts w:ascii="Verdana" w:hAnsi="Verdana"/>
        </w:rPr>
        <w:t> </w:t>
      </w:r>
      <w:r w:rsidR="00687878">
        <w:rPr>
          <w:rFonts w:ascii="Verdana" w:hAnsi="Verdana"/>
        </w:rPr>
        <w:t xml:space="preserve">ex artikel 552a Sv </w:t>
      </w:r>
      <w:r w:rsidR="007C5853" w:rsidRPr="003A751E">
        <w:rPr>
          <w:rFonts w:ascii="Verdana" w:hAnsi="Verdana"/>
        </w:rPr>
        <w:t xml:space="preserve">die door de beroepsbeoefenaar kan worden ingesteld. </w:t>
      </w:r>
    </w:p>
    <w:p w:rsidR="00FD656A" w:rsidRDefault="00FD656A" w:rsidP="0092501F">
      <w:pPr>
        <w:spacing w:after="0" w:line="22" w:lineRule="atLeast"/>
        <w:jc w:val="both"/>
        <w:rPr>
          <w:rFonts w:ascii="Verdana" w:hAnsi="Verdana"/>
        </w:rPr>
      </w:pPr>
    </w:p>
    <w:p w:rsidR="00AD274F" w:rsidRPr="003A751E" w:rsidRDefault="00FD656A" w:rsidP="0092501F">
      <w:pPr>
        <w:spacing w:after="0" w:line="22" w:lineRule="atLeast"/>
        <w:jc w:val="both"/>
        <w:rPr>
          <w:rFonts w:ascii="Verdana" w:hAnsi="Verdana"/>
        </w:rPr>
      </w:pPr>
      <w:r>
        <w:rPr>
          <w:rFonts w:ascii="Verdana" w:hAnsi="Verdana"/>
        </w:rPr>
        <w:t xml:space="preserve">In sommige gevallen is het mogelijk dat het beroepsgeheim moet wijken voor de waarheidsvinding. </w:t>
      </w:r>
      <w:r w:rsidR="007C5853" w:rsidRPr="003A751E">
        <w:rPr>
          <w:rFonts w:ascii="Verdana" w:hAnsi="Verdana"/>
        </w:rPr>
        <w:t xml:space="preserve">Dit is </w:t>
      </w:r>
      <w:r w:rsidR="00BF2C8A" w:rsidRPr="003A751E">
        <w:rPr>
          <w:rFonts w:ascii="Verdana" w:hAnsi="Verdana"/>
        </w:rPr>
        <w:t xml:space="preserve">alleen </w:t>
      </w:r>
      <w:r w:rsidR="007C5853" w:rsidRPr="003A751E">
        <w:rPr>
          <w:rFonts w:ascii="Verdana" w:hAnsi="Verdana"/>
        </w:rPr>
        <w:t>mogelijk in d</w:t>
      </w:r>
      <w:r w:rsidR="00C54E41">
        <w:rPr>
          <w:rFonts w:ascii="Verdana" w:hAnsi="Verdana"/>
        </w:rPr>
        <w:t>ie gevallen wanneer</w:t>
      </w:r>
      <w:r w:rsidR="007C5853" w:rsidRPr="003A751E">
        <w:rPr>
          <w:rFonts w:ascii="Verdana" w:hAnsi="Verdana"/>
        </w:rPr>
        <w:t xml:space="preserve"> er sprake is van ‘zeer </w:t>
      </w:r>
      <w:r w:rsidR="0096662F">
        <w:rPr>
          <w:rFonts w:ascii="Verdana" w:hAnsi="Verdana"/>
        </w:rPr>
        <w:t>uitzonderlijk</w:t>
      </w:r>
      <w:r w:rsidR="007C5853" w:rsidRPr="003A751E">
        <w:rPr>
          <w:rFonts w:ascii="Verdana" w:hAnsi="Verdana"/>
        </w:rPr>
        <w:t xml:space="preserve">e omstandigheden’. </w:t>
      </w:r>
      <w:r w:rsidR="00687878">
        <w:rPr>
          <w:rFonts w:ascii="Verdana" w:hAnsi="Verdana"/>
        </w:rPr>
        <w:t>Dit wordt, bij een eventuele beklag</w:t>
      </w:r>
      <w:r w:rsidR="0096662F">
        <w:rPr>
          <w:rFonts w:ascii="Verdana" w:hAnsi="Verdana"/>
        </w:rPr>
        <w:t>-</w:t>
      </w:r>
      <w:r w:rsidR="00687878">
        <w:rPr>
          <w:rFonts w:ascii="Verdana" w:hAnsi="Verdana"/>
        </w:rPr>
        <w:t xml:space="preserve">procedure, beoordeelt door de rechtbank . </w:t>
      </w:r>
      <w:r w:rsidR="00F1026A" w:rsidRPr="003A751E">
        <w:rPr>
          <w:rFonts w:ascii="Verdana" w:hAnsi="Verdana"/>
        </w:rPr>
        <w:t xml:space="preserve">Om te bepalen of </w:t>
      </w:r>
      <w:r w:rsidR="0096662F">
        <w:rPr>
          <w:rFonts w:ascii="Verdana" w:hAnsi="Verdana"/>
        </w:rPr>
        <w:t>er sprake is van zeer uitzonderlijke</w:t>
      </w:r>
      <w:r w:rsidR="00F1026A" w:rsidRPr="003A751E">
        <w:rPr>
          <w:rFonts w:ascii="Verdana" w:hAnsi="Verdana"/>
        </w:rPr>
        <w:t xml:space="preserve"> omstandigheden, heeft de Hoge Raad de volgende zes factoren geformuleerd waaraan dit getoetst kan worden:</w:t>
      </w:r>
    </w:p>
    <w:p w:rsidR="00F1026A" w:rsidRPr="003A751E" w:rsidRDefault="00F1026A" w:rsidP="002734F3">
      <w:pPr>
        <w:pStyle w:val="Lijstalinea"/>
        <w:numPr>
          <w:ilvl w:val="0"/>
          <w:numId w:val="1"/>
        </w:numPr>
        <w:spacing w:after="0" w:line="22" w:lineRule="atLeast"/>
        <w:jc w:val="both"/>
        <w:rPr>
          <w:rFonts w:ascii="Verdana" w:hAnsi="Verdana"/>
        </w:rPr>
      </w:pPr>
      <w:r w:rsidRPr="003A751E">
        <w:rPr>
          <w:rFonts w:ascii="Verdana" w:hAnsi="Verdana"/>
        </w:rPr>
        <w:t>De aard, omvang en co</w:t>
      </w:r>
      <w:r w:rsidR="002C2F56" w:rsidRPr="003A751E">
        <w:rPr>
          <w:rFonts w:ascii="Verdana" w:hAnsi="Verdana"/>
        </w:rPr>
        <w:t>ntext van de gevraagde gegevens;</w:t>
      </w:r>
    </w:p>
    <w:p w:rsidR="00F1026A" w:rsidRPr="003A751E" w:rsidRDefault="00F1026A" w:rsidP="002734F3">
      <w:pPr>
        <w:pStyle w:val="Lijstalinea"/>
        <w:numPr>
          <w:ilvl w:val="0"/>
          <w:numId w:val="1"/>
        </w:numPr>
        <w:spacing w:after="0" w:line="22" w:lineRule="atLeast"/>
        <w:jc w:val="both"/>
        <w:rPr>
          <w:rFonts w:ascii="Verdana" w:hAnsi="Verdana"/>
        </w:rPr>
      </w:pPr>
      <w:r w:rsidRPr="003A751E">
        <w:rPr>
          <w:rFonts w:ascii="Verdana" w:hAnsi="Verdana"/>
        </w:rPr>
        <w:t>Het bela</w:t>
      </w:r>
      <w:r w:rsidR="002C2F56" w:rsidRPr="003A751E">
        <w:rPr>
          <w:rFonts w:ascii="Verdana" w:hAnsi="Verdana"/>
        </w:rPr>
        <w:t>ng en de ernst van de strafzaak;</w:t>
      </w:r>
    </w:p>
    <w:p w:rsidR="00F1026A" w:rsidRPr="003A751E" w:rsidRDefault="00F1026A" w:rsidP="002734F3">
      <w:pPr>
        <w:pStyle w:val="Lijstalinea"/>
        <w:numPr>
          <w:ilvl w:val="0"/>
          <w:numId w:val="1"/>
        </w:numPr>
        <w:spacing w:after="0" w:line="22" w:lineRule="atLeast"/>
        <w:jc w:val="both"/>
        <w:rPr>
          <w:rFonts w:ascii="Verdana" w:hAnsi="Verdana"/>
        </w:rPr>
      </w:pPr>
      <w:r w:rsidRPr="003A751E">
        <w:rPr>
          <w:rFonts w:ascii="Verdana" w:hAnsi="Verdana"/>
        </w:rPr>
        <w:t>De eventuele to</w:t>
      </w:r>
      <w:r w:rsidR="002C2F56" w:rsidRPr="003A751E">
        <w:rPr>
          <w:rFonts w:ascii="Verdana" w:hAnsi="Verdana"/>
        </w:rPr>
        <w:t>estemming van de belanghebbende;</w:t>
      </w:r>
    </w:p>
    <w:p w:rsidR="00F1026A" w:rsidRPr="003A751E" w:rsidRDefault="00F1026A" w:rsidP="002734F3">
      <w:pPr>
        <w:pStyle w:val="Lijstalinea"/>
        <w:numPr>
          <w:ilvl w:val="0"/>
          <w:numId w:val="1"/>
        </w:numPr>
        <w:spacing w:after="0" w:line="22" w:lineRule="atLeast"/>
        <w:jc w:val="both"/>
        <w:rPr>
          <w:rFonts w:ascii="Verdana" w:hAnsi="Verdana"/>
        </w:rPr>
      </w:pPr>
      <w:r w:rsidRPr="003A751E">
        <w:rPr>
          <w:rFonts w:ascii="Verdana" w:hAnsi="Verdana"/>
        </w:rPr>
        <w:t>Een eventuele verdenking tegen de verschoningsge</w:t>
      </w:r>
      <w:r w:rsidR="002C2F56" w:rsidRPr="003A751E">
        <w:rPr>
          <w:rFonts w:ascii="Verdana" w:hAnsi="Verdana"/>
        </w:rPr>
        <w:t>rechtigde;</w:t>
      </w:r>
    </w:p>
    <w:p w:rsidR="00F1026A" w:rsidRPr="003A751E" w:rsidRDefault="00F1026A" w:rsidP="002734F3">
      <w:pPr>
        <w:pStyle w:val="Lijstalinea"/>
        <w:numPr>
          <w:ilvl w:val="0"/>
          <w:numId w:val="1"/>
        </w:numPr>
        <w:spacing w:after="0" w:line="22" w:lineRule="atLeast"/>
        <w:jc w:val="both"/>
        <w:rPr>
          <w:rFonts w:ascii="Verdana" w:hAnsi="Verdana"/>
        </w:rPr>
      </w:pPr>
      <w:r w:rsidRPr="003A751E">
        <w:rPr>
          <w:rFonts w:ascii="Verdana" w:hAnsi="Verdana"/>
        </w:rPr>
        <w:t>Prop</w:t>
      </w:r>
      <w:r w:rsidR="002C2F56" w:rsidRPr="003A751E">
        <w:rPr>
          <w:rFonts w:ascii="Verdana" w:hAnsi="Verdana"/>
        </w:rPr>
        <w:t>ortionaliteit en subsidiariteit;</w:t>
      </w:r>
    </w:p>
    <w:p w:rsidR="00F1026A" w:rsidRPr="003A751E" w:rsidRDefault="00F1026A" w:rsidP="002734F3">
      <w:pPr>
        <w:pStyle w:val="Lijstalinea"/>
        <w:numPr>
          <w:ilvl w:val="0"/>
          <w:numId w:val="1"/>
        </w:numPr>
        <w:spacing w:after="0" w:line="22" w:lineRule="atLeast"/>
        <w:jc w:val="both"/>
        <w:rPr>
          <w:rFonts w:ascii="Verdana" w:hAnsi="Verdana"/>
        </w:rPr>
      </w:pPr>
      <w:r w:rsidRPr="003A751E">
        <w:rPr>
          <w:rFonts w:ascii="Verdana" w:hAnsi="Verdana"/>
        </w:rPr>
        <w:t>Het belang van de gevorderde gegevens.</w:t>
      </w:r>
    </w:p>
    <w:p w:rsidR="00F1026A" w:rsidRPr="003A751E" w:rsidRDefault="00F1026A" w:rsidP="0092501F">
      <w:pPr>
        <w:spacing w:after="0" w:line="22" w:lineRule="atLeast"/>
        <w:jc w:val="both"/>
        <w:rPr>
          <w:rFonts w:ascii="Verdana" w:hAnsi="Verdana"/>
        </w:rPr>
      </w:pPr>
    </w:p>
    <w:p w:rsidR="00FC46BB" w:rsidRDefault="00F1026A"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r w:rsidRPr="003A751E">
        <w:rPr>
          <w:rFonts w:ascii="Verdana" w:hAnsi="Verdana"/>
        </w:rPr>
        <w:t>Het probleem is ech</w:t>
      </w:r>
      <w:r w:rsidR="00012705">
        <w:rPr>
          <w:rFonts w:ascii="Verdana" w:hAnsi="Verdana"/>
        </w:rPr>
        <w:t>ter dat deze factoren niet allemaal</w:t>
      </w:r>
      <w:r w:rsidRPr="003A751E">
        <w:rPr>
          <w:rFonts w:ascii="Verdana" w:hAnsi="Verdana"/>
        </w:rPr>
        <w:t xml:space="preserve"> even duidelijk zijn wat betreft hun uitleg en doorslaggevendheid. Hierdoor kan het voor de rechter-commissaris lastig zijn om van te voren in te schatten wat de eerstelijns rechter zal oordelen in een eventuel</w:t>
      </w:r>
      <w:r w:rsidR="00687878">
        <w:rPr>
          <w:rFonts w:ascii="Verdana" w:hAnsi="Verdana"/>
        </w:rPr>
        <w:t>e beklagprocedure</w:t>
      </w:r>
      <w:r w:rsidRPr="003A751E">
        <w:rPr>
          <w:rFonts w:ascii="Verdana" w:hAnsi="Verdana"/>
        </w:rPr>
        <w:t xml:space="preserve">. </w:t>
      </w:r>
      <w:r w:rsidR="00FC46BB">
        <w:rPr>
          <w:rFonts w:ascii="Verdana" w:hAnsi="Verdana"/>
        </w:rPr>
        <w:t>Daarom heb ik de volgende onderzoeksvraag geformuleerd: ‘</w:t>
      </w:r>
      <w:r w:rsidR="00FC46BB" w:rsidRPr="003A751E">
        <w:rPr>
          <w:rFonts w:ascii="Verdana" w:hAnsi="Verdana"/>
        </w:rPr>
        <w:t>Welk advies kan, door middel van een jurisprudentieonderzoek, aan het kabinet rechter-commissaris van rechtbank Rotterdam worden gegeven met betrekking tot de inschatting van de recht</w:t>
      </w:r>
      <w:r w:rsidR="00FC46BB">
        <w:rPr>
          <w:rFonts w:ascii="Verdana" w:hAnsi="Verdana"/>
        </w:rPr>
        <w:t>-</w:t>
      </w:r>
      <w:r w:rsidR="00FC46BB" w:rsidRPr="003A751E">
        <w:rPr>
          <w:rFonts w:ascii="Verdana" w:hAnsi="Verdana"/>
        </w:rPr>
        <w:t>matigheid van de inbeslagname in het gerechtelijk vooronderzoek bij ver</w:t>
      </w:r>
      <w:r w:rsidR="00FC46BB">
        <w:rPr>
          <w:rFonts w:ascii="Verdana" w:hAnsi="Verdana"/>
        </w:rPr>
        <w:t>-</w:t>
      </w:r>
      <w:r w:rsidR="00FC46BB" w:rsidRPr="003A751E">
        <w:rPr>
          <w:rFonts w:ascii="Verdana" w:hAnsi="Verdana"/>
        </w:rPr>
        <w:t>schoningsgerechtigde beroe</w:t>
      </w:r>
      <w:r w:rsidR="00FC46BB">
        <w:rPr>
          <w:rFonts w:ascii="Verdana" w:hAnsi="Verdana"/>
        </w:rPr>
        <w:t>psbeoefenaren, rekening houdend</w:t>
      </w:r>
      <w:r w:rsidR="00FC46BB" w:rsidRPr="003A751E">
        <w:rPr>
          <w:rFonts w:ascii="Verdana" w:hAnsi="Verdana"/>
        </w:rPr>
        <w:t xml:space="preserve"> met de factoren die meespelen bij de toetsing van de rechtmatigheid van de inbeslagname?</w:t>
      </w:r>
      <w:r w:rsidR="00FC46BB">
        <w:rPr>
          <w:rFonts w:ascii="Verdana" w:hAnsi="Verdana"/>
        </w:rPr>
        <w:t xml:space="preserve">’ </w:t>
      </w:r>
    </w:p>
    <w:p w:rsidR="00FC46BB" w:rsidRDefault="00FC46BB"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p>
    <w:p w:rsidR="00F1026A" w:rsidRPr="00D6558D" w:rsidRDefault="00FC46BB"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r>
        <w:rPr>
          <w:rFonts w:ascii="Verdana" w:hAnsi="Verdana"/>
        </w:rPr>
        <w:t xml:space="preserve">Het </w:t>
      </w:r>
      <w:r w:rsidRPr="003A751E">
        <w:rPr>
          <w:rFonts w:ascii="Verdana" w:hAnsi="Verdana"/>
        </w:rPr>
        <w:t>doel van dit onderzoek is om de zes factoren van de Hoge Raad te ver</w:t>
      </w:r>
      <w:r w:rsidR="00687878">
        <w:rPr>
          <w:rFonts w:ascii="Verdana" w:hAnsi="Verdana"/>
        </w:rPr>
        <w:t>-</w:t>
      </w:r>
      <w:r w:rsidRPr="003A751E">
        <w:rPr>
          <w:rFonts w:ascii="Verdana" w:hAnsi="Verdana"/>
        </w:rPr>
        <w:t>helderen</w:t>
      </w:r>
      <w:r>
        <w:rPr>
          <w:rFonts w:ascii="Verdana" w:hAnsi="Verdana"/>
        </w:rPr>
        <w:t xml:space="preserve">, zodat </w:t>
      </w:r>
      <w:r w:rsidRPr="003A751E">
        <w:rPr>
          <w:rFonts w:ascii="Verdana" w:hAnsi="Verdana"/>
        </w:rPr>
        <w:t xml:space="preserve">de rechters-commissarissen </w:t>
      </w:r>
      <w:r>
        <w:rPr>
          <w:rFonts w:ascii="Verdana" w:hAnsi="Verdana"/>
        </w:rPr>
        <w:t xml:space="preserve">van </w:t>
      </w:r>
      <w:r w:rsidRPr="003A751E">
        <w:rPr>
          <w:rFonts w:ascii="Verdana" w:hAnsi="Verdana"/>
        </w:rPr>
        <w:t>het kabinet rechter-commissaris van rechtbank Rotterdam van te voren meer handvatten krijgen om in te schatten of een rechter de inbeslagna</w:t>
      </w:r>
      <w:r>
        <w:rPr>
          <w:rFonts w:ascii="Verdana" w:hAnsi="Verdana"/>
        </w:rPr>
        <w:t>me rechtmatig of onrechtmatig zal</w:t>
      </w:r>
      <w:r w:rsidRPr="003A751E">
        <w:rPr>
          <w:rFonts w:ascii="Verdana" w:hAnsi="Verdana"/>
        </w:rPr>
        <w:t xml:space="preserve"> achten in een beklagprocedure. </w:t>
      </w:r>
      <w:r w:rsidR="00BD7F88">
        <w:rPr>
          <w:rFonts w:ascii="Verdana" w:hAnsi="Verdana"/>
        </w:rPr>
        <w:t>Dit onderzoek is</w:t>
      </w:r>
      <w:r w:rsidR="00687878">
        <w:rPr>
          <w:rFonts w:ascii="Verdana" w:hAnsi="Verdana"/>
        </w:rPr>
        <w:t xml:space="preserve"> verricht door middel van een jurisprudentieanalyse, </w:t>
      </w:r>
      <w:r w:rsidR="00F1026A" w:rsidRPr="003A751E">
        <w:rPr>
          <w:rFonts w:ascii="Verdana" w:hAnsi="Verdana"/>
        </w:rPr>
        <w:t xml:space="preserve">waarbij </w:t>
      </w:r>
      <w:r w:rsidR="00BD7F88">
        <w:rPr>
          <w:rFonts w:ascii="Verdana" w:hAnsi="Verdana"/>
        </w:rPr>
        <w:t>is</w:t>
      </w:r>
      <w:r w:rsidR="00F1026A" w:rsidRPr="003A751E">
        <w:rPr>
          <w:rFonts w:ascii="Verdana" w:hAnsi="Verdana"/>
        </w:rPr>
        <w:t xml:space="preserve"> geke</w:t>
      </w:r>
      <w:r w:rsidR="00BD7F88">
        <w:rPr>
          <w:rFonts w:ascii="Verdana" w:hAnsi="Verdana"/>
        </w:rPr>
        <w:t xml:space="preserve">ken </w:t>
      </w:r>
      <w:r w:rsidR="00F1026A" w:rsidRPr="003A751E">
        <w:rPr>
          <w:rFonts w:ascii="Verdana" w:hAnsi="Verdana"/>
        </w:rPr>
        <w:t xml:space="preserve">naar rechtszaken van eerstelijns </w:t>
      </w:r>
      <w:r w:rsidR="00F1026A" w:rsidRPr="00D6558D">
        <w:rPr>
          <w:rFonts w:ascii="Verdana" w:hAnsi="Verdana"/>
        </w:rPr>
        <w:t>rechters uit de periode van</w:t>
      </w:r>
      <w:r w:rsidR="0096662F" w:rsidRPr="00D6558D">
        <w:rPr>
          <w:rFonts w:ascii="Verdana" w:hAnsi="Verdana"/>
        </w:rPr>
        <w:t xml:space="preserve"> januari</w:t>
      </w:r>
      <w:r w:rsidR="00F1026A" w:rsidRPr="00D6558D">
        <w:rPr>
          <w:rFonts w:ascii="Verdana" w:hAnsi="Verdana"/>
        </w:rPr>
        <w:t xml:space="preserve"> </w:t>
      </w:r>
      <w:r w:rsidR="00142EC8" w:rsidRPr="00D6558D">
        <w:rPr>
          <w:rFonts w:ascii="Verdana" w:hAnsi="Verdana"/>
        </w:rPr>
        <w:t>2010</w:t>
      </w:r>
      <w:r w:rsidR="00F1026A" w:rsidRPr="00D6558D">
        <w:rPr>
          <w:rFonts w:ascii="Verdana" w:hAnsi="Verdana"/>
        </w:rPr>
        <w:t xml:space="preserve"> tot en met april </w:t>
      </w:r>
      <w:r w:rsidR="00DB5B09" w:rsidRPr="00D6558D">
        <w:rPr>
          <w:rFonts w:ascii="Verdana" w:hAnsi="Verdana"/>
        </w:rPr>
        <w:t xml:space="preserve">2016. </w:t>
      </w:r>
    </w:p>
    <w:p w:rsidR="00B02BA8" w:rsidRPr="00D6558D" w:rsidRDefault="00B02BA8"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p>
    <w:p w:rsidR="00B02BA8" w:rsidRPr="00D16555" w:rsidRDefault="00B02BA8"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r w:rsidRPr="00D6558D">
        <w:rPr>
          <w:rFonts w:ascii="Verdana" w:hAnsi="Verdana"/>
        </w:rPr>
        <w:t>Uit de jurisprudentieanalyse</w:t>
      </w:r>
      <w:r w:rsidR="00D6558D" w:rsidRPr="00D6558D">
        <w:rPr>
          <w:rFonts w:ascii="Verdana" w:hAnsi="Verdana"/>
        </w:rPr>
        <w:t xml:space="preserve"> kan men een </w:t>
      </w:r>
      <w:r w:rsidR="00BD7F88" w:rsidRPr="00D6558D">
        <w:rPr>
          <w:rFonts w:ascii="Verdana" w:hAnsi="Verdana"/>
        </w:rPr>
        <w:t xml:space="preserve">rode draad </w:t>
      </w:r>
      <w:r w:rsidR="00D6558D" w:rsidRPr="00D6558D">
        <w:rPr>
          <w:rFonts w:ascii="Verdana" w:hAnsi="Verdana"/>
        </w:rPr>
        <w:t>zien</w:t>
      </w:r>
      <w:r w:rsidR="00BD7F88" w:rsidRPr="00D6558D">
        <w:rPr>
          <w:rFonts w:ascii="Verdana" w:hAnsi="Verdana"/>
        </w:rPr>
        <w:t xml:space="preserve"> in de beoorde</w:t>
      </w:r>
      <w:r w:rsidRPr="00D6558D">
        <w:rPr>
          <w:rFonts w:ascii="Verdana" w:hAnsi="Verdana"/>
        </w:rPr>
        <w:t xml:space="preserve">lingen van de eerstelijns rechters. </w:t>
      </w:r>
      <w:r w:rsidR="003F4D80" w:rsidRPr="00D6558D">
        <w:rPr>
          <w:rFonts w:ascii="Verdana" w:hAnsi="Verdana"/>
        </w:rPr>
        <w:t>Zo was te zien dat bij een aantal factoren de beoordeling telkens was onder</w:t>
      </w:r>
      <w:r w:rsidR="003F4D80" w:rsidRPr="00D16555">
        <w:rPr>
          <w:rFonts w:ascii="Verdana" w:hAnsi="Verdana"/>
        </w:rPr>
        <w:t xml:space="preserve"> te verdelen in een aantal categorie</w:t>
      </w:r>
      <w:r w:rsidR="0096662F">
        <w:rPr>
          <w:rFonts w:ascii="Verdana" w:hAnsi="Verdana"/>
        </w:rPr>
        <w:t>ën</w:t>
      </w:r>
      <w:r w:rsidR="003F4D80" w:rsidRPr="00D16555">
        <w:rPr>
          <w:rFonts w:ascii="Verdana" w:hAnsi="Verdana"/>
        </w:rPr>
        <w:t>.</w:t>
      </w:r>
      <w:r w:rsidR="00EB56B0" w:rsidRPr="00D16555">
        <w:rPr>
          <w:rFonts w:ascii="Verdana" w:hAnsi="Verdana"/>
        </w:rPr>
        <w:t xml:space="preserve"> Verder bleek de proportionaliteit en subsidiariteit een belangrijke rol te spelen in de beslissing van de eerstelijns rechters. Tevens was te zien dat</w:t>
      </w:r>
      <w:r w:rsidR="0096662F">
        <w:rPr>
          <w:rFonts w:ascii="Verdana" w:hAnsi="Verdana"/>
        </w:rPr>
        <w:t xml:space="preserve"> er</w:t>
      </w:r>
      <w:r w:rsidR="00EB56B0" w:rsidRPr="00D16555">
        <w:rPr>
          <w:rFonts w:ascii="Verdana" w:hAnsi="Verdana"/>
        </w:rPr>
        <w:t xml:space="preserve">, in strijd met het door de Hoge Raad bepaalde, ook gekeken werd naar de eventuele toestemming </w:t>
      </w:r>
      <w:r w:rsidR="00EB56B0" w:rsidRPr="00D16555">
        <w:rPr>
          <w:rFonts w:ascii="Verdana" w:hAnsi="Verdana"/>
        </w:rPr>
        <w:lastRenderedPageBreak/>
        <w:t xml:space="preserve">van een ander dan de belanghebbende en dat dit een duidelijke invloed had op de uiteindelijke beslissing. </w:t>
      </w:r>
    </w:p>
    <w:p w:rsidR="00526434" w:rsidRPr="003026A9" w:rsidRDefault="00526434"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p>
    <w:p w:rsidR="003026A9" w:rsidRDefault="003026A9"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r>
        <w:rPr>
          <w:rFonts w:ascii="Verdana" w:hAnsi="Verdana"/>
        </w:rPr>
        <w:t xml:space="preserve">Uit de jurisprudentieanalyse zijn de volgende aanbevelingen naar voren gekomen. Ten eerste is het van belang om toe te lichten om wat voor soort gegevens het gaat: vallen deze al dan niet onder het verschoningsrecht of zijn deze al dan niet aan te merken als </w:t>
      </w:r>
      <w:r w:rsidRPr="000B0A6A">
        <w:rPr>
          <w:rFonts w:ascii="Verdana" w:hAnsi="Verdana"/>
        </w:rPr>
        <w:t>corpora- et instrumenta delicti</w:t>
      </w:r>
      <w:r>
        <w:rPr>
          <w:rFonts w:ascii="Verdana" w:hAnsi="Verdana"/>
        </w:rPr>
        <w:t xml:space="preserve">. </w:t>
      </w:r>
      <w:r w:rsidR="007F0D5E">
        <w:rPr>
          <w:rFonts w:ascii="Verdana" w:hAnsi="Verdana"/>
        </w:rPr>
        <w:t>Aan de hand daarvan kan bekeke</w:t>
      </w:r>
      <w:r w:rsidR="0096662F">
        <w:rPr>
          <w:rFonts w:ascii="Verdana" w:hAnsi="Verdana"/>
        </w:rPr>
        <w:t>n worden of er überhaupt een verschoningsrecht doorbroken dient te worden om de gegevens in beslag te nemen</w:t>
      </w:r>
      <w:r w:rsidR="007F0D5E">
        <w:rPr>
          <w:rFonts w:ascii="Verdana" w:hAnsi="Verdana"/>
        </w:rPr>
        <w:t xml:space="preserve">. </w:t>
      </w:r>
    </w:p>
    <w:p w:rsidR="007F0D5E" w:rsidRDefault="007F0D5E"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p>
    <w:p w:rsidR="007F0D5E" w:rsidRDefault="007F0D5E" w:rsidP="007F0D5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r>
        <w:rPr>
          <w:rFonts w:ascii="Verdana" w:hAnsi="Verdana"/>
        </w:rPr>
        <w:t xml:space="preserve">Ten tweede is het motiveren van het belang en de ernst van de strafzaak van belang om de zeer uitzonderlijke omstandigheden aan te tonen. Het belang en de ernst van het feit kan onderverdeeld worden in drie categorieën: </w:t>
      </w:r>
      <w:r w:rsidRPr="00D90A98">
        <w:rPr>
          <w:rFonts w:ascii="Verdana" w:hAnsi="Verdana"/>
        </w:rPr>
        <w:t>1) ernstig feit, 2) het feit raakt de kern van de werkzaamheden van de beroepsbeoefenaar en dit kan het vertrouwen in de beroepsbeoefenaar schaden en/of 3) het belang dat de strafbaarheidstelling van het feit dient te beschermen is van groot belang.</w:t>
      </w:r>
    </w:p>
    <w:p w:rsidR="007F0D5E" w:rsidRDefault="007F0D5E" w:rsidP="007F0D5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p>
    <w:p w:rsidR="007F0D5E" w:rsidRDefault="0096662F" w:rsidP="007F0D5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r>
        <w:rPr>
          <w:rFonts w:ascii="Verdana" w:hAnsi="Verdana"/>
        </w:rPr>
        <w:t>Ook</w:t>
      </w:r>
      <w:r w:rsidR="007F0D5E">
        <w:rPr>
          <w:rFonts w:ascii="Verdana" w:hAnsi="Verdana"/>
        </w:rPr>
        <w:t xml:space="preserve"> is het aan te raden om ook te kijken of er bekend is of degene waarop de gegevens zien al dan niet toestemming heeft gegeven voor de inbeslagname. Indien diegene toestemming heeft gegeven, kan het individuele belang niet meer geschaad worden</w:t>
      </w:r>
      <w:r>
        <w:rPr>
          <w:rFonts w:ascii="Verdana" w:hAnsi="Verdana"/>
        </w:rPr>
        <w:t xml:space="preserve"> door een inbeslagname</w:t>
      </w:r>
      <w:r w:rsidR="007F0D5E">
        <w:rPr>
          <w:rFonts w:ascii="Verdana" w:hAnsi="Verdana"/>
        </w:rPr>
        <w:t xml:space="preserve">. Er kunnen zich wel situaties voordoen waarin het om gegronde redenen verstandiger is om van dat standpunt af te wijken. </w:t>
      </w:r>
    </w:p>
    <w:p w:rsidR="007F0D5E" w:rsidRDefault="007F0D5E" w:rsidP="007F0D5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p>
    <w:p w:rsidR="007F0D5E" w:rsidRDefault="0096662F" w:rsidP="007F0D5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r>
        <w:rPr>
          <w:rFonts w:ascii="Verdana" w:hAnsi="Verdana"/>
        </w:rPr>
        <w:t>Verder</w:t>
      </w:r>
      <w:r w:rsidR="007F0D5E">
        <w:rPr>
          <w:rFonts w:ascii="Verdana" w:hAnsi="Verdana"/>
        </w:rPr>
        <w:t xml:space="preserve"> bleek de verdenking niet van invloed te zijn op de uiteindelijke beslissing</w:t>
      </w:r>
      <w:r>
        <w:rPr>
          <w:rFonts w:ascii="Verdana" w:hAnsi="Verdana"/>
        </w:rPr>
        <w:t xml:space="preserve"> van de eerstelijns rechters</w:t>
      </w:r>
      <w:r w:rsidR="007F0D5E">
        <w:rPr>
          <w:rFonts w:ascii="Verdana" w:hAnsi="Verdana"/>
        </w:rPr>
        <w:t xml:space="preserve">. In veel gevallen ging het om </w:t>
      </w:r>
      <w:r>
        <w:rPr>
          <w:rFonts w:ascii="Verdana" w:hAnsi="Verdana"/>
        </w:rPr>
        <w:t>een verdenking tegen de beroeps</w:t>
      </w:r>
      <w:r w:rsidR="007F0D5E">
        <w:rPr>
          <w:rFonts w:ascii="Verdana" w:hAnsi="Verdana"/>
        </w:rPr>
        <w:t xml:space="preserve">beoefenaar zelf of op diens cliënt/patiënt. </w:t>
      </w:r>
    </w:p>
    <w:p w:rsidR="007F0D5E" w:rsidRDefault="007F0D5E" w:rsidP="007F0D5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p>
    <w:p w:rsidR="007F0D5E" w:rsidRDefault="0096662F" w:rsidP="007F0D5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r>
        <w:rPr>
          <w:rFonts w:ascii="Verdana" w:hAnsi="Verdana"/>
        </w:rPr>
        <w:t>D</w:t>
      </w:r>
      <w:r w:rsidR="007F0D5E">
        <w:rPr>
          <w:rFonts w:ascii="Verdana" w:hAnsi="Verdana"/>
        </w:rPr>
        <w:t xml:space="preserve">e proportionaliteit en de subsidiariteit </w:t>
      </w:r>
      <w:r>
        <w:rPr>
          <w:rFonts w:ascii="Verdana" w:hAnsi="Verdana"/>
        </w:rPr>
        <w:t xml:space="preserve">spelen </w:t>
      </w:r>
      <w:r w:rsidR="007F0D5E">
        <w:rPr>
          <w:rFonts w:ascii="Verdana" w:hAnsi="Verdana"/>
        </w:rPr>
        <w:t>een grote rol</w:t>
      </w:r>
      <w:r w:rsidR="00E83464">
        <w:rPr>
          <w:rFonts w:ascii="Verdana" w:hAnsi="Verdana"/>
        </w:rPr>
        <w:t>. Indien</w:t>
      </w:r>
      <w:r w:rsidR="00D16555">
        <w:rPr>
          <w:rFonts w:ascii="Verdana" w:hAnsi="Verdana"/>
        </w:rPr>
        <w:t xml:space="preserve"> er minder ingrijpende mogelijkheden zijn voor de waarheidsvinding, dienen die mogelijk</w:t>
      </w:r>
      <w:r>
        <w:rPr>
          <w:rFonts w:ascii="Verdana" w:hAnsi="Verdana"/>
        </w:rPr>
        <w:t>-</w:t>
      </w:r>
      <w:r w:rsidR="00D16555">
        <w:rPr>
          <w:rFonts w:ascii="Verdana" w:hAnsi="Verdana"/>
        </w:rPr>
        <w:t xml:space="preserve">heden </w:t>
      </w:r>
      <w:r>
        <w:rPr>
          <w:rFonts w:ascii="Verdana" w:hAnsi="Verdana"/>
        </w:rPr>
        <w:t xml:space="preserve">te worden </w:t>
      </w:r>
      <w:r w:rsidR="00D16555">
        <w:rPr>
          <w:rFonts w:ascii="Verdana" w:hAnsi="Verdana"/>
        </w:rPr>
        <w:t xml:space="preserve">benut. Ook moet de inbeslagname voldoen aan de eisen van het proportionaliteitsbeginsel. </w:t>
      </w:r>
    </w:p>
    <w:p w:rsidR="00D16555" w:rsidRDefault="00D16555" w:rsidP="007F0D5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p>
    <w:p w:rsidR="00D16555" w:rsidRDefault="0096662F" w:rsidP="007F0D5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r>
        <w:rPr>
          <w:rFonts w:ascii="Verdana" w:hAnsi="Verdana"/>
        </w:rPr>
        <w:t xml:space="preserve">Verder </w:t>
      </w:r>
      <w:r w:rsidR="00D16555">
        <w:rPr>
          <w:rFonts w:ascii="Verdana" w:hAnsi="Verdana"/>
        </w:rPr>
        <w:t>dient een inbeslagname zich te richten op de waarheidsvinding. Het is van belang om toe te lichten hoe de gegevens kunnen bijdrage aan de waarheids</w:t>
      </w:r>
      <w:r>
        <w:rPr>
          <w:rFonts w:ascii="Verdana" w:hAnsi="Verdana"/>
        </w:rPr>
        <w:t>-</w:t>
      </w:r>
      <w:r w:rsidR="00D16555">
        <w:rPr>
          <w:rFonts w:ascii="Verdana" w:hAnsi="Verdana"/>
        </w:rPr>
        <w:t xml:space="preserve">vinding. </w:t>
      </w:r>
    </w:p>
    <w:p w:rsidR="00D16555" w:rsidRDefault="00D16555" w:rsidP="007F0D5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p>
    <w:p w:rsidR="00D16555" w:rsidRDefault="00D16555" w:rsidP="007F0D5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r>
        <w:rPr>
          <w:rFonts w:ascii="Verdana" w:hAnsi="Verdana"/>
        </w:rPr>
        <w:t>Als laatst is het aan te raden om alle belangen in kaart te brengen en hierbij de vraag te stellen welk</w:t>
      </w:r>
      <w:r w:rsidR="0096662F">
        <w:rPr>
          <w:rFonts w:ascii="Verdana" w:hAnsi="Verdana"/>
        </w:rPr>
        <w:t>e belangen</w:t>
      </w:r>
      <w:r>
        <w:rPr>
          <w:rFonts w:ascii="Verdana" w:hAnsi="Verdana"/>
        </w:rPr>
        <w:t xml:space="preserve"> </w:t>
      </w:r>
      <w:r w:rsidR="0096662F">
        <w:rPr>
          <w:rFonts w:ascii="Verdana" w:hAnsi="Verdana"/>
        </w:rPr>
        <w:t>gediend of juist geschaad kunnen</w:t>
      </w:r>
      <w:r>
        <w:rPr>
          <w:rFonts w:ascii="Verdana" w:hAnsi="Verdana"/>
        </w:rPr>
        <w:t xml:space="preserve"> worden door het beslag. Aan de hand daarvan kan gekeken worden welk belang doorslag</w:t>
      </w:r>
      <w:r w:rsidR="0096662F">
        <w:rPr>
          <w:rFonts w:ascii="Verdana" w:hAnsi="Verdana"/>
        </w:rPr>
        <w:t>-</w:t>
      </w:r>
      <w:r>
        <w:rPr>
          <w:rFonts w:ascii="Verdana" w:hAnsi="Verdana"/>
        </w:rPr>
        <w:t xml:space="preserve">gevend is in de beslissing om het verschoningsrecht te doorbreken. </w:t>
      </w:r>
    </w:p>
    <w:p w:rsidR="00D16555" w:rsidRDefault="00D16555" w:rsidP="007F0D5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p>
    <w:p w:rsidR="00F329C0" w:rsidRDefault="00F329C0" w:rsidP="0092501F">
      <w:pPr>
        <w:spacing w:after="0" w:line="22" w:lineRule="atLeast"/>
      </w:pPr>
    </w:p>
    <w:p w:rsidR="003A751E" w:rsidRDefault="003A751E" w:rsidP="0092501F">
      <w:pPr>
        <w:spacing w:after="200" w:line="22" w:lineRule="atLeast"/>
      </w:pPr>
      <w:r>
        <w:br w:type="page"/>
      </w:r>
    </w:p>
    <w:sdt>
      <w:sdtPr>
        <w:rPr>
          <w:rFonts w:asciiTheme="minorHAnsi" w:eastAsiaTheme="minorHAnsi" w:hAnsiTheme="minorHAnsi" w:cstheme="minorBidi"/>
          <w:color w:val="auto"/>
          <w:sz w:val="22"/>
          <w:szCs w:val="22"/>
          <w:lang w:eastAsia="en-US"/>
        </w:rPr>
        <w:id w:val="-1386862135"/>
        <w:docPartObj>
          <w:docPartGallery w:val="Table of Contents"/>
          <w:docPartUnique/>
        </w:docPartObj>
      </w:sdtPr>
      <w:sdtEndPr>
        <w:rPr>
          <w:rFonts w:ascii="Verdana" w:hAnsi="Verdana"/>
          <w:b/>
          <w:bCs/>
        </w:rPr>
      </w:sdtEndPr>
      <w:sdtContent>
        <w:p w:rsidR="00AD274F" w:rsidRPr="00F14594" w:rsidRDefault="00AD274F" w:rsidP="0092501F">
          <w:pPr>
            <w:pStyle w:val="Kopvaninhoudsopgave"/>
            <w:spacing w:before="0" w:line="22" w:lineRule="atLeast"/>
            <w:rPr>
              <w:rFonts w:asciiTheme="minorHAnsi" w:eastAsiaTheme="minorHAnsi" w:hAnsiTheme="minorHAnsi" w:cstheme="minorBidi"/>
              <w:color w:val="auto"/>
              <w:sz w:val="24"/>
              <w:szCs w:val="22"/>
              <w:lang w:eastAsia="en-US"/>
            </w:rPr>
          </w:pPr>
          <w:r w:rsidRPr="00F14594">
            <w:rPr>
              <w:rFonts w:ascii="Verdana" w:hAnsi="Verdana"/>
              <w:b/>
              <w:sz w:val="36"/>
            </w:rPr>
            <w:t>Inhoudsopgave</w:t>
          </w:r>
        </w:p>
        <w:p w:rsidR="005B4550" w:rsidRPr="005B4550" w:rsidRDefault="00315434" w:rsidP="005B4550">
          <w:pPr>
            <w:pStyle w:val="Inhopg1"/>
            <w:rPr>
              <w:rFonts w:ascii="Verdana" w:eastAsiaTheme="minorEastAsia" w:hAnsi="Verdana"/>
              <w:noProof/>
              <w:lang w:eastAsia="nl-NL"/>
            </w:rPr>
          </w:pPr>
          <w:r w:rsidRPr="00315434">
            <w:rPr>
              <w:rFonts w:ascii="Verdana" w:hAnsi="Verdana"/>
            </w:rPr>
            <w:fldChar w:fldCharType="begin"/>
          </w:r>
          <w:r w:rsidR="00AD274F" w:rsidRPr="00A37AB5">
            <w:rPr>
              <w:rFonts w:ascii="Verdana" w:hAnsi="Verdana"/>
            </w:rPr>
            <w:instrText xml:space="preserve"> TOC \o "1-3" \h \z \u </w:instrText>
          </w:r>
          <w:r w:rsidRPr="00315434">
            <w:rPr>
              <w:rFonts w:ascii="Verdana" w:hAnsi="Verdana"/>
            </w:rPr>
            <w:fldChar w:fldCharType="separate"/>
          </w:r>
          <w:hyperlink w:anchor="_Toc451894972" w:history="1">
            <w:r w:rsidR="005B4550" w:rsidRPr="005B4550">
              <w:rPr>
                <w:rStyle w:val="Hyperlink"/>
                <w:rFonts w:ascii="Verdana" w:hAnsi="Verdana"/>
                <w:b/>
                <w:noProof/>
              </w:rPr>
              <w:t>Voorwoord</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_Toc451894972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2</w:t>
            </w:r>
            <w:r w:rsidRPr="005B4550">
              <w:rPr>
                <w:rFonts w:ascii="Verdana" w:hAnsi="Verdana"/>
                <w:noProof/>
                <w:webHidden/>
              </w:rPr>
              <w:fldChar w:fldCharType="end"/>
            </w:r>
          </w:hyperlink>
        </w:p>
        <w:p w:rsidR="005B4550" w:rsidRPr="005B4550" w:rsidRDefault="00315434" w:rsidP="005B4550">
          <w:pPr>
            <w:pStyle w:val="Inhopg1"/>
            <w:rPr>
              <w:rFonts w:ascii="Verdana" w:eastAsiaTheme="minorEastAsia" w:hAnsi="Verdana"/>
              <w:noProof/>
              <w:lang w:eastAsia="nl-NL"/>
            </w:rPr>
          </w:pPr>
          <w:hyperlink w:anchor="_Toc451894973" w:history="1">
            <w:r w:rsidR="005B4550" w:rsidRPr="005B4550">
              <w:rPr>
                <w:rStyle w:val="Hyperlink"/>
                <w:rFonts w:ascii="Verdana" w:hAnsi="Verdana"/>
                <w:b/>
                <w:noProof/>
              </w:rPr>
              <w:t>Samenvatting</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_Toc451894973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w:t>
            </w:r>
            <w:r w:rsidRPr="005B4550">
              <w:rPr>
                <w:rFonts w:ascii="Verdana" w:hAnsi="Verdana"/>
                <w:noProof/>
                <w:webHidden/>
              </w:rPr>
              <w:fldChar w:fldCharType="end"/>
            </w:r>
          </w:hyperlink>
        </w:p>
        <w:p w:rsidR="005B4550" w:rsidRPr="005B4550" w:rsidRDefault="00315434" w:rsidP="005B4550">
          <w:pPr>
            <w:pStyle w:val="Inhopg1"/>
            <w:rPr>
              <w:rFonts w:ascii="Verdana" w:eastAsiaTheme="minorEastAsia" w:hAnsi="Verdana"/>
              <w:noProof/>
              <w:lang w:eastAsia="nl-NL"/>
            </w:rPr>
          </w:pPr>
          <w:hyperlink w:anchor="_Toc451894974" w:history="1">
            <w:r w:rsidR="005B4550" w:rsidRPr="005B4550">
              <w:rPr>
                <w:rStyle w:val="Hyperlink"/>
                <w:rFonts w:ascii="Verdana" w:hAnsi="Verdana"/>
                <w:b/>
                <w:noProof/>
              </w:rPr>
              <w:t>Afkortingenlijst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_Toc451894974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7</w:t>
            </w:r>
            <w:r w:rsidRPr="005B4550">
              <w:rPr>
                <w:rFonts w:ascii="Verdana" w:hAnsi="Verdana"/>
                <w:noProof/>
                <w:webHidden/>
              </w:rPr>
              <w:fldChar w:fldCharType="end"/>
            </w:r>
          </w:hyperlink>
        </w:p>
        <w:p w:rsidR="005B4550" w:rsidRPr="005B4550" w:rsidRDefault="00315434" w:rsidP="005B4550">
          <w:pPr>
            <w:pStyle w:val="Inhopg1"/>
            <w:rPr>
              <w:rFonts w:ascii="Verdana" w:eastAsiaTheme="minorEastAsia" w:hAnsi="Verdana"/>
              <w:noProof/>
              <w:lang w:eastAsia="nl-NL"/>
            </w:rPr>
          </w:pPr>
          <w:hyperlink w:anchor="_Toc451894975" w:history="1">
            <w:r w:rsidR="005B4550" w:rsidRPr="005B4550">
              <w:rPr>
                <w:rStyle w:val="Hyperlink"/>
                <w:rFonts w:ascii="Verdana" w:hAnsi="Verdana"/>
                <w:b/>
                <w:noProof/>
              </w:rPr>
              <w:t>1. Inleiding: de aanleiding van het probleem</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_Toc451894975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8</w:t>
            </w:r>
            <w:r w:rsidRPr="005B4550">
              <w:rPr>
                <w:rFonts w:ascii="Verdana" w:hAnsi="Verdana"/>
                <w:noProof/>
                <w:webHidden/>
              </w:rPr>
              <w:fldChar w:fldCharType="end"/>
            </w:r>
          </w:hyperlink>
        </w:p>
        <w:p w:rsidR="005B4550" w:rsidRPr="005B4550" w:rsidRDefault="00315434" w:rsidP="005B4550">
          <w:pPr>
            <w:pStyle w:val="Inhopg1"/>
            <w:rPr>
              <w:rFonts w:ascii="Verdana" w:eastAsiaTheme="minorEastAsia" w:hAnsi="Verdana"/>
              <w:noProof/>
              <w:lang w:eastAsia="nl-NL"/>
            </w:rPr>
          </w:pPr>
          <w:hyperlink w:anchor="_Toc451894976" w:history="1">
            <w:r w:rsidR="005B4550" w:rsidRPr="005B4550">
              <w:rPr>
                <w:rStyle w:val="Hyperlink"/>
                <w:rFonts w:ascii="Verdana" w:hAnsi="Verdana"/>
                <w:b/>
                <w:noProof/>
              </w:rPr>
              <w:t>2. Het praktijkprobleem in kaart gebracht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_Toc451894976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9</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77" w:history="1">
            <w:r w:rsidR="005B4550" w:rsidRPr="005B4550">
              <w:rPr>
                <w:rStyle w:val="Hyperlink"/>
                <w:rFonts w:ascii="Verdana" w:hAnsi="Verdana"/>
                <w:noProof/>
              </w:rPr>
              <w:t>2.1 De theorie en de praktijk</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_Toc451894977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9</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78" w:history="1">
            <w:r w:rsidR="005B4550" w:rsidRPr="005B4550">
              <w:rPr>
                <w:rStyle w:val="Hyperlink"/>
                <w:rFonts w:ascii="Verdana" w:hAnsi="Verdana"/>
                <w:noProof/>
              </w:rPr>
              <w:t>2.2 Het probleem nader uitgelegd</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_Toc451894978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10</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79" w:history="1">
            <w:r w:rsidR="005B4550" w:rsidRPr="005B4550">
              <w:rPr>
                <w:rStyle w:val="Hyperlink"/>
                <w:rFonts w:ascii="Verdana" w:hAnsi="Verdana"/>
                <w:noProof/>
              </w:rPr>
              <w:t>2.3 Van praktijkprobleem tot kennisvraag</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_Toc451894979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11</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80" w:history="1">
            <w:r w:rsidR="005B4550" w:rsidRPr="005B4550">
              <w:rPr>
                <w:rStyle w:val="Hyperlink"/>
                <w:rFonts w:ascii="Verdana" w:hAnsi="Verdana"/>
                <w:noProof/>
              </w:rPr>
              <w:t>2.4 Doel van het onderzoek</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_Toc451894980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11</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81" w:history="1">
            <w:r w:rsidR="005B4550" w:rsidRPr="005B4550">
              <w:rPr>
                <w:rStyle w:val="Hyperlink"/>
                <w:rFonts w:ascii="Verdana" w:hAnsi="Verdana"/>
                <w:noProof/>
              </w:rPr>
              <w:t>2.5 Praktische relevantie</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_Toc451894981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11</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82" w:history="1">
            <w:r w:rsidR="005B4550" w:rsidRPr="005B4550">
              <w:rPr>
                <w:rStyle w:val="Hyperlink"/>
                <w:rFonts w:ascii="Verdana" w:hAnsi="Verdana"/>
                <w:noProof/>
              </w:rPr>
              <w:t>2.6 Doelstelling</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_Toc451894982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11</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83" w:history="1">
            <w:r w:rsidR="005B4550" w:rsidRPr="005B4550">
              <w:rPr>
                <w:rStyle w:val="Hyperlink"/>
                <w:rFonts w:ascii="Verdana" w:hAnsi="Verdana"/>
                <w:noProof/>
              </w:rPr>
              <w:t>2.7 Centrale vraag</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_Toc451894983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12</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84" w:history="1">
            <w:r w:rsidR="005B4550" w:rsidRPr="005B4550">
              <w:rPr>
                <w:rStyle w:val="Hyperlink"/>
                <w:rFonts w:ascii="Verdana" w:hAnsi="Verdana"/>
                <w:noProof/>
              </w:rPr>
              <w:t>2.8 Deelvragen</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_Toc451894984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12</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85" w:history="1">
            <w:r w:rsidR="005B4550" w:rsidRPr="005B4550">
              <w:rPr>
                <w:rStyle w:val="Hyperlink"/>
                <w:rFonts w:ascii="Verdana" w:hAnsi="Verdana"/>
                <w:noProof/>
              </w:rPr>
              <w:t>2.9 Methoden van onderzoek</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_Toc451894985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12</w:t>
            </w:r>
            <w:r w:rsidRPr="005B4550">
              <w:rPr>
                <w:rFonts w:ascii="Verdana" w:hAnsi="Verdana"/>
                <w:noProof/>
                <w:webHidden/>
              </w:rPr>
              <w:fldChar w:fldCharType="end"/>
            </w:r>
          </w:hyperlink>
        </w:p>
        <w:p w:rsidR="005B4550" w:rsidRPr="005B4550" w:rsidRDefault="00315434" w:rsidP="005B4550">
          <w:pPr>
            <w:pStyle w:val="Inhopg1"/>
            <w:rPr>
              <w:rFonts w:ascii="Verdana" w:eastAsiaTheme="minorEastAsia" w:hAnsi="Verdana"/>
              <w:noProof/>
              <w:lang w:eastAsia="nl-NL"/>
            </w:rPr>
          </w:pPr>
          <w:hyperlink w:anchor="_Toc451894986" w:history="1">
            <w:r w:rsidR="005B4550" w:rsidRPr="005B4550">
              <w:rPr>
                <w:rStyle w:val="Hyperlink"/>
                <w:rFonts w:ascii="Verdana" w:hAnsi="Verdana"/>
                <w:b/>
                <w:noProof/>
              </w:rPr>
              <w:t>3. Deelvraag 1: Het ontstaan van het beroepsgeheim en het verschoningsrecht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_Toc451894986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15</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87" w:history="1">
            <w:r w:rsidR="005B4550" w:rsidRPr="005B4550">
              <w:rPr>
                <w:rStyle w:val="Hyperlink"/>
                <w:rFonts w:ascii="Verdana" w:hAnsi="Verdana"/>
                <w:noProof/>
              </w:rPr>
              <w:t>3.1 Inleiding</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_Toc451894987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15</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88" w:history="1">
            <w:r w:rsidR="005B4550" w:rsidRPr="005B4550">
              <w:rPr>
                <w:rStyle w:val="Hyperlink"/>
                <w:rFonts w:ascii="Verdana" w:hAnsi="Verdana"/>
                <w:noProof/>
              </w:rPr>
              <w:t>3.2 De historie van het beroepsgeheim en het verschoningsrecht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_Toc451894988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15</w:t>
            </w:r>
            <w:r w:rsidRPr="005B4550">
              <w:rPr>
                <w:rFonts w:ascii="Verdana" w:hAnsi="Verdana"/>
                <w:noProof/>
                <w:webHidden/>
              </w:rPr>
              <w:fldChar w:fldCharType="end"/>
            </w:r>
          </w:hyperlink>
        </w:p>
        <w:p w:rsidR="005B4550" w:rsidRPr="005B4550" w:rsidRDefault="00315434" w:rsidP="005B4550">
          <w:pPr>
            <w:pStyle w:val="Inhopg3"/>
            <w:tabs>
              <w:tab w:val="right" w:leader="dot" w:pos="9062"/>
            </w:tabs>
            <w:spacing w:after="0"/>
            <w:rPr>
              <w:rFonts w:ascii="Verdana" w:eastAsiaTheme="minorEastAsia" w:hAnsi="Verdana"/>
              <w:noProof/>
              <w:lang w:eastAsia="nl-NL"/>
            </w:rPr>
          </w:pPr>
          <w:hyperlink w:anchor="_Toc451894989" w:history="1">
            <w:r w:rsidR="005B4550" w:rsidRPr="005B4550">
              <w:rPr>
                <w:rStyle w:val="Hyperlink"/>
                <w:rFonts w:ascii="Verdana" w:hAnsi="Verdana"/>
                <w:i/>
                <w:noProof/>
              </w:rPr>
              <w:t>3.2.1 Beroepsgeheim en verschoningsrecht in het algemeen</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_Toc451894989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15</w:t>
            </w:r>
            <w:r w:rsidRPr="005B4550">
              <w:rPr>
                <w:rFonts w:ascii="Verdana" w:hAnsi="Verdana"/>
                <w:noProof/>
                <w:webHidden/>
              </w:rPr>
              <w:fldChar w:fldCharType="end"/>
            </w:r>
          </w:hyperlink>
        </w:p>
        <w:p w:rsidR="005B4550" w:rsidRPr="005B4550" w:rsidRDefault="00315434" w:rsidP="005B4550">
          <w:pPr>
            <w:pStyle w:val="Inhopg3"/>
            <w:tabs>
              <w:tab w:val="right" w:leader="dot" w:pos="9062"/>
            </w:tabs>
            <w:spacing w:after="0"/>
            <w:rPr>
              <w:rFonts w:ascii="Verdana" w:eastAsiaTheme="minorEastAsia" w:hAnsi="Verdana"/>
              <w:noProof/>
              <w:lang w:eastAsia="nl-NL"/>
            </w:rPr>
          </w:pPr>
          <w:hyperlink w:anchor="_Toc451894990" w:history="1">
            <w:r w:rsidR="005B4550" w:rsidRPr="005B4550">
              <w:rPr>
                <w:rStyle w:val="Hyperlink"/>
                <w:rFonts w:ascii="Verdana" w:hAnsi="Verdana"/>
                <w:i/>
                <w:noProof/>
              </w:rPr>
              <w:t>3.2.2 Beroepsgeheim en verschoningsrecht bij artsen</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_Toc451894990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16</w:t>
            </w:r>
            <w:r w:rsidRPr="005B4550">
              <w:rPr>
                <w:rFonts w:ascii="Verdana" w:hAnsi="Verdana"/>
                <w:noProof/>
                <w:webHidden/>
              </w:rPr>
              <w:fldChar w:fldCharType="end"/>
            </w:r>
          </w:hyperlink>
        </w:p>
        <w:p w:rsidR="005B4550" w:rsidRPr="005B4550" w:rsidRDefault="00315434" w:rsidP="005B4550">
          <w:pPr>
            <w:pStyle w:val="Inhopg3"/>
            <w:tabs>
              <w:tab w:val="right" w:leader="dot" w:pos="9062"/>
            </w:tabs>
            <w:spacing w:after="0"/>
            <w:rPr>
              <w:rFonts w:ascii="Verdana" w:eastAsiaTheme="minorEastAsia" w:hAnsi="Verdana"/>
              <w:noProof/>
              <w:lang w:eastAsia="nl-NL"/>
            </w:rPr>
          </w:pPr>
          <w:hyperlink w:anchor="_Toc451894991" w:history="1">
            <w:r w:rsidR="005B4550" w:rsidRPr="005B4550">
              <w:rPr>
                <w:rStyle w:val="Hyperlink"/>
                <w:rFonts w:ascii="Verdana" w:hAnsi="Verdana"/>
                <w:i/>
                <w:noProof/>
              </w:rPr>
              <w:t>3.2.3 Beroepsgeheim en verschoningsrecht bij notarissen</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_Toc451894991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16</w:t>
            </w:r>
            <w:r w:rsidRPr="005B4550">
              <w:rPr>
                <w:rFonts w:ascii="Verdana" w:hAnsi="Verdana"/>
                <w:noProof/>
                <w:webHidden/>
              </w:rPr>
              <w:fldChar w:fldCharType="end"/>
            </w:r>
          </w:hyperlink>
        </w:p>
        <w:p w:rsidR="005B4550" w:rsidRPr="005B4550" w:rsidRDefault="00315434" w:rsidP="005B4550">
          <w:pPr>
            <w:pStyle w:val="Inhopg3"/>
            <w:tabs>
              <w:tab w:val="right" w:leader="dot" w:pos="9062"/>
            </w:tabs>
            <w:spacing w:after="0"/>
            <w:rPr>
              <w:rFonts w:ascii="Verdana" w:eastAsiaTheme="minorEastAsia" w:hAnsi="Verdana"/>
              <w:noProof/>
              <w:lang w:eastAsia="nl-NL"/>
            </w:rPr>
          </w:pPr>
          <w:hyperlink w:anchor="_Toc451894992" w:history="1">
            <w:r w:rsidR="005B4550" w:rsidRPr="005B4550">
              <w:rPr>
                <w:rStyle w:val="Hyperlink"/>
                <w:rFonts w:ascii="Verdana" w:hAnsi="Verdana"/>
                <w:i/>
                <w:noProof/>
              </w:rPr>
              <w:t>3.2.4 Beroepsgeheim en verschoningsrecht bij advocaten</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_Toc451894992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18</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93" w:history="1">
            <w:r w:rsidR="005B4550" w:rsidRPr="005B4550">
              <w:rPr>
                <w:rStyle w:val="Hyperlink"/>
                <w:rFonts w:ascii="Verdana" w:hAnsi="Verdana"/>
                <w:noProof/>
              </w:rPr>
              <w:t>3.3 Het belang van het beroepsgeheim en verschoningsrecht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_Toc451894993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19</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94" w:history="1">
            <w:r w:rsidR="005B4550" w:rsidRPr="005B4550">
              <w:rPr>
                <w:rStyle w:val="Hyperlink"/>
                <w:rFonts w:ascii="Verdana" w:hAnsi="Verdana"/>
                <w:noProof/>
              </w:rPr>
              <w:t>3.4 Samenvattend</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_Toc451894994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21</w:t>
            </w:r>
            <w:r w:rsidRPr="005B4550">
              <w:rPr>
                <w:rFonts w:ascii="Verdana" w:hAnsi="Verdana"/>
                <w:noProof/>
                <w:webHidden/>
              </w:rPr>
              <w:fldChar w:fldCharType="end"/>
            </w:r>
          </w:hyperlink>
        </w:p>
        <w:p w:rsidR="005B4550" w:rsidRPr="005B4550" w:rsidRDefault="00315434" w:rsidP="005B4550">
          <w:pPr>
            <w:pStyle w:val="Inhopg1"/>
            <w:rPr>
              <w:rFonts w:ascii="Verdana" w:eastAsiaTheme="minorEastAsia" w:hAnsi="Verdana"/>
              <w:noProof/>
              <w:lang w:eastAsia="nl-NL"/>
            </w:rPr>
          </w:pPr>
          <w:hyperlink w:anchor="_Toc451894995" w:history="1">
            <w:r w:rsidR="005B4550" w:rsidRPr="005B4550">
              <w:rPr>
                <w:rStyle w:val="Hyperlink"/>
                <w:rFonts w:ascii="Verdana" w:hAnsi="Verdana"/>
                <w:b/>
                <w:noProof/>
              </w:rPr>
              <w:t>4. Deelvraag 2: Het beroepsgeheim en verschoningsrecht in de wet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_Toc451894995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23</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96" w:history="1">
            <w:r w:rsidR="005B4550" w:rsidRPr="005B4550">
              <w:rPr>
                <w:rStyle w:val="Hyperlink"/>
                <w:rFonts w:ascii="Verdana" w:hAnsi="Verdana"/>
                <w:noProof/>
              </w:rPr>
              <w:t>4.1 Inleiding</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_Toc451894996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23</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97" w:history="1">
            <w:r w:rsidR="005B4550" w:rsidRPr="005B4550">
              <w:rPr>
                <w:rStyle w:val="Hyperlink"/>
                <w:rFonts w:ascii="Verdana" w:hAnsi="Verdana"/>
                <w:noProof/>
              </w:rPr>
              <w:t>4.2 Het beroepsgeheim</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_Toc451894997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23</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98" w:history="1">
            <w:r w:rsidR="005B4550" w:rsidRPr="005B4550">
              <w:rPr>
                <w:rStyle w:val="Hyperlink"/>
                <w:rFonts w:ascii="Verdana" w:hAnsi="Verdana"/>
                <w:noProof/>
              </w:rPr>
              <w:t>4.3 Vormen van het verschoningsrecht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_Toc451894998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24</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4999" w:history="1">
            <w:r w:rsidR="005B4550" w:rsidRPr="005B4550">
              <w:rPr>
                <w:rStyle w:val="Hyperlink"/>
                <w:rFonts w:ascii="Verdana" w:hAnsi="Verdana"/>
                <w:noProof/>
              </w:rPr>
              <w:t>4.4 Het verschoningsrecht: niet absoluut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_Toc451894999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25</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00" w:history="1">
            <w:r w:rsidR="005B4550" w:rsidRPr="005B4550">
              <w:rPr>
                <w:rStyle w:val="Hyperlink"/>
                <w:rFonts w:ascii="Verdana" w:hAnsi="Verdana"/>
                <w:noProof/>
              </w:rPr>
              <w:t>4.5 Afgeleid- en gedeeld verschoningsrecht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_Toc451895000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26</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01" w:history="1">
            <w:r w:rsidR="005B4550" w:rsidRPr="005B4550">
              <w:rPr>
                <w:rStyle w:val="Hyperlink"/>
                <w:rFonts w:ascii="Verdana" w:hAnsi="Verdana"/>
                <w:noProof/>
              </w:rPr>
              <w:t>4.6 De aangifte- en meldingsplicht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_Toc451895001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26</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02" w:history="1">
            <w:r w:rsidR="005B4550" w:rsidRPr="005B4550">
              <w:rPr>
                <w:rStyle w:val="Hyperlink"/>
                <w:rFonts w:ascii="Verdana" w:hAnsi="Verdana"/>
                <w:noProof/>
              </w:rPr>
              <w:t>4.7 De getuigenverklaring</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_Toc451895002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27</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03" w:history="1">
            <w:r w:rsidR="005B4550" w:rsidRPr="005B4550">
              <w:rPr>
                <w:rStyle w:val="Hyperlink"/>
                <w:rFonts w:ascii="Verdana" w:hAnsi="Verdana"/>
                <w:noProof/>
              </w:rPr>
              <w:t>4.8 De verschoningsgerechtigde als verdachte</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_Toc451895003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28</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04" w:history="1">
            <w:r w:rsidR="005B4550" w:rsidRPr="005B4550">
              <w:rPr>
                <w:rStyle w:val="Hyperlink"/>
                <w:rFonts w:ascii="Verdana" w:hAnsi="Verdana"/>
                <w:noProof/>
              </w:rPr>
              <w:t>4.9 Binnentreden</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_Toc451895004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28</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05" w:history="1">
            <w:r w:rsidR="005B4550" w:rsidRPr="005B4550">
              <w:rPr>
                <w:rStyle w:val="Hyperlink"/>
                <w:rFonts w:ascii="Verdana" w:hAnsi="Verdana"/>
                <w:noProof/>
              </w:rPr>
              <w:t>4.10 Doorzoeking en inbeslagname</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_Toc451895005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29</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06" w:history="1">
            <w:r w:rsidR="005B4550" w:rsidRPr="005B4550">
              <w:rPr>
                <w:rStyle w:val="Hyperlink"/>
                <w:rFonts w:ascii="Verdana" w:hAnsi="Verdana"/>
                <w:noProof/>
              </w:rPr>
              <w:t>4.11 Samenvattend</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_Toc451895006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30</w:t>
            </w:r>
            <w:r w:rsidRPr="005B4550">
              <w:rPr>
                <w:rFonts w:ascii="Verdana" w:hAnsi="Verdana"/>
                <w:noProof/>
                <w:webHidden/>
              </w:rPr>
              <w:fldChar w:fldCharType="end"/>
            </w:r>
          </w:hyperlink>
        </w:p>
        <w:p w:rsidR="005B4550" w:rsidRPr="005B4550" w:rsidRDefault="00315434" w:rsidP="005B4550">
          <w:pPr>
            <w:pStyle w:val="Inhopg1"/>
            <w:rPr>
              <w:rFonts w:ascii="Verdana" w:eastAsiaTheme="minorEastAsia" w:hAnsi="Verdana"/>
              <w:noProof/>
              <w:lang w:eastAsia="nl-NL"/>
            </w:rPr>
          </w:pPr>
          <w:hyperlink w:anchor="_Toc451895007" w:history="1">
            <w:r w:rsidR="005B4550" w:rsidRPr="005B4550">
              <w:rPr>
                <w:rStyle w:val="Hyperlink"/>
                <w:rFonts w:ascii="Verdana" w:hAnsi="Verdana"/>
                <w:b/>
                <w:noProof/>
              </w:rPr>
              <w:t>5. Deelvraag 3: De reeds bekende invulling van de zes factoren van de Hoge Raad</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_Toc451895007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32</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08" w:history="1">
            <w:r w:rsidR="005B4550" w:rsidRPr="005B4550">
              <w:rPr>
                <w:rStyle w:val="Hyperlink"/>
                <w:rFonts w:ascii="Verdana" w:hAnsi="Verdana"/>
                <w:noProof/>
              </w:rPr>
              <w:t>5.1 Inleiding</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_Toc451895008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32</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09" w:history="1">
            <w:r w:rsidR="005B4550" w:rsidRPr="005B4550">
              <w:rPr>
                <w:rStyle w:val="Hyperlink"/>
                <w:rFonts w:ascii="Verdana" w:hAnsi="Verdana"/>
                <w:noProof/>
              </w:rPr>
              <w:t>5.2 De aard, omvang en context van de gevraagde gegevens</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_Toc451895009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32</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10" w:history="1">
            <w:r w:rsidR="005B4550" w:rsidRPr="005B4550">
              <w:rPr>
                <w:rStyle w:val="Hyperlink"/>
                <w:rFonts w:ascii="Verdana" w:hAnsi="Verdana"/>
                <w:noProof/>
              </w:rPr>
              <w:t>5.3 Het belang en de ernst van de strafzaak</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_Toc451895010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32</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11" w:history="1">
            <w:r w:rsidR="005B4550" w:rsidRPr="005B4550">
              <w:rPr>
                <w:rStyle w:val="Hyperlink"/>
                <w:rFonts w:ascii="Verdana" w:hAnsi="Verdana"/>
                <w:noProof/>
              </w:rPr>
              <w:t>5.4 De eventuele toestemming van de belanghebbende</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_Toc451895011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33</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12" w:history="1">
            <w:r w:rsidR="005B4550" w:rsidRPr="005B4550">
              <w:rPr>
                <w:rStyle w:val="Hyperlink"/>
                <w:rFonts w:ascii="Verdana" w:hAnsi="Verdana"/>
                <w:noProof/>
              </w:rPr>
              <w:t>5.5 De eventuele v</w:t>
            </w:r>
            <w:r w:rsidR="005B4550">
              <w:rPr>
                <w:rStyle w:val="Hyperlink"/>
                <w:rFonts w:ascii="Verdana" w:hAnsi="Verdana"/>
                <w:noProof/>
              </w:rPr>
              <w:t>erdenking tegen de verschonings</w:t>
            </w:r>
            <w:r w:rsidR="005B4550" w:rsidRPr="005B4550">
              <w:rPr>
                <w:rStyle w:val="Hyperlink"/>
                <w:rFonts w:ascii="Verdana" w:hAnsi="Verdana"/>
                <w:noProof/>
              </w:rPr>
              <w:t>gerechtigde</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_Toc451895012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34</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13" w:history="1">
            <w:r w:rsidR="005B4550" w:rsidRPr="005B4550">
              <w:rPr>
                <w:rStyle w:val="Hyperlink"/>
                <w:rFonts w:ascii="Verdana" w:hAnsi="Verdana"/>
                <w:noProof/>
              </w:rPr>
              <w:t>5.6 De proportionaliteit en subsidiariteit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_Toc451895013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34</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14" w:history="1">
            <w:r w:rsidR="005B4550" w:rsidRPr="005B4550">
              <w:rPr>
                <w:rStyle w:val="Hyperlink"/>
                <w:rFonts w:ascii="Verdana" w:hAnsi="Verdana"/>
                <w:noProof/>
              </w:rPr>
              <w:t>5.7 Het belang van de gevorderde gegevens</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_Toc451895014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35</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15" w:history="1">
            <w:r w:rsidR="005B4550" w:rsidRPr="005B4550">
              <w:rPr>
                <w:rStyle w:val="Hyperlink"/>
                <w:rFonts w:ascii="Verdana" w:hAnsi="Verdana"/>
                <w:noProof/>
              </w:rPr>
              <w:t>5.8 Samenvattend</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_Toc451895015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35</w:t>
            </w:r>
            <w:r w:rsidRPr="005B4550">
              <w:rPr>
                <w:rFonts w:ascii="Verdana" w:hAnsi="Verdana"/>
                <w:noProof/>
                <w:webHidden/>
              </w:rPr>
              <w:fldChar w:fldCharType="end"/>
            </w:r>
          </w:hyperlink>
        </w:p>
        <w:p w:rsidR="005B4550" w:rsidRDefault="005B4550" w:rsidP="005B4550">
          <w:pPr>
            <w:pStyle w:val="Inhopg1"/>
            <w:rPr>
              <w:rStyle w:val="Hyperlink"/>
              <w:rFonts w:ascii="Verdana" w:hAnsi="Verdana"/>
              <w:noProof/>
            </w:rPr>
          </w:pPr>
        </w:p>
        <w:p w:rsidR="005B4550" w:rsidRPr="005B4550" w:rsidRDefault="00315434" w:rsidP="005B4550">
          <w:pPr>
            <w:pStyle w:val="Inhopg1"/>
            <w:rPr>
              <w:rFonts w:ascii="Verdana" w:eastAsiaTheme="minorEastAsia" w:hAnsi="Verdana"/>
              <w:noProof/>
              <w:lang w:eastAsia="nl-NL"/>
            </w:rPr>
          </w:pPr>
          <w:hyperlink w:anchor="_Toc451895016" w:history="1">
            <w:r w:rsidR="005B4550" w:rsidRPr="005B4550">
              <w:rPr>
                <w:rStyle w:val="Hyperlink"/>
                <w:rFonts w:ascii="Verdana" w:hAnsi="Verdana"/>
                <w:b/>
                <w:noProof/>
              </w:rPr>
              <w:t>6. Resultaten uit de analyse</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_Toc451895016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36</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17" w:history="1">
            <w:r w:rsidR="005B4550" w:rsidRPr="005B4550">
              <w:rPr>
                <w:rStyle w:val="Hyperlink"/>
                <w:rFonts w:ascii="Verdana" w:hAnsi="Verdana"/>
                <w:noProof/>
              </w:rPr>
              <w:t>6.1 Inleiding</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_Toc451895017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36</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18" w:history="1">
            <w:r w:rsidR="005B4550" w:rsidRPr="005B4550">
              <w:rPr>
                <w:rStyle w:val="Hyperlink"/>
                <w:rFonts w:ascii="Verdana" w:hAnsi="Verdana"/>
                <w:noProof/>
              </w:rPr>
              <w:t>6.2 De aard, omvang en context van de gevraagde gegevens</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_Toc451895018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36</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19" w:history="1">
            <w:r w:rsidR="005B4550" w:rsidRPr="005B4550">
              <w:rPr>
                <w:rStyle w:val="Hyperlink"/>
                <w:rFonts w:ascii="Verdana" w:hAnsi="Verdana"/>
                <w:noProof/>
              </w:rPr>
              <w:t>6.3 Het belang en de ernst van de strafzaak</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_Toc451895019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37</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20" w:history="1">
            <w:r w:rsidR="005B4550" w:rsidRPr="005B4550">
              <w:rPr>
                <w:rStyle w:val="Hyperlink"/>
                <w:rFonts w:ascii="Verdana" w:hAnsi="Verdana"/>
                <w:noProof/>
              </w:rPr>
              <w:t>6.4 De eventuele toestemming van de belanghebbende</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_Toc451895020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39</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21" w:history="1">
            <w:r w:rsidR="005B4550" w:rsidRPr="005B4550">
              <w:rPr>
                <w:rStyle w:val="Hyperlink"/>
                <w:rFonts w:ascii="Verdana" w:hAnsi="Verdana"/>
                <w:noProof/>
              </w:rPr>
              <w:t>6.5 De eventuele v</w:t>
            </w:r>
            <w:r w:rsidR="005B4550">
              <w:rPr>
                <w:rStyle w:val="Hyperlink"/>
                <w:rFonts w:ascii="Verdana" w:hAnsi="Verdana"/>
                <w:noProof/>
              </w:rPr>
              <w:t>erdenking tegen de verschonings</w:t>
            </w:r>
            <w:r w:rsidR="005B4550" w:rsidRPr="005B4550">
              <w:rPr>
                <w:rStyle w:val="Hyperlink"/>
                <w:rFonts w:ascii="Verdana" w:hAnsi="Verdana"/>
                <w:noProof/>
              </w:rPr>
              <w:t>gerechtigde</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_Toc451895021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40</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22" w:history="1">
            <w:r w:rsidR="005B4550" w:rsidRPr="005B4550">
              <w:rPr>
                <w:rStyle w:val="Hyperlink"/>
                <w:rFonts w:ascii="Verdana" w:hAnsi="Verdana"/>
                <w:noProof/>
              </w:rPr>
              <w:t>6.6 De proportionaliteit en subsidiariteit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_Toc451895022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40</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23" w:history="1">
            <w:r w:rsidR="005B4550" w:rsidRPr="005B4550">
              <w:rPr>
                <w:rStyle w:val="Hyperlink"/>
                <w:rFonts w:ascii="Verdana" w:hAnsi="Verdana"/>
                <w:noProof/>
              </w:rPr>
              <w:t>6.7 Het belang van de gevorderde gegevens</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_Toc451895023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41</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24" w:history="1">
            <w:r w:rsidR="005B4550" w:rsidRPr="005B4550">
              <w:rPr>
                <w:rStyle w:val="Hyperlink"/>
                <w:rFonts w:ascii="Verdana" w:hAnsi="Verdana"/>
                <w:noProof/>
              </w:rPr>
              <w:t>6.8 De restoverwegingen</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_Toc451895024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42</w:t>
            </w:r>
            <w:r w:rsidRPr="005B4550">
              <w:rPr>
                <w:rFonts w:ascii="Verdana" w:hAnsi="Verdana"/>
                <w:noProof/>
                <w:webHidden/>
              </w:rPr>
              <w:fldChar w:fldCharType="end"/>
            </w:r>
          </w:hyperlink>
        </w:p>
        <w:p w:rsidR="005B4550" w:rsidRPr="005B4550" w:rsidRDefault="00315434" w:rsidP="005B4550">
          <w:pPr>
            <w:pStyle w:val="Inhopg1"/>
            <w:rPr>
              <w:rFonts w:ascii="Verdana" w:eastAsiaTheme="minorEastAsia" w:hAnsi="Verdana"/>
              <w:noProof/>
              <w:lang w:eastAsia="nl-NL"/>
            </w:rPr>
          </w:pPr>
          <w:hyperlink w:anchor="_Toc451895025" w:history="1">
            <w:r w:rsidR="005B4550" w:rsidRPr="005B4550">
              <w:rPr>
                <w:rStyle w:val="Hyperlink"/>
                <w:rFonts w:ascii="Verdana" w:hAnsi="Verdana"/>
                <w:b/>
                <w:noProof/>
              </w:rPr>
              <w:t>7. Conclusies</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_Toc451895025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44</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26" w:history="1">
            <w:r w:rsidR="005B4550" w:rsidRPr="005B4550">
              <w:rPr>
                <w:rStyle w:val="Hyperlink"/>
                <w:rFonts w:ascii="Verdana" w:hAnsi="Verdana"/>
                <w:noProof/>
              </w:rPr>
              <w:t>7.1 Inleiding</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_Toc451895026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44</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27" w:history="1">
            <w:r w:rsidR="005B4550" w:rsidRPr="005B4550">
              <w:rPr>
                <w:rStyle w:val="Hyperlink"/>
                <w:rFonts w:ascii="Verdana" w:hAnsi="Verdana"/>
                <w:noProof/>
              </w:rPr>
              <w:t>7.2 De aard, omvang en context van de gevraagde gegevens</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_Toc451895027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44</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28" w:history="1">
            <w:r w:rsidR="005B4550" w:rsidRPr="005B4550">
              <w:rPr>
                <w:rStyle w:val="Hyperlink"/>
                <w:rFonts w:ascii="Verdana" w:hAnsi="Verdana"/>
                <w:noProof/>
              </w:rPr>
              <w:t>7.3 Het belang en de ernst van de strafzaak</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_Toc451895028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44</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29" w:history="1">
            <w:r w:rsidR="005B4550" w:rsidRPr="005B4550">
              <w:rPr>
                <w:rStyle w:val="Hyperlink"/>
                <w:rFonts w:ascii="Verdana" w:hAnsi="Verdana"/>
                <w:noProof/>
              </w:rPr>
              <w:t>7.4 De eventuele toestemming van de belanghebbende</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_Toc451895029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45</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30" w:history="1">
            <w:r w:rsidR="005B4550" w:rsidRPr="005B4550">
              <w:rPr>
                <w:rStyle w:val="Hyperlink"/>
                <w:rFonts w:ascii="Verdana" w:hAnsi="Verdana"/>
                <w:noProof/>
              </w:rPr>
              <w:t>7.5 De eventuele v</w:t>
            </w:r>
            <w:r w:rsidR="005B4550">
              <w:rPr>
                <w:rStyle w:val="Hyperlink"/>
                <w:rFonts w:ascii="Verdana" w:hAnsi="Verdana"/>
                <w:noProof/>
              </w:rPr>
              <w:t>erdenking tegen de verschonings</w:t>
            </w:r>
            <w:r w:rsidR="005B4550" w:rsidRPr="005B4550">
              <w:rPr>
                <w:rStyle w:val="Hyperlink"/>
                <w:rFonts w:ascii="Verdana" w:hAnsi="Verdana"/>
                <w:noProof/>
              </w:rPr>
              <w:t>gerechtigde</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_Toc451895030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45</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31" w:history="1">
            <w:r w:rsidR="005B4550" w:rsidRPr="005B4550">
              <w:rPr>
                <w:rStyle w:val="Hyperlink"/>
                <w:rFonts w:ascii="Verdana" w:hAnsi="Verdana"/>
                <w:noProof/>
              </w:rPr>
              <w:t>7.6 De proportionaliteit en subsidiariteit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_Toc451895031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45</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32" w:history="1">
            <w:r w:rsidR="005B4550" w:rsidRPr="005B4550">
              <w:rPr>
                <w:rStyle w:val="Hyperlink"/>
                <w:rFonts w:ascii="Verdana" w:hAnsi="Verdana"/>
                <w:noProof/>
              </w:rPr>
              <w:t>7.7 Het belang van de gevorderde gegevens</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_Toc451895032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46</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33" w:history="1">
            <w:r w:rsidR="005B4550" w:rsidRPr="005B4550">
              <w:rPr>
                <w:rStyle w:val="Hyperlink"/>
                <w:rFonts w:ascii="Verdana" w:hAnsi="Verdana"/>
                <w:noProof/>
              </w:rPr>
              <w:t>7.8 De restoverwegingen</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_Toc451895033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47</w:t>
            </w:r>
            <w:r w:rsidRPr="005B4550">
              <w:rPr>
                <w:rFonts w:ascii="Verdana" w:hAnsi="Verdana"/>
                <w:noProof/>
                <w:webHidden/>
              </w:rPr>
              <w:fldChar w:fldCharType="end"/>
            </w:r>
          </w:hyperlink>
        </w:p>
        <w:p w:rsidR="005B4550" w:rsidRPr="005B4550" w:rsidRDefault="00315434" w:rsidP="005B4550">
          <w:pPr>
            <w:pStyle w:val="Inhopg1"/>
            <w:rPr>
              <w:rFonts w:ascii="Verdana" w:eastAsiaTheme="minorEastAsia" w:hAnsi="Verdana"/>
              <w:noProof/>
              <w:lang w:eastAsia="nl-NL"/>
            </w:rPr>
          </w:pPr>
          <w:hyperlink w:anchor="_Toc451895034" w:history="1">
            <w:r w:rsidR="005B4550" w:rsidRPr="005B4550">
              <w:rPr>
                <w:rStyle w:val="Hyperlink"/>
                <w:rFonts w:ascii="Verdana" w:hAnsi="Verdana"/>
                <w:b/>
                <w:noProof/>
              </w:rPr>
              <w:t>8. Aanbevelingen</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_Toc451895034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48</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35" w:history="1">
            <w:r w:rsidR="005B4550" w:rsidRPr="005B4550">
              <w:rPr>
                <w:rStyle w:val="Hyperlink"/>
                <w:rFonts w:ascii="Verdana" w:hAnsi="Verdana"/>
                <w:noProof/>
              </w:rPr>
              <w:t>8.1 Inleiding</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_Toc451895035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48</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36" w:history="1">
            <w:r w:rsidR="005B4550" w:rsidRPr="005B4550">
              <w:rPr>
                <w:rStyle w:val="Hyperlink"/>
                <w:rFonts w:ascii="Verdana" w:hAnsi="Verdana"/>
                <w:noProof/>
              </w:rPr>
              <w:t>8.2 De aard, omvang en context van de gevraagde gegevens</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_Toc451895036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48</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37" w:history="1">
            <w:r w:rsidR="005B4550" w:rsidRPr="005B4550">
              <w:rPr>
                <w:rStyle w:val="Hyperlink"/>
                <w:rFonts w:ascii="Verdana" w:hAnsi="Verdana"/>
                <w:noProof/>
              </w:rPr>
              <w:t>8.3 Het belang en de ernst van de strafzaak</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_Toc451895037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48</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38" w:history="1">
            <w:r w:rsidR="005B4550" w:rsidRPr="005B4550">
              <w:rPr>
                <w:rStyle w:val="Hyperlink"/>
                <w:rFonts w:ascii="Verdana" w:hAnsi="Verdana"/>
                <w:noProof/>
              </w:rPr>
              <w:t>8.4 De eventuele toestemming van de belanghebbende</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_Toc451895038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49</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39" w:history="1">
            <w:r w:rsidR="005B4550" w:rsidRPr="005B4550">
              <w:rPr>
                <w:rStyle w:val="Hyperlink"/>
                <w:rFonts w:ascii="Verdana" w:hAnsi="Verdana"/>
                <w:noProof/>
              </w:rPr>
              <w:t>8.5 De eventuele v</w:t>
            </w:r>
            <w:r w:rsidR="005B4550">
              <w:rPr>
                <w:rStyle w:val="Hyperlink"/>
                <w:rFonts w:ascii="Verdana" w:hAnsi="Verdana"/>
                <w:noProof/>
              </w:rPr>
              <w:t>erdenking tegen de verschonings</w:t>
            </w:r>
            <w:r w:rsidR="005B4550" w:rsidRPr="005B4550">
              <w:rPr>
                <w:rStyle w:val="Hyperlink"/>
                <w:rFonts w:ascii="Verdana" w:hAnsi="Verdana"/>
                <w:noProof/>
              </w:rPr>
              <w:t>gerechtigde</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_Toc451895039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49</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40" w:history="1">
            <w:r w:rsidR="005B4550" w:rsidRPr="005B4550">
              <w:rPr>
                <w:rStyle w:val="Hyperlink"/>
                <w:rFonts w:ascii="Verdana" w:hAnsi="Verdana"/>
                <w:noProof/>
              </w:rPr>
              <w:t>8.6 De proportionaliteit en subsidiariteit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_Toc451895040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50</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41" w:history="1">
            <w:r w:rsidR="005B4550" w:rsidRPr="005B4550">
              <w:rPr>
                <w:rStyle w:val="Hyperlink"/>
                <w:rFonts w:ascii="Verdana" w:hAnsi="Verdana"/>
                <w:noProof/>
              </w:rPr>
              <w:t>8.7 Het belang van de gevorderde gegevens</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_Toc451895041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50</w:t>
            </w:r>
            <w:r w:rsidRPr="005B4550">
              <w:rPr>
                <w:rFonts w:ascii="Verdana" w:hAnsi="Verdana"/>
                <w:noProof/>
                <w:webHidden/>
              </w:rPr>
              <w:fldChar w:fldCharType="end"/>
            </w:r>
          </w:hyperlink>
        </w:p>
        <w:p w:rsidR="005B4550" w:rsidRPr="005B4550" w:rsidRDefault="00315434" w:rsidP="005B4550">
          <w:pPr>
            <w:pStyle w:val="Inhopg2"/>
            <w:tabs>
              <w:tab w:val="right" w:leader="dot" w:pos="9062"/>
            </w:tabs>
            <w:spacing w:after="0"/>
            <w:rPr>
              <w:rFonts w:ascii="Verdana" w:eastAsiaTheme="minorEastAsia" w:hAnsi="Verdana"/>
              <w:noProof/>
              <w:lang w:eastAsia="nl-NL"/>
            </w:rPr>
          </w:pPr>
          <w:hyperlink w:anchor="_Toc451895042" w:history="1">
            <w:r w:rsidR="005B4550" w:rsidRPr="005B4550">
              <w:rPr>
                <w:rStyle w:val="Hyperlink"/>
                <w:rFonts w:ascii="Verdana" w:hAnsi="Verdana"/>
                <w:noProof/>
              </w:rPr>
              <w:t>8.8 De restoverwegingen</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_Toc451895042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50</w:t>
            </w:r>
            <w:r w:rsidRPr="005B4550">
              <w:rPr>
                <w:rFonts w:ascii="Verdana" w:hAnsi="Verdana"/>
                <w:noProof/>
                <w:webHidden/>
              </w:rPr>
              <w:fldChar w:fldCharType="end"/>
            </w:r>
          </w:hyperlink>
        </w:p>
        <w:p w:rsidR="005B4550" w:rsidRPr="005B4550" w:rsidRDefault="00315434" w:rsidP="005B4550">
          <w:pPr>
            <w:pStyle w:val="Inhopg1"/>
            <w:rPr>
              <w:rFonts w:ascii="Verdana" w:eastAsiaTheme="minorEastAsia" w:hAnsi="Verdana"/>
              <w:noProof/>
              <w:lang w:eastAsia="nl-NL"/>
            </w:rPr>
          </w:pPr>
          <w:hyperlink w:anchor="_Toc451895043" w:history="1">
            <w:r w:rsidR="005B4550" w:rsidRPr="005B4550">
              <w:rPr>
                <w:rStyle w:val="Hyperlink"/>
                <w:rFonts w:ascii="Verdana" w:hAnsi="Verdana"/>
                <w:b/>
                <w:noProof/>
              </w:rPr>
              <w:t>Literatuurlijst</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_Toc451895043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51</w:t>
            </w:r>
            <w:r w:rsidRPr="005B4550">
              <w:rPr>
                <w:rFonts w:ascii="Verdana" w:hAnsi="Verdana"/>
                <w:noProof/>
                <w:webHidden/>
              </w:rPr>
              <w:fldChar w:fldCharType="end"/>
            </w:r>
          </w:hyperlink>
        </w:p>
        <w:p w:rsidR="005B4550" w:rsidRPr="005B4550" w:rsidRDefault="00315434" w:rsidP="005B4550">
          <w:pPr>
            <w:pStyle w:val="Inhopg1"/>
            <w:rPr>
              <w:rFonts w:ascii="Verdana" w:eastAsiaTheme="minorEastAsia" w:hAnsi="Verdana"/>
              <w:noProof/>
              <w:lang w:eastAsia="nl-NL"/>
            </w:rPr>
          </w:pPr>
          <w:hyperlink w:anchor="_Toc451895044" w:history="1">
            <w:r w:rsidR="005B4550" w:rsidRPr="005B4550">
              <w:rPr>
                <w:rStyle w:val="Hyperlink"/>
                <w:rFonts w:ascii="Verdana" w:hAnsi="Verdana"/>
                <w:b/>
                <w:noProof/>
              </w:rPr>
              <w:t>Bijlagen</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_Toc451895044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56</w:t>
            </w:r>
            <w:r w:rsidRPr="005B4550">
              <w:rPr>
                <w:rFonts w:ascii="Verdana" w:hAnsi="Verdana"/>
                <w:noProof/>
                <w:webHidden/>
              </w:rPr>
              <w:fldChar w:fldCharType="end"/>
            </w:r>
          </w:hyperlink>
        </w:p>
        <w:p w:rsidR="005B4550" w:rsidRDefault="00315434" w:rsidP="005B4550">
          <w:pPr>
            <w:pStyle w:val="Inhopg2"/>
            <w:tabs>
              <w:tab w:val="right" w:leader="dot" w:pos="9062"/>
            </w:tabs>
            <w:spacing w:after="0"/>
            <w:rPr>
              <w:rFonts w:eastAsiaTheme="minorEastAsia"/>
              <w:noProof/>
              <w:lang w:eastAsia="nl-NL"/>
            </w:rPr>
          </w:pPr>
          <w:hyperlink w:anchor="_Toc451895045" w:history="1">
            <w:r w:rsidR="005B4550" w:rsidRPr="005B4550">
              <w:rPr>
                <w:rStyle w:val="Hyperlink"/>
                <w:rFonts w:ascii="Verdana" w:hAnsi="Verdana"/>
                <w:noProof/>
              </w:rPr>
              <w:t>Bijlage 1: Tabellen behorend bij de analyse</w:t>
            </w:r>
            <w:r w:rsidR="005B4550" w:rsidRPr="005B4550">
              <w:rPr>
                <w:rFonts w:ascii="Verdana" w:hAnsi="Verdana"/>
                <w:noProof/>
                <w:webHidden/>
              </w:rPr>
              <w:tab/>
            </w:r>
            <w:r w:rsidRPr="005B4550">
              <w:rPr>
                <w:rFonts w:ascii="Verdana" w:hAnsi="Verdana"/>
                <w:noProof/>
                <w:webHidden/>
              </w:rPr>
              <w:fldChar w:fldCharType="begin"/>
            </w:r>
            <w:r w:rsidR="005B4550" w:rsidRPr="005B4550">
              <w:rPr>
                <w:rFonts w:ascii="Verdana" w:hAnsi="Verdana"/>
                <w:noProof/>
                <w:webHidden/>
              </w:rPr>
              <w:instrText xml:space="preserve"> PAGEREF _Toc451895045 \h </w:instrText>
            </w:r>
            <w:r w:rsidRPr="005B4550">
              <w:rPr>
                <w:rFonts w:ascii="Verdana" w:hAnsi="Verdana"/>
                <w:noProof/>
                <w:webHidden/>
              </w:rPr>
            </w:r>
            <w:r w:rsidRPr="005B4550">
              <w:rPr>
                <w:rFonts w:ascii="Verdana" w:hAnsi="Verdana"/>
                <w:noProof/>
                <w:webHidden/>
              </w:rPr>
              <w:fldChar w:fldCharType="separate"/>
            </w:r>
            <w:r w:rsidR="005B4550">
              <w:rPr>
                <w:rFonts w:ascii="Verdana" w:hAnsi="Verdana"/>
                <w:noProof/>
                <w:webHidden/>
              </w:rPr>
              <w:t>56</w:t>
            </w:r>
            <w:r w:rsidRPr="005B4550">
              <w:rPr>
                <w:rFonts w:ascii="Verdana" w:hAnsi="Verdana"/>
                <w:noProof/>
                <w:webHidden/>
              </w:rPr>
              <w:fldChar w:fldCharType="end"/>
            </w:r>
          </w:hyperlink>
        </w:p>
        <w:p w:rsidR="00AD274F" w:rsidRPr="00A37AB5" w:rsidRDefault="00315434" w:rsidP="0092501F">
          <w:pPr>
            <w:spacing w:after="0" w:line="22" w:lineRule="atLeast"/>
            <w:rPr>
              <w:rFonts w:ascii="Verdana" w:hAnsi="Verdana"/>
              <w:b/>
              <w:bCs/>
            </w:rPr>
          </w:pPr>
          <w:r w:rsidRPr="00A37AB5">
            <w:rPr>
              <w:rFonts w:ascii="Verdana" w:hAnsi="Verdana"/>
              <w:b/>
              <w:bCs/>
            </w:rPr>
            <w:fldChar w:fldCharType="end"/>
          </w:r>
        </w:p>
      </w:sdtContent>
    </w:sdt>
    <w:p w:rsidR="00AD274F" w:rsidRDefault="00AD274F" w:rsidP="0092501F">
      <w:pPr>
        <w:spacing w:after="0" w:line="22" w:lineRule="atLeast"/>
      </w:pPr>
      <w:r>
        <w:br w:type="page"/>
      </w:r>
    </w:p>
    <w:p w:rsidR="00AD274F" w:rsidRPr="007145D2" w:rsidRDefault="00AD274F" w:rsidP="0092501F">
      <w:pPr>
        <w:pStyle w:val="Kop1"/>
        <w:spacing w:before="0" w:line="22" w:lineRule="atLeast"/>
        <w:rPr>
          <w:rFonts w:ascii="Verdana" w:hAnsi="Verdana"/>
          <w:b/>
          <w:sz w:val="36"/>
        </w:rPr>
      </w:pPr>
      <w:bookmarkStart w:id="2" w:name="_Toc451894974"/>
      <w:r w:rsidRPr="007145D2">
        <w:rPr>
          <w:rFonts w:ascii="Verdana" w:hAnsi="Verdana"/>
          <w:b/>
          <w:sz w:val="36"/>
        </w:rPr>
        <w:lastRenderedPageBreak/>
        <w:t>Afkortingenlijst</w:t>
      </w:r>
      <w:bookmarkEnd w:id="2"/>
    </w:p>
    <w:p w:rsidR="00110657" w:rsidRPr="003A751E" w:rsidRDefault="00110657" w:rsidP="0092501F">
      <w:pPr>
        <w:spacing w:after="0" w:line="22" w:lineRule="atLeast"/>
        <w:ind w:left="1410" w:hanging="1410"/>
        <w:jc w:val="both"/>
        <w:rPr>
          <w:rFonts w:ascii="Verdana" w:hAnsi="Verdana"/>
          <w:b/>
          <w:color w:val="95B3D7" w:themeColor="accent1" w:themeTint="99"/>
        </w:rPr>
      </w:pPr>
      <w:r w:rsidRPr="003A751E">
        <w:rPr>
          <w:rFonts w:ascii="Verdana" w:hAnsi="Verdana"/>
          <w:b/>
          <w:color w:val="95B3D7" w:themeColor="accent1" w:themeTint="99"/>
        </w:rPr>
        <w:t>Awbi</w:t>
      </w:r>
    </w:p>
    <w:p w:rsidR="00110657" w:rsidRDefault="00110657" w:rsidP="0092501F">
      <w:pPr>
        <w:tabs>
          <w:tab w:val="center" w:pos="4536"/>
        </w:tabs>
        <w:spacing w:after="0" w:line="22" w:lineRule="atLeast"/>
        <w:ind w:left="1410" w:hanging="1410"/>
        <w:jc w:val="both"/>
        <w:rPr>
          <w:rFonts w:ascii="Verdana" w:hAnsi="Verdana"/>
        </w:rPr>
      </w:pPr>
      <w:r w:rsidRPr="003A751E">
        <w:rPr>
          <w:rFonts w:ascii="Verdana" w:hAnsi="Verdana"/>
        </w:rPr>
        <w:t>Algemene wet op het binnentreden</w:t>
      </w:r>
      <w:r w:rsidR="00776E1D">
        <w:rPr>
          <w:rFonts w:ascii="Verdana" w:hAnsi="Verdana"/>
        </w:rPr>
        <w:tab/>
      </w:r>
    </w:p>
    <w:p w:rsidR="00776E1D" w:rsidRDefault="00776E1D" w:rsidP="0092501F">
      <w:pPr>
        <w:tabs>
          <w:tab w:val="center" w:pos="4536"/>
        </w:tabs>
        <w:spacing w:after="0" w:line="22" w:lineRule="atLeast"/>
        <w:ind w:left="1410" w:hanging="1410"/>
        <w:jc w:val="both"/>
        <w:rPr>
          <w:rFonts w:ascii="Verdana" w:hAnsi="Verdana"/>
        </w:rPr>
      </w:pPr>
    </w:p>
    <w:p w:rsidR="00776E1D" w:rsidRPr="00776E1D" w:rsidRDefault="00776E1D" w:rsidP="0092501F">
      <w:pPr>
        <w:tabs>
          <w:tab w:val="center" w:pos="4536"/>
        </w:tabs>
        <w:spacing w:after="0" w:line="22" w:lineRule="atLeast"/>
        <w:ind w:left="1410" w:hanging="1410"/>
        <w:jc w:val="both"/>
        <w:rPr>
          <w:rFonts w:ascii="Verdana" w:hAnsi="Verdana"/>
          <w:b/>
          <w:color w:val="8DB3E2" w:themeColor="text2" w:themeTint="66"/>
        </w:rPr>
      </w:pPr>
      <w:r w:rsidRPr="00776E1D">
        <w:rPr>
          <w:rFonts w:ascii="Verdana" w:hAnsi="Verdana"/>
          <w:b/>
          <w:color w:val="8DB3E2" w:themeColor="text2" w:themeTint="66"/>
        </w:rPr>
        <w:t>BFT</w:t>
      </w:r>
    </w:p>
    <w:p w:rsidR="00776E1D" w:rsidRPr="00776E1D" w:rsidRDefault="00776E1D" w:rsidP="0092501F">
      <w:pPr>
        <w:tabs>
          <w:tab w:val="center" w:pos="4536"/>
        </w:tabs>
        <w:spacing w:after="0" w:line="22" w:lineRule="atLeast"/>
        <w:ind w:left="1410" w:hanging="1410"/>
        <w:jc w:val="both"/>
        <w:rPr>
          <w:rFonts w:ascii="Verdana" w:hAnsi="Verdana"/>
        </w:rPr>
      </w:pPr>
      <w:r>
        <w:rPr>
          <w:rFonts w:ascii="Verdana" w:hAnsi="Verdana"/>
        </w:rPr>
        <w:t>Bureau Financieel Toezicht</w:t>
      </w:r>
    </w:p>
    <w:p w:rsidR="00110657" w:rsidRPr="003A751E" w:rsidRDefault="00110657" w:rsidP="0092501F">
      <w:pPr>
        <w:spacing w:after="0" w:line="22" w:lineRule="atLeast"/>
        <w:ind w:left="1410" w:hanging="1410"/>
        <w:jc w:val="both"/>
        <w:rPr>
          <w:rFonts w:ascii="Verdana" w:hAnsi="Verdana"/>
          <w:b/>
          <w:color w:val="95B3D7" w:themeColor="accent1" w:themeTint="99"/>
        </w:rPr>
      </w:pPr>
    </w:p>
    <w:p w:rsidR="00AD274F" w:rsidRPr="003A751E" w:rsidRDefault="00AD274F" w:rsidP="0092501F">
      <w:pPr>
        <w:spacing w:after="0" w:line="22" w:lineRule="atLeast"/>
        <w:ind w:left="1410" w:hanging="1410"/>
        <w:jc w:val="both"/>
        <w:rPr>
          <w:rFonts w:ascii="Verdana" w:hAnsi="Verdana"/>
          <w:b/>
          <w:color w:val="95B3D7" w:themeColor="accent1" w:themeTint="99"/>
        </w:rPr>
      </w:pPr>
      <w:r w:rsidRPr="003A751E">
        <w:rPr>
          <w:rFonts w:ascii="Verdana" w:hAnsi="Verdana"/>
          <w:b/>
          <w:color w:val="95B3D7" w:themeColor="accent1" w:themeTint="99"/>
        </w:rPr>
        <w:t>EVRM</w:t>
      </w:r>
    </w:p>
    <w:p w:rsidR="00AD274F" w:rsidRPr="003A751E" w:rsidRDefault="00AD274F" w:rsidP="0092501F">
      <w:pPr>
        <w:spacing w:after="0" w:line="22" w:lineRule="atLeast"/>
        <w:jc w:val="both"/>
        <w:rPr>
          <w:rFonts w:ascii="Verdana" w:hAnsi="Verdana"/>
        </w:rPr>
      </w:pPr>
      <w:r w:rsidRPr="003A751E">
        <w:rPr>
          <w:rFonts w:ascii="Verdana" w:hAnsi="Verdana"/>
        </w:rPr>
        <w:t>Europees Verdrag tot bescherming van de rechten van de mens en de fundamentele vrijheden</w:t>
      </w:r>
    </w:p>
    <w:p w:rsidR="00AD274F" w:rsidRPr="003A751E" w:rsidRDefault="00AD274F" w:rsidP="0092501F">
      <w:pPr>
        <w:spacing w:after="0" w:line="22" w:lineRule="atLeast"/>
        <w:jc w:val="both"/>
        <w:rPr>
          <w:rFonts w:ascii="Verdana" w:hAnsi="Verdana"/>
        </w:rPr>
      </w:pPr>
    </w:p>
    <w:p w:rsidR="00AD274F" w:rsidRPr="003A751E" w:rsidRDefault="00AD274F" w:rsidP="0092501F">
      <w:pPr>
        <w:spacing w:after="0" w:line="22" w:lineRule="atLeast"/>
        <w:jc w:val="both"/>
        <w:rPr>
          <w:rFonts w:ascii="Verdana" w:hAnsi="Verdana"/>
          <w:b/>
          <w:color w:val="95B3D7" w:themeColor="accent1" w:themeTint="99"/>
        </w:rPr>
      </w:pPr>
      <w:r w:rsidRPr="003A751E">
        <w:rPr>
          <w:rFonts w:ascii="Verdana" w:hAnsi="Verdana"/>
          <w:b/>
          <w:color w:val="95B3D7" w:themeColor="accent1" w:themeTint="99"/>
        </w:rPr>
        <w:t>Gw</w:t>
      </w:r>
    </w:p>
    <w:p w:rsidR="00AD274F" w:rsidRPr="003A751E" w:rsidRDefault="00AD274F" w:rsidP="0092501F">
      <w:pPr>
        <w:spacing w:after="0" w:line="22" w:lineRule="atLeast"/>
        <w:jc w:val="both"/>
        <w:rPr>
          <w:rFonts w:ascii="Verdana" w:hAnsi="Verdana"/>
        </w:rPr>
      </w:pPr>
      <w:r w:rsidRPr="003A751E">
        <w:rPr>
          <w:rFonts w:ascii="Verdana" w:hAnsi="Verdana"/>
        </w:rPr>
        <w:t>Grondwet</w:t>
      </w:r>
    </w:p>
    <w:p w:rsidR="00AD274F" w:rsidRPr="003A751E" w:rsidRDefault="00AD274F" w:rsidP="0092501F">
      <w:pPr>
        <w:spacing w:after="0" w:line="22" w:lineRule="atLeast"/>
        <w:jc w:val="both"/>
        <w:rPr>
          <w:rFonts w:ascii="Verdana" w:hAnsi="Verdana"/>
        </w:rPr>
      </w:pPr>
    </w:p>
    <w:p w:rsidR="00AD274F" w:rsidRPr="003A751E" w:rsidRDefault="00AD274F" w:rsidP="0092501F">
      <w:pPr>
        <w:spacing w:after="0" w:line="22" w:lineRule="atLeast"/>
        <w:jc w:val="both"/>
        <w:rPr>
          <w:rFonts w:ascii="Verdana" w:hAnsi="Verdana"/>
          <w:color w:val="95B3D7" w:themeColor="accent1" w:themeTint="99"/>
        </w:rPr>
      </w:pPr>
      <w:r w:rsidRPr="003A751E">
        <w:rPr>
          <w:rFonts w:ascii="Verdana" w:hAnsi="Verdana"/>
          <w:b/>
          <w:color w:val="95B3D7" w:themeColor="accent1" w:themeTint="99"/>
        </w:rPr>
        <w:t>IVBPR</w:t>
      </w:r>
    </w:p>
    <w:p w:rsidR="00AD274F" w:rsidRDefault="00AD274F" w:rsidP="0092501F">
      <w:pPr>
        <w:spacing w:after="0" w:line="22" w:lineRule="atLeast"/>
        <w:jc w:val="both"/>
        <w:rPr>
          <w:rFonts w:ascii="Verdana" w:hAnsi="Verdana"/>
        </w:rPr>
      </w:pPr>
      <w:r w:rsidRPr="003A751E">
        <w:rPr>
          <w:rFonts w:ascii="Verdana" w:hAnsi="Verdana"/>
        </w:rPr>
        <w:t>Internationaal Verdrag inzake burgerrechten en politieke rechten</w:t>
      </w:r>
    </w:p>
    <w:p w:rsidR="00776E1D" w:rsidRDefault="00776E1D" w:rsidP="0092501F">
      <w:pPr>
        <w:spacing w:after="0" w:line="22" w:lineRule="atLeast"/>
        <w:jc w:val="both"/>
        <w:rPr>
          <w:rFonts w:ascii="Verdana" w:hAnsi="Verdana"/>
        </w:rPr>
      </w:pPr>
    </w:p>
    <w:p w:rsidR="00776E1D" w:rsidRPr="00776E1D" w:rsidRDefault="00776E1D" w:rsidP="0092501F">
      <w:pPr>
        <w:spacing w:after="0" w:line="22" w:lineRule="atLeast"/>
        <w:jc w:val="both"/>
        <w:rPr>
          <w:rFonts w:ascii="Verdana" w:hAnsi="Verdana"/>
          <w:b/>
          <w:color w:val="8DB3E2" w:themeColor="text2" w:themeTint="66"/>
        </w:rPr>
      </w:pPr>
      <w:r w:rsidRPr="00776E1D">
        <w:rPr>
          <w:rFonts w:ascii="Verdana" w:hAnsi="Verdana"/>
          <w:b/>
          <w:color w:val="8DB3E2" w:themeColor="text2" w:themeTint="66"/>
        </w:rPr>
        <w:t>KNB</w:t>
      </w:r>
    </w:p>
    <w:p w:rsidR="00776E1D" w:rsidRPr="00776E1D" w:rsidRDefault="00776E1D" w:rsidP="0092501F">
      <w:pPr>
        <w:spacing w:after="0" w:line="22" w:lineRule="atLeast"/>
        <w:jc w:val="both"/>
        <w:rPr>
          <w:rFonts w:ascii="Verdana" w:hAnsi="Verdana"/>
        </w:rPr>
      </w:pPr>
      <w:r>
        <w:rPr>
          <w:rFonts w:ascii="Verdana" w:hAnsi="Verdana"/>
        </w:rPr>
        <w:t>Koninklijke Notariële Beroepsorganisatie</w:t>
      </w:r>
    </w:p>
    <w:p w:rsidR="00AD274F" w:rsidRPr="003A751E" w:rsidRDefault="00AD274F" w:rsidP="0092501F">
      <w:pPr>
        <w:spacing w:after="0" w:line="22" w:lineRule="atLeast"/>
        <w:jc w:val="both"/>
        <w:rPr>
          <w:rFonts w:ascii="Verdana" w:hAnsi="Verdana"/>
        </w:rPr>
      </w:pPr>
    </w:p>
    <w:p w:rsidR="00AD274F" w:rsidRPr="003A751E" w:rsidRDefault="00AD274F" w:rsidP="0092501F">
      <w:pPr>
        <w:spacing w:after="0" w:line="22" w:lineRule="atLeast"/>
        <w:jc w:val="both"/>
        <w:rPr>
          <w:rFonts w:ascii="Verdana" w:hAnsi="Verdana"/>
          <w:color w:val="95B3D7" w:themeColor="accent1" w:themeTint="99"/>
        </w:rPr>
      </w:pPr>
      <w:r w:rsidRPr="003A751E">
        <w:rPr>
          <w:rFonts w:ascii="Verdana" w:hAnsi="Verdana"/>
          <w:b/>
          <w:color w:val="95B3D7" w:themeColor="accent1" w:themeTint="99"/>
        </w:rPr>
        <w:t>Sr</w:t>
      </w:r>
      <w:r w:rsidRPr="003A751E">
        <w:rPr>
          <w:rFonts w:ascii="Verdana" w:hAnsi="Verdana"/>
          <w:color w:val="95B3D7" w:themeColor="accent1" w:themeTint="99"/>
        </w:rPr>
        <w:tab/>
      </w:r>
    </w:p>
    <w:p w:rsidR="00AD274F" w:rsidRPr="003A751E" w:rsidRDefault="00AD274F" w:rsidP="0092501F">
      <w:pPr>
        <w:spacing w:after="0" w:line="22" w:lineRule="atLeast"/>
        <w:jc w:val="both"/>
        <w:rPr>
          <w:rFonts w:ascii="Verdana" w:hAnsi="Verdana"/>
        </w:rPr>
      </w:pPr>
      <w:r w:rsidRPr="003A751E">
        <w:rPr>
          <w:rFonts w:ascii="Verdana" w:hAnsi="Verdana"/>
        </w:rPr>
        <w:t>Wetboek van Strafrecht</w:t>
      </w:r>
    </w:p>
    <w:p w:rsidR="00AD274F" w:rsidRPr="003A751E" w:rsidRDefault="00AD274F" w:rsidP="0092501F">
      <w:pPr>
        <w:spacing w:after="0" w:line="22" w:lineRule="atLeast"/>
        <w:jc w:val="both"/>
        <w:rPr>
          <w:rFonts w:ascii="Verdana" w:hAnsi="Verdana"/>
        </w:rPr>
      </w:pPr>
    </w:p>
    <w:p w:rsidR="00AD274F" w:rsidRPr="003A751E" w:rsidRDefault="00AD274F" w:rsidP="0092501F">
      <w:pPr>
        <w:spacing w:after="0" w:line="22" w:lineRule="atLeast"/>
        <w:jc w:val="both"/>
        <w:rPr>
          <w:rFonts w:ascii="Verdana" w:hAnsi="Verdana"/>
          <w:color w:val="95B3D7" w:themeColor="accent1" w:themeTint="99"/>
        </w:rPr>
      </w:pPr>
      <w:r w:rsidRPr="003A751E">
        <w:rPr>
          <w:rFonts w:ascii="Verdana" w:hAnsi="Verdana"/>
          <w:b/>
          <w:color w:val="95B3D7" w:themeColor="accent1" w:themeTint="99"/>
        </w:rPr>
        <w:t>Sv</w:t>
      </w:r>
      <w:r w:rsidRPr="003A751E">
        <w:rPr>
          <w:rFonts w:ascii="Verdana" w:hAnsi="Verdana"/>
          <w:color w:val="95B3D7" w:themeColor="accent1" w:themeTint="99"/>
        </w:rPr>
        <w:tab/>
      </w:r>
    </w:p>
    <w:p w:rsidR="00AD274F" w:rsidRPr="003A751E" w:rsidRDefault="00AD274F" w:rsidP="0092501F">
      <w:pPr>
        <w:spacing w:after="0" w:line="22" w:lineRule="atLeast"/>
        <w:jc w:val="both"/>
        <w:rPr>
          <w:rFonts w:ascii="Verdana" w:hAnsi="Verdana"/>
        </w:rPr>
      </w:pPr>
      <w:r w:rsidRPr="003A751E">
        <w:rPr>
          <w:rFonts w:ascii="Verdana" w:hAnsi="Verdana"/>
        </w:rPr>
        <w:t>Wetboek van Strafvordering</w:t>
      </w:r>
    </w:p>
    <w:p w:rsidR="00AD274F" w:rsidRPr="003A751E" w:rsidRDefault="00AD274F" w:rsidP="0092501F">
      <w:pPr>
        <w:spacing w:after="0" w:line="22" w:lineRule="atLeast"/>
        <w:jc w:val="both"/>
        <w:rPr>
          <w:rFonts w:ascii="Verdana" w:hAnsi="Verdana"/>
        </w:rPr>
      </w:pPr>
    </w:p>
    <w:p w:rsidR="00AD274F" w:rsidRPr="003A751E" w:rsidRDefault="00AD274F" w:rsidP="0092501F">
      <w:pPr>
        <w:spacing w:after="0" w:line="22" w:lineRule="atLeast"/>
        <w:jc w:val="both"/>
        <w:rPr>
          <w:rFonts w:ascii="Verdana" w:hAnsi="Verdana"/>
          <w:color w:val="95B3D7" w:themeColor="accent1" w:themeTint="99"/>
        </w:rPr>
      </w:pPr>
      <w:r w:rsidRPr="003A751E">
        <w:rPr>
          <w:rFonts w:ascii="Verdana" w:hAnsi="Verdana"/>
          <w:b/>
          <w:color w:val="95B3D7" w:themeColor="accent1" w:themeTint="99"/>
        </w:rPr>
        <w:t>Wet BIG</w:t>
      </w:r>
      <w:r w:rsidRPr="003A751E">
        <w:rPr>
          <w:rFonts w:ascii="Verdana" w:hAnsi="Verdana"/>
          <w:color w:val="95B3D7" w:themeColor="accent1" w:themeTint="99"/>
        </w:rPr>
        <w:tab/>
      </w:r>
    </w:p>
    <w:p w:rsidR="00AD274F" w:rsidRPr="003A751E" w:rsidRDefault="00AD274F" w:rsidP="0092501F">
      <w:pPr>
        <w:spacing w:after="0" w:line="22" w:lineRule="atLeast"/>
        <w:jc w:val="both"/>
        <w:rPr>
          <w:rFonts w:ascii="Verdana" w:hAnsi="Verdana"/>
        </w:rPr>
      </w:pPr>
      <w:r w:rsidRPr="003A751E">
        <w:rPr>
          <w:rFonts w:ascii="Verdana" w:hAnsi="Verdana"/>
        </w:rPr>
        <w:t>Wet op de beroepen in de individuele gezondheidszorg</w:t>
      </w:r>
    </w:p>
    <w:p w:rsidR="00AD274F" w:rsidRPr="003A751E" w:rsidRDefault="00AD274F" w:rsidP="0092501F">
      <w:pPr>
        <w:spacing w:after="0" w:line="22" w:lineRule="atLeast"/>
        <w:jc w:val="both"/>
        <w:rPr>
          <w:rFonts w:ascii="Verdana" w:hAnsi="Verdana"/>
        </w:rPr>
      </w:pPr>
    </w:p>
    <w:p w:rsidR="00AD274F" w:rsidRPr="003A751E" w:rsidRDefault="00AD274F" w:rsidP="0092501F">
      <w:pPr>
        <w:spacing w:after="0" w:line="22" w:lineRule="atLeast"/>
        <w:jc w:val="both"/>
        <w:rPr>
          <w:rFonts w:ascii="Verdana" w:hAnsi="Verdana"/>
          <w:b/>
          <w:color w:val="95B3D7" w:themeColor="accent1" w:themeTint="99"/>
        </w:rPr>
      </w:pPr>
      <w:r w:rsidRPr="003A751E">
        <w:rPr>
          <w:rFonts w:ascii="Verdana" w:hAnsi="Verdana"/>
          <w:b/>
          <w:color w:val="95B3D7" w:themeColor="accent1" w:themeTint="99"/>
        </w:rPr>
        <w:t>WWFT</w:t>
      </w:r>
    </w:p>
    <w:p w:rsidR="00AD274F" w:rsidRPr="003A751E" w:rsidRDefault="00AD274F" w:rsidP="0092501F">
      <w:pPr>
        <w:spacing w:after="0" w:line="22" w:lineRule="atLeast"/>
        <w:jc w:val="both"/>
        <w:rPr>
          <w:rFonts w:ascii="Verdana" w:hAnsi="Verdana"/>
        </w:rPr>
      </w:pPr>
      <w:r w:rsidRPr="003A751E">
        <w:rPr>
          <w:rFonts w:ascii="Verdana" w:hAnsi="Verdana"/>
        </w:rPr>
        <w:t>Wet ter voorkoming van witwassen en financieren van terrorisme</w:t>
      </w:r>
    </w:p>
    <w:p w:rsidR="00AD274F" w:rsidRPr="003A751E" w:rsidRDefault="00AD274F" w:rsidP="0092501F">
      <w:pPr>
        <w:spacing w:after="0" w:line="22" w:lineRule="atLeast"/>
        <w:jc w:val="both"/>
        <w:rPr>
          <w:rFonts w:ascii="Verdana" w:hAnsi="Verdana"/>
        </w:rPr>
      </w:pPr>
    </w:p>
    <w:p w:rsidR="00AD274F" w:rsidRPr="003A751E" w:rsidRDefault="00AD274F" w:rsidP="0092501F">
      <w:pPr>
        <w:spacing w:after="0" w:line="22" w:lineRule="atLeast"/>
        <w:jc w:val="both"/>
        <w:rPr>
          <w:rFonts w:ascii="Verdana" w:hAnsi="Verdana"/>
          <w:color w:val="95B3D7" w:themeColor="accent1" w:themeTint="99"/>
        </w:rPr>
      </w:pPr>
      <w:r w:rsidRPr="003A751E">
        <w:rPr>
          <w:rFonts w:ascii="Verdana" w:hAnsi="Verdana"/>
          <w:b/>
          <w:color w:val="95B3D7" w:themeColor="accent1" w:themeTint="99"/>
        </w:rPr>
        <w:t>WGBO</w:t>
      </w:r>
    </w:p>
    <w:p w:rsidR="00AD274F" w:rsidRPr="003A751E" w:rsidRDefault="00AD274F" w:rsidP="0092501F">
      <w:pPr>
        <w:spacing w:after="0" w:line="22" w:lineRule="atLeast"/>
        <w:jc w:val="both"/>
        <w:rPr>
          <w:rFonts w:ascii="Verdana" w:hAnsi="Verdana"/>
        </w:rPr>
      </w:pPr>
      <w:r w:rsidRPr="003A751E">
        <w:rPr>
          <w:rFonts w:ascii="Verdana" w:hAnsi="Verdana"/>
        </w:rPr>
        <w:t xml:space="preserve">Wet op de geneeskundige behandelingsovereenkomst </w:t>
      </w:r>
      <w:r w:rsidRPr="003A751E">
        <w:rPr>
          <w:rFonts w:ascii="Verdana" w:hAnsi="Verdana"/>
          <w:i/>
        </w:rPr>
        <w:t>(onderdeel van boek 7 van het Burgerlijk Wetboek)</w:t>
      </w:r>
    </w:p>
    <w:p w:rsidR="00AD274F" w:rsidRPr="003A751E" w:rsidRDefault="00AD274F" w:rsidP="0092501F">
      <w:pPr>
        <w:spacing w:after="0" w:line="22" w:lineRule="atLeast"/>
        <w:jc w:val="both"/>
        <w:rPr>
          <w:rFonts w:ascii="Verdana" w:hAnsi="Verdana"/>
        </w:rPr>
      </w:pPr>
    </w:p>
    <w:p w:rsidR="00AD274F" w:rsidRPr="003A751E" w:rsidRDefault="00AD274F" w:rsidP="0092501F">
      <w:pPr>
        <w:spacing w:after="0" w:line="22" w:lineRule="atLeast"/>
        <w:jc w:val="both"/>
        <w:rPr>
          <w:rFonts w:ascii="Verdana" w:hAnsi="Verdana"/>
          <w:color w:val="95B3D7" w:themeColor="accent1" w:themeTint="99"/>
        </w:rPr>
      </w:pPr>
      <w:r w:rsidRPr="003A751E">
        <w:rPr>
          <w:rFonts w:ascii="Verdana" w:hAnsi="Verdana"/>
          <w:b/>
          <w:color w:val="95B3D7" w:themeColor="accent1" w:themeTint="99"/>
        </w:rPr>
        <w:t>WNA</w:t>
      </w:r>
      <w:r w:rsidRPr="003A751E">
        <w:rPr>
          <w:rFonts w:ascii="Verdana" w:hAnsi="Verdana"/>
          <w:color w:val="95B3D7" w:themeColor="accent1" w:themeTint="99"/>
        </w:rPr>
        <w:tab/>
      </w:r>
    </w:p>
    <w:p w:rsidR="00AD274F" w:rsidRPr="003A751E" w:rsidRDefault="00AD274F" w:rsidP="0092501F">
      <w:pPr>
        <w:spacing w:after="0" w:line="22" w:lineRule="atLeast"/>
        <w:jc w:val="both"/>
        <w:rPr>
          <w:rFonts w:ascii="Verdana" w:hAnsi="Verdana"/>
        </w:rPr>
      </w:pPr>
      <w:r w:rsidRPr="003A751E">
        <w:rPr>
          <w:rFonts w:ascii="Verdana" w:hAnsi="Verdana"/>
        </w:rPr>
        <w:t>Wet op de notarisambt</w:t>
      </w:r>
    </w:p>
    <w:p w:rsidR="00AD274F" w:rsidRDefault="00AD274F" w:rsidP="0092501F">
      <w:pPr>
        <w:spacing w:after="0" w:line="22" w:lineRule="atLeast"/>
        <w:rPr>
          <w:rFonts w:ascii="Verdana" w:hAnsi="Verdana"/>
          <w:sz w:val="24"/>
        </w:rPr>
      </w:pPr>
    </w:p>
    <w:p w:rsidR="00AD274F" w:rsidRDefault="00AD274F" w:rsidP="0092501F">
      <w:pPr>
        <w:spacing w:after="0" w:line="22" w:lineRule="atLeast"/>
        <w:rPr>
          <w:rFonts w:ascii="Verdana" w:hAnsi="Verdana"/>
          <w:sz w:val="24"/>
        </w:rPr>
      </w:pPr>
    </w:p>
    <w:p w:rsidR="00AD274F" w:rsidRDefault="00AD274F" w:rsidP="0092501F">
      <w:pPr>
        <w:spacing w:after="0" w:line="22" w:lineRule="atLeast"/>
        <w:rPr>
          <w:rFonts w:ascii="Verdana" w:hAnsi="Verdana"/>
          <w:sz w:val="24"/>
        </w:rPr>
      </w:pPr>
    </w:p>
    <w:p w:rsidR="00AD274F" w:rsidRDefault="00AD274F" w:rsidP="0092501F">
      <w:pPr>
        <w:spacing w:after="0" w:line="22" w:lineRule="atLeast"/>
      </w:pPr>
    </w:p>
    <w:p w:rsidR="00AD274F" w:rsidRDefault="00AD274F" w:rsidP="0092501F">
      <w:pPr>
        <w:spacing w:after="0" w:line="22" w:lineRule="atLeast"/>
      </w:pPr>
    </w:p>
    <w:p w:rsidR="00AD274F" w:rsidRDefault="00AD274F" w:rsidP="0092501F">
      <w:pPr>
        <w:spacing w:after="0" w:line="22" w:lineRule="atLeast"/>
        <w:rPr>
          <w:rFonts w:ascii="Verdana" w:eastAsiaTheme="majorEastAsia" w:hAnsi="Verdana" w:cstheme="majorBidi"/>
          <w:b/>
          <w:color w:val="365F91" w:themeColor="accent1" w:themeShade="BF"/>
          <w:sz w:val="36"/>
          <w:szCs w:val="32"/>
        </w:rPr>
      </w:pPr>
    </w:p>
    <w:p w:rsidR="00AD274F" w:rsidRDefault="00AD274F" w:rsidP="0092501F">
      <w:pPr>
        <w:spacing w:after="0" w:line="22" w:lineRule="atLeast"/>
        <w:rPr>
          <w:rFonts w:ascii="Verdana" w:eastAsiaTheme="majorEastAsia" w:hAnsi="Verdana" w:cstheme="majorBidi"/>
          <w:b/>
          <w:color w:val="365F91" w:themeColor="accent1" w:themeShade="BF"/>
          <w:sz w:val="36"/>
          <w:szCs w:val="32"/>
        </w:rPr>
      </w:pPr>
      <w:r>
        <w:rPr>
          <w:rFonts w:ascii="Verdana" w:hAnsi="Verdana"/>
          <w:b/>
          <w:sz w:val="36"/>
        </w:rPr>
        <w:br w:type="page"/>
      </w:r>
    </w:p>
    <w:p w:rsidR="00AD274F" w:rsidRPr="004F2A6B" w:rsidRDefault="00AD274F" w:rsidP="0092501F">
      <w:pPr>
        <w:pStyle w:val="Kop1"/>
        <w:spacing w:before="0" w:line="22" w:lineRule="atLeast"/>
        <w:rPr>
          <w:rFonts w:ascii="Verdana" w:hAnsi="Verdana"/>
          <w:b/>
          <w:sz w:val="36"/>
        </w:rPr>
      </w:pPr>
      <w:bookmarkStart w:id="3" w:name="_Toc451894975"/>
      <w:r>
        <w:rPr>
          <w:rFonts w:ascii="Verdana" w:hAnsi="Verdana"/>
          <w:b/>
          <w:sz w:val="36"/>
        </w:rPr>
        <w:lastRenderedPageBreak/>
        <w:t>1</w:t>
      </w:r>
      <w:r w:rsidRPr="004F2A6B">
        <w:rPr>
          <w:rFonts w:ascii="Verdana" w:hAnsi="Verdana"/>
          <w:b/>
          <w:sz w:val="36"/>
        </w:rPr>
        <w:t xml:space="preserve">. </w:t>
      </w:r>
      <w:r>
        <w:rPr>
          <w:rFonts w:ascii="Verdana" w:hAnsi="Verdana"/>
          <w:b/>
          <w:sz w:val="36"/>
        </w:rPr>
        <w:t>Inleiding</w:t>
      </w:r>
      <w:r w:rsidR="00522896">
        <w:rPr>
          <w:rFonts w:ascii="Verdana" w:hAnsi="Verdana"/>
          <w:b/>
          <w:sz w:val="36"/>
        </w:rPr>
        <w:t>: de aanleiding van het probleem</w:t>
      </w:r>
      <w:bookmarkEnd w:id="3"/>
    </w:p>
    <w:p w:rsidR="00522896" w:rsidRPr="003A751E" w:rsidRDefault="00522896" w:rsidP="0092501F">
      <w:pPr>
        <w:spacing w:after="0" w:line="22" w:lineRule="atLeast"/>
        <w:jc w:val="both"/>
        <w:rPr>
          <w:rFonts w:ascii="Verdana" w:hAnsi="Verdana"/>
        </w:rPr>
      </w:pPr>
      <w:r w:rsidRPr="003A751E">
        <w:rPr>
          <w:rFonts w:ascii="Verdana" w:hAnsi="Verdana"/>
        </w:rPr>
        <w:t xml:space="preserve">Ernst </w:t>
      </w:r>
      <w:r w:rsidR="002C2F56" w:rsidRPr="003A751E">
        <w:rPr>
          <w:rFonts w:ascii="Verdana" w:hAnsi="Verdana"/>
        </w:rPr>
        <w:t>Jansen Steur, een naam die menig Nederlander</w:t>
      </w:r>
      <w:r w:rsidRPr="003A751E">
        <w:rPr>
          <w:rFonts w:ascii="Verdana" w:hAnsi="Verdana"/>
        </w:rPr>
        <w:t xml:space="preserve"> z</w:t>
      </w:r>
      <w:r w:rsidR="002C2F56" w:rsidRPr="003A751E">
        <w:rPr>
          <w:rFonts w:ascii="Verdana" w:hAnsi="Verdana"/>
        </w:rPr>
        <w:t>al</w:t>
      </w:r>
      <w:r w:rsidRPr="003A751E">
        <w:rPr>
          <w:rFonts w:ascii="Verdana" w:hAnsi="Verdana"/>
        </w:rPr>
        <w:t xml:space="preserve"> kennen. Deze neuroloog kwam in opspraak omdat hij tussen 1997 en 2003 verkeerde diagnoses had gesteld. Verder werd hij onder </w:t>
      </w:r>
      <w:r w:rsidR="002C2F56" w:rsidRPr="003A751E">
        <w:rPr>
          <w:rFonts w:ascii="Verdana" w:hAnsi="Verdana"/>
        </w:rPr>
        <w:t>meer</w:t>
      </w:r>
      <w:r w:rsidRPr="003A751E">
        <w:rPr>
          <w:rFonts w:ascii="Verdana" w:hAnsi="Verdana"/>
        </w:rPr>
        <w:t xml:space="preserve"> beschuldigd van het voorschrijven van verkeerde behandelingen en het vervalsen van recepten</w:t>
      </w:r>
      <w:r w:rsidR="00012705">
        <w:rPr>
          <w:rFonts w:ascii="Verdana" w:hAnsi="Verdana"/>
        </w:rPr>
        <w:t>-</w:t>
      </w:r>
      <w:r w:rsidRPr="003A751E">
        <w:rPr>
          <w:rFonts w:ascii="Verdana" w:hAnsi="Verdana"/>
        </w:rPr>
        <w:t xml:space="preserve">briefjes. Daarnaast was hij ook </w:t>
      </w:r>
      <w:r w:rsidR="000E32E5">
        <w:rPr>
          <w:rFonts w:ascii="Verdana" w:hAnsi="Verdana"/>
        </w:rPr>
        <w:t xml:space="preserve">nog </w:t>
      </w:r>
      <w:r w:rsidRPr="003A751E">
        <w:rPr>
          <w:rFonts w:ascii="Verdana" w:hAnsi="Verdana"/>
        </w:rPr>
        <w:t>verslaafd aan medicijnen. In eerste aanleg werd hij hiervoor veroordeeld tot drie jaar onvoorw</w:t>
      </w:r>
      <w:r w:rsidR="0049361E" w:rsidRPr="003A751E">
        <w:rPr>
          <w:rFonts w:ascii="Verdana" w:hAnsi="Verdana"/>
        </w:rPr>
        <w:t>aardelijke gevangenisstraf. In hoger b</w:t>
      </w:r>
      <w:r w:rsidRPr="003A751E">
        <w:rPr>
          <w:rFonts w:ascii="Verdana" w:hAnsi="Verdana"/>
        </w:rPr>
        <w:t>eroep werd hij vrijgesproken voor de medische delicten. Wel kreeg hij zes maanden voorwaardelijke gevangenisstraf opgelegd voor verduistering en valsheid in geschrifte</w:t>
      </w:r>
      <w:r w:rsidRPr="003A751E">
        <w:rPr>
          <w:rStyle w:val="Voetnootmarkering"/>
          <w:rFonts w:ascii="Verdana" w:hAnsi="Verdana"/>
        </w:rPr>
        <w:footnoteReference w:id="2"/>
      </w:r>
      <w:r w:rsidRPr="003A751E">
        <w:rPr>
          <w:rFonts w:ascii="Verdana" w:hAnsi="Verdana"/>
        </w:rPr>
        <w:t xml:space="preserve">. </w:t>
      </w:r>
    </w:p>
    <w:p w:rsidR="00522896" w:rsidRPr="003A751E" w:rsidRDefault="00522896" w:rsidP="0092501F">
      <w:pPr>
        <w:spacing w:after="0" w:line="22" w:lineRule="atLeast"/>
        <w:jc w:val="both"/>
        <w:rPr>
          <w:rFonts w:ascii="Verdana" w:hAnsi="Verdana"/>
        </w:rPr>
      </w:pPr>
    </w:p>
    <w:p w:rsidR="00522896" w:rsidRPr="003A751E" w:rsidRDefault="00522896" w:rsidP="0092501F">
      <w:pPr>
        <w:spacing w:after="0" w:line="22" w:lineRule="atLeast"/>
        <w:jc w:val="both"/>
        <w:rPr>
          <w:rFonts w:ascii="Verdana" w:hAnsi="Verdana"/>
        </w:rPr>
      </w:pPr>
      <w:r w:rsidRPr="003A751E">
        <w:rPr>
          <w:rFonts w:ascii="Verdana" w:hAnsi="Verdana"/>
        </w:rPr>
        <w:t>24 maart 2015, een zwarte dag voor de luchtvaart. Een toestel van German</w:t>
      </w:r>
      <w:r w:rsidR="00012705">
        <w:rPr>
          <w:rFonts w:ascii="Verdana" w:hAnsi="Verdana"/>
        </w:rPr>
        <w:t>-</w:t>
      </w:r>
      <w:r w:rsidRPr="003A751E">
        <w:rPr>
          <w:rFonts w:ascii="Verdana" w:hAnsi="Verdana"/>
        </w:rPr>
        <w:t>wings stort neer in het Alpengebied. Later werd bekend dat de copiloot, Andreas Lubitz, het toestel moedwillig tegen</w:t>
      </w:r>
      <w:r w:rsidR="002C2F56" w:rsidRPr="003A751E">
        <w:rPr>
          <w:rFonts w:ascii="Verdana" w:hAnsi="Verdana"/>
        </w:rPr>
        <w:t xml:space="preserve"> een bergwand in</w:t>
      </w:r>
      <w:r w:rsidRPr="003A751E">
        <w:rPr>
          <w:rFonts w:ascii="Verdana" w:hAnsi="Verdana"/>
        </w:rPr>
        <w:t xml:space="preserve"> de Alpen had laten </w:t>
      </w:r>
      <w:r w:rsidR="002C2F56" w:rsidRPr="003A751E">
        <w:rPr>
          <w:rFonts w:ascii="Verdana" w:hAnsi="Verdana"/>
        </w:rPr>
        <w:t>crashen</w:t>
      </w:r>
      <w:r w:rsidR="000E32E5">
        <w:rPr>
          <w:rFonts w:ascii="Verdana" w:hAnsi="Verdana"/>
        </w:rPr>
        <w:t>. Andreas Lubitz was</w:t>
      </w:r>
      <w:r w:rsidRPr="003A751E">
        <w:rPr>
          <w:rFonts w:ascii="Verdana" w:hAnsi="Verdana"/>
        </w:rPr>
        <w:t xml:space="preserve"> onder behandeling bij verschi</w:t>
      </w:r>
      <w:r w:rsidR="000E32E5">
        <w:rPr>
          <w:rFonts w:ascii="Verdana" w:hAnsi="Verdana"/>
        </w:rPr>
        <w:t>llende artsen en psychiaters in verband met</w:t>
      </w:r>
      <w:r w:rsidRPr="003A751E">
        <w:rPr>
          <w:rFonts w:ascii="Verdana" w:hAnsi="Verdana"/>
        </w:rPr>
        <w:t xml:space="preserve"> zijn psych</w:t>
      </w:r>
      <w:r w:rsidR="00637104" w:rsidRPr="003A751E">
        <w:rPr>
          <w:rFonts w:ascii="Verdana" w:hAnsi="Verdana"/>
        </w:rPr>
        <w:t>ische</w:t>
      </w:r>
      <w:r w:rsidRPr="003A751E">
        <w:rPr>
          <w:rFonts w:ascii="Verdana" w:hAnsi="Verdana"/>
        </w:rPr>
        <w:t xml:space="preserve"> problemen, waaronder suïcide. De behandelend</w:t>
      </w:r>
      <w:r w:rsidR="00E748C8">
        <w:rPr>
          <w:rFonts w:ascii="Verdana" w:hAnsi="Verdana"/>
        </w:rPr>
        <w:t>e</w:t>
      </w:r>
      <w:r w:rsidRPr="003A751E">
        <w:rPr>
          <w:rFonts w:ascii="Verdana" w:hAnsi="Verdana"/>
        </w:rPr>
        <w:t xml:space="preserve"> artsen en psychiaters hadden niet aan de bel getrokken en Germanwings was niet op de hoogte van de</w:t>
      </w:r>
      <w:r w:rsidR="000E32E5">
        <w:rPr>
          <w:rFonts w:ascii="Verdana" w:hAnsi="Verdana"/>
        </w:rPr>
        <w:t>ze</w:t>
      </w:r>
      <w:r w:rsidRPr="003A751E">
        <w:rPr>
          <w:rFonts w:ascii="Verdana" w:hAnsi="Verdana"/>
        </w:rPr>
        <w:t xml:space="preserve"> psych</w:t>
      </w:r>
      <w:r w:rsidR="00637104" w:rsidRPr="003A751E">
        <w:rPr>
          <w:rFonts w:ascii="Verdana" w:hAnsi="Verdana"/>
        </w:rPr>
        <w:t>ische</w:t>
      </w:r>
      <w:r w:rsidRPr="003A751E">
        <w:rPr>
          <w:rFonts w:ascii="Verdana" w:hAnsi="Verdana"/>
        </w:rPr>
        <w:t xml:space="preserve"> problemen van </w:t>
      </w:r>
      <w:r w:rsidR="00FF7C8F" w:rsidRPr="003A751E">
        <w:rPr>
          <w:rFonts w:ascii="Verdana" w:hAnsi="Verdana"/>
        </w:rPr>
        <w:t>de piloot</w:t>
      </w:r>
      <w:r w:rsidRPr="003A751E">
        <w:rPr>
          <w:rStyle w:val="Voetnootmarkering"/>
          <w:rFonts w:ascii="Verdana" w:hAnsi="Verdana"/>
        </w:rPr>
        <w:footnoteReference w:id="3"/>
      </w:r>
      <w:r w:rsidRPr="003A751E">
        <w:rPr>
          <w:rFonts w:ascii="Verdana" w:hAnsi="Verdana"/>
        </w:rPr>
        <w:t xml:space="preserve">. </w:t>
      </w:r>
    </w:p>
    <w:p w:rsidR="00522896" w:rsidRPr="003A751E" w:rsidRDefault="00522896" w:rsidP="0092501F">
      <w:pPr>
        <w:spacing w:after="0" w:line="22" w:lineRule="atLeast"/>
        <w:jc w:val="both"/>
        <w:rPr>
          <w:rFonts w:ascii="Verdana" w:hAnsi="Verdana"/>
        </w:rPr>
      </w:pPr>
    </w:p>
    <w:p w:rsidR="00522896" w:rsidRPr="003A751E" w:rsidRDefault="00522896" w:rsidP="0092501F">
      <w:pPr>
        <w:spacing w:after="0" w:line="22" w:lineRule="atLeast"/>
        <w:jc w:val="both"/>
        <w:rPr>
          <w:rFonts w:ascii="Verdana" w:hAnsi="Verdana"/>
        </w:rPr>
      </w:pPr>
      <w:r w:rsidRPr="003A751E">
        <w:rPr>
          <w:rFonts w:ascii="Verdana" w:hAnsi="Verdana"/>
        </w:rPr>
        <w:t>Deze twee, extreme, voorbeelden haal ik aan omdat beide zaken één overeen</w:t>
      </w:r>
      <w:r w:rsidR="00012705">
        <w:rPr>
          <w:rFonts w:ascii="Verdana" w:hAnsi="Verdana"/>
        </w:rPr>
        <w:t>-</w:t>
      </w:r>
      <w:r w:rsidRPr="003A751E">
        <w:rPr>
          <w:rFonts w:ascii="Verdana" w:hAnsi="Verdana"/>
        </w:rPr>
        <w:t>komst hebben: er is een beroepsbeoefenaar bij betrokken die een beroeps</w:t>
      </w:r>
      <w:r w:rsidR="00012705">
        <w:rPr>
          <w:rFonts w:ascii="Verdana" w:hAnsi="Verdana"/>
        </w:rPr>
        <w:t>-</w:t>
      </w:r>
      <w:r w:rsidRPr="003A751E">
        <w:rPr>
          <w:rFonts w:ascii="Verdana" w:hAnsi="Verdana"/>
        </w:rPr>
        <w:t xml:space="preserve">geheim heeft. In de zaak van Ernst Jansen Steur is de hulpverlener zelf degene die onderwerp is van het strafrechtelijk onderzoek, in de zaak van Germanwings is het de cliënt/patiënt van de artsen en psychiaters die onderwerp is van het strafrechtelijk onderzoek. </w:t>
      </w:r>
    </w:p>
    <w:p w:rsidR="00522896" w:rsidRPr="003A751E" w:rsidRDefault="00522896" w:rsidP="0092501F">
      <w:pPr>
        <w:spacing w:after="0" w:line="22" w:lineRule="atLeast"/>
        <w:jc w:val="both"/>
        <w:rPr>
          <w:rFonts w:ascii="Verdana" w:hAnsi="Verdana"/>
        </w:rPr>
      </w:pPr>
    </w:p>
    <w:p w:rsidR="00522896" w:rsidRPr="003A751E" w:rsidRDefault="00522896" w:rsidP="0092501F">
      <w:pPr>
        <w:spacing w:after="0" w:line="22" w:lineRule="atLeast"/>
        <w:jc w:val="both"/>
        <w:rPr>
          <w:rFonts w:ascii="Verdana" w:hAnsi="Verdana"/>
        </w:rPr>
      </w:pPr>
      <w:r w:rsidRPr="003A751E">
        <w:rPr>
          <w:rFonts w:ascii="Verdana" w:hAnsi="Verdana"/>
        </w:rPr>
        <w:t>In Nederland hebben bepaalde beroepsbeoefenaren een geheimhoudingsplicht. Ook in het geval van een strafrechtelijk (voor-) onderzoek hebben zij een geheimhoudingsplicht en kunnen zij zich beroepen op hun verschoningsrecht. Hoewel de geheimhoudingsplicht van zeer groot belang is, is het natuurlijk ook niet de bedoeling dat beroepsbeoefenaren met een geheimhoudingsplicht of diens cliënten/patiënten onder hun straf</w:t>
      </w:r>
      <w:r w:rsidR="00CA3B5F" w:rsidRPr="003A751E">
        <w:rPr>
          <w:rFonts w:ascii="Verdana" w:hAnsi="Verdana"/>
        </w:rPr>
        <w:t xml:space="preserve"> kunnen</w:t>
      </w:r>
      <w:r w:rsidRPr="003A751E">
        <w:rPr>
          <w:rFonts w:ascii="Verdana" w:hAnsi="Verdana"/>
        </w:rPr>
        <w:t xml:space="preserve"> uitkomen in geval van een strafbaar feit. Kan een beroepsbeoefenaar zich in iedere sit</w:t>
      </w:r>
      <w:r w:rsidR="00012705">
        <w:rPr>
          <w:rFonts w:ascii="Verdana" w:hAnsi="Verdana"/>
        </w:rPr>
        <w:t>uatie</w:t>
      </w:r>
      <w:r w:rsidRPr="003A751E">
        <w:rPr>
          <w:rFonts w:ascii="Verdana" w:hAnsi="Verdana"/>
        </w:rPr>
        <w:t xml:space="preserve"> altijd blijven verschuilen achter zijn geheimhoudingsplicht en verschoningsrecht of zijn er ook situaties mogelijk waarin dit </w:t>
      </w:r>
      <w:r w:rsidR="00CA3B5F" w:rsidRPr="003A751E">
        <w:rPr>
          <w:rFonts w:ascii="Verdana" w:hAnsi="Verdana"/>
        </w:rPr>
        <w:t>kan worden doorbroken</w:t>
      </w:r>
      <w:r w:rsidRPr="003A751E">
        <w:rPr>
          <w:rFonts w:ascii="Verdana" w:hAnsi="Verdana"/>
        </w:rPr>
        <w:t xml:space="preserve">?  </w:t>
      </w:r>
    </w:p>
    <w:p w:rsidR="00522896" w:rsidRDefault="00522896" w:rsidP="0092501F">
      <w:pPr>
        <w:spacing w:after="0" w:line="22" w:lineRule="atLeast"/>
        <w:rPr>
          <w:rFonts w:ascii="Verdana" w:hAnsi="Verdana"/>
          <w:b/>
          <w:sz w:val="36"/>
        </w:rPr>
      </w:pPr>
    </w:p>
    <w:p w:rsidR="003A751E" w:rsidRDefault="003A751E" w:rsidP="0092501F">
      <w:pPr>
        <w:spacing w:after="200" w:line="22" w:lineRule="atLeast"/>
        <w:rPr>
          <w:rFonts w:ascii="Verdana" w:hAnsi="Verdana"/>
          <w:b/>
          <w:sz w:val="36"/>
        </w:rPr>
      </w:pPr>
      <w:r>
        <w:rPr>
          <w:rFonts w:ascii="Verdana" w:hAnsi="Verdana"/>
          <w:b/>
          <w:sz w:val="36"/>
        </w:rPr>
        <w:br w:type="page"/>
      </w:r>
    </w:p>
    <w:p w:rsidR="00522896" w:rsidRPr="00522896" w:rsidRDefault="00522896" w:rsidP="0092501F">
      <w:pPr>
        <w:pStyle w:val="Kop1"/>
        <w:spacing w:before="0" w:line="22" w:lineRule="atLeast"/>
        <w:rPr>
          <w:rFonts w:ascii="Verdana" w:hAnsi="Verdana"/>
          <w:b/>
          <w:sz w:val="36"/>
        </w:rPr>
      </w:pPr>
      <w:bookmarkStart w:id="4" w:name="_Toc451894976"/>
      <w:r w:rsidRPr="00522896">
        <w:rPr>
          <w:rFonts w:ascii="Verdana" w:hAnsi="Verdana"/>
          <w:b/>
          <w:sz w:val="36"/>
        </w:rPr>
        <w:lastRenderedPageBreak/>
        <w:t>2. Het praktijkprobleem</w:t>
      </w:r>
      <w:r w:rsidR="00AF4DAF">
        <w:rPr>
          <w:rFonts w:ascii="Verdana" w:hAnsi="Verdana"/>
          <w:b/>
          <w:sz w:val="36"/>
        </w:rPr>
        <w:t xml:space="preserve"> in kaart</w:t>
      </w:r>
      <w:r w:rsidR="006B7B44">
        <w:rPr>
          <w:rFonts w:ascii="Verdana" w:hAnsi="Verdana"/>
          <w:b/>
          <w:sz w:val="36"/>
        </w:rPr>
        <w:t xml:space="preserve"> gebracht</w:t>
      </w:r>
      <w:bookmarkEnd w:id="4"/>
    </w:p>
    <w:p w:rsidR="00522896" w:rsidRPr="00D748A8" w:rsidRDefault="00522896" w:rsidP="0092501F">
      <w:pPr>
        <w:pStyle w:val="Kop2"/>
        <w:spacing w:before="0" w:line="22" w:lineRule="atLeast"/>
        <w:rPr>
          <w:rFonts w:ascii="Verdana" w:hAnsi="Verdana"/>
        </w:rPr>
      </w:pPr>
      <w:bookmarkStart w:id="5" w:name="_Toc451894977"/>
      <w:r w:rsidRPr="009D5DEC">
        <w:rPr>
          <w:rFonts w:ascii="Verdana" w:hAnsi="Verdana"/>
        </w:rPr>
        <w:t>2.1 De theorie</w:t>
      </w:r>
      <w:r w:rsidR="007150B8">
        <w:rPr>
          <w:rFonts w:ascii="Verdana" w:hAnsi="Verdana"/>
        </w:rPr>
        <w:t> </w:t>
      </w:r>
      <w:r w:rsidR="00AF4DAF" w:rsidRPr="009D5DEC">
        <w:rPr>
          <w:rFonts w:ascii="Verdana" w:hAnsi="Verdana"/>
        </w:rPr>
        <w:t>en de praktijk</w:t>
      </w:r>
      <w:bookmarkEnd w:id="5"/>
    </w:p>
    <w:p w:rsidR="00522896" w:rsidRPr="003A751E" w:rsidRDefault="00C6304B" w:rsidP="0092501F">
      <w:pPr>
        <w:spacing w:after="0" w:line="22" w:lineRule="atLeast"/>
        <w:jc w:val="both"/>
        <w:rPr>
          <w:rFonts w:ascii="Verdana" w:hAnsi="Verdana"/>
        </w:rPr>
      </w:pPr>
      <w:r w:rsidRPr="003A751E">
        <w:rPr>
          <w:rFonts w:ascii="Verdana" w:hAnsi="Verdana"/>
        </w:rPr>
        <w:t>Zoals aangegeven hebben verschillende beroepsbeoefenaren een geheim</w:t>
      </w:r>
      <w:r w:rsidR="00F46B0C">
        <w:rPr>
          <w:rFonts w:ascii="Verdana" w:hAnsi="Verdana"/>
        </w:rPr>
        <w:t>-</w:t>
      </w:r>
      <w:r w:rsidRPr="003A751E">
        <w:rPr>
          <w:rFonts w:ascii="Verdana" w:hAnsi="Verdana"/>
        </w:rPr>
        <w:t>houdingsplicht,</w:t>
      </w:r>
      <w:r w:rsidR="00522896" w:rsidRPr="003A751E">
        <w:rPr>
          <w:rFonts w:ascii="Verdana" w:hAnsi="Verdana"/>
        </w:rPr>
        <w:t xml:space="preserve"> maar </w:t>
      </w:r>
      <w:r w:rsidR="00F80D7F">
        <w:rPr>
          <w:rFonts w:ascii="Verdana" w:hAnsi="Verdana"/>
        </w:rPr>
        <w:t>di</w:t>
      </w:r>
      <w:r w:rsidR="006C39BC" w:rsidRPr="003A751E">
        <w:rPr>
          <w:rFonts w:ascii="Verdana" w:hAnsi="Verdana"/>
        </w:rPr>
        <w:t xml:space="preserve">t betekent </w:t>
      </w:r>
      <w:r w:rsidR="00522896" w:rsidRPr="003A751E">
        <w:rPr>
          <w:rFonts w:ascii="Verdana" w:hAnsi="Verdana"/>
        </w:rPr>
        <w:t xml:space="preserve">niet </w:t>
      </w:r>
      <w:r w:rsidR="006C39BC" w:rsidRPr="003A751E">
        <w:rPr>
          <w:rFonts w:ascii="Verdana" w:hAnsi="Verdana"/>
        </w:rPr>
        <w:t xml:space="preserve">dat </w:t>
      </w:r>
      <w:r w:rsidR="00522896" w:rsidRPr="003A751E">
        <w:rPr>
          <w:rFonts w:ascii="Verdana" w:hAnsi="Verdana"/>
        </w:rPr>
        <w:t xml:space="preserve">iedere beroepsbeoefenaar </w:t>
      </w:r>
      <w:r w:rsidR="006C39BC" w:rsidRPr="003A751E">
        <w:rPr>
          <w:rFonts w:ascii="Verdana" w:hAnsi="Verdana"/>
        </w:rPr>
        <w:t>met een geheimhoudingsplicht</w:t>
      </w:r>
      <w:r w:rsidR="00522896" w:rsidRPr="003A751E">
        <w:rPr>
          <w:rFonts w:ascii="Verdana" w:hAnsi="Verdana"/>
        </w:rPr>
        <w:t xml:space="preserve"> aanspraak</w:t>
      </w:r>
      <w:r w:rsidR="006C39BC" w:rsidRPr="003A751E">
        <w:rPr>
          <w:rFonts w:ascii="Verdana" w:hAnsi="Verdana"/>
        </w:rPr>
        <w:t xml:space="preserve"> kan</w:t>
      </w:r>
      <w:r w:rsidR="00CA3B5F" w:rsidRPr="003A751E">
        <w:rPr>
          <w:rFonts w:ascii="Verdana" w:hAnsi="Verdana"/>
        </w:rPr>
        <w:t xml:space="preserve"> maken</w:t>
      </w:r>
      <w:r w:rsidR="00522896" w:rsidRPr="003A751E">
        <w:rPr>
          <w:rFonts w:ascii="Verdana" w:hAnsi="Verdana"/>
        </w:rPr>
        <w:t xml:space="preserve"> op het verschoningsrecht. Door de Hoge Raad is in het arrest Ogem/notaris Maas</w:t>
      </w:r>
      <w:r w:rsidR="00522896" w:rsidRPr="003A751E">
        <w:rPr>
          <w:rStyle w:val="Voetnootmarkering"/>
          <w:rFonts w:ascii="Verdana" w:hAnsi="Verdana"/>
        </w:rPr>
        <w:footnoteReference w:id="4"/>
      </w:r>
      <w:r w:rsidR="00522896" w:rsidRPr="003A751E">
        <w:rPr>
          <w:rFonts w:ascii="Verdana" w:hAnsi="Verdana"/>
        </w:rPr>
        <w:t xml:space="preserve"> aan een beperkte groep van personen die uit hoofde van de aard van hun maatschappelijke functie verplicht zijn tot geheimhouding van al hetgeen hun in hun hoedanigheid wordt toever</w:t>
      </w:r>
      <w:r w:rsidR="00F46B0C">
        <w:rPr>
          <w:rFonts w:ascii="Verdana" w:hAnsi="Verdana"/>
        </w:rPr>
        <w:t>-</w:t>
      </w:r>
      <w:r w:rsidR="00522896" w:rsidRPr="003A751E">
        <w:rPr>
          <w:rFonts w:ascii="Verdana" w:hAnsi="Verdana"/>
        </w:rPr>
        <w:t>trouwd een verschoningsrecht toegekend. Een voorwaarde voor het verscho</w:t>
      </w:r>
      <w:r w:rsidR="00F46B0C">
        <w:rPr>
          <w:rFonts w:ascii="Verdana" w:hAnsi="Verdana"/>
        </w:rPr>
        <w:t>-</w:t>
      </w:r>
      <w:r w:rsidR="00522896" w:rsidRPr="003A751E">
        <w:rPr>
          <w:rFonts w:ascii="Verdana" w:hAnsi="Verdana"/>
        </w:rPr>
        <w:t>ningsrecht is dus een geheimhoudingsplicht; de persoon moet een zodanige functie hebben dat hij tot geheimhouding verplicht is</w:t>
      </w:r>
      <w:r w:rsidR="00522896" w:rsidRPr="003A751E">
        <w:rPr>
          <w:rStyle w:val="Voetnootmarkering"/>
          <w:rFonts w:ascii="Verdana" w:hAnsi="Verdana"/>
        </w:rPr>
        <w:footnoteReference w:id="5"/>
      </w:r>
      <w:r w:rsidR="00522896" w:rsidRPr="003A751E">
        <w:rPr>
          <w:rFonts w:ascii="Verdana" w:hAnsi="Verdana"/>
        </w:rPr>
        <w:t xml:space="preserve">. Deze groep </w:t>
      </w:r>
      <w:r w:rsidR="00F80D7F">
        <w:rPr>
          <w:rFonts w:ascii="Verdana" w:hAnsi="Verdana"/>
        </w:rPr>
        <w:t>behelst onder andere</w:t>
      </w:r>
      <w:r w:rsidR="005D5E25" w:rsidRPr="003A751E">
        <w:rPr>
          <w:rFonts w:ascii="Verdana" w:hAnsi="Verdana"/>
        </w:rPr>
        <w:t>:</w:t>
      </w:r>
      <w:r w:rsidR="007150B8">
        <w:rPr>
          <w:rFonts w:ascii="Verdana" w:hAnsi="Verdana"/>
        </w:rPr>
        <w:t> </w:t>
      </w:r>
      <w:r w:rsidR="005D5E25" w:rsidRPr="003A751E">
        <w:rPr>
          <w:rFonts w:ascii="Verdana" w:hAnsi="Verdana"/>
        </w:rPr>
        <w:t>medici</w:t>
      </w:r>
      <w:r w:rsidR="005D5E25" w:rsidRPr="003A751E">
        <w:rPr>
          <w:rStyle w:val="Voetnootmarkering"/>
          <w:rFonts w:ascii="Verdana" w:hAnsi="Verdana"/>
        </w:rPr>
        <w:footnoteReference w:id="6"/>
      </w:r>
      <w:r w:rsidR="005D5E25" w:rsidRPr="003A751E">
        <w:rPr>
          <w:rFonts w:ascii="Verdana" w:hAnsi="Verdana"/>
        </w:rPr>
        <w:t>, notarissen</w:t>
      </w:r>
      <w:r w:rsidR="005D5E25" w:rsidRPr="003A751E">
        <w:rPr>
          <w:rStyle w:val="Voetnootmarkering"/>
          <w:rFonts w:ascii="Verdana" w:hAnsi="Verdana"/>
        </w:rPr>
        <w:footnoteReference w:id="7"/>
      </w:r>
      <w:r w:rsidR="005D5E25" w:rsidRPr="003A751E">
        <w:rPr>
          <w:rFonts w:ascii="Verdana" w:hAnsi="Verdana"/>
        </w:rPr>
        <w:t xml:space="preserve"> en </w:t>
      </w:r>
      <w:r w:rsidR="00522896" w:rsidRPr="003A751E">
        <w:rPr>
          <w:rFonts w:ascii="Verdana" w:hAnsi="Verdana"/>
        </w:rPr>
        <w:t>advocaten</w:t>
      </w:r>
      <w:r w:rsidR="00522896" w:rsidRPr="003A751E">
        <w:rPr>
          <w:rStyle w:val="Voetnootmarkering"/>
          <w:rFonts w:ascii="Verdana" w:hAnsi="Verdana"/>
        </w:rPr>
        <w:footnoteReference w:id="8"/>
      </w:r>
      <w:r w:rsidR="00522896" w:rsidRPr="003A751E">
        <w:rPr>
          <w:rFonts w:ascii="Verdana" w:hAnsi="Verdana"/>
        </w:rPr>
        <w:t xml:space="preserve">. </w:t>
      </w:r>
      <w:r w:rsidR="000A3334" w:rsidRPr="003A751E">
        <w:rPr>
          <w:rFonts w:ascii="Verdana" w:hAnsi="Verdana"/>
        </w:rPr>
        <w:t xml:space="preserve">Dit zijn de zogenoemde klassieke verschoningsgerechtigden. </w:t>
      </w:r>
      <w:r w:rsidR="00522896" w:rsidRPr="003A751E">
        <w:rPr>
          <w:rFonts w:ascii="Verdana" w:hAnsi="Verdana"/>
        </w:rPr>
        <w:t>De geheimhoudingsplicht bij deze beroepsgroepen is van groot belang, het is namelijk belangrijk dat iedereen vrijelijk naar hen</w:t>
      </w:r>
      <w:r w:rsidR="00CA3B5F" w:rsidRPr="003A751E">
        <w:rPr>
          <w:rFonts w:ascii="Verdana" w:hAnsi="Verdana"/>
        </w:rPr>
        <w:t xml:space="preserve"> kan</w:t>
      </w:r>
      <w:r w:rsidR="00C54E41">
        <w:rPr>
          <w:rFonts w:ascii="Verdana" w:hAnsi="Verdana"/>
        </w:rPr>
        <w:t xml:space="preserve"> toe gaan</w:t>
      </w:r>
      <w:r w:rsidR="00012705">
        <w:rPr>
          <w:rFonts w:ascii="Verdana" w:hAnsi="Verdana"/>
        </w:rPr>
        <w:t xml:space="preserve"> met zijn probleem</w:t>
      </w:r>
      <w:r w:rsidR="00F12A71" w:rsidRPr="003A751E">
        <w:rPr>
          <w:rFonts w:ascii="Verdana" w:hAnsi="Verdana"/>
        </w:rPr>
        <w:t>. Dat het belangrijk is,</w:t>
      </w:r>
      <w:r w:rsidR="00522896" w:rsidRPr="003A751E">
        <w:rPr>
          <w:rFonts w:ascii="Verdana" w:hAnsi="Verdana"/>
        </w:rPr>
        <w:t xml:space="preserve"> wordt onderstreept door het feit dat in de wet op verschillende plaatsen de geheimhoudingsplicht voor deze beroepsbeoefenaren is opgenomen. Voor medici is de geheimhoudingsplicht opgenomen in de artikelen 88 Wet BIG en 457 WGBO, voor de notaris is deze opgenomen in artikel 22 WNA en voor de advocaat is deze opgenomen in de artikelen 10a lid 1 onder </w:t>
      </w:r>
      <w:r w:rsidR="00F80D7F">
        <w:rPr>
          <w:rFonts w:ascii="Verdana" w:hAnsi="Verdana"/>
        </w:rPr>
        <w:t xml:space="preserve">e </w:t>
      </w:r>
      <w:r w:rsidR="00522896" w:rsidRPr="003A751E">
        <w:rPr>
          <w:rFonts w:ascii="Verdana" w:hAnsi="Verdana"/>
        </w:rPr>
        <w:t>en 11a van de Advocatenwet. De algemene geheim</w:t>
      </w:r>
      <w:r w:rsidR="00F46B0C">
        <w:rPr>
          <w:rFonts w:ascii="Verdana" w:hAnsi="Verdana"/>
        </w:rPr>
        <w:t>-</w:t>
      </w:r>
      <w:r w:rsidR="00522896" w:rsidRPr="003A751E">
        <w:rPr>
          <w:rFonts w:ascii="Verdana" w:hAnsi="Verdana"/>
        </w:rPr>
        <w:t xml:space="preserve">houdingsplicht is neergelegd in artikel 272 Sr. </w:t>
      </w:r>
    </w:p>
    <w:p w:rsidR="00522896" w:rsidRPr="003A751E" w:rsidRDefault="00522896" w:rsidP="0092501F">
      <w:pPr>
        <w:spacing w:after="0" w:line="22" w:lineRule="atLeast"/>
        <w:jc w:val="both"/>
        <w:rPr>
          <w:rFonts w:ascii="Verdana" w:hAnsi="Verdana"/>
        </w:rPr>
      </w:pPr>
    </w:p>
    <w:p w:rsidR="00522896" w:rsidRPr="003A751E" w:rsidRDefault="00522896" w:rsidP="0092501F">
      <w:pPr>
        <w:spacing w:after="0" w:line="22" w:lineRule="atLeast"/>
        <w:jc w:val="both"/>
        <w:rPr>
          <w:rFonts w:ascii="Verdana" w:hAnsi="Verdana"/>
        </w:rPr>
      </w:pPr>
      <w:r w:rsidRPr="003A751E">
        <w:rPr>
          <w:rFonts w:ascii="Verdana" w:hAnsi="Verdana"/>
        </w:rPr>
        <w:t>Er zijn echter momenten waaro</w:t>
      </w:r>
      <w:r w:rsidR="0063687A">
        <w:rPr>
          <w:rFonts w:ascii="Verdana" w:hAnsi="Verdana"/>
        </w:rPr>
        <w:t>p de maatschappij de waarheids</w:t>
      </w:r>
      <w:r w:rsidRPr="003A751E">
        <w:rPr>
          <w:rFonts w:ascii="Verdana" w:hAnsi="Verdana"/>
        </w:rPr>
        <w:t>vinding en/of het vervolgen van een strafbaar feit liever ziet prevaleren boven de geheim</w:t>
      </w:r>
      <w:r w:rsidR="00C54E41">
        <w:rPr>
          <w:rFonts w:ascii="Verdana" w:hAnsi="Verdana"/>
        </w:rPr>
        <w:t>-</w:t>
      </w:r>
      <w:r w:rsidRPr="003A751E">
        <w:rPr>
          <w:rFonts w:ascii="Verdana" w:hAnsi="Verdana"/>
        </w:rPr>
        <w:t xml:space="preserve">houdingsplicht. Ook het Openbaar Ministerie verwacht medewerking van de beroepsbeoefenaar. Maar het beroep op het verschoningsrecht is bij deze beroepsbeoefenaren soms niet eens een keuze, maar een verplichting op grond van de voor hen geldende regels. Zij zullen dus niet te allen tijde zomaar medewerking </w:t>
      </w:r>
      <w:r w:rsidR="00F12A71" w:rsidRPr="003A751E">
        <w:rPr>
          <w:rFonts w:ascii="Verdana" w:hAnsi="Verdana"/>
        </w:rPr>
        <w:t>(</w:t>
      </w:r>
      <w:r w:rsidRPr="003A751E">
        <w:rPr>
          <w:rFonts w:ascii="Verdana" w:hAnsi="Verdana"/>
        </w:rPr>
        <w:t>kunnen</w:t>
      </w:r>
      <w:r w:rsidR="002A0D2D">
        <w:rPr>
          <w:rFonts w:ascii="Verdana" w:hAnsi="Verdana"/>
        </w:rPr>
        <w:t>/mogen</w:t>
      </w:r>
      <w:r w:rsidR="00F12A71" w:rsidRPr="003A751E">
        <w:rPr>
          <w:rFonts w:ascii="Verdana" w:hAnsi="Verdana"/>
        </w:rPr>
        <w:t>)</w:t>
      </w:r>
      <w:r w:rsidRPr="003A751E">
        <w:rPr>
          <w:rFonts w:ascii="Verdana" w:hAnsi="Verdana"/>
        </w:rPr>
        <w:t xml:space="preserve"> verlenen. </w:t>
      </w:r>
    </w:p>
    <w:p w:rsidR="00522896" w:rsidRPr="003A751E" w:rsidRDefault="00522896" w:rsidP="0092501F">
      <w:pPr>
        <w:spacing w:after="0" w:line="22" w:lineRule="atLeast"/>
        <w:jc w:val="both"/>
        <w:rPr>
          <w:rFonts w:ascii="Verdana" w:hAnsi="Verdana"/>
        </w:rPr>
      </w:pPr>
    </w:p>
    <w:p w:rsidR="00522896" w:rsidRPr="003A751E" w:rsidRDefault="00522896" w:rsidP="0092501F">
      <w:pPr>
        <w:spacing w:after="0" w:line="22" w:lineRule="atLeast"/>
        <w:jc w:val="both"/>
        <w:rPr>
          <w:rFonts w:ascii="Verdana" w:hAnsi="Verdana"/>
        </w:rPr>
      </w:pPr>
      <w:r w:rsidRPr="003A751E">
        <w:rPr>
          <w:rFonts w:ascii="Verdana" w:hAnsi="Verdana"/>
        </w:rPr>
        <w:t>Het verschoningsrecht wordt onder andere een probleem in het geval dat de Officier van Justitie of de rechter-comm</w:t>
      </w:r>
      <w:r w:rsidR="00CA3B5F" w:rsidRPr="003A751E">
        <w:rPr>
          <w:rFonts w:ascii="Verdana" w:hAnsi="Verdana"/>
        </w:rPr>
        <w:t>issaris gegevens in beslag wil</w:t>
      </w:r>
      <w:r w:rsidRPr="003A751E">
        <w:rPr>
          <w:rFonts w:ascii="Verdana" w:hAnsi="Verdana"/>
        </w:rPr>
        <w:t xml:space="preserve"> nemen bij de verschoningsgerechtigde beroepsbeoefenaar. Een rechter-commissaris kan</w:t>
      </w:r>
      <w:r w:rsidR="002B568F">
        <w:rPr>
          <w:rFonts w:ascii="Verdana" w:hAnsi="Verdana"/>
        </w:rPr>
        <w:t xml:space="preserve"> zelf,</w:t>
      </w:r>
      <w:r w:rsidRPr="003A751E">
        <w:rPr>
          <w:rFonts w:ascii="Verdana" w:hAnsi="Verdana"/>
        </w:rPr>
        <w:t xml:space="preserve"> op grond van artikel 104 Sv</w:t>
      </w:r>
      <w:r w:rsidR="002B568F">
        <w:rPr>
          <w:rFonts w:ascii="Verdana" w:hAnsi="Verdana"/>
        </w:rPr>
        <w:t>,</w:t>
      </w:r>
      <w:r w:rsidRPr="003A751E">
        <w:rPr>
          <w:rFonts w:ascii="Verdana" w:hAnsi="Verdana"/>
        </w:rPr>
        <w:t xml:space="preserve"> overgaan tot inbeslagname van gegevens maar kan dit ook doen op vordering van de Officier van Justitie. In artikel 98 lid 1 Sv is te lezen dat inbeslagname van brieven of andere geschriften slechts mog</w:t>
      </w:r>
      <w:r w:rsidR="002B568F">
        <w:rPr>
          <w:rFonts w:ascii="Verdana" w:hAnsi="Verdana"/>
        </w:rPr>
        <w:t>elijk is indien de verschonings</w:t>
      </w:r>
      <w:r w:rsidRPr="003A751E">
        <w:rPr>
          <w:rFonts w:ascii="Verdana" w:hAnsi="Verdana"/>
        </w:rPr>
        <w:t>gerechtigde hiertoe toestemming geeft. De verschonings</w:t>
      </w:r>
      <w:r w:rsidR="002B568F">
        <w:rPr>
          <w:rFonts w:ascii="Verdana" w:hAnsi="Verdana"/>
        </w:rPr>
        <w:t>-</w:t>
      </w:r>
      <w:r w:rsidRPr="003A751E">
        <w:rPr>
          <w:rFonts w:ascii="Verdana" w:hAnsi="Verdana"/>
        </w:rPr>
        <w:t xml:space="preserve">gerechtigde beroepsbeoefenaar zal die toestemming in de meeste gevallen niet (kunnen/mogen) geven. </w:t>
      </w:r>
    </w:p>
    <w:p w:rsidR="003A751E" w:rsidRDefault="003A751E" w:rsidP="0092501F">
      <w:pPr>
        <w:spacing w:after="0" w:line="22" w:lineRule="atLeast"/>
        <w:jc w:val="both"/>
        <w:rPr>
          <w:rFonts w:ascii="Verdana" w:hAnsi="Verdana"/>
        </w:rPr>
      </w:pPr>
    </w:p>
    <w:p w:rsidR="00522896" w:rsidRPr="003A751E" w:rsidRDefault="00522896" w:rsidP="0092501F">
      <w:pPr>
        <w:spacing w:after="0" w:line="22" w:lineRule="atLeast"/>
        <w:jc w:val="both"/>
        <w:rPr>
          <w:rFonts w:ascii="Verdana" w:hAnsi="Verdana"/>
        </w:rPr>
      </w:pPr>
      <w:r w:rsidRPr="003A751E">
        <w:rPr>
          <w:rFonts w:ascii="Verdana" w:hAnsi="Verdana"/>
        </w:rPr>
        <w:t xml:space="preserve">In de praktijk </w:t>
      </w:r>
      <w:r w:rsidR="00C54E41">
        <w:rPr>
          <w:rFonts w:ascii="Verdana" w:hAnsi="Verdana"/>
        </w:rPr>
        <w:t>ziet men</w:t>
      </w:r>
      <w:r w:rsidR="00D06C41" w:rsidRPr="003A751E">
        <w:rPr>
          <w:rFonts w:ascii="Verdana" w:hAnsi="Verdana"/>
        </w:rPr>
        <w:t xml:space="preserve"> dat,</w:t>
      </w:r>
      <w:r w:rsidRPr="003A751E">
        <w:rPr>
          <w:rFonts w:ascii="Verdana" w:hAnsi="Verdana"/>
        </w:rPr>
        <w:t xml:space="preserve"> indien de verschonin</w:t>
      </w:r>
      <w:r w:rsidR="006C39BC" w:rsidRPr="003A751E">
        <w:rPr>
          <w:rFonts w:ascii="Verdana" w:hAnsi="Verdana"/>
        </w:rPr>
        <w:t>gsgerechtigde beroepsbe</w:t>
      </w:r>
      <w:r w:rsidR="00C54E41">
        <w:rPr>
          <w:rFonts w:ascii="Verdana" w:hAnsi="Verdana"/>
        </w:rPr>
        <w:t>-</w:t>
      </w:r>
      <w:r w:rsidR="006C39BC" w:rsidRPr="003A751E">
        <w:rPr>
          <w:rFonts w:ascii="Verdana" w:hAnsi="Verdana"/>
        </w:rPr>
        <w:t>oefenaar</w:t>
      </w:r>
      <w:r w:rsidRPr="003A751E">
        <w:rPr>
          <w:rFonts w:ascii="Verdana" w:hAnsi="Verdana"/>
        </w:rPr>
        <w:t xml:space="preserve"> geen toestemming geeft, de gegevens alsnog in beslag </w:t>
      </w:r>
      <w:r w:rsidR="006C39BC" w:rsidRPr="003A751E">
        <w:rPr>
          <w:rFonts w:ascii="Verdana" w:hAnsi="Verdana"/>
        </w:rPr>
        <w:t>worden genomen</w:t>
      </w:r>
      <w:r w:rsidRPr="003A751E">
        <w:rPr>
          <w:rFonts w:ascii="Verdana" w:hAnsi="Verdana"/>
        </w:rPr>
        <w:t xml:space="preserve">. </w:t>
      </w:r>
      <w:r w:rsidR="00F36EC5" w:rsidRPr="003A751E">
        <w:rPr>
          <w:rFonts w:ascii="Verdana" w:hAnsi="Verdana"/>
        </w:rPr>
        <w:t>Dit wordt gedaan zodat d</w:t>
      </w:r>
      <w:r w:rsidR="002A0D2D">
        <w:rPr>
          <w:rFonts w:ascii="Verdana" w:hAnsi="Verdana"/>
        </w:rPr>
        <w:t>e gegevens in ieder geval</w:t>
      </w:r>
      <w:r w:rsidR="00E748C8">
        <w:rPr>
          <w:rFonts w:ascii="Verdana" w:hAnsi="Verdana"/>
        </w:rPr>
        <w:t> </w:t>
      </w:r>
      <w:r w:rsidR="002B568F">
        <w:rPr>
          <w:rFonts w:ascii="Verdana" w:hAnsi="Verdana"/>
        </w:rPr>
        <w:t xml:space="preserve">kunnen worden </w:t>
      </w:r>
      <w:r w:rsidR="002A0D2D">
        <w:rPr>
          <w:rFonts w:ascii="Verdana" w:hAnsi="Verdana"/>
        </w:rPr>
        <w:t>veiliggesteld en er niet mee kan worden geromm</w:t>
      </w:r>
      <w:r w:rsidR="00E748C8">
        <w:rPr>
          <w:rFonts w:ascii="Verdana" w:hAnsi="Verdana"/>
        </w:rPr>
        <w:t>eld of</w:t>
      </w:r>
      <w:r w:rsidR="002A0D2D">
        <w:rPr>
          <w:rFonts w:ascii="Verdana" w:hAnsi="Verdana"/>
        </w:rPr>
        <w:t xml:space="preserve"> worden verduisterd. </w:t>
      </w:r>
      <w:r w:rsidRPr="003A751E">
        <w:rPr>
          <w:rFonts w:ascii="Verdana" w:hAnsi="Verdana"/>
        </w:rPr>
        <w:t>De gegevens</w:t>
      </w:r>
      <w:r w:rsidR="00F36EC5" w:rsidRPr="003A751E">
        <w:rPr>
          <w:rFonts w:ascii="Verdana" w:hAnsi="Verdana"/>
        </w:rPr>
        <w:t xml:space="preserve"> zullen dan niet direct </w:t>
      </w:r>
      <w:r w:rsidRPr="003A751E">
        <w:rPr>
          <w:rFonts w:ascii="Verdana" w:hAnsi="Verdana"/>
        </w:rPr>
        <w:t>onderzocht worden, maar worden in een geslot</w:t>
      </w:r>
      <w:r w:rsidR="002B568F">
        <w:rPr>
          <w:rFonts w:ascii="Verdana" w:hAnsi="Verdana"/>
        </w:rPr>
        <w:t>en en verzegelde envelop gedaan</w:t>
      </w:r>
      <w:r w:rsidRPr="003A751E">
        <w:rPr>
          <w:rFonts w:ascii="Verdana" w:hAnsi="Verdana"/>
        </w:rPr>
        <w:t xml:space="preserve"> en in bewaring gegeven bij de rechter-</w:t>
      </w:r>
      <w:r w:rsidRPr="003A751E">
        <w:rPr>
          <w:rFonts w:ascii="Verdana" w:hAnsi="Verdana"/>
        </w:rPr>
        <w:lastRenderedPageBreak/>
        <w:t>commissaris. De verschoningsgerec</w:t>
      </w:r>
      <w:r w:rsidR="002A0D2D">
        <w:rPr>
          <w:rFonts w:ascii="Verdana" w:hAnsi="Verdana"/>
        </w:rPr>
        <w:t>htigde beroepsbeoefenaar kan</w:t>
      </w:r>
      <w:r w:rsidRPr="003A751E">
        <w:rPr>
          <w:rFonts w:ascii="Verdana" w:hAnsi="Verdana"/>
        </w:rPr>
        <w:t xml:space="preserve"> vervolgens een beklag ex artikel 552</w:t>
      </w:r>
      <w:r w:rsidR="00CA3B5F" w:rsidRPr="003A751E">
        <w:rPr>
          <w:rFonts w:ascii="Verdana" w:hAnsi="Verdana"/>
        </w:rPr>
        <w:t>a</w:t>
      </w:r>
      <w:r w:rsidRPr="003A751E">
        <w:rPr>
          <w:rFonts w:ascii="Verdana" w:hAnsi="Verdana"/>
        </w:rPr>
        <w:t xml:space="preserve"> Sv indienen bi</w:t>
      </w:r>
      <w:r w:rsidR="002A0D2D">
        <w:rPr>
          <w:rFonts w:ascii="Verdana" w:hAnsi="Verdana"/>
        </w:rPr>
        <w:t>j de rechtbank. In afwachting van</w:t>
      </w:r>
      <w:r w:rsidRPr="003A751E">
        <w:rPr>
          <w:rFonts w:ascii="Verdana" w:hAnsi="Verdana"/>
        </w:rPr>
        <w:t xml:space="preserve"> de uitspraak van de beklagprocedure blijven de gegevens bij de rechter-commissaris in bewaring in de gesloten en verzegelde envelop</w:t>
      </w:r>
      <w:r w:rsidRPr="003A751E">
        <w:rPr>
          <w:rStyle w:val="Voetnootmarkering"/>
          <w:rFonts w:ascii="Verdana" w:hAnsi="Verdana"/>
        </w:rPr>
        <w:footnoteReference w:id="9"/>
      </w:r>
      <w:r w:rsidRPr="003A751E">
        <w:rPr>
          <w:rFonts w:ascii="Verdana" w:hAnsi="Verdana"/>
        </w:rPr>
        <w:t>. Indien de rechter de inbeslagname rechtmatig acht, kunnen de gegevens ingezien en onderzocht worden. Indien de rechter de inbeslagname onrechtma</w:t>
      </w:r>
      <w:r w:rsidR="00D06C41" w:rsidRPr="003A751E">
        <w:rPr>
          <w:rFonts w:ascii="Verdana" w:hAnsi="Verdana"/>
        </w:rPr>
        <w:t>tig acht, zullen de gegevens</w:t>
      </w:r>
      <w:r w:rsidR="00CA5D71">
        <w:rPr>
          <w:rFonts w:ascii="Verdana" w:hAnsi="Verdana"/>
        </w:rPr>
        <w:t xml:space="preserve"> terug moeten</w:t>
      </w:r>
      <w:r w:rsidRPr="003A751E">
        <w:rPr>
          <w:rFonts w:ascii="Verdana" w:hAnsi="Verdana"/>
        </w:rPr>
        <w:t xml:space="preserve"> naar de verschoningsgerechtigde beroepsbeoefenaar</w:t>
      </w:r>
      <w:r w:rsidR="00D06C41" w:rsidRPr="003A751E">
        <w:rPr>
          <w:rFonts w:ascii="Verdana" w:hAnsi="Verdana"/>
        </w:rPr>
        <w:t xml:space="preserve"> zonder dat deze </w:t>
      </w:r>
      <w:r w:rsidR="002B568F">
        <w:rPr>
          <w:rFonts w:ascii="Verdana" w:hAnsi="Verdana"/>
        </w:rPr>
        <w:t>zijn ingezien of onderzocht</w:t>
      </w:r>
      <w:r w:rsidRPr="003A751E">
        <w:rPr>
          <w:rFonts w:ascii="Verdana" w:hAnsi="Verdana"/>
        </w:rPr>
        <w:t xml:space="preserve">. </w:t>
      </w:r>
    </w:p>
    <w:p w:rsidR="00522896" w:rsidRPr="00E4692A" w:rsidRDefault="00522896" w:rsidP="0092501F">
      <w:pPr>
        <w:spacing w:after="0" w:line="22" w:lineRule="atLeast"/>
        <w:rPr>
          <w:rFonts w:ascii="Verdana" w:hAnsi="Verdana"/>
        </w:rPr>
      </w:pPr>
    </w:p>
    <w:p w:rsidR="00522896" w:rsidRPr="00E4692A" w:rsidRDefault="00522896" w:rsidP="0092501F">
      <w:pPr>
        <w:spacing w:after="0" w:line="22" w:lineRule="atLeast"/>
        <w:rPr>
          <w:rFonts w:ascii="Verdana" w:hAnsi="Verdana"/>
        </w:rPr>
      </w:pPr>
    </w:p>
    <w:p w:rsidR="00522896" w:rsidRPr="00522896" w:rsidRDefault="00522896" w:rsidP="0092501F">
      <w:pPr>
        <w:pStyle w:val="Kop2"/>
        <w:spacing w:before="0" w:line="22" w:lineRule="atLeast"/>
        <w:rPr>
          <w:rFonts w:ascii="Verdana" w:hAnsi="Verdana"/>
        </w:rPr>
      </w:pPr>
      <w:bookmarkStart w:id="6" w:name="_Toc451894978"/>
      <w:r w:rsidRPr="009D5DEC">
        <w:rPr>
          <w:rFonts w:ascii="Verdana" w:hAnsi="Verdana"/>
        </w:rPr>
        <w:t>2.2 Het probleem nader uitgelegd</w:t>
      </w:r>
      <w:bookmarkEnd w:id="6"/>
    </w:p>
    <w:p w:rsidR="00522896" w:rsidRPr="003A751E" w:rsidRDefault="00522896" w:rsidP="0092501F">
      <w:pPr>
        <w:spacing w:after="0" w:line="22" w:lineRule="atLeast"/>
        <w:jc w:val="both"/>
        <w:rPr>
          <w:rFonts w:ascii="Verdana" w:hAnsi="Verdana"/>
        </w:rPr>
      </w:pPr>
      <w:r w:rsidRPr="003A751E">
        <w:rPr>
          <w:rFonts w:ascii="Verdana" w:hAnsi="Verdana"/>
        </w:rPr>
        <w:t>Door de Hoge Raad zijn zes factoren geformuleerd waaraan getoetst kan worden of de inbeslagname al dan niet rechtmatig is. Deze factoren zijn:</w:t>
      </w:r>
    </w:p>
    <w:p w:rsidR="00522896" w:rsidRPr="003A751E" w:rsidRDefault="00522896" w:rsidP="002734F3">
      <w:pPr>
        <w:pStyle w:val="Lijstalinea"/>
        <w:numPr>
          <w:ilvl w:val="0"/>
          <w:numId w:val="2"/>
        </w:numPr>
        <w:spacing w:after="0" w:line="22" w:lineRule="atLeast"/>
        <w:jc w:val="both"/>
        <w:rPr>
          <w:rFonts w:ascii="Verdana" w:hAnsi="Verdana"/>
        </w:rPr>
      </w:pPr>
      <w:r w:rsidRPr="003A751E">
        <w:rPr>
          <w:rFonts w:ascii="Verdana" w:hAnsi="Verdana"/>
        </w:rPr>
        <w:t>De aard, omvang en co</w:t>
      </w:r>
      <w:r w:rsidR="00CA3B5F" w:rsidRPr="003A751E">
        <w:rPr>
          <w:rFonts w:ascii="Verdana" w:hAnsi="Verdana"/>
        </w:rPr>
        <w:t>ntext van de gevraagde gegevens;</w:t>
      </w:r>
    </w:p>
    <w:p w:rsidR="00522896" w:rsidRPr="003A751E" w:rsidRDefault="00522896" w:rsidP="002734F3">
      <w:pPr>
        <w:pStyle w:val="Lijstalinea"/>
        <w:numPr>
          <w:ilvl w:val="0"/>
          <w:numId w:val="2"/>
        </w:numPr>
        <w:spacing w:after="0" w:line="22" w:lineRule="atLeast"/>
        <w:jc w:val="both"/>
        <w:rPr>
          <w:rFonts w:ascii="Verdana" w:hAnsi="Verdana"/>
        </w:rPr>
      </w:pPr>
      <w:r w:rsidRPr="003A751E">
        <w:rPr>
          <w:rFonts w:ascii="Verdana" w:hAnsi="Verdana"/>
        </w:rPr>
        <w:t>Het bela</w:t>
      </w:r>
      <w:r w:rsidR="00CA3B5F" w:rsidRPr="003A751E">
        <w:rPr>
          <w:rFonts w:ascii="Verdana" w:hAnsi="Verdana"/>
        </w:rPr>
        <w:t>ng en de ernst van de strafzaak;</w:t>
      </w:r>
    </w:p>
    <w:p w:rsidR="00522896" w:rsidRPr="003A751E" w:rsidRDefault="00522896" w:rsidP="002734F3">
      <w:pPr>
        <w:pStyle w:val="Lijstalinea"/>
        <w:numPr>
          <w:ilvl w:val="0"/>
          <w:numId w:val="2"/>
        </w:numPr>
        <w:spacing w:after="0" w:line="22" w:lineRule="atLeast"/>
        <w:jc w:val="both"/>
        <w:rPr>
          <w:rFonts w:ascii="Verdana" w:hAnsi="Verdana"/>
        </w:rPr>
      </w:pPr>
      <w:r w:rsidRPr="003A751E">
        <w:rPr>
          <w:rFonts w:ascii="Verdana" w:hAnsi="Verdana"/>
        </w:rPr>
        <w:t>De eventuele to</w:t>
      </w:r>
      <w:r w:rsidR="00CA3B5F" w:rsidRPr="003A751E">
        <w:rPr>
          <w:rFonts w:ascii="Verdana" w:hAnsi="Verdana"/>
        </w:rPr>
        <w:t>estemming van de belanghebbende;</w:t>
      </w:r>
    </w:p>
    <w:p w:rsidR="00522896" w:rsidRPr="003A751E" w:rsidRDefault="00522896" w:rsidP="002734F3">
      <w:pPr>
        <w:pStyle w:val="Lijstalinea"/>
        <w:numPr>
          <w:ilvl w:val="0"/>
          <w:numId w:val="2"/>
        </w:numPr>
        <w:spacing w:after="0" w:line="22" w:lineRule="atLeast"/>
        <w:jc w:val="both"/>
        <w:rPr>
          <w:rFonts w:ascii="Verdana" w:hAnsi="Verdana"/>
        </w:rPr>
      </w:pPr>
      <w:r w:rsidRPr="003A751E">
        <w:rPr>
          <w:rFonts w:ascii="Verdana" w:hAnsi="Verdana"/>
        </w:rPr>
        <w:t>Een eventuele verdenking t</w:t>
      </w:r>
      <w:r w:rsidR="00CA3B5F" w:rsidRPr="003A751E">
        <w:rPr>
          <w:rFonts w:ascii="Verdana" w:hAnsi="Verdana"/>
        </w:rPr>
        <w:t>egen de verschoningsgerechtigde;</w:t>
      </w:r>
    </w:p>
    <w:p w:rsidR="00522896" w:rsidRPr="003A751E" w:rsidRDefault="00522896" w:rsidP="002734F3">
      <w:pPr>
        <w:pStyle w:val="Lijstalinea"/>
        <w:numPr>
          <w:ilvl w:val="0"/>
          <w:numId w:val="2"/>
        </w:numPr>
        <w:spacing w:after="0" w:line="22" w:lineRule="atLeast"/>
        <w:jc w:val="both"/>
        <w:rPr>
          <w:rFonts w:ascii="Verdana" w:hAnsi="Verdana"/>
        </w:rPr>
      </w:pPr>
      <w:r w:rsidRPr="003A751E">
        <w:rPr>
          <w:rFonts w:ascii="Verdana" w:hAnsi="Verdana"/>
        </w:rPr>
        <w:t>Prop</w:t>
      </w:r>
      <w:r w:rsidR="00CA3B5F" w:rsidRPr="003A751E">
        <w:rPr>
          <w:rFonts w:ascii="Verdana" w:hAnsi="Verdana"/>
        </w:rPr>
        <w:t>ortionaliteit en subsidiariteit;</w:t>
      </w:r>
    </w:p>
    <w:p w:rsidR="00522896" w:rsidRPr="003A751E" w:rsidRDefault="00522896" w:rsidP="002734F3">
      <w:pPr>
        <w:pStyle w:val="Lijstalinea"/>
        <w:numPr>
          <w:ilvl w:val="0"/>
          <w:numId w:val="2"/>
        </w:numPr>
        <w:spacing w:after="0" w:line="22" w:lineRule="atLeast"/>
        <w:jc w:val="both"/>
        <w:rPr>
          <w:rFonts w:ascii="Verdana" w:hAnsi="Verdana"/>
        </w:rPr>
      </w:pPr>
      <w:r w:rsidRPr="003A751E">
        <w:rPr>
          <w:rFonts w:ascii="Verdana" w:hAnsi="Verdana"/>
        </w:rPr>
        <w:t>Het belang van de gevorderde gegevens</w:t>
      </w:r>
      <w:r w:rsidRPr="003A751E">
        <w:rPr>
          <w:rStyle w:val="Voetnootmarkering"/>
          <w:rFonts w:ascii="Verdana" w:hAnsi="Verdana"/>
        </w:rPr>
        <w:footnoteReference w:id="10"/>
      </w:r>
      <w:r w:rsidRPr="003A751E">
        <w:rPr>
          <w:rFonts w:ascii="Verdana" w:hAnsi="Verdana"/>
        </w:rPr>
        <w:t>.</w:t>
      </w:r>
    </w:p>
    <w:p w:rsidR="00522896" w:rsidRPr="003A751E" w:rsidRDefault="00522896" w:rsidP="0092501F">
      <w:pPr>
        <w:spacing w:after="0" w:line="22" w:lineRule="atLeast"/>
        <w:jc w:val="both"/>
        <w:rPr>
          <w:rFonts w:ascii="Verdana" w:hAnsi="Verdana"/>
        </w:rPr>
      </w:pPr>
    </w:p>
    <w:p w:rsidR="00522896" w:rsidRPr="003A751E" w:rsidRDefault="00522896" w:rsidP="0092501F">
      <w:pPr>
        <w:spacing w:after="0" w:line="22" w:lineRule="atLeast"/>
        <w:jc w:val="both"/>
        <w:rPr>
          <w:rFonts w:ascii="Verdana" w:hAnsi="Verdana"/>
        </w:rPr>
      </w:pPr>
      <w:r w:rsidRPr="003A751E">
        <w:rPr>
          <w:rFonts w:ascii="Verdana" w:hAnsi="Verdana"/>
        </w:rPr>
        <w:t xml:space="preserve">Door deze factoren te toetsen, kan worden afgeleid of er sprake is van zeer </w:t>
      </w:r>
      <w:r w:rsidR="00E4692A">
        <w:rPr>
          <w:rFonts w:ascii="Verdana" w:hAnsi="Verdana"/>
        </w:rPr>
        <w:t>uitzonderlijke</w:t>
      </w:r>
      <w:r w:rsidRPr="003A751E">
        <w:rPr>
          <w:rFonts w:ascii="Verdana" w:hAnsi="Verdana"/>
        </w:rPr>
        <w:t xml:space="preserve"> omstandigheden. Wanneer er namelijk sprake is van zeer </w:t>
      </w:r>
      <w:r w:rsidR="00E4692A">
        <w:rPr>
          <w:rFonts w:ascii="Verdana" w:hAnsi="Verdana"/>
        </w:rPr>
        <w:t>uitzonderlijke</w:t>
      </w:r>
      <w:r w:rsidRPr="003A751E">
        <w:rPr>
          <w:rFonts w:ascii="Verdana" w:hAnsi="Verdana"/>
        </w:rPr>
        <w:t xml:space="preserve"> omstandigheden, mag het verschoningsrecht doorbroken worden. Echter, het probleem is dat de ene factor niet even doorslaggevend is als de ander</w:t>
      </w:r>
      <w:r w:rsidR="00CA3B5F" w:rsidRPr="003A751E">
        <w:rPr>
          <w:rFonts w:ascii="Verdana" w:hAnsi="Verdana"/>
        </w:rPr>
        <w:t>e</w:t>
      </w:r>
      <w:r w:rsidRPr="003A751E">
        <w:rPr>
          <w:rFonts w:ascii="Verdana" w:hAnsi="Verdana"/>
        </w:rPr>
        <w:t xml:space="preserve"> en soms kan ook onduidelijkheid bestaan over de invulling van deze factoren</w:t>
      </w:r>
      <w:r w:rsidRPr="003A751E">
        <w:rPr>
          <w:rStyle w:val="Voetnootmarkering"/>
          <w:rFonts w:ascii="Verdana" w:hAnsi="Verdana"/>
        </w:rPr>
        <w:footnoteReference w:id="11"/>
      </w:r>
      <w:r w:rsidR="00E772A5" w:rsidRPr="003A751E">
        <w:rPr>
          <w:rFonts w:ascii="Verdana" w:hAnsi="Verdana"/>
        </w:rPr>
        <w:t xml:space="preserve">. </w:t>
      </w:r>
      <w:r w:rsidR="00CA3B5F" w:rsidRPr="003A751E">
        <w:rPr>
          <w:rFonts w:ascii="Verdana" w:hAnsi="Verdana"/>
        </w:rPr>
        <w:t>Zo wordt</w:t>
      </w:r>
      <w:r w:rsidRPr="003A751E">
        <w:rPr>
          <w:rFonts w:ascii="Verdana" w:hAnsi="Verdana"/>
        </w:rPr>
        <w:t xml:space="preserve"> het maken van een afweging door de rechter-commissaris van te voren lastig, de beklagprocedure dient dan te worden afgewacht en </w:t>
      </w:r>
      <w:r w:rsidR="00BF11F0">
        <w:rPr>
          <w:rFonts w:ascii="Verdana" w:hAnsi="Verdana"/>
        </w:rPr>
        <w:t xml:space="preserve">kan hij dus </w:t>
      </w:r>
      <w:r w:rsidRPr="003A751E">
        <w:rPr>
          <w:rFonts w:ascii="Verdana" w:hAnsi="Verdana"/>
        </w:rPr>
        <w:t xml:space="preserve">ook niet verder met het vergaren van bewijs. </w:t>
      </w:r>
    </w:p>
    <w:p w:rsidR="00522896" w:rsidRPr="003A751E" w:rsidRDefault="00522896" w:rsidP="0092501F">
      <w:pPr>
        <w:spacing w:after="0" w:line="22" w:lineRule="atLeast"/>
        <w:jc w:val="both"/>
        <w:rPr>
          <w:rFonts w:ascii="Verdana" w:hAnsi="Verdana"/>
        </w:rPr>
      </w:pPr>
    </w:p>
    <w:p w:rsidR="00522896" w:rsidRPr="003A751E" w:rsidRDefault="00522896" w:rsidP="0092501F">
      <w:pPr>
        <w:spacing w:after="0" w:line="22" w:lineRule="atLeast"/>
        <w:jc w:val="both"/>
        <w:rPr>
          <w:rFonts w:ascii="Verdana" w:hAnsi="Verdana"/>
        </w:rPr>
      </w:pPr>
      <w:r w:rsidRPr="003A751E">
        <w:rPr>
          <w:rFonts w:ascii="Verdana" w:hAnsi="Verdana"/>
        </w:rPr>
        <w:t xml:space="preserve">Voor een tweetal personen vormt dit een probleem, namelijk </w:t>
      </w:r>
      <w:r w:rsidR="00CA3B5F" w:rsidRPr="003A751E">
        <w:rPr>
          <w:rFonts w:ascii="Verdana" w:hAnsi="Verdana"/>
        </w:rPr>
        <w:t>voor de rechter-commissaris als</w:t>
      </w:r>
      <w:r w:rsidRPr="003A751E">
        <w:rPr>
          <w:rFonts w:ascii="Verdana" w:hAnsi="Verdana"/>
        </w:rPr>
        <w:t xml:space="preserve">ook </w:t>
      </w:r>
      <w:r w:rsidR="002A0D2D">
        <w:rPr>
          <w:rFonts w:ascii="Verdana" w:hAnsi="Verdana"/>
        </w:rPr>
        <w:t xml:space="preserve">voor </w:t>
      </w:r>
      <w:r w:rsidRPr="003A751E">
        <w:rPr>
          <w:rFonts w:ascii="Verdana" w:hAnsi="Verdana"/>
        </w:rPr>
        <w:t>de beroepsbeoefenaar w</w:t>
      </w:r>
      <w:r w:rsidR="002A0D2D">
        <w:rPr>
          <w:rFonts w:ascii="Verdana" w:hAnsi="Verdana"/>
        </w:rPr>
        <w:t>aarvan goederen in beslag zijn</w:t>
      </w:r>
      <w:r w:rsidRPr="003A751E">
        <w:rPr>
          <w:rFonts w:ascii="Verdana" w:hAnsi="Verdana"/>
        </w:rPr>
        <w:t xml:space="preserve"> genomen. Ik zal beginnen met de rechter-commissaris. </w:t>
      </w:r>
      <w:r w:rsidR="00C0441F" w:rsidRPr="003A751E">
        <w:rPr>
          <w:rFonts w:ascii="Verdana" w:hAnsi="Verdana"/>
        </w:rPr>
        <w:t xml:space="preserve">Voor hem kan dit momenteel een probleem vormen omdat hij van te voren niet </w:t>
      </w:r>
      <w:r w:rsidR="002A0D2D">
        <w:rPr>
          <w:rFonts w:ascii="Verdana" w:hAnsi="Verdana"/>
        </w:rPr>
        <w:t>altijd even goed kan inschatten</w:t>
      </w:r>
      <w:r w:rsidR="00C0441F" w:rsidRPr="003A751E">
        <w:rPr>
          <w:rFonts w:ascii="Verdana" w:hAnsi="Verdana"/>
        </w:rPr>
        <w:t xml:space="preserve"> of de rechter de inbeslagname al dan niet rechtmatig zal achten op basis van voornoemde criteria bij een eventuele beklagprocedure. </w:t>
      </w:r>
      <w:r w:rsidRPr="003A751E">
        <w:rPr>
          <w:rFonts w:ascii="Verdana" w:hAnsi="Verdana"/>
        </w:rPr>
        <w:t>Hij zal dus de be</w:t>
      </w:r>
      <w:r w:rsidR="00E772A5" w:rsidRPr="003A751E">
        <w:rPr>
          <w:rFonts w:ascii="Verdana" w:hAnsi="Verdana"/>
        </w:rPr>
        <w:t>klagprocedure moeten afwachten en dat kost tijd. Daarnaast is het ook z</w:t>
      </w:r>
      <w:r w:rsidR="00BF11F0">
        <w:rPr>
          <w:rFonts w:ascii="Verdana" w:hAnsi="Verdana"/>
        </w:rPr>
        <w:t>onde van de tijd als er voor niets</w:t>
      </w:r>
      <w:r w:rsidR="00E772A5" w:rsidRPr="003A751E">
        <w:rPr>
          <w:rFonts w:ascii="Verdana" w:hAnsi="Verdana"/>
        </w:rPr>
        <w:t xml:space="preserve"> een doo</w:t>
      </w:r>
      <w:r w:rsidR="009A6CD0">
        <w:rPr>
          <w:rFonts w:ascii="Verdana" w:hAnsi="Verdana"/>
        </w:rPr>
        <w:t>rzoeking wordt gedaan en gege</w:t>
      </w:r>
      <w:r w:rsidR="00BF11F0">
        <w:rPr>
          <w:rFonts w:ascii="Verdana" w:hAnsi="Verdana"/>
        </w:rPr>
        <w:t>vens in beslag worden genomen wanneer achteraf</w:t>
      </w:r>
      <w:r w:rsidR="009A6CD0">
        <w:rPr>
          <w:rFonts w:ascii="Verdana" w:hAnsi="Verdana"/>
        </w:rPr>
        <w:t xml:space="preserve"> blijkt dat</w:t>
      </w:r>
      <w:r w:rsidR="00BF11F0">
        <w:rPr>
          <w:rFonts w:ascii="Verdana" w:hAnsi="Verdana"/>
        </w:rPr>
        <w:t xml:space="preserve"> dit </w:t>
      </w:r>
      <w:r w:rsidR="00E772A5" w:rsidRPr="003A751E">
        <w:rPr>
          <w:rFonts w:ascii="Verdana" w:hAnsi="Verdana"/>
        </w:rPr>
        <w:t xml:space="preserve">toch niet mag worden gebruikt in het onderzoek. </w:t>
      </w:r>
    </w:p>
    <w:p w:rsidR="00E772A5" w:rsidRPr="003A751E" w:rsidRDefault="00E772A5" w:rsidP="0092501F">
      <w:pPr>
        <w:spacing w:after="0" w:line="22" w:lineRule="atLeast"/>
        <w:jc w:val="both"/>
        <w:rPr>
          <w:rFonts w:ascii="Verdana" w:hAnsi="Verdana"/>
        </w:rPr>
      </w:pPr>
    </w:p>
    <w:p w:rsidR="00522896" w:rsidRPr="003A751E" w:rsidRDefault="00E772A5" w:rsidP="0092501F">
      <w:pPr>
        <w:spacing w:after="0" w:line="22" w:lineRule="atLeast"/>
        <w:jc w:val="both"/>
        <w:rPr>
          <w:rFonts w:ascii="Verdana" w:hAnsi="Verdana"/>
        </w:rPr>
      </w:pPr>
      <w:r w:rsidRPr="003A751E">
        <w:rPr>
          <w:rFonts w:ascii="Verdana" w:hAnsi="Verdana"/>
        </w:rPr>
        <w:t xml:space="preserve">Zoals </w:t>
      </w:r>
      <w:r w:rsidR="009A6CD0">
        <w:rPr>
          <w:rFonts w:ascii="Verdana" w:hAnsi="Verdana"/>
        </w:rPr>
        <w:t>reeds aangegeven</w:t>
      </w:r>
      <w:r w:rsidRPr="003A751E">
        <w:rPr>
          <w:rFonts w:ascii="Verdana" w:hAnsi="Verdana"/>
        </w:rPr>
        <w:t xml:space="preserve">, is het ook een probleem voor de beroepsbeoefenaren zelf. </w:t>
      </w:r>
      <w:r w:rsidR="00522896" w:rsidRPr="003A751E">
        <w:rPr>
          <w:rFonts w:ascii="Verdana" w:hAnsi="Verdana"/>
        </w:rPr>
        <w:t>Zij worden namelijk geconf</w:t>
      </w:r>
      <w:r w:rsidRPr="003A751E">
        <w:rPr>
          <w:rFonts w:ascii="Verdana" w:hAnsi="Verdana"/>
        </w:rPr>
        <w:t>ronteerd met het feit dat hun gegevens</w:t>
      </w:r>
      <w:r w:rsidR="00522896" w:rsidRPr="003A751E">
        <w:rPr>
          <w:rFonts w:ascii="Verdana" w:hAnsi="Verdana"/>
        </w:rPr>
        <w:t xml:space="preserve"> alsnog in beslag worden genomen</w:t>
      </w:r>
      <w:r w:rsidRPr="003A751E">
        <w:rPr>
          <w:rFonts w:ascii="Verdana" w:hAnsi="Verdana"/>
        </w:rPr>
        <w:t>,</w:t>
      </w:r>
      <w:r w:rsidR="00522896" w:rsidRPr="003A751E">
        <w:rPr>
          <w:rFonts w:ascii="Verdana" w:hAnsi="Verdana"/>
        </w:rPr>
        <w:t xml:space="preserve"> ook al beroepen zij zich op hun verschoningsrecht. Vervolgens moeten zij een beklagprocedure starten en afwachten. </w:t>
      </w:r>
      <w:r w:rsidR="009A6CD0">
        <w:rPr>
          <w:rFonts w:ascii="Verdana" w:hAnsi="Verdana"/>
        </w:rPr>
        <w:t>Behalve</w:t>
      </w:r>
      <w:r w:rsidRPr="003A751E">
        <w:rPr>
          <w:rFonts w:ascii="Verdana" w:hAnsi="Verdana"/>
        </w:rPr>
        <w:t xml:space="preserve"> dat d</w:t>
      </w:r>
      <w:r w:rsidR="009A6CD0">
        <w:rPr>
          <w:rFonts w:ascii="Verdana" w:hAnsi="Verdana"/>
        </w:rPr>
        <w:t>i</w:t>
      </w:r>
      <w:r w:rsidRPr="003A751E">
        <w:rPr>
          <w:rFonts w:ascii="Verdana" w:hAnsi="Verdana"/>
        </w:rPr>
        <w:t>t veel tijd en geld kost, kunnen zij i</w:t>
      </w:r>
      <w:r w:rsidR="00522896" w:rsidRPr="003A751E">
        <w:rPr>
          <w:rFonts w:ascii="Verdana" w:hAnsi="Verdana"/>
        </w:rPr>
        <w:t>n de tussentijd niet beschikken ov</w:t>
      </w:r>
      <w:r w:rsidR="002A0D2D">
        <w:rPr>
          <w:rFonts w:ascii="Verdana" w:hAnsi="Verdana"/>
        </w:rPr>
        <w:t>er de in beslag</w:t>
      </w:r>
      <w:r w:rsidR="009A6CD0">
        <w:rPr>
          <w:rFonts w:ascii="Verdana" w:hAnsi="Verdana"/>
        </w:rPr>
        <w:t>genomen gegevens</w:t>
      </w:r>
      <w:r w:rsidR="00522896" w:rsidRPr="003A751E">
        <w:rPr>
          <w:rFonts w:ascii="Verdana" w:hAnsi="Verdana"/>
        </w:rPr>
        <w:t xml:space="preserve">. Verder is het voor de beroepsbeoefenaar </w:t>
      </w:r>
      <w:r w:rsidR="009A6CD0">
        <w:rPr>
          <w:rFonts w:ascii="Verdana" w:hAnsi="Verdana"/>
        </w:rPr>
        <w:t>ook niet prettig dat de gegevens</w:t>
      </w:r>
      <w:r w:rsidR="002A0D2D">
        <w:rPr>
          <w:rFonts w:ascii="Verdana" w:hAnsi="Verdana"/>
        </w:rPr>
        <w:t> </w:t>
      </w:r>
      <w:r w:rsidRPr="003A751E">
        <w:rPr>
          <w:rFonts w:ascii="Verdana" w:hAnsi="Verdana"/>
        </w:rPr>
        <w:t>direct</w:t>
      </w:r>
      <w:r w:rsidR="00522896" w:rsidRPr="003A751E">
        <w:rPr>
          <w:rFonts w:ascii="Verdana" w:hAnsi="Verdana"/>
        </w:rPr>
        <w:t xml:space="preserve"> in beslag </w:t>
      </w:r>
      <w:r w:rsidRPr="003A751E">
        <w:rPr>
          <w:rFonts w:ascii="Verdana" w:hAnsi="Verdana"/>
        </w:rPr>
        <w:t>worden</w:t>
      </w:r>
      <w:r w:rsidR="00522896" w:rsidRPr="003A751E">
        <w:rPr>
          <w:rFonts w:ascii="Verdana" w:hAnsi="Verdana"/>
        </w:rPr>
        <w:t xml:space="preserve"> genomen wanneer achteraf blijkt dat de inbeslagname onrechtmatig was. </w:t>
      </w:r>
    </w:p>
    <w:p w:rsidR="00401948" w:rsidRDefault="00401948" w:rsidP="0092501F">
      <w:pPr>
        <w:pStyle w:val="Kop2"/>
        <w:spacing w:before="0" w:line="22" w:lineRule="atLeast"/>
        <w:rPr>
          <w:rFonts w:ascii="Verdana" w:hAnsi="Verdana"/>
        </w:rPr>
      </w:pPr>
      <w:bookmarkStart w:id="7" w:name="_Toc444376684"/>
      <w:bookmarkStart w:id="8" w:name="_Toc451894979"/>
      <w:r>
        <w:rPr>
          <w:rFonts w:ascii="Verdana" w:hAnsi="Verdana"/>
        </w:rPr>
        <w:lastRenderedPageBreak/>
        <w:t>2.3 Van praktijkprobleem tot kennisvraag</w:t>
      </w:r>
      <w:bookmarkEnd w:id="7"/>
      <w:bookmarkEnd w:id="8"/>
    </w:p>
    <w:p w:rsidR="00401948" w:rsidRPr="003A751E" w:rsidRDefault="00401948"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spacing w:val="-3"/>
        </w:rPr>
      </w:pPr>
      <w:r w:rsidRPr="003A751E">
        <w:rPr>
          <w:rFonts w:ascii="Verdana" w:hAnsi="Verdana"/>
        </w:rPr>
        <w:t>Het probleem dat zich in de praktijk voordoet</w:t>
      </w:r>
      <w:r w:rsidR="00AE2155">
        <w:rPr>
          <w:rFonts w:ascii="Verdana" w:hAnsi="Verdana"/>
        </w:rPr>
        <w:t>,</w:t>
      </w:r>
      <w:r w:rsidRPr="003A751E">
        <w:rPr>
          <w:rFonts w:ascii="Verdana" w:hAnsi="Verdana"/>
        </w:rPr>
        <w:t xml:space="preserve"> is dat de zes factoren die door de Hoge Raad zijn geformuleerd om de rechtmatigheid van een inbeslagname te toetsen</w:t>
      </w:r>
      <w:r w:rsidR="00AE2155">
        <w:rPr>
          <w:rFonts w:ascii="Verdana" w:hAnsi="Verdana"/>
        </w:rPr>
        <w:t>,</w:t>
      </w:r>
      <w:r w:rsidRPr="003A751E">
        <w:rPr>
          <w:rFonts w:ascii="Verdana" w:hAnsi="Verdana"/>
        </w:rPr>
        <w:t xml:space="preserve"> onduidelijk zijn. Niet iedere factor is even doorslaggevend als de ander en ze zijn ook niet a</w:t>
      </w:r>
      <w:r w:rsidR="00AE2155">
        <w:rPr>
          <w:rFonts w:ascii="Verdana" w:hAnsi="Verdana"/>
        </w:rPr>
        <w:t>lle</w:t>
      </w:r>
      <w:r w:rsidRPr="003A751E">
        <w:rPr>
          <w:rFonts w:ascii="Verdana" w:hAnsi="Verdana"/>
        </w:rPr>
        <w:t xml:space="preserve"> even goed uit te leggen. Hierdoor kan het voor een rechter-commissaris lastig worden om van te voren te bepalen wat een rechter zal oordelen in een beklagprocedure. De kennisvraag die hieruit voortkomt is: </w:t>
      </w:r>
      <w:r w:rsidRPr="003A751E">
        <w:rPr>
          <w:rFonts w:ascii="Verdana" w:hAnsi="Verdana"/>
          <w:spacing w:val="-3"/>
        </w:rPr>
        <w:t>hoe oordelen de eerstelijns rechters bij de toetsing van de rechtmatigheid van de</w:t>
      </w:r>
      <w:r w:rsidR="00BF11F0">
        <w:rPr>
          <w:rFonts w:ascii="Verdana" w:hAnsi="Verdana"/>
          <w:spacing w:val="-3"/>
        </w:rPr>
        <w:t xml:space="preserve"> inbeslagname, rekening houdend</w:t>
      </w:r>
      <w:r w:rsidRPr="003A751E">
        <w:rPr>
          <w:rFonts w:ascii="Verdana" w:hAnsi="Verdana"/>
          <w:spacing w:val="-3"/>
        </w:rPr>
        <w:t xml:space="preserve"> met de factoren die hiervoor door de Hoge Raad zijn geformuleerd? Ik wil dus onderzoeken hoe de eerstelijns rechters oordelen in dit soort zaken, hierin wil ik dan een rode lijn vinden. Daarbij wil ik kijken welke factoren zij doorslaggevend vinden en hoe zij deze factoren uitleggen en toetsen. Om dit te kunnen onderzoeken, </w:t>
      </w:r>
      <w:r w:rsidR="00BD7F88">
        <w:rPr>
          <w:rFonts w:ascii="Verdana" w:hAnsi="Verdana"/>
          <w:spacing w:val="-3"/>
        </w:rPr>
        <w:t>is</w:t>
      </w:r>
      <w:r w:rsidRPr="003A751E">
        <w:rPr>
          <w:rFonts w:ascii="Verdana" w:hAnsi="Verdana"/>
          <w:spacing w:val="-3"/>
        </w:rPr>
        <w:t xml:space="preserve"> eerst achtergrondinformatie nodig over h</w:t>
      </w:r>
      <w:r w:rsidR="00A943DD">
        <w:rPr>
          <w:rFonts w:ascii="Verdana" w:hAnsi="Verdana"/>
          <w:spacing w:val="-3"/>
        </w:rPr>
        <w:t>et verschonings</w:t>
      </w:r>
      <w:r w:rsidR="00BD7F88">
        <w:rPr>
          <w:rFonts w:ascii="Verdana" w:hAnsi="Verdana"/>
          <w:spacing w:val="-3"/>
        </w:rPr>
        <w:t>recht. Dit kan</w:t>
      </w:r>
      <w:r w:rsidRPr="003A751E">
        <w:rPr>
          <w:rFonts w:ascii="Verdana" w:hAnsi="Verdana"/>
          <w:spacing w:val="-3"/>
        </w:rPr>
        <w:t xml:space="preserve"> onder andere </w:t>
      </w:r>
      <w:r w:rsidR="00BD7F88">
        <w:rPr>
          <w:rFonts w:ascii="Verdana" w:hAnsi="Verdana"/>
          <w:spacing w:val="-3"/>
        </w:rPr>
        <w:t>worden verkre</w:t>
      </w:r>
      <w:r w:rsidRPr="003A751E">
        <w:rPr>
          <w:rFonts w:ascii="Verdana" w:hAnsi="Verdana"/>
          <w:spacing w:val="-3"/>
        </w:rPr>
        <w:t>gen door literatuur over he</w:t>
      </w:r>
      <w:r w:rsidR="00BF11F0">
        <w:rPr>
          <w:rFonts w:ascii="Verdana" w:hAnsi="Verdana"/>
          <w:spacing w:val="-3"/>
        </w:rPr>
        <w:t>t verschoningsrecht te lezen,</w:t>
      </w:r>
      <w:r w:rsidRPr="003A751E">
        <w:rPr>
          <w:rFonts w:ascii="Verdana" w:hAnsi="Verdana"/>
          <w:spacing w:val="-3"/>
        </w:rPr>
        <w:t xml:space="preserve"> de wetsgeschiedenis te lezen alsook de tekst en commentaar van de relevante artikelen. Ook is het belangrijk </w:t>
      </w:r>
      <w:r w:rsidR="00BD7F88">
        <w:rPr>
          <w:rFonts w:ascii="Verdana" w:hAnsi="Verdana"/>
          <w:spacing w:val="-3"/>
        </w:rPr>
        <w:t>om te weten</w:t>
      </w:r>
      <w:r w:rsidRPr="003A751E">
        <w:rPr>
          <w:rFonts w:ascii="Verdana" w:hAnsi="Verdana"/>
          <w:spacing w:val="-3"/>
        </w:rPr>
        <w:t xml:space="preserve"> wat er op dit moment al bekend is over de uitleg van de zes factoren van de Hoge Raad</w:t>
      </w:r>
      <w:r w:rsidR="00AE2155">
        <w:rPr>
          <w:rFonts w:ascii="Verdana" w:hAnsi="Verdana"/>
          <w:spacing w:val="-3"/>
        </w:rPr>
        <w:t>,</w:t>
      </w:r>
      <w:r w:rsidRPr="003A751E">
        <w:rPr>
          <w:rFonts w:ascii="Verdana" w:hAnsi="Verdana"/>
          <w:spacing w:val="-3"/>
        </w:rPr>
        <w:t xml:space="preserve"> die een rol spelen bij de rechtmatigheidstoets bij inbeslagname. </w:t>
      </w:r>
    </w:p>
    <w:p w:rsidR="00401948" w:rsidRDefault="00401948" w:rsidP="0092501F">
      <w:pPr>
        <w:spacing w:after="0" w:line="22" w:lineRule="atLeast"/>
        <w:rPr>
          <w:rFonts w:ascii="Verdana" w:hAnsi="Verdana"/>
        </w:rPr>
      </w:pPr>
    </w:p>
    <w:p w:rsidR="00401948" w:rsidRDefault="00401948" w:rsidP="0092501F">
      <w:pPr>
        <w:spacing w:after="0" w:line="22" w:lineRule="atLeast"/>
        <w:rPr>
          <w:rFonts w:ascii="Verdana" w:hAnsi="Verdana"/>
        </w:rPr>
      </w:pPr>
    </w:p>
    <w:p w:rsidR="00401948" w:rsidRDefault="00401948" w:rsidP="0092501F">
      <w:pPr>
        <w:pStyle w:val="Kop2"/>
        <w:spacing w:before="0" w:line="22" w:lineRule="atLeast"/>
        <w:rPr>
          <w:rFonts w:ascii="Verdana" w:hAnsi="Verdana"/>
        </w:rPr>
      </w:pPr>
      <w:bookmarkStart w:id="9" w:name="_Toc444376685"/>
      <w:bookmarkStart w:id="10" w:name="_Toc451894980"/>
      <w:r>
        <w:rPr>
          <w:rFonts w:ascii="Verdana" w:hAnsi="Verdana"/>
        </w:rPr>
        <w:t>2.4 Doel van het onderzoek</w:t>
      </w:r>
      <w:bookmarkEnd w:id="9"/>
      <w:bookmarkEnd w:id="10"/>
    </w:p>
    <w:p w:rsidR="00401948" w:rsidRDefault="00401948" w:rsidP="0092501F">
      <w:pPr>
        <w:spacing w:after="0" w:line="22" w:lineRule="atLeast"/>
        <w:jc w:val="both"/>
        <w:rPr>
          <w:rFonts w:ascii="Verdana" w:hAnsi="Verdana"/>
        </w:rPr>
      </w:pPr>
      <w:r w:rsidRPr="003A751E">
        <w:rPr>
          <w:rFonts w:ascii="Verdana" w:hAnsi="Verdana"/>
        </w:rPr>
        <w:t>Ik wil de zes factoren van de</w:t>
      </w:r>
      <w:r w:rsidR="000B751F" w:rsidRPr="003A751E">
        <w:rPr>
          <w:rFonts w:ascii="Verdana" w:hAnsi="Verdana"/>
        </w:rPr>
        <w:t xml:space="preserve"> Hoge Raad verhelderen. Ik kijk</w:t>
      </w:r>
      <w:r w:rsidRPr="003A751E">
        <w:rPr>
          <w:rFonts w:ascii="Verdana" w:hAnsi="Verdana"/>
        </w:rPr>
        <w:t xml:space="preserve"> welke factoren doorslaggevend zijn en hoe de factoren worden uitgelegd. Door het verduide</w:t>
      </w:r>
      <w:r w:rsidR="00E4692A">
        <w:rPr>
          <w:rFonts w:ascii="Verdana" w:hAnsi="Verdana"/>
        </w:rPr>
        <w:t>-</w:t>
      </w:r>
      <w:r w:rsidRPr="003A751E">
        <w:rPr>
          <w:rFonts w:ascii="Verdana" w:hAnsi="Verdana"/>
        </w:rPr>
        <w:t xml:space="preserve">lijken van deze factoren wil ik proberen om het makkelijker </w:t>
      </w:r>
      <w:r w:rsidR="000B751F" w:rsidRPr="003A751E">
        <w:rPr>
          <w:rFonts w:ascii="Verdana" w:hAnsi="Verdana"/>
        </w:rPr>
        <w:t xml:space="preserve">te maken </w:t>
      </w:r>
      <w:r w:rsidRPr="003A751E">
        <w:rPr>
          <w:rFonts w:ascii="Verdana" w:hAnsi="Verdana"/>
        </w:rPr>
        <w:t xml:space="preserve">voor de rechter-commissaris om van te voren een </w:t>
      </w:r>
      <w:r w:rsidR="000B751F" w:rsidRPr="003A751E">
        <w:rPr>
          <w:rFonts w:ascii="Verdana" w:hAnsi="Verdana"/>
        </w:rPr>
        <w:t>afweging te kunnen maken betreffende</w:t>
      </w:r>
      <w:r w:rsidR="002A0D2D">
        <w:rPr>
          <w:rFonts w:ascii="Verdana" w:hAnsi="Verdana"/>
        </w:rPr>
        <w:t xml:space="preserve"> de rechtmatigheid</w:t>
      </w:r>
      <w:r w:rsidRPr="003A751E">
        <w:rPr>
          <w:rFonts w:ascii="Verdana" w:hAnsi="Verdana"/>
        </w:rPr>
        <w:t xml:space="preserve"> van het beslag. Zo kan hopelijk van te voren beter worden ingeschat wat een rechter zal oordelen</w:t>
      </w:r>
      <w:r w:rsidR="00BF11F0">
        <w:rPr>
          <w:rFonts w:ascii="Verdana" w:hAnsi="Verdana"/>
        </w:rPr>
        <w:t xml:space="preserve"> voor</w:t>
      </w:r>
      <w:r w:rsidRPr="003A751E">
        <w:rPr>
          <w:rFonts w:ascii="Verdana" w:hAnsi="Verdana"/>
        </w:rPr>
        <w:t xml:space="preserve"> wat betreft de rechtmatigheid van de inbeslagname en kan dan in sommige zaken worden afgezien van inbeslagname. Door</w:t>
      </w:r>
      <w:r w:rsidR="00AE2155">
        <w:rPr>
          <w:rFonts w:ascii="Verdana" w:hAnsi="Verdana"/>
        </w:rPr>
        <w:t xml:space="preserve"> middel van</w:t>
      </w:r>
      <w:r w:rsidRPr="003A751E">
        <w:rPr>
          <w:rFonts w:ascii="Verdana" w:hAnsi="Verdana"/>
        </w:rPr>
        <w:t xml:space="preserve"> deze verduidelijking hoop ik ook eventuele beklagprocedures te voorkomen.</w:t>
      </w:r>
    </w:p>
    <w:p w:rsidR="003A751E" w:rsidRDefault="003A751E" w:rsidP="0092501F">
      <w:pPr>
        <w:spacing w:after="0" w:line="22" w:lineRule="atLeast"/>
        <w:jc w:val="both"/>
        <w:rPr>
          <w:rFonts w:ascii="Verdana" w:hAnsi="Verdana"/>
        </w:rPr>
      </w:pPr>
    </w:p>
    <w:p w:rsidR="003A751E" w:rsidRPr="003A751E" w:rsidRDefault="003A751E" w:rsidP="0092501F">
      <w:pPr>
        <w:spacing w:after="0" w:line="22" w:lineRule="atLeast"/>
        <w:jc w:val="both"/>
        <w:rPr>
          <w:rFonts w:ascii="Verdana" w:hAnsi="Verdana"/>
        </w:rPr>
      </w:pPr>
    </w:p>
    <w:p w:rsidR="00401948" w:rsidRDefault="00401948" w:rsidP="0092501F">
      <w:pPr>
        <w:pStyle w:val="Kop2"/>
        <w:spacing w:before="0" w:line="22" w:lineRule="atLeast"/>
        <w:rPr>
          <w:rFonts w:ascii="Verdana" w:hAnsi="Verdana"/>
        </w:rPr>
      </w:pPr>
      <w:bookmarkStart w:id="11" w:name="_Toc444376686"/>
      <w:bookmarkStart w:id="12" w:name="_Toc451894981"/>
      <w:r>
        <w:rPr>
          <w:rFonts w:ascii="Verdana" w:hAnsi="Verdana"/>
        </w:rPr>
        <w:t>2.5 Praktische relevantie</w:t>
      </w:r>
      <w:bookmarkEnd w:id="11"/>
      <w:bookmarkEnd w:id="12"/>
    </w:p>
    <w:p w:rsidR="00401948" w:rsidRPr="003A751E" w:rsidRDefault="00401948" w:rsidP="0092501F">
      <w:pPr>
        <w:spacing w:after="0" w:line="22" w:lineRule="atLeast"/>
        <w:jc w:val="both"/>
        <w:rPr>
          <w:rFonts w:ascii="Verdana" w:hAnsi="Verdana"/>
        </w:rPr>
      </w:pPr>
      <w:r w:rsidRPr="003A751E">
        <w:rPr>
          <w:rFonts w:ascii="Verdana" w:hAnsi="Verdana"/>
        </w:rPr>
        <w:t xml:space="preserve">Ik </w:t>
      </w:r>
      <w:r w:rsidR="00AE2155">
        <w:rPr>
          <w:rFonts w:ascii="Verdana" w:hAnsi="Verdana"/>
        </w:rPr>
        <w:t xml:space="preserve">onderzoek de voorwaarden voor </w:t>
      </w:r>
      <w:r w:rsidRPr="003A751E">
        <w:rPr>
          <w:rFonts w:ascii="Verdana" w:hAnsi="Verdana"/>
        </w:rPr>
        <w:t xml:space="preserve">inbeslagname bij verschoningsgerechtigde </w:t>
      </w:r>
      <w:r w:rsidR="002A0D2D">
        <w:rPr>
          <w:rFonts w:ascii="Verdana" w:hAnsi="Verdana"/>
        </w:rPr>
        <w:t xml:space="preserve">beroepsbeoefenaren </w:t>
      </w:r>
      <w:r w:rsidRPr="003A751E">
        <w:rPr>
          <w:rFonts w:ascii="Verdana" w:hAnsi="Verdana"/>
        </w:rPr>
        <w:t xml:space="preserve">omdat ik wil weten aan welke voorwaarden moet zijn voldaan om </w:t>
      </w:r>
      <w:r w:rsidR="00AE2155">
        <w:rPr>
          <w:rFonts w:ascii="Verdana" w:hAnsi="Verdana"/>
        </w:rPr>
        <w:t>in beslag te kunnen nemen,</w:t>
      </w:r>
      <w:r w:rsidRPr="003A751E">
        <w:rPr>
          <w:rFonts w:ascii="Verdana" w:hAnsi="Verdana"/>
        </w:rPr>
        <w:t xml:space="preserve"> teneinde een advies te kunnen geven aan rechtbank Rotterda</w:t>
      </w:r>
      <w:r w:rsidR="00AE2155">
        <w:rPr>
          <w:rFonts w:ascii="Verdana" w:hAnsi="Verdana"/>
        </w:rPr>
        <w:t>m zodat de rechter-commissaris hier</w:t>
      </w:r>
      <w:r w:rsidRPr="003A751E">
        <w:rPr>
          <w:rFonts w:ascii="Verdana" w:hAnsi="Verdana"/>
        </w:rPr>
        <w:t>mee is gediend.</w:t>
      </w:r>
    </w:p>
    <w:p w:rsidR="00401948" w:rsidRPr="00E4692A" w:rsidRDefault="00401948" w:rsidP="0092501F">
      <w:pPr>
        <w:spacing w:after="0" w:line="22" w:lineRule="atLeast"/>
        <w:rPr>
          <w:rFonts w:ascii="Verdana" w:eastAsiaTheme="majorEastAsia" w:hAnsi="Verdana" w:cstheme="majorBidi"/>
          <w:color w:val="365F91" w:themeColor="accent1" w:themeShade="BF"/>
          <w:szCs w:val="32"/>
        </w:rPr>
      </w:pPr>
    </w:p>
    <w:p w:rsidR="00401948" w:rsidRPr="00E4692A" w:rsidRDefault="00401948" w:rsidP="0092501F">
      <w:pPr>
        <w:spacing w:after="0" w:line="22" w:lineRule="atLeast"/>
        <w:rPr>
          <w:rFonts w:ascii="Verdana" w:eastAsiaTheme="majorEastAsia" w:hAnsi="Verdana" w:cstheme="majorBidi"/>
          <w:color w:val="365F91" w:themeColor="accent1" w:themeShade="BF"/>
          <w:szCs w:val="32"/>
        </w:rPr>
      </w:pPr>
    </w:p>
    <w:p w:rsidR="00401948" w:rsidRPr="00401948" w:rsidRDefault="00401948" w:rsidP="0092501F">
      <w:pPr>
        <w:pStyle w:val="Kop2"/>
        <w:spacing w:before="0" w:line="22" w:lineRule="atLeast"/>
        <w:rPr>
          <w:rFonts w:ascii="Verdana" w:hAnsi="Verdana"/>
          <w:color w:val="365F91" w:themeColor="accent1" w:themeShade="BF"/>
          <w:szCs w:val="32"/>
        </w:rPr>
      </w:pPr>
      <w:bookmarkStart w:id="13" w:name="_Toc444376687"/>
      <w:bookmarkStart w:id="14" w:name="_Toc451894982"/>
      <w:r w:rsidRPr="00401948">
        <w:rPr>
          <w:rFonts w:ascii="Verdana" w:hAnsi="Verdana"/>
        </w:rPr>
        <w:t>2.</w:t>
      </w:r>
      <w:r>
        <w:rPr>
          <w:rFonts w:ascii="Verdana" w:hAnsi="Verdana"/>
        </w:rPr>
        <w:t>6</w:t>
      </w:r>
      <w:r w:rsidRPr="00401948">
        <w:rPr>
          <w:rFonts w:ascii="Verdana" w:hAnsi="Verdana"/>
        </w:rPr>
        <w:t xml:space="preserve"> Doelstelling</w:t>
      </w:r>
      <w:bookmarkEnd w:id="13"/>
      <w:bookmarkEnd w:id="14"/>
    </w:p>
    <w:p w:rsidR="00401948" w:rsidRPr="003A751E" w:rsidRDefault="00401948" w:rsidP="0092501F">
      <w:pPr>
        <w:spacing w:after="0" w:line="22" w:lineRule="atLeast"/>
        <w:jc w:val="both"/>
        <w:rPr>
          <w:rFonts w:ascii="Verdana" w:hAnsi="Verdana"/>
        </w:rPr>
      </w:pPr>
      <w:r w:rsidRPr="003A751E">
        <w:rPr>
          <w:rFonts w:ascii="Verdana" w:hAnsi="Verdana"/>
        </w:rPr>
        <w:t>Het doel van dit onderzoek is om de zes factoren van de Hoge Raad te verhelderen. Ik wil kijken welke factoren de eerstelijns rechter</w:t>
      </w:r>
      <w:r w:rsidR="000B751F" w:rsidRPr="003A751E">
        <w:rPr>
          <w:rFonts w:ascii="Verdana" w:hAnsi="Verdana"/>
        </w:rPr>
        <w:t>s</w:t>
      </w:r>
      <w:r w:rsidRPr="003A751E">
        <w:rPr>
          <w:rFonts w:ascii="Verdana" w:hAnsi="Verdana"/>
        </w:rPr>
        <w:t xml:space="preserve"> doorslaggevend achten en hoe deze door hen worden uitgelegd. Dit </w:t>
      </w:r>
      <w:r w:rsidR="00E4692A">
        <w:rPr>
          <w:rFonts w:ascii="Verdana" w:hAnsi="Verdana"/>
        </w:rPr>
        <w:t xml:space="preserve">kan worden onderzocht </w:t>
      </w:r>
      <w:r w:rsidRPr="003A751E">
        <w:rPr>
          <w:rFonts w:ascii="Verdana" w:hAnsi="Verdana"/>
        </w:rPr>
        <w:t xml:space="preserve">door middel van een jurisprudentieanalyse. Ik wil dit onderzoeken zodat de rechters-commissarissen </w:t>
      </w:r>
      <w:r w:rsidR="007F10E5">
        <w:rPr>
          <w:rFonts w:ascii="Verdana" w:hAnsi="Verdana"/>
        </w:rPr>
        <w:t xml:space="preserve">van </w:t>
      </w:r>
      <w:r w:rsidRPr="003A751E">
        <w:rPr>
          <w:rFonts w:ascii="Verdana" w:hAnsi="Verdana"/>
        </w:rPr>
        <w:t>het kabinet rechter-commissaris van rechtbank Rotterdam van te voren meer handvatten krijgen om in te schatten of een rechter de inbeslagna</w:t>
      </w:r>
      <w:r w:rsidR="00862764">
        <w:rPr>
          <w:rFonts w:ascii="Verdana" w:hAnsi="Verdana"/>
        </w:rPr>
        <w:t>me rechtmatig of onrechtmatig zal</w:t>
      </w:r>
      <w:r w:rsidRPr="003A751E">
        <w:rPr>
          <w:rFonts w:ascii="Verdana" w:hAnsi="Verdana"/>
        </w:rPr>
        <w:t xml:space="preserve"> achten in een beklagprocedure. Indien van te voren meer duidelijkheid bestaat, kan wellicht</w:t>
      </w:r>
      <w:r w:rsidR="000B751F" w:rsidRPr="003A751E">
        <w:rPr>
          <w:rFonts w:ascii="Verdana" w:hAnsi="Verdana"/>
        </w:rPr>
        <w:t xml:space="preserve"> worden af</w:t>
      </w:r>
      <w:r w:rsidRPr="003A751E">
        <w:rPr>
          <w:rFonts w:ascii="Verdana" w:hAnsi="Verdana"/>
        </w:rPr>
        <w:t>gezien van een inbeslagname en wordt daarmee ook een beklagprocedure voorkomen.</w:t>
      </w:r>
    </w:p>
    <w:p w:rsidR="00401948" w:rsidRDefault="00401948" w:rsidP="0092501F">
      <w:pPr>
        <w:spacing w:after="0" w:line="22" w:lineRule="atLeast"/>
      </w:pPr>
    </w:p>
    <w:p w:rsidR="00401948" w:rsidRPr="00401948" w:rsidRDefault="00401948" w:rsidP="0092501F">
      <w:pPr>
        <w:spacing w:after="0" w:line="22" w:lineRule="atLeast"/>
      </w:pPr>
    </w:p>
    <w:p w:rsidR="00401948" w:rsidRDefault="00401948" w:rsidP="0092501F">
      <w:pPr>
        <w:pStyle w:val="Kop2"/>
        <w:spacing w:before="0" w:line="22" w:lineRule="atLeast"/>
        <w:rPr>
          <w:rFonts w:ascii="Verdana" w:hAnsi="Verdana"/>
        </w:rPr>
      </w:pPr>
      <w:bookmarkStart w:id="15" w:name="_Toc444376689"/>
      <w:bookmarkStart w:id="16" w:name="_Toc451894983"/>
      <w:r>
        <w:rPr>
          <w:rFonts w:ascii="Verdana" w:hAnsi="Verdana"/>
        </w:rPr>
        <w:lastRenderedPageBreak/>
        <w:t>2.7 Centrale vraag</w:t>
      </w:r>
      <w:bookmarkEnd w:id="15"/>
      <w:bookmarkEnd w:id="16"/>
    </w:p>
    <w:p w:rsidR="00401948" w:rsidRPr="003A751E" w:rsidRDefault="00401948"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rPr>
      </w:pPr>
      <w:r w:rsidRPr="003A751E">
        <w:rPr>
          <w:rFonts w:ascii="Verdana" w:hAnsi="Verdana"/>
        </w:rPr>
        <w:t>Welk advies kan, door middel van een jurisprudentieonderzoek, aan het kabinet rechter-commissaris van rechtbank Rotterdam worden gegeven met betrekking tot de inschatting van de rechtmatigheid van de inbeslagname in het gerechtelijk vooronderzoek bij verschoningsgerechtigde beroe</w:t>
      </w:r>
      <w:r w:rsidR="00BF11F0">
        <w:rPr>
          <w:rFonts w:ascii="Verdana" w:hAnsi="Verdana"/>
        </w:rPr>
        <w:t>psbeoefenaren, rekening houdend</w:t>
      </w:r>
      <w:r w:rsidRPr="003A751E">
        <w:rPr>
          <w:rFonts w:ascii="Verdana" w:hAnsi="Verdana"/>
        </w:rPr>
        <w:t xml:space="preserve"> met de factoren die meespelen bij de toetsing van de rechtmatigheid van de inbeslagname?</w:t>
      </w:r>
    </w:p>
    <w:p w:rsidR="00401948" w:rsidRDefault="00401948"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rPr>
          <w:rFonts w:ascii="Verdana" w:hAnsi="Verdana"/>
          <w:sz w:val="24"/>
        </w:rPr>
      </w:pPr>
    </w:p>
    <w:p w:rsidR="00401948" w:rsidRPr="00401948" w:rsidRDefault="00401948"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rPr>
          <w:rFonts w:ascii="Verdana" w:hAnsi="Verdana"/>
          <w:sz w:val="24"/>
        </w:rPr>
      </w:pPr>
    </w:p>
    <w:p w:rsidR="00401948" w:rsidRDefault="00401948" w:rsidP="0092501F">
      <w:pPr>
        <w:pStyle w:val="Kop2"/>
        <w:spacing w:before="0" w:line="22" w:lineRule="atLeast"/>
        <w:rPr>
          <w:rFonts w:ascii="Verdana" w:hAnsi="Verdana"/>
        </w:rPr>
      </w:pPr>
      <w:bookmarkStart w:id="17" w:name="_Toc444376690"/>
      <w:bookmarkStart w:id="18" w:name="_Toc451894984"/>
      <w:r>
        <w:rPr>
          <w:rFonts w:ascii="Verdana" w:hAnsi="Verdana"/>
        </w:rPr>
        <w:t>2.8 Deelvragen</w:t>
      </w:r>
      <w:bookmarkEnd w:id="17"/>
      <w:bookmarkEnd w:id="18"/>
    </w:p>
    <w:p w:rsidR="00401948" w:rsidRPr="003A751E" w:rsidRDefault="00401948"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spacing w:val="-3"/>
        </w:rPr>
      </w:pPr>
      <w:r w:rsidRPr="003A751E">
        <w:rPr>
          <w:rFonts w:ascii="Verdana" w:hAnsi="Verdana"/>
          <w:spacing w:val="-3"/>
        </w:rPr>
        <w:t>De theoretisch-juridische deelvragen die ik ga stellen, zijn:</w:t>
      </w:r>
    </w:p>
    <w:p w:rsidR="00401948" w:rsidRPr="003A751E" w:rsidRDefault="00401948" w:rsidP="002734F3">
      <w:pPr>
        <w:pStyle w:val="Lijstalinea"/>
        <w:numPr>
          <w:ilvl w:val="0"/>
          <w:numId w:val="5"/>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spacing w:val="-3"/>
        </w:rPr>
      </w:pPr>
      <w:r w:rsidRPr="003A751E">
        <w:rPr>
          <w:rFonts w:ascii="Verdana" w:hAnsi="Verdana"/>
          <w:spacing w:val="-3"/>
        </w:rPr>
        <w:t>Waarom is er een beroepsgeheim en verschoningsrecht ontstaan?</w:t>
      </w:r>
    </w:p>
    <w:p w:rsidR="00401948" w:rsidRPr="003A751E" w:rsidRDefault="00401948" w:rsidP="002734F3">
      <w:pPr>
        <w:pStyle w:val="Lijstalinea"/>
        <w:numPr>
          <w:ilvl w:val="0"/>
          <w:numId w:val="5"/>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spacing w:val="-3"/>
        </w:rPr>
      </w:pPr>
      <w:r w:rsidRPr="003A751E">
        <w:rPr>
          <w:rFonts w:ascii="Verdana" w:hAnsi="Verdana"/>
          <w:spacing w:val="-3"/>
        </w:rPr>
        <w:t xml:space="preserve">Hoe is het beroepsgeheim en het verschoningsrecht geregeld in het Wetboek van Strafvordering? </w:t>
      </w:r>
    </w:p>
    <w:p w:rsidR="00401948" w:rsidRPr="003A751E" w:rsidRDefault="00401948" w:rsidP="002734F3">
      <w:pPr>
        <w:pStyle w:val="Lijstalinea"/>
        <w:numPr>
          <w:ilvl w:val="0"/>
          <w:numId w:val="5"/>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spacing w:val="-3"/>
        </w:rPr>
      </w:pPr>
      <w:r w:rsidRPr="003A751E">
        <w:rPr>
          <w:rFonts w:ascii="Verdana" w:hAnsi="Verdana"/>
          <w:spacing w:val="-3"/>
        </w:rPr>
        <w:t>Wat is op dit moment bekend over de uitleg van de zes factoren die van belang zijn bij de toetsing van de rechtmatigheid van de inbeslagname die geformuleerd zijn door de Hoge Raad?</w:t>
      </w:r>
    </w:p>
    <w:p w:rsidR="00234DFE" w:rsidRPr="003A751E" w:rsidRDefault="00234DFE"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spacing w:val="-3"/>
        </w:rPr>
      </w:pPr>
    </w:p>
    <w:p w:rsidR="00401948" w:rsidRPr="003A751E" w:rsidRDefault="00401948"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spacing w:val="-3"/>
        </w:rPr>
      </w:pPr>
      <w:r w:rsidRPr="003A751E">
        <w:rPr>
          <w:rFonts w:ascii="Verdana" w:hAnsi="Verdana"/>
          <w:spacing w:val="-3"/>
        </w:rPr>
        <w:t>De praktijkgerichte deelvraag die ik ga stellen, is:</w:t>
      </w:r>
    </w:p>
    <w:p w:rsidR="00401948" w:rsidRPr="003A751E" w:rsidRDefault="00401948" w:rsidP="002734F3">
      <w:pPr>
        <w:pStyle w:val="Lijstalinea"/>
        <w:numPr>
          <w:ilvl w:val="0"/>
          <w:numId w:val="6"/>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jc w:val="both"/>
        <w:rPr>
          <w:rFonts w:ascii="Verdana" w:hAnsi="Verdana"/>
          <w:spacing w:val="-3"/>
        </w:rPr>
      </w:pPr>
      <w:r w:rsidRPr="003A751E">
        <w:rPr>
          <w:rFonts w:ascii="Verdana" w:hAnsi="Verdana"/>
          <w:spacing w:val="-3"/>
        </w:rPr>
        <w:t>Hoe oordelen de eerstelijns rechters bij de toetsing van de rechtmatigheid van de inbeslagname, rekening houdend met de factoren die hiervoor door de Hoge Raad zijn geformuleerd?</w:t>
      </w:r>
    </w:p>
    <w:p w:rsidR="00144B1C" w:rsidRDefault="00144B1C"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rPr>
          <w:rFonts w:ascii="Verdana" w:hAnsi="Verdana"/>
          <w:spacing w:val="-3"/>
          <w:sz w:val="24"/>
        </w:rPr>
      </w:pPr>
    </w:p>
    <w:p w:rsidR="00144B1C" w:rsidRDefault="00144B1C" w:rsidP="0092501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0" w:line="22" w:lineRule="atLeast"/>
        <w:ind w:right="-23"/>
        <w:rPr>
          <w:rFonts w:ascii="Verdana" w:hAnsi="Verdana"/>
          <w:spacing w:val="-3"/>
        </w:rPr>
      </w:pPr>
    </w:p>
    <w:p w:rsidR="00401948" w:rsidRPr="00401948" w:rsidRDefault="00401948" w:rsidP="0092501F">
      <w:pPr>
        <w:pStyle w:val="Kop2"/>
        <w:spacing w:before="0" w:line="22" w:lineRule="atLeast"/>
        <w:rPr>
          <w:rFonts w:ascii="Verdana" w:hAnsi="Verdana"/>
        </w:rPr>
      </w:pPr>
      <w:bookmarkStart w:id="19" w:name="_Toc451894985"/>
      <w:r w:rsidRPr="00401948">
        <w:rPr>
          <w:rFonts w:ascii="Verdana" w:hAnsi="Verdana"/>
        </w:rPr>
        <w:t>2.</w:t>
      </w:r>
      <w:r w:rsidR="00C65B2C">
        <w:rPr>
          <w:rFonts w:ascii="Verdana" w:hAnsi="Verdana"/>
        </w:rPr>
        <w:t>9</w:t>
      </w:r>
      <w:r w:rsidRPr="00401948">
        <w:rPr>
          <w:rFonts w:ascii="Verdana" w:hAnsi="Verdana"/>
        </w:rPr>
        <w:t xml:space="preserve"> Methoden van onderzoek</w:t>
      </w:r>
      <w:bookmarkEnd w:id="19"/>
    </w:p>
    <w:p w:rsidR="00AB30BC" w:rsidRDefault="00BD7F88" w:rsidP="0092501F">
      <w:pPr>
        <w:spacing w:after="0" w:line="22" w:lineRule="atLeast"/>
        <w:jc w:val="both"/>
        <w:rPr>
          <w:rFonts w:ascii="Verdana" w:hAnsi="Verdana"/>
        </w:rPr>
      </w:pPr>
      <w:r>
        <w:rPr>
          <w:rFonts w:ascii="Verdana" w:hAnsi="Verdana"/>
        </w:rPr>
        <w:t>Bij de beantwoording</w:t>
      </w:r>
      <w:r w:rsidR="00AB30BC">
        <w:rPr>
          <w:rFonts w:ascii="Verdana" w:hAnsi="Verdana"/>
        </w:rPr>
        <w:t xml:space="preserve"> van de deelvragen, </w:t>
      </w:r>
      <w:r>
        <w:rPr>
          <w:rFonts w:ascii="Verdana" w:hAnsi="Verdana"/>
        </w:rPr>
        <w:t>is</w:t>
      </w:r>
      <w:r w:rsidR="00AB30BC">
        <w:rPr>
          <w:rFonts w:ascii="Verdana" w:hAnsi="Verdana"/>
        </w:rPr>
        <w:t xml:space="preserve"> per deelvraag gebruik gemaakt van verschillende onderzoeksmethoden. Hieronder beschrijf ik per deelvraag welke methoden van onderzoek</w:t>
      </w:r>
      <w:r w:rsidR="008A4767">
        <w:rPr>
          <w:rFonts w:ascii="Verdana" w:hAnsi="Verdana"/>
        </w:rPr>
        <w:t xml:space="preserve"> zijn gebruikt</w:t>
      </w:r>
      <w:r w:rsidR="00AB30BC">
        <w:rPr>
          <w:rFonts w:ascii="Verdana" w:hAnsi="Verdana"/>
        </w:rPr>
        <w:t xml:space="preserve">. </w:t>
      </w:r>
    </w:p>
    <w:p w:rsidR="004405D8" w:rsidRPr="003A751E" w:rsidRDefault="004405D8" w:rsidP="0092501F">
      <w:pPr>
        <w:spacing w:after="0" w:line="22" w:lineRule="atLeast"/>
        <w:jc w:val="both"/>
        <w:rPr>
          <w:rFonts w:ascii="Verdana" w:hAnsi="Verdana"/>
        </w:rPr>
      </w:pPr>
    </w:p>
    <w:p w:rsidR="004405D8" w:rsidRPr="003A751E" w:rsidRDefault="004405D8" w:rsidP="0092501F">
      <w:pPr>
        <w:spacing w:after="0" w:line="22" w:lineRule="atLeast"/>
        <w:jc w:val="both"/>
        <w:rPr>
          <w:rFonts w:ascii="Verdana" w:hAnsi="Verdana"/>
          <w:b/>
          <w:color w:val="95B3D7" w:themeColor="accent1" w:themeTint="99"/>
        </w:rPr>
      </w:pPr>
      <w:r w:rsidRPr="003A751E">
        <w:rPr>
          <w:rFonts w:ascii="Verdana" w:hAnsi="Verdana"/>
          <w:b/>
          <w:color w:val="95B3D7" w:themeColor="accent1" w:themeTint="99"/>
        </w:rPr>
        <w:t>EERSTE DEELVRAAG</w:t>
      </w:r>
    </w:p>
    <w:p w:rsidR="00A37AB5" w:rsidRDefault="004405D8" w:rsidP="0092501F">
      <w:pPr>
        <w:spacing w:after="0" w:line="22" w:lineRule="atLeast"/>
        <w:jc w:val="both"/>
        <w:rPr>
          <w:rFonts w:ascii="Verdana" w:hAnsi="Verdana"/>
        </w:rPr>
      </w:pPr>
      <w:r w:rsidRPr="003A751E">
        <w:rPr>
          <w:rFonts w:ascii="Verdana" w:hAnsi="Verdana"/>
        </w:rPr>
        <w:t xml:space="preserve">De eerste deelvraag is theoretisch juridisch. </w:t>
      </w:r>
      <w:r w:rsidR="008A4767">
        <w:rPr>
          <w:rFonts w:ascii="Verdana" w:hAnsi="Verdana"/>
        </w:rPr>
        <w:t xml:space="preserve">Bij deze deelvraag is gekeken naar hoe het beroepsgeheim en het verschoningsrecht zijn ontstaan. </w:t>
      </w:r>
      <w:r w:rsidR="00BD7F88">
        <w:rPr>
          <w:rFonts w:ascii="Verdana" w:hAnsi="Verdana"/>
        </w:rPr>
        <w:t>B</w:t>
      </w:r>
      <w:r w:rsidR="00A37AB5">
        <w:rPr>
          <w:rFonts w:ascii="Verdana" w:hAnsi="Verdana"/>
        </w:rPr>
        <w:t xml:space="preserve">ij de beantwoording van deze deelvraag </w:t>
      </w:r>
      <w:r w:rsidR="00BD7F88">
        <w:rPr>
          <w:rFonts w:ascii="Verdana" w:hAnsi="Verdana"/>
        </w:rPr>
        <w:t xml:space="preserve">is </w:t>
      </w:r>
      <w:r w:rsidR="00A37AB5">
        <w:rPr>
          <w:rFonts w:ascii="Verdana" w:hAnsi="Verdana"/>
        </w:rPr>
        <w:t>gebruik g</w:t>
      </w:r>
      <w:r w:rsidR="007150B8">
        <w:rPr>
          <w:rFonts w:ascii="Verdana" w:hAnsi="Verdana"/>
        </w:rPr>
        <w:t>emaakt van literatuur, parlemen</w:t>
      </w:r>
      <w:r w:rsidR="00A37AB5">
        <w:rPr>
          <w:rFonts w:ascii="Verdana" w:hAnsi="Verdana"/>
        </w:rPr>
        <w:t xml:space="preserve">taire stukken en jurisprudentie. </w:t>
      </w:r>
      <w:r w:rsidR="00D73AFA">
        <w:rPr>
          <w:rFonts w:ascii="Verdana" w:hAnsi="Verdana"/>
        </w:rPr>
        <w:t>De literatuur alsook de jurisprudentie brach</w:t>
      </w:r>
      <w:r w:rsidR="00862764">
        <w:rPr>
          <w:rFonts w:ascii="Verdana" w:hAnsi="Verdana"/>
        </w:rPr>
        <w:t>ten een belangrijke bijdrage bij</w:t>
      </w:r>
      <w:r w:rsidR="00D73AFA">
        <w:rPr>
          <w:rFonts w:ascii="Verdana" w:hAnsi="Verdana"/>
        </w:rPr>
        <w:t xml:space="preserve"> het in kaart brengen van de historie van het beroepsgeheim en verschoningsrecht. Verder </w:t>
      </w:r>
      <w:r w:rsidR="00BD7F88">
        <w:rPr>
          <w:rFonts w:ascii="Verdana" w:hAnsi="Verdana"/>
        </w:rPr>
        <w:t>kon uit</w:t>
      </w:r>
      <w:r w:rsidR="002A4A5F">
        <w:rPr>
          <w:rFonts w:ascii="Verdana" w:hAnsi="Verdana"/>
        </w:rPr>
        <w:t xml:space="preserve"> de parlementair</w:t>
      </w:r>
      <w:r w:rsidR="00A37AB5">
        <w:rPr>
          <w:rFonts w:ascii="Verdana" w:hAnsi="Verdana"/>
        </w:rPr>
        <w:t xml:space="preserve">e stukken de ontwikkeling van het beroepsgeheim en het verschoningsrecht </w:t>
      </w:r>
      <w:r w:rsidR="00BD7F88">
        <w:rPr>
          <w:rFonts w:ascii="Verdana" w:hAnsi="Verdana"/>
        </w:rPr>
        <w:t>worden gehaald</w:t>
      </w:r>
      <w:r w:rsidR="00A37AB5">
        <w:rPr>
          <w:rFonts w:ascii="Verdana" w:hAnsi="Verdana"/>
        </w:rPr>
        <w:t xml:space="preserve">. </w:t>
      </w:r>
    </w:p>
    <w:p w:rsidR="004405D8" w:rsidRPr="003A751E" w:rsidRDefault="004405D8" w:rsidP="0092501F">
      <w:pPr>
        <w:spacing w:after="0" w:line="22" w:lineRule="atLeast"/>
        <w:jc w:val="both"/>
        <w:rPr>
          <w:rFonts w:ascii="Verdana" w:hAnsi="Verdana"/>
        </w:rPr>
      </w:pPr>
    </w:p>
    <w:p w:rsidR="004405D8" w:rsidRPr="003A751E" w:rsidRDefault="004405D8" w:rsidP="0092501F">
      <w:pPr>
        <w:spacing w:after="0" w:line="22" w:lineRule="atLeast"/>
        <w:jc w:val="both"/>
        <w:rPr>
          <w:rFonts w:ascii="Verdana" w:hAnsi="Verdana"/>
          <w:b/>
          <w:color w:val="95B3D7" w:themeColor="accent1" w:themeTint="99"/>
        </w:rPr>
      </w:pPr>
      <w:r w:rsidRPr="003A751E">
        <w:rPr>
          <w:rFonts w:ascii="Verdana" w:hAnsi="Verdana"/>
          <w:b/>
          <w:color w:val="95B3D7" w:themeColor="accent1" w:themeTint="99"/>
        </w:rPr>
        <w:t>TWEEDE DEELVRAAG</w:t>
      </w:r>
    </w:p>
    <w:p w:rsidR="007F10E5" w:rsidRDefault="00670645" w:rsidP="0092501F">
      <w:pPr>
        <w:spacing w:after="0" w:line="22" w:lineRule="atLeast"/>
        <w:jc w:val="both"/>
        <w:rPr>
          <w:rFonts w:ascii="Verdana" w:hAnsi="Verdana"/>
          <w:color w:val="FF0000"/>
        </w:rPr>
      </w:pPr>
      <w:r>
        <w:rPr>
          <w:rFonts w:ascii="Verdana" w:hAnsi="Verdana"/>
        </w:rPr>
        <w:t xml:space="preserve">Deze deelvraag is </w:t>
      </w:r>
      <w:r w:rsidR="00AE602F">
        <w:rPr>
          <w:rFonts w:ascii="Verdana" w:hAnsi="Verdana"/>
        </w:rPr>
        <w:t>ook</w:t>
      </w:r>
      <w:r>
        <w:rPr>
          <w:rFonts w:ascii="Verdana" w:hAnsi="Verdana"/>
        </w:rPr>
        <w:t xml:space="preserve"> een theoretisch juridische vraag. </w:t>
      </w:r>
      <w:r w:rsidR="00BD7F88">
        <w:rPr>
          <w:rFonts w:ascii="Verdana" w:hAnsi="Verdana"/>
        </w:rPr>
        <w:t>B</w:t>
      </w:r>
      <w:r>
        <w:rPr>
          <w:rFonts w:ascii="Verdana" w:hAnsi="Verdana"/>
        </w:rPr>
        <w:t>ij deze deelvraag</w:t>
      </w:r>
      <w:r w:rsidR="00BD7F88">
        <w:rPr>
          <w:rFonts w:ascii="Verdana" w:hAnsi="Verdana"/>
        </w:rPr>
        <w:t xml:space="preserve"> zijn</w:t>
      </w:r>
      <w:r>
        <w:rPr>
          <w:rFonts w:ascii="Verdana" w:hAnsi="Verdana"/>
        </w:rPr>
        <w:t xml:space="preserve"> de wettelijke bepalingen betreffende het beroepsgeheim en het verschonings</w:t>
      </w:r>
      <w:r w:rsidR="00A943DD">
        <w:rPr>
          <w:rFonts w:ascii="Verdana" w:hAnsi="Verdana"/>
        </w:rPr>
        <w:t>-</w:t>
      </w:r>
      <w:r>
        <w:rPr>
          <w:rFonts w:ascii="Verdana" w:hAnsi="Verdana"/>
        </w:rPr>
        <w:t xml:space="preserve">recht in kaart gebracht. Bij de beantwoording van deze deelvraag </w:t>
      </w:r>
      <w:r w:rsidR="00BD7F88">
        <w:rPr>
          <w:rFonts w:ascii="Verdana" w:hAnsi="Verdana"/>
        </w:rPr>
        <w:t>is</w:t>
      </w:r>
      <w:r>
        <w:rPr>
          <w:rFonts w:ascii="Verdana" w:hAnsi="Verdana"/>
        </w:rPr>
        <w:t xml:space="preserve"> gebruik </w:t>
      </w:r>
      <w:r w:rsidRPr="00670645">
        <w:rPr>
          <w:rFonts w:ascii="Verdana" w:hAnsi="Verdana"/>
        </w:rPr>
        <w:t>gemaakt van relevante wet- en regelgeving</w:t>
      </w:r>
      <w:r>
        <w:rPr>
          <w:rFonts w:ascii="Verdana" w:hAnsi="Verdana"/>
        </w:rPr>
        <w:t xml:space="preserve">, jurisprudentie, literatuur en parlementaire stukken. </w:t>
      </w:r>
      <w:r w:rsidR="007F10E5">
        <w:rPr>
          <w:rFonts w:ascii="Verdana" w:hAnsi="Verdana"/>
        </w:rPr>
        <w:t>Door het gebruik van relevante wet- en regelgeving</w:t>
      </w:r>
      <w:r w:rsidR="008A4767">
        <w:rPr>
          <w:rFonts w:ascii="Verdana" w:hAnsi="Verdana"/>
        </w:rPr>
        <w:t xml:space="preserve"> kon worden weergegeven</w:t>
      </w:r>
      <w:r w:rsidR="007F10E5">
        <w:rPr>
          <w:rFonts w:ascii="Verdana" w:hAnsi="Verdana"/>
        </w:rPr>
        <w:t xml:space="preserve"> wat er allemaal in de wet staat over het beroepsgeheim en verschoningsrecht. Door middel van jurisprudentie, literatuur en parlementaire stukken </w:t>
      </w:r>
      <w:r w:rsidR="00BD7F88">
        <w:rPr>
          <w:rFonts w:ascii="Verdana" w:hAnsi="Verdana"/>
        </w:rPr>
        <w:t>kon</w:t>
      </w:r>
      <w:r w:rsidR="007F10E5">
        <w:rPr>
          <w:rFonts w:ascii="Verdana" w:hAnsi="Verdana"/>
        </w:rPr>
        <w:t xml:space="preserve"> meer invulling</w:t>
      </w:r>
      <w:r w:rsidR="006474E8">
        <w:rPr>
          <w:rFonts w:ascii="Verdana" w:hAnsi="Verdana"/>
        </w:rPr>
        <w:t xml:space="preserve"> en uitleg</w:t>
      </w:r>
      <w:r w:rsidR="008A4767">
        <w:rPr>
          <w:rFonts w:ascii="Verdana" w:hAnsi="Verdana"/>
        </w:rPr>
        <w:t xml:space="preserve"> </w:t>
      </w:r>
      <w:r w:rsidR="00BD7F88">
        <w:rPr>
          <w:rFonts w:ascii="Verdana" w:hAnsi="Verdana"/>
        </w:rPr>
        <w:t>worden gegeven aan de wetteksten.</w:t>
      </w:r>
    </w:p>
    <w:p w:rsidR="007F10E5" w:rsidRDefault="007F10E5" w:rsidP="0092501F">
      <w:pPr>
        <w:spacing w:after="0" w:line="22" w:lineRule="atLeast"/>
        <w:jc w:val="both"/>
        <w:rPr>
          <w:rFonts w:ascii="Verdana" w:hAnsi="Verdana"/>
        </w:rPr>
      </w:pPr>
    </w:p>
    <w:p w:rsidR="00A943DD" w:rsidRDefault="00A943DD" w:rsidP="0092501F">
      <w:pPr>
        <w:spacing w:after="0" w:line="22" w:lineRule="atLeast"/>
        <w:jc w:val="both"/>
        <w:rPr>
          <w:rFonts w:ascii="Verdana" w:hAnsi="Verdana"/>
        </w:rPr>
      </w:pPr>
    </w:p>
    <w:p w:rsidR="00A943DD" w:rsidRPr="003A751E" w:rsidRDefault="00A943DD" w:rsidP="0092501F">
      <w:pPr>
        <w:spacing w:after="0" w:line="22" w:lineRule="atLeast"/>
        <w:jc w:val="both"/>
        <w:rPr>
          <w:rFonts w:ascii="Verdana" w:hAnsi="Verdana"/>
        </w:rPr>
      </w:pPr>
    </w:p>
    <w:p w:rsidR="004405D8" w:rsidRPr="003A751E" w:rsidRDefault="004405D8" w:rsidP="0092501F">
      <w:pPr>
        <w:spacing w:after="0" w:line="22" w:lineRule="atLeast"/>
        <w:jc w:val="both"/>
        <w:rPr>
          <w:rFonts w:ascii="Verdana" w:hAnsi="Verdana"/>
          <w:b/>
          <w:color w:val="95B3D7" w:themeColor="accent1" w:themeTint="99"/>
        </w:rPr>
      </w:pPr>
      <w:r w:rsidRPr="003A751E">
        <w:rPr>
          <w:rFonts w:ascii="Verdana" w:hAnsi="Verdana"/>
          <w:b/>
          <w:color w:val="95B3D7" w:themeColor="accent1" w:themeTint="99"/>
        </w:rPr>
        <w:lastRenderedPageBreak/>
        <w:t>DERDE DEELVRAAG</w:t>
      </w:r>
    </w:p>
    <w:p w:rsidR="00AE602F" w:rsidRPr="00AE602F" w:rsidRDefault="00AE602F" w:rsidP="0092501F">
      <w:pPr>
        <w:spacing w:after="0" w:line="22" w:lineRule="atLeast"/>
        <w:jc w:val="both"/>
        <w:rPr>
          <w:rFonts w:ascii="Verdana" w:hAnsi="Verdana"/>
        </w:rPr>
      </w:pPr>
      <w:r>
        <w:rPr>
          <w:rFonts w:ascii="Verdana" w:hAnsi="Verdana"/>
        </w:rPr>
        <w:t xml:space="preserve">Deze deelvraag is wederom een theoretisch juridische deelvraag. Door </w:t>
      </w:r>
      <w:r w:rsidR="008A4767">
        <w:rPr>
          <w:rFonts w:ascii="Verdana" w:hAnsi="Verdana"/>
        </w:rPr>
        <w:t>middel van deze deelvraag is</w:t>
      </w:r>
      <w:r>
        <w:rPr>
          <w:rFonts w:ascii="Verdana" w:hAnsi="Verdana"/>
        </w:rPr>
        <w:t xml:space="preserve"> gep</w:t>
      </w:r>
      <w:r w:rsidR="00862764">
        <w:rPr>
          <w:rFonts w:ascii="Verdana" w:hAnsi="Verdana"/>
        </w:rPr>
        <w:t>robeerd in kaart te brengen</w:t>
      </w:r>
      <w:r>
        <w:rPr>
          <w:rFonts w:ascii="Verdana" w:hAnsi="Verdana"/>
        </w:rPr>
        <w:t xml:space="preserve"> wat er al qua uitle</w:t>
      </w:r>
      <w:r w:rsidR="00862764">
        <w:rPr>
          <w:rFonts w:ascii="Verdana" w:hAnsi="Verdana"/>
        </w:rPr>
        <w:t>g en doorslaggevendheid</w:t>
      </w:r>
      <w:r>
        <w:rPr>
          <w:rFonts w:ascii="Verdana" w:hAnsi="Verdana"/>
        </w:rPr>
        <w:t xml:space="preserve"> bekend is over de zes factoren die door de Hoge Raad zijn geformuleerd. Bij de beantwoording van deze deelvraag </w:t>
      </w:r>
      <w:r w:rsidR="00BD7F88">
        <w:rPr>
          <w:rFonts w:ascii="Verdana" w:hAnsi="Verdana"/>
        </w:rPr>
        <w:t>is</w:t>
      </w:r>
      <w:r>
        <w:rPr>
          <w:rFonts w:ascii="Verdana" w:hAnsi="Verdana"/>
        </w:rPr>
        <w:t xml:space="preserve"> gebruik gemaakt van jurisprudentie en wetenschappelijke artikelen. </w:t>
      </w:r>
      <w:r w:rsidR="007150B8">
        <w:rPr>
          <w:rFonts w:ascii="Verdana" w:hAnsi="Verdana"/>
        </w:rPr>
        <w:t>In uit</w:t>
      </w:r>
      <w:r w:rsidR="00246933">
        <w:rPr>
          <w:rFonts w:ascii="Verdana" w:hAnsi="Verdana"/>
        </w:rPr>
        <w:t>spraken van de rechterlijke mac</w:t>
      </w:r>
      <w:r w:rsidR="00862764">
        <w:rPr>
          <w:rFonts w:ascii="Verdana" w:hAnsi="Verdana"/>
        </w:rPr>
        <w:t>ht staan namelijk veel overwegingen</w:t>
      </w:r>
      <w:r w:rsidR="00246933">
        <w:rPr>
          <w:rFonts w:ascii="Verdana" w:hAnsi="Verdana"/>
        </w:rPr>
        <w:t xml:space="preserve"> die nadere toelichting geven op de zes factoren van de Hoge Raad. In de wetenschappelijke artikelen is ook getracht de zes factoren nader uit te leggen. </w:t>
      </w:r>
    </w:p>
    <w:p w:rsidR="004405D8" w:rsidRPr="003A751E" w:rsidRDefault="004405D8" w:rsidP="0092501F">
      <w:pPr>
        <w:spacing w:after="0" w:line="22" w:lineRule="atLeast"/>
        <w:jc w:val="both"/>
        <w:rPr>
          <w:rFonts w:ascii="Verdana" w:hAnsi="Verdana"/>
        </w:rPr>
      </w:pPr>
    </w:p>
    <w:p w:rsidR="004405D8" w:rsidRPr="003A751E" w:rsidRDefault="004405D8" w:rsidP="0092501F">
      <w:pPr>
        <w:spacing w:after="0" w:line="22" w:lineRule="atLeast"/>
        <w:jc w:val="both"/>
        <w:rPr>
          <w:rFonts w:ascii="Verdana" w:hAnsi="Verdana"/>
          <w:b/>
          <w:color w:val="95B3D7" w:themeColor="accent1" w:themeTint="99"/>
        </w:rPr>
      </w:pPr>
      <w:r w:rsidRPr="003A751E">
        <w:rPr>
          <w:rFonts w:ascii="Verdana" w:hAnsi="Verdana"/>
          <w:b/>
          <w:color w:val="95B3D7" w:themeColor="accent1" w:themeTint="99"/>
        </w:rPr>
        <w:t>VIERDE DEELVRAAG</w:t>
      </w:r>
    </w:p>
    <w:p w:rsidR="00AB30BC" w:rsidRDefault="00A30C5E" w:rsidP="0092501F">
      <w:pPr>
        <w:spacing w:after="0" w:line="22" w:lineRule="atLeast"/>
        <w:jc w:val="both"/>
        <w:rPr>
          <w:rFonts w:ascii="Verdana" w:hAnsi="Verdana"/>
        </w:rPr>
      </w:pPr>
      <w:r>
        <w:rPr>
          <w:rFonts w:ascii="Verdana" w:hAnsi="Verdana"/>
        </w:rPr>
        <w:t xml:space="preserve">Deze laatste deelvraag betreft de praktijkgerichte deelvraag. </w:t>
      </w:r>
      <w:r w:rsidR="008573D3">
        <w:rPr>
          <w:rFonts w:ascii="Verdana" w:hAnsi="Verdana"/>
        </w:rPr>
        <w:t xml:space="preserve">In deze deelvraag </w:t>
      </w:r>
      <w:r w:rsidR="00BD7F88">
        <w:rPr>
          <w:rFonts w:ascii="Verdana" w:hAnsi="Verdana"/>
        </w:rPr>
        <w:t>worden</w:t>
      </w:r>
      <w:r w:rsidR="008573D3">
        <w:rPr>
          <w:rFonts w:ascii="Verdana" w:hAnsi="Verdana"/>
        </w:rPr>
        <w:t xml:space="preserve"> de zes factoren die geformuleerd zijn door de Hoge Raad getoetst aan uitspraken van eerstelijns rechters. Hierdoor </w:t>
      </w:r>
      <w:r w:rsidR="00BD7F88">
        <w:rPr>
          <w:rFonts w:ascii="Verdana" w:hAnsi="Verdana"/>
        </w:rPr>
        <w:t>is</w:t>
      </w:r>
      <w:r w:rsidR="008573D3">
        <w:rPr>
          <w:rFonts w:ascii="Verdana" w:hAnsi="Verdana"/>
        </w:rPr>
        <w:t xml:space="preserve"> geprobeerd om meer inzicht te krijgen in de beoordeling van de rechtmatigheid van het beslag door de eerstelijns rechters. </w:t>
      </w:r>
      <w:r w:rsidR="00BD7F88">
        <w:rPr>
          <w:rFonts w:ascii="Verdana" w:hAnsi="Verdana"/>
        </w:rPr>
        <w:t>Voor</w:t>
      </w:r>
      <w:r w:rsidR="008573D3">
        <w:rPr>
          <w:rFonts w:ascii="Verdana" w:hAnsi="Verdana"/>
        </w:rPr>
        <w:t xml:space="preserve"> de beantwoording van deze deelvraag </w:t>
      </w:r>
      <w:r w:rsidR="00BD7F88">
        <w:rPr>
          <w:rFonts w:ascii="Verdana" w:hAnsi="Verdana"/>
        </w:rPr>
        <w:t xml:space="preserve">is </w:t>
      </w:r>
      <w:r w:rsidR="008573D3">
        <w:rPr>
          <w:rFonts w:ascii="Verdana" w:hAnsi="Verdana"/>
        </w:rPr>
        <w:t xml:space="preserve">gebruik gemaakt van uitspraken uit de periode </w:t>
      </w:r>
      <w:r w:rsidR="006B08A9">
        <w:rPr>
          <w:rFonts w:ascii="Verdana" w:hAnsi="Verdana"/>
        </w:rPr>
        <w:t xml:space="preserve">januari </w:t>
      </w:r>
      <w:r w:rsidR="008573D3">
        <w:rPr>
          <w:rFonts w:ascii="Verdana" w:hAnsi="Verdana"/>
        </w:rPr>
        <w:t xml:space="preserve">2010 tot en met </w:t>
      </w:r>
      <w:r w:rsidR="006B08A9">
        <w:rPr>
          <w:rFonts w:ascii="Verdana" w:hAnsi="Verdana"/>
        </w:rPr>
        <w:t xml:space="preserve">april </w:t>
      </w:r>
      <w:r w:rsidR="008573D3">
        <w:rPr>
          <w:rFonts w:ascii="Verdana" w:hAnsi="Verdana"/>
        </w:rPr>
        <w:t xml:space="preserve">2016. </w:t>
      </w:r>
      <w:r w:rsidR="008573D3" w:rsidRPr="008573D3">
        <w:rPr>
          <w:rFonts w:ascii="Verdana" w:hAnsi="Verdana"/>
        </w:rPr>
        <w:t xml:space="preserve">Uit die periode waren 34 relevante uitspraken beschikbaar. Al deze 34 uitspraken </w:t>
      </w:r>
      <w:r w:rsidR="00BD7F88">
        <w:rPr>
          <w:rFonts w:ascii="Verdana" w:hAnsi="Verdana"/>
        </w:rPr>
        <w:t>zijn</w:t>
      </w:r>
      <w:r w:rsidR="008573D3" w:rsidRPr="008573D3">
        <w:rPr>
          <w:rFonts w:ascii="Verdana" w:hAnsi="Verdana"/>
        </w:rPr>
        <w:t xml:space="preserve"> dan ook gebruikt voor dit </w:t>
      </w:r>
      <w:r w:rsidR="00BF11F0">
        <w:rPr>
          <w:rFonts w:ascii="Verdana" w:hAnsi="Verdana"/>
        </w:rPr>
        <w:t>onderzoek.</w:t>
      </w:r>
      <w:r w:rsidR="00BD7F88">
        <w:rPr>
          <w:rFonts w:ascii="Verdana" w:hAnsi="Verdana"/>
        </w:rPr>
        <w:t> </w:t>
      </w:r>
      <w:r w:rsidR="00BF11F0">
        <w:rPr>
          <w:rFonts w:ascii="Verdana" w:hAnsi="Verdana"/>
        </w:rPr>
        <w:t>D</w:t>
      </w:r>
      <w:r w:rsidR="006B08A9">
        <w:rPr>
          <w:rFonts w:ascii="Verdana" w:hAnsi="Verdana"/>
        </w:rPr>
        <w:t>it zijn onderstaande uitspraken:</w:t>
      </w:r>
    </w:p>
    <w:p w:rsidR="004405D8" w:rsidRPr="00B73DE3" w:rsidRDefault="004405D8" w:rsidP="0092501F">
      <w:pPr>
        <w:spacing w:after="0" w:line="22" w:lineRule="atLeast"/>
        <w:jc w:val="both"/>
        <w:rPr>
          <w:rFonts w:ascii="Verdana" w:hAnsi="Verdana"/>
          <w:color w:val="FF0000"/>
        </w:rPr>
      </w:pP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Overijssel</w:t>
      </w:r>
      <w:r w:rsidR="00862764">
        <w:rPr>
          <w:rFonts w:ascii="Verdana" w:hAnsi="Verdana"/>
        </w:rPr>
        <w:t> </w:t>
      </w:r>
      <w:r w:rsidRPr="00AB30BC">
        <w:rPr>
          <w:rFonts w:ascii="Verdana" w:hAnsi="Verdana"/>
        </w:rPr>
        <w:t>10 februari 2016, ECLI:NL:RBOVE:2016:606</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Noord-Holland 20 november 2015, ECLI:NL:RBNHO:2015:11814</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Oost-Brabant 02 oktober 2015, ECLI:NL:RBOBR:2015:5650</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Limburg 01 mei 2015, ECLI:NL:RBLIM:2015:3781</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lang w:val="en-US"/>
        </w:rPr>
      </w:pPr>
      <w:r w:rsidRPr="00AB30BC">
        <w:rPr>
          <w:rFonts w:ascii="Verdana" w:hAnsi="Verdana"/>
          <w:lang w:val="en-US"/>
        </w:rPr>
        <w:t>RB Oost-Brabant 24 april 2015, ECLI:NL:RBOBR:2015:2390</w:t>
      </w:r>
      <w:r w:rsidR="000D7AC0">
        <w:rPr>
          <w:rFonts w:ascii="Verdana" w:hAnsi="Verdana"/>
          <w:lang w:val="en-US"/>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Amsterdam 19 maart 2015, ECLI:NL:RBAMS:2015:2183</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Amsterdam 19 maart 2015, ECLI:NL:RBAMS:2015:1775</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Oost-Brabant 06 februari 2015, ECLI:NL:RBOBR:2015:731</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Den Haag 03 februari 2015, ECLI:NL:RBDHA:2015:1139</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Den Haag 02 december 2014, ECLI:NL:RBDHA:2014:16273</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Den Haag 25 november 2014, ECLI:NL:RBDHA:2014:14545</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Rotterdam 24 juni 2014, ECLI:NL:RBROT:2014:10885</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Den Haag 28 april 2014, ECLI:NL:RBDHA:2014:5203</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Amsterdam 24 april 2014, ECLI:NL:RBAMS:2014:9256</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Amsterdam 29 november 2013, ECLI:NL:RBAMS:2013:9923</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Noord-Nederland 28 november 2013, ECLI:NL:RBNNE:2013:7364</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Amsterdam 01 november 2013, ECLI:NL:RBAMS:2013:9938</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Den Haag 16 juli 2013, ECLI:NL:RBDHA:2013:8654</w:t>
      </w:r>
      <w:r w:rsidR="000D7AC0">
        <w:rPr>
          <w:rFonts w:ascii="Verdana" w:hAnsi="Verdana"/>
        </w:rPr>
        <w:t>;</w:t>
      </w:r>
    </w:p>
    <w:p w:rsidR="004405D8" w:rsidRPr="00AB30BC" w:rsidRDefault="003D1619"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Noord-Nederland</w:t>
      </w:r>
      <w:r w:rsidR="004405D8" w:rsidRPr="00AB30BC">
        <w:rPr>
          <w:rFonts w:ascii="Verdana" w:hAnsi="Verdana"/>
        </w:rPr>
        <w:t xml:space="preserve"> 26 april 2013, ECLI:NL:RBNNE:2013:BZ9199</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Overijssel 24 april 2013, ECLI:NL:RBOVE:2013:BZ9109</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lang w:val="en-US"/>
        </w:rPr>
      </w:pPr>
      <w:r w:rsidRPr="00AB30BC">
        <w:rPr>
          <w:rFonts w:ascii="Verdana" w:hAnsi="Verdana"/>
          <w:lang w:val="en-US"/>
        </w:rPr>
        <w:t>RB ’s-Gravenhage 04 december 2012, ECLI:NL:RBSGR:2012:BY9421</w:t>
      </w:r>
      <w:r w:rsidR="000D7AC0">
        <w:rPr>
          <w:rFonts w:ascii="Verdana" w:hAnsi="Verdana"/>
          <w:lang w:val="en-US"/>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Amsterdam 28 november 2012, ECLI:NL:RBAMS:2012:BY8626</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lang w:val="en-US"/>
        </w:rPr>
      </w:pPr>
      <w:r w:rsidRPr="00AB30BC">
        <w:rPr>
          <w:rFonts w:ascii="Verdana" w:hAnsi="Verdana"/>
          <w:lang w:val="en-US"/>
        </w:rPr>
        <w:t>RB ’s-Gravenhage 27 november 2012, ECLI:NL:RBSGR:2012:BY5600</w:t>
      </w:r>
      <w:r w:rsidR="000D7AC0">
        <w:rPr>
          <w:rFonts w:ascii="Verdana" w:hAnsi="Verdana"/>
          <w:lang w:val="en-US"/>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Rotterdam 25 juli 2012, ECLI:NL:RBROT:2012:BX5773</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’s-Gravenhage 03 april 2012, ECLI:NL:RBSGR:2012:BW7051</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Roermond 13 maart 2012, ECLI:NL:RBROE:2012:18</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lang w:val="en-US"/>
        </w:rPr>
      </w:pPr>
      <w:r w:rsidRPr="00AB30BC">
        <w:rPr>
          <w:rFonts w:ascii="Verdana" w:hAnsi="Verdana"/>
          <w:lang w:val="en-US"/>
        </w:rPr>
        <w:t>RB Arnhem 29 februari 2012, ECLI:NL:RBARN:2012:BV7385</w:t>
      </w:r>
      <w:r w:rsidR="000D7AC0">
        <w:rPr>
          <w:rFonts w:ascii="Verdana" w:hAnsi="Verdana"/>
          <w:lang w:val="en-US"/>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Rotterdam 07 februari 2012, ECLI:NL:RBROT:2012:BV3772</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Maastricht 29 juli 2011, ECLI:NL:RBMAA:2011:BR3970</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’s-Gravenhage 31 mei 2011, ECLI:NL:RBSGR:2011:BQ7702</w:t>
      </w:r>
      <w:r w:rsidR="000D7AC0">
        <w:rPr>
          <w:rFonts w:ascii="Verdana" w:hAnsi="Verdana"/>
        </w:rPr>
        <w:t>;</w:t>
      </w:r>
    </w:p>
    <w:p w:rsidR="004405D8"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’s-Gravenhage 15 maart 2011, ECLI:NL:RBSGR:2011:BQ4108</w:t>
      </w:r>
      <w:r w:rsidR="000D7AC0">
        <w:rPr>
          <w:rFonts w:ascii="Verdana" w:hAnsi="Verdana"/>
        </w:rPr>
        <w:t>;</w:t>
      </w:r>
    </w:p>
    <w:p w:rsidR="00AE4069" w:rsidRPr="00AE4069" w:rsidRDefault="00AE4069"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’s-Gravenhage 30 november 2010, ECLI:NL:RBSGR:2010:BP0708</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lastRenderedPageBreak/>
        <w:t>RB Utrecht 30 juli 2010, ECLI:NL:RBUTR:2010:BN8673</w:t>
      </w:r>
      <w:r w:rsidR="000D7AC0">
        <w:rPr>
          <w:rFonts w:ascii="Verdana" w:hAnsi="Verdana"/>
        </w:rPr>
        <w:t>;</w:t>
      </w:r>
    </w:p>
    <w:p w:rsidR="004405D8" w:rsidRPr="00AB30BC" w:rsidRDefault="004405D8" w:rsidP="002734F3">
      <w:pPr>
        <w:pStyle w:val="Lijstalinea"/>
        <w:numPr>
          <w:ilvl w:val="1"/>
          <w:numId w:val="7"/>
        </w:numPr>
        <w:spacing w:after="0" w:line="22" w:lineRule="atLeast"/>
        <w:ind w:left="426" w:hanging="426"/>
        <w:jc w:val="both"/>
        <w:rPr>
          <w:rFonts w:ascii="Verdana" w:hAnsi="Verdana"/>
        </w:rPr>
      </w:pPr>
      <w:r w:rsidRPr="00AB30BC">
        <w:rPr>
          <w:rFonts w:ascii="Verdana" w:hAnsi="Verdana"/>
        </w:rPr>
        <w:t>RB Amsterdam 14 april 2010, ECLI:NL:RBAMS:2010:8569</w:t>
      </w:r>
      <w:r w:rsidR="000D7AC0">
        <w:rPr>
          <w:rFonts w:ascii="Verdana" w:hAnsi="Verdana"/>
        </w:rPr>
        <w:t>.</w:t>
      </w:r>
    </w:p>
    <w:p w:rsidR="006839F9" w:rsidRPr="00B73DE3" w:rsidRDefault="006839F9" w:rsidP="0092501F">
      <w:pPr>
        <w:spacing w:after="0" w:line="22" w:lineRule="atLeast"/>
        <w:jc w:val="both"/>
        <w:rPr>
          <w:rFonts w:ascii="Verdana" w:hAnsi="Verdana"/>
          <w:color w:val="FF0000"/>
        </w:rPr>
      </w:pPr>
    </w:p>
    <w:p w:rsidR="004405D8" w:rsidRPr="006474E8" w:rsidRDefault="00BD7F88" w:rsidP="0092501F">
      <w:pPr>
        <w:spacing w:after="0" w:line="22" w:lineRule="atLeast"/>
        <w:jc w:val="both"/>
        <w:rPr>
          <w:rFonts w:ascii="Verdana" w:hAnsi="Verdana"/>
        </w:rPr>
      </w:pPr>
      <w:r>
        <w:rPr>
          <w:rFonts w:ascii="Verdana" w:hAnsi="Verdana"/>
        </w:rPr>
        <w:t>Bij de analyse zijn</w:t>
      </w:r>
      <w:r w:rsidR="006474E8" w:rsidRPr="006474E8">
        <w:rPr>
          <w:rFonts w:ascii="Verdana" w:hAnsi="Verdana"/>
        </w:rPr>
        <w:t xml:space="preserve"> de uitspraken van de eerstelijns rechters </w:t>
      </w:r>
      <w:r w:rsidR="006474E8">
        <w:rPr>
          <w:rFonts w:ascii="Verdana" w:hAnsi="Verdana"/>
        </w:rPr>
        <w:t xml:space="preserve">onder andere </w:t>
      </w:r>
      <w:r w:rsidR="006474E8" w:rsidRPr="006474E8">
        <w:rPr>
          <w:rFonts w:ascii="Verdana" w:hAnsi="Verdana"/>
        </w:rPr>
        <w:t>getoetst aan de zes</w:t>
      </w:r>
      <w:r w:rsidR="004405D8" w:rsidRPr="006474E8">
        <w:rPr>
          <w:rFonts w:ascii="Verdana" w:hAnsi="Verdana"/>
        </w:rPr>
        <w:t xml:space="preserve"> factoren die door d</w:t>
      </w:r>
      <w:r w:rsidR="00924A3A">
        <w:rPr>
          <w:rFonts w:ascii="Verdana" w:hAnsi="Verdana"/>
        </w:rPr>
        <w:t>e Hoge Raad zijn vastgesteld. Di</w:t>
      </w:r>
      <w:r w:rsidR="004405D8" w:rsidRPr="006474E8">
        <w:rPr>
          <w:rFonts w:ascii="Verdana" w:hAnsi="Verdana"/>
        </w:rPr>
        <w:t>t zijn de volgende factoren:</w:t>
      </w:r>
    </w:p>
    <w:p w:rsidR="004405D8" w:rsidRPr="006474E8" w:rsidRDefault="004405D8" w:rsidP="002734F3">
      <w:pPr>
        <w:pStyle w:val="Lijstalinea"/>
        <w:numPr>
          <w:ilvl w:val="0"/>
          <w:numId w:val="1"/>
        </w:numPr>
        <w:spacing w:after="0" w:line="22" w:lineRule="atLeast"/>
        <w:jc w:val="both"/>
        <w:rPr>
          <w:rFonts w:ascii="Verdana" w:hAnsi="Verdana"/>
        </w:rPr>
      </w:pPr>
      <w:r w:rsidRPr="006474E8">
        <w:rPr>
          <w:rFonts w:ascii="Verdana" w:hAnsi="Verdana"/>
        </w:rPr>
        <w:t>De aard, omvang en context van de gevraagde gegevens;</w:t>
      </w:r>
    </w:p>
    <w:p w:rsidR="004405D8" w:rsidRPr="006474E8" w:rsidRDefault="004405D8" w:rsidP="002734F3">
      <w:pPr>
        <w:pStyle w:val="Lijstalinea"/>
        <w:numPr>
          <w:ilvl w:val="0"/>
          <w:numId w:val="1"/>
        </w:numPr>
        <w:spacing w:after="0" w:line="22" w:lineRule="atLeast"/>
        <w:jc w:val="both"/>
        <w:rPr>
          <w:rFonts w:ascii="Verdana" w:hAnsi="Verdana"/>
        </w:rPr>
      </w:pPr>
      <w:r w:rsidRPr="006474E8">
        <w:rPr>
          <w:rFonts w:ascii="Verdana" w:hAnsi="Verdana"/>
        </w:rPr>
        <w:t>Het belang en de ernst van de strafzaak;</w:t>
      </w:r>
    </w:p>
    <w:p w:rsidR="004405D8" w:rsidRPr="006474E8" w:rsidRDefault="004405D8" w:rsidP="002734F3">
      <w:pPr>
        <w:pStyle w:val="Lijstalinea"/>
        <w:numPr>
          <w:ilvl w:val="0"/>
          <w:numId w:val="1"/>
        </w:numPr>
        <w:spacing w:after="0" w:line="22" w:lineRule="atLeast"/>
        <w:jc w:val="both"/>
        <w:rPr>
          <w:rFonts w:ascii="Verdana" w:hAnsi="Verdana"/>
        </w:rPr>
      </w:pPr>
      <w:r w:rsidRPr="006474E8">
        <w:rPr>
          <w:rFonts w:ascii="Verdana" w:hAnsi="Verdana"/>
        </w:rPr>
        <w:t>De eventuele toestemming van de belanghebbende;</w:t>
      </w:r>
    </w:p>
    <w:p w:rsidR="004405D8" w:rsidRPr="006474E8" w:rsidRDefault="004405D8" w:rsidP="002734F3">
      <w:pPr>
        <w:pStyle w:val="Lijstalinea"/>
        <w:numPr>
          <w:ilvl w:val="0"/>
          <w:numId w:val="1"/>
        </w:numPr>
        <w:spacing w:after="0" w:line="22" w:lineRule="atLeast"/>
        <w:jc w:val="both"/>
        <w:rPr>
          <w:rFonts w:ascii="Verdana" w:hAnsi="Verdana"/>
        </w:rPr>
      </w:pPr>
      <w:r w:rsidRPr="006474E8">
        <w:rPr>
          <w:rFonts w:ascii="Verdana" w:hAnsi="Verdana"/>
        </w:rPr>
        <w:t>Een eventuele verdenking tegen de verschoningsgerechtigde;</w:t>
      </w:r>
    </w:p>
    <w:p w:rsidR="004405D8" w:rsidRPr="006474E8" w:rsidRDefault="004405D8" w:rsidP="002734F3">
      <w:pPr>
        <w:pStyle w:val="Lijstalinea"/>
        <w:numPr>
          <w:ilvl w:val="0"/>
          <w:numId w:val="1"/>
        </w:numPr>
        <w:spacing w:after="0" w:line="22" w:lineRule="atLeast"/>
        <w:jc w:val="both"/>
        <w:rPr>
          <w:rFonts w:ascii="Verdana" w:hAnsi="Verdana"/>
        </w:rPr>
      </w:pPr>
      <w:r w:rsidRPr="006474E8">
        <w:rPr>
          <w:rFonts w:ascii="Verdana" w:hAnsi="Verdana"/>
        </w:rPr>
        <w:t>Proportionaliteit en subsidiariteit;</w:t>
      </w:r>
    </w:p>
    <w:p w:rsidR="004405D8" w:rsidRPr="006474E8" w:rsidRDefault="004405D8" w:rsidP="002734F3">
      <w:pPr>
        <w:pStyle w:val="Lijstalinea"/>
        <w:numPr>
          <w:ilvl w:val="0"/>
          <w:numId w:val="1"/>
        </w:numPr>
        <w:spacing w:after="0" w:line="22" w:lineRule="atLeast"/>
        <w:jc w:val="both"/>
        <w:rPr>
          <w:rFonts w:ascii="Verdana" w:hAnsi="Verdana"/>
        </w:rPr>
      </w:pPr>
      <w:r w:rsidRPr="006474E8">
        <w:rPr>
          <w:rFonts w:ascii="Verdana" w:hAnsi="Verdana"/>
        </w:rPr>
        <w:t>Het belang van de gevorderde gegevens.</w:t>
      </w:r>
    </w:p>
    <w:p w:rsidR="006839F9" w:rsidRPr="00B73DE3" w:rsidRDefault="006839F9" w:rsidP="0092501F">
      <w:pPr>
        <w:spacing w:after="0" w:line="22" w:lineRule="atLeast"/>
        <w:jc w:val="both"/>
        <w:rPr>
          <w:rFonts w:ascii="Verdana" w:hAnsi="Verdana"/>
          <w:color w:val="FF0000"/>
        </w:rPr>
      </w:pPr>
    </w:p>
    <w:p w:rsidR="004405D8" w:rsidRDefault="004405D8" w:rsidP="0092501F">
      <w:pPr>
        <w:spacing w:after="0" w:line="22" w:lineRule="atLeast"/>
        <w:jc w:val="both"/>
        <w:rPr>
          <w:rFonts w:ascii="Verdana" w:hAnsi="Verdana"/>
        </w:rPr>
      </w:pPr>
      <w:r w:rsidRPr="006474E8">
        <w:rPr>
          <w:rFonts w:ascii="Verdana" w:hAnsi="Verdana"/>
        </w:rPr>
        <w:t xml:space="preserve">Naast voornoemde zes factoren, </w:t>
      </w:r>
      <w:r w:rsidR="00BD7F88">
        <w:rPr>
          <w:rFonts w:ascii="Verdana" w:hAnsi="Verdana"/>
        </w:rPr>
        <w:t>is</w:t>
      </w:r>
      <w:r w:rsidR="006474E8" w:rsidRPr="006474E8">
        <w:rPr>
          <w:rFonts w:ascii="Verdana" w:hAnsi="Verdana"/>
        </w:rPr>
        <w:t xml:space="preserve"> ook gekeken naar een </w:t>
      </w:r>
      <w:r w:rsidRPr="006474E8">
        <w:rPr>
          <w:rFonts w:ascii="Verdana" w:hAnsi="Verdana"/>
        </w:rPr>
        <w:t xml:space="preserve">‘restcategorie’. Uit de praktijk blijkt namelijk dat de eerstelijns rechters niet </w:t>
      </w:r>
      <w:r w:rsidR="006474E8" w:rsidRPr="006474E8">
        <w:rPr>
          <w:rFonts w:ascii="Verdana" w:hAnsi="Verdana"/>
        </w:rPr>
        <w:t xml:space="preserve">altijd </w:t>
      </w:r>
      <w:r w:rsidR="00924A3A">
        <w:rPr>
          <w:rFonts w:ascii="Verdana" w:hAnsi="Verdana"/>
        </w:rPr>
        <w:t>strikt</w:t>
      </w:r>
      <w:r w:rsidRPr="006474E8">
        <w:rPr>
          <w:rFonts w:ascii="Verdana" w:hAnsi="Verdana"/>
        </w:rPr>
        <w:t xml:space="preserve"> de zes fac</w:t>
      </w:r>
      <w:r w:rsidR="00924A3A">
        <w:rPr>
          <w:rFonts w:ascii="Verdana" w:hAnsi="Verdana"/>
        </w:rPr>
        <w:t>toren van de Hoge Raad toetsen</w:t>
      </w:r>
      <w:r w:rsidRPr="006474E8">
        <w:rPr>
          <w:rFonts w:ascii="Verdana" w:hAnsi="Verdana"/>
        </w:rPr>
        <w:t xml:space="preserve">. Soms worden er één of meerdere </w:t>
      </w:r>
      <w:r w:rsidR="006474E8" w:rsidRPr="006474E8">
        <w:rPr>
          <w:rFonts w:ascii="Verdana" w:hAnsi="Verdana"/>
        </w:rPr>
        <w:t xml:space="preserve">factoren </w:t>
      </w:r>
      <w:r w:rsidRPr="006474E8">
        <w:rPr>
          <w:rFonts w:ascii="Verdana" w:hAnsi="Verdana"/>
        </w:rPr>
        <w:t>wegge</w:t>
      </w:r>
      <w:r w:rsidR="006474E8" w:rsidRPr="006474E8">
        <w:rPr>
          <w:rFonts w:ascii="Verdana" w:hAnsi="Verdana"/>
        </w:rPr>
        <w:t xml:space="preserve">laten in de overweging en spelen </w:t>
      </w:r>
      <w:r w:rsidRPr="006474E8">
        <w:rPr>
          <w:rFonts w:ascii="Verdana" w:hAnsi="Verdana"/>
        </w:rPr>
        <w:t>andere factor</w:t>
      </w:r>
      <w:r w:rsidR="006474E8" w:rsidRPr="006474E8">
        <w:rPr>
          <w:rFonts w:ascii="Verdana" w:hAnsi="Verdana"/>
        </w:rPr>
        <w:t>en</w:t>
      </w:r>
      <w:r w:rsidRPr="006474E8">
        <w:rPr>
          <w:rFonts w:ascii="Verdana" w:hAnsi="Verdana"/>
        </w:rPr>
        <w:t xml:space="preserve"> een belangrijke rol in de overweging van de rechter. Om deze reden</w:t>
      </w:r>
      <w:r w:rsidR="008A4767">
        <w:rPr>
          <w:rFonts w:ascii="Verdana" w:hAnsi="Verdana"/>
        </w:rPr>
        <w:t xml:space="preserve"> </w:t>
      </w:r>
      <w:r w:rsidR="00BD7F88">
        <w:rPr>
          <w:rFonts w:ascii="Verdana" w:hAnsi="Verdana"/>
        </w:rPr>
        <w:t>is</w:t>
      </w:r>
      <w:r w:rsidR="006474E8" w:rsidRPr="006474E8">
        <w:rPr>
          <w:rFonts w:ascii="Verdana" w:hAnsi="Verdana"/>
        </w:rPr>
        <w:t xml:space="preserve"> dus</w:t>
      </w:r>
      <w:r w:rsidRPr="006474E8">
        <w:rPr>
          <w:rFonts w:ascii="Verdana" w:hAnsi="Verdana"/>
        </w:rPr>
        <w:t xml:space="preserve"> een zevende factor toe</w:t>
      </w:r>
      <w:r w:rsidR="006474E8" w:rsidRPr="006474E8">
        <w:rPr>
          <w:rFonts w:ascii="Verdana" w:hAnsi="Verdana"/>
        </w:rPr>
        <w:t>gevoegd</w:t>
      </w:r>
      <w:r w:rsidRPr="006474E8">
        <w:rPr>
          <w:rFonts w:ascii="Verdana" w:hAnsi="Verdana"/>
        </w:rPr>
        <w:t xml:space="preserve">. </w:t>
      </w:r>
    </w:p>
    <w:p w:rsidR="006474E8" w:rsidRDefault="006474E8" w:rsidP="0092501F">
      <w:pPr>
        <w:spacing w:after="0" w:line="22" w:lineRule="atLeast"/>
        <w:jc w:val="both"/>
        <w:rPr>
          <w:rFonts w:ascii="Verdana" w:hAnsi="Verdana"/>
        </w:rPr>
      </w:pPr>
    </w:p>
    <w:p w:rsidR="006474E8" w:rsidRPr="006474E8" w:rsidRDefault="008A4767" w:rsidP="0092501F">
      <w:pPr>
        <w:spacing w:after="0" w:line="22" w:lineRule="atLeast"/>
        <w:jc w:val="both"/>
        <w:rPr>
          <w:rFonts w:ascii="Verdana" w:hAnsi="Verdana"/>
        </w:rPr>
      </w:pPr>
      <w:r>
        <w:rPr>
          <w:rFonts w:ascii="Verdana" w:hAnsi="Verdana"/>
        </w:rPr>
        <w:t>In de</w:t>
      </w:r>
      <w:r w:rsidR="006474E8">
        <w:rPr>
          <w:rFonts w:ascii="Verdana" w:hAnsi="Verdana"/>
        </w:rPr>
        <w:t xml:space="preserve"> tabellen behorend bij de analyse </w:t>
      </w:r>
      <w:r w:rsidR="00BD7F88">
        <w:rPr>
          <w:rFonts w:ascii="Verdana" w:hAnsi="Verdana"/>
        </w:rPr>
        <w:t>zijn naast de zeven toetsings</w:t>
      </w:r>
      <w:r w:rsidR="006474E8">
        <w:rPr>
          <w:rFonts w:ascii="Verdana" w:hAnsi="Verdana"/>
        </w:rPr>
        <w:t>factoren ook nog drie informatieve kolommen toegevoegd. De eerst kolom betreft de omstandigheden die speelden in de desbetreffende rechtszaak. Hierin staat dan onder andere vermeld wa</w:t>
      </w:r>
      <w:r w:rsidR="00924A3A">
        <w:rPr>
          <w:rFonts w:ascii="Verdana" w:hAnsi="Verdana"/>
        </w:rPr>
        <w:t>t voor beroep de klager beoefent</w:t>
      </w:r>
      <w:r w:rsidR="006474E8">
        <w:rPr>
          <w:rFonts w:ascii="Verdana" w:hAnsi="Verdana"/>
        </w:rPr>
        <w:t xml:space="preserve"> en andere feitelijke omstandigheden. In de tweede kolom </w:t>
      </w:r>
      <w:r w:rsidR="00BD7F88">
        <w:rPr>
          <w:rFonts w:ascii="Verdana" w:hAnsi="Verdana"/>
        </w:rPr>
        <w:t>wordt aangegeven</w:t>
      </w:r>
      <w:r w:rsidR="006474E8">
        <w:rPr>
          <w:rFonts w:ascii="Verdana" w:hAnsi="Verdana"/>
        </w:rPr>
        <w:t xml:space="preserve"> of de rechtbank oordeelde dat er sprake was van zeer bijzondere omstandigheden en zo ja, waaruit deze bleken. In de laatste kolom </w:t>
      </w:r>
      <w:r w:rsidR="00BD7F88">
        <w:rPr>
          <w:rFonts w:ascii="Verdana" w:hAnsi="Verdana"/>
        </w:rPr>
        <w:t>wordt aangegeven</w:t>
      </w:r>
      <w:r w:rsidR="006474E8">
        <w:rPr>
          <w:rFonts w:ascii="Verdana" w:hAnsi="Verdana"/>
        </w:rPr>
        <w:t xml:space="preserve"> of het beslag al dan niet rechtmatig is geacht door de rechtbank. </w:t>
      </w:r>
    </w:p>
    <w:p w:rsidR="00522896" w:rsidRDefault="00522896" w:rsidP="0092501F">
      <w:pPr>
        <w:spacing w:after="0" w:line="22" w:lineRule="atLeast"/>
        <w:rPr>
          <w:rFonts w:ascii="Verdana" w:hAnsi="Verdana"/>
          <w:b/>
          <w:sz w:val="36"/>
        </w:rPr>
      </w:pPr>
    </w:p>
    <w:p w:rsidR="00307324" w:rsidRDefault="00307324" w:rsidP="0092501F">
      <w:pPr>
        <w:spacing w:after="0" w:line="22" w:lineRule="atLeast"/>
        <w:rPr>
          <w:rFonts w:ascii="Verdana" w:eastAsiaTheme="majorEastAsia" w:hAnsi="Verdana" w:cstheme="majorBidi"/>
          <w:b/>
          <w:color w:val="365F91" w:themeColor="accent1" w:themeShade="BF"/>
          <w:sz w:val="36"/>
          <w:szCs w:val="32"/>
        </w:rPr>
      </w:pPr>
      <w:r>
        <w:rPr>
          <w:rFonts w:ascii="Verdana" w:hAnsi="Verdana"/>
          <w:b/>
          <w:sz w:val="36"/>
        </w:rPr>
        <w:br w:type="page"/>
      </w:r>
    </w:p>
    <w:p w:rsidR="00AD274F" w:rsidRPr="00AD274F" w:rsidRDefault="00401948" w:rsidP="0092501F">
      <w:pPr>
        <w:pStyle w:val="Kop1"/>
        <w:spacing w:before="0" w:line="22" w:lineRule="atLeast"/>
        <w:rPr>
          <w:rFonts w:ascii="Verdana" w:hAnsi="Verdana"/>
          <w:b/>
          <w:sz w:val="36"/>
        </w:rPr>
      </w:pPr>
      <w:bookmarkStart w:id="20" w:name="_Toc451894986"/>
      <w:r>
        <w:rPr>
          <w:rFonts w:ascii="Verdana" w:hAnsi="Verdana"/>
          <w:b/>
          <w:sz w:val="36"/>
        </w:rPr>
        <w:lastRenderedPageBreak/>
        <w:t>3</w:t>
      </w:r>
      <w:r w:rsidR="00AD274F" w:rsidRPr="00AD274F">
        <w:rPr>
          <w:rFonts w:ascii="Verdana" w:hAnsi="Verdana"/>
          <w:b/>
          <w:sz w:val="36"/>
        </w:rPr>
        <w:t xml:space="preserve">. </w:t>
      </w:r>
      <w:r w:rsidR="00922BA5">
        <w:rPr>
          <w:rFonts w:ascii="Verdana" w:hAnsi="Verdana"/>
          <w:b/>
          <w:sz w:val="36"/>
        </w:rPr>
        <w:t>Deelvraag 1: Het ontstaan van het beroepsgeheim en het verschoningsrecht</w:t>
      </w:r>
      <w:bookmarkEnd w:id="20"/>
    </w:p>
    <w:p w:rsidR="005908EC" w:rsidRDefault="00401948" w:rsidP="0092501F">
      <w:pPr>
        <w:pStyle w:val="Kop2"/>
        <w:spacing w:before="0" w:line="22" w:lineRule="atLeast"/>
        <w:rPr>
          <w:rFonts w:ascii="Verdana" w:hAnsi="Verdana"/>
        </w:rPr>
      </w:pPr>
      <w:bookmarkStart w:id="21" w:name="_Toc451894987"/>
      <w:r>
        <w:rPr>
          <w:rFonts w:ascii="Verdana" w:hAnsi="Verdana"/>
        </w:rPr>
        <w:t>3</w:t>
      </w:r>
      <w:r w:rsidR="000168EC" w:rsidRPr="000168EC">
        <w:rPr>
          <w:rFonts w:ascii="Verdana" w:hAnsi="Verdana"/>
        </w:rPr>
        <w:t xml:space="preserve">.1 </w:t>
      </w:r>
      <w:r w:rsidR="00922BA5">
        <w:rPr>
          <w:rFonts w:ascii="Verdana" w:hAnsi="Verdana"/>
        </w:rPr>
        <w:t>Inleiding</w:t>
      </w:r>
      <w:bookmarkEnd w:id="21"/>
    </w:p>
    <w:p w:rsidR="00913D8C" w:rsidRPr="005E0B1F" w:rsidRDefault="00913D8C" w:rsidP="0092501F">
      <w:pPr>
        <w:spacing w:after="0" w:line="22" w:lineRule="atLeast"/>
        <w:jc w:val="both"/>
        <w:rPr>
          <w:rFonts w:ascii="Verdana" w:hAnsi="Verdana"/>
        </w:rPr>
      </w:pPr>
      <w:r w:rsidRPr="005E0B1F">
        <w:rPr>
          <w:rFonts w:ascii="Verdana" w:hAnsi="Verdana"/>
        </w:rPr>
        <w:t>Het beroepsgeheim en het verschoningsrecht zijn geen nieuw</w:t>
      </w:r>
      <w:r w:rsidR="002232F5" w:rsidRPr="005E0B1F">
        <w:rPr>
          <w:rFonts w:ascii="Verdana" w:hAnsi="Verdana"/>
        </w:rPr>
        <w:t>e fenomenen</w:t>
      </w:r>
      <w:r w:rsidRPr="005E0B1F">
        <w:rPr>
          <w:rFonts w:ascii="Verdana" w:hAnsi="Verdana"/>
        </w:rPr>
        <w:t xml:space="preserve">. Deze twee hebben al een lange voorgeschiedenis. Om een beter begrip te krijgen van het beroepsgeheim en het verschoningsrecht, ga ik kijken waaruit het is ontstaan, </w:t>
      </w:r>
      <w:r w:rsidR="00426C2C" w:rsidRPr="005E0B1F">
        <w:rPr>
          <w:rFonts w:ascii="Verdana" w:hAnsi="Verdana"/>
        </w:rPr>
        <w:t>of er nog wetswijzigingen zijn doorgevoerd</w:t>
      </w:r>
      <w:r w:rsidRPr="005E0B1F">
        <w:rPr>
          <w:rFonts w:ascii="Verdana" w:hAnsi="Verdana"/>
        </w:rPr>
        <w:t xml:space="preserve"> en wat het belang is van het beroepsgeheim en het verschoningsrecht. </w:t>
      </w:r>
      <w:r w:rsidR="00BD7F88">
        <w:rPr>
          <w:rFonts w:ascii="Verdana" w:hAnsi="Verdana"/>
        </w:rPr>
        <w:t>P</w:t>
      </w:r>
      <w:r w:rsidR="00DE4FCD" w:rsidRPr="005E0B1F">
        <w:rPr>
          <w:rFonts w:ascii="Verdana" w:hAnsi="Verdana"/>
        </w:rPr>
        <w:t xml:space="preserve">er beroepsgroep (de arts, de notaris en de advocaat) </w:t>
      </w:r>
      <w:r w:rsidR="00BD7F88">
        <w:rPr>
          <w:rFonts w:ascii="Verdana" w:hAnsi="Verdana"/>
        </w:rPr>
        <w:t xml:space="preserve">zal worden </w:t>
      </w:r>
      <w:r w:rsidR="00DE4FCD" w:rsidRPr="005E0B1F">
        <w:rPr>
          <w:rFonts w:ascii="Verdana" w:hAnsi="Verdana"/>
        </w:rPr>
        <w:t xml:space="preserve">aangeven hoe de historie van het beroepsgeheim en </w:t>
      </w:r>
      <w:r w:rsidR="002232F5" w:rsidRPr="005E0B1F">
        <w:rPr>
          <w:rFonts w:ascii="Verdana" w:hAnsi="Verdana"/>
        </w:rPr>
        <w:t xml:space="preserve">het </w:t>
      </w:r>
      <w:r w:rsidR="00DE4FCD" w:rsidRPr="005E0B1F">
        <w:rPr>
          <w:rFonts w:ascii="Verdana" w:hAnsi="Verdana"/>
        </w:rPr>
        <w:t xml:space="preserve">verschoningsrecht is verlopen. Voor zover dit hetzelfde is voor alle drie de beroepsgroepen, </w:t>
      </w:r>
      <w:r w:rsidR="00BD7F88">
        <w:rPr>
          <w:rFonts w:ascii="Verdana" w:hAnsi="Verdana"/>
        </w:rPr>
        <w:t>wordt dit vermeld</w:t>
      </w:r>
      <w:r w:rsidR="00DE4FCD" w:rsidRPr="005E0B1F">
        <w:rPr>
          <w:rFonts w:ascii="Verdana" w:hAnsi="Verdana"/>
        </w:rPr>
        <w:t xml:space="preserve"> onder het kopje algemeen. </w:t>
      </w:r>
    </w:p>
    <w:p w:rsidR="00922BA5" w:rsidRDefault="00922BA5" w:rsidP="0092501F">
      <w:pPr>
        <w:spacing w:after="0" w:line="22" w:lineRule="atLeast"/>
        <w:rPr>
          <w:rFonts w:ascii="Verdana" w:hAnsi="Verdana"/>
          <w:sz w:val="24"/>
        </w:rPr>
      </w:pPr>
    </w:p>
    <w:p w:rsidR="00922BA5" w:rsidRDefault="00922BA5" w:rsidP="0092501F">
      <w:pPr>
        <w:spacing w:after="0" w:line="22" w:lineRule="atLeast"/>
        <w:rPr>
          <w:rFonts w:ascii="Verdana" w:hAnsi="Verdana"/>
          <w:sz w:val="24"/>
        </w:rPr>
      </w:pPr>
    </w:p>
    <w:p w:rsidR="00922BA5" w:rsidRDefault="00922BA5" w:rsidP="0092501F">
      <w:pPr>
        <w:pStyle w:val="Kop2"/>
        <w:spacing w:before="0" w:line="22" w:lineRule="atLeast"/>
        <w:rPr>
          <w:rFonts w:ascii="Verdana" w:hAnsi="Verdana"/>
          <w:sz w:val="24"/>
        </w:rPr>
      </w:pPr>
      <w:bookmarkStart w:id="22" w:name="_Toc451894988"/>
      <w:r w:rsidRPr="00922BA5">
        <w:rPr>
          <w:rFonts w:ascii="Verdana" w:hAnsi="Verdana"/>
          <w:sz w:val="24"/>
        </w:rPr>
        <w:t>3.2 De historie van het beroepsgeheim en het verschoningsrecht</w:t>
      </w:r>
      <w:bookmarkEnd w:id="22"/>
    </w:p>
    <w:p w:rsidR="002232F5" w:rsidRPr="00922BA5" w:rsidRDefault="002232F5" w:rsidP="0092501F">
      <w:pPr>
        <w:pStyle w:val="Kop3"/>
        <w:spacing w:before="0" w:line="22" w:lineRule="atLeast"/>
        <w:rPr>
          <w:rFonts w:ascii="Verdana" w:hAnsi="Verdana"/>
          <w:b w:val="0"/>
          <w:i/>
          <w:sz w:val="24"/>
        </w:rPr>
      </w:pPr>
      <w:bookmarkStart w:id="23" w:name="_Toc451894989"/>
      <w:r w:rsidRPr="00922BA5">
        <w:rPr>
          <w:rFonts w:ascii="Verdana" w:hAnsi="Verdana"/>
          <w:b w:val="0"/>
          <w:i/>
          <w:sz w:val="24"/>
        </w:rPr>
        <w:t>3</w:t>
      </w:r>
      <w:r>
        <w:rPr>
          <w:rFonts w:ascii="Verdana" w:hAnsi="Verdana"/>
          <w:b w:val="0"/>
          <w:i/>
          <w:sz w:val="24"/>
        </w:rPr>
        <w:t>.2.1</w:t>
      </w:r>
      <w:r w:rsidRPr="00922BA5">
        <w:rPr>
          <w:rFonts w:ascii="Verdana" w:hAnsi="Verdana"/>
          <w:b w:val="0"/>
          <w:i/>
          <w:sz w:val="24"/>
        </w:rPr>
        <w:t xml:space="preserve"> Beroepsgeheim en verschoningsrecht in het algemeen</w:t>
      </w:r>
      <w:bookmarkEnd w:id="23"/>
    </w:p>
    <w:p w:rsidR="002232F5" w:rsidRPr="005E0B1F" w:rsidRDefault="002232F5" w:rsidP="0092501F">
      <w:pPr>
        <w:spacing w:after="0" w:line="22" w:lineRule="atLeast"/>
        <w:jc w:val="both"/>
        <w:rPr>
          <w:rFonts w:ascii="Verdana" w:hAnsi="Verdana"/>
        </w:rPr>
      </w:pPr>
      <w:r w:rsidRPr="005E0B1F">
        <w:rPr>
          <w:rFonts w:ascii="Verdana" w:hAnsi="Verdana"/>
        </w:rPr>
        <w:t xml:space="preserve">Het verschoningsrecht is een in Nederland geldend algemeen rechtsbeginsel. </w:t>
      </w:r>
      <w:r w:rsidR="00B01BA7" w:rsidRPr="005E0B1F">
        <w:rPr>
          <w:rFonts w:ascii="Verdana" w:hAnsi="Verdana"/>
        </w:rPr>
        <w:t>Een algemeen rechtsbeginsel is een ongeschreven regel die verwijst naar een bel</w:t>
      </w:r>
      <w:r w:rsidR="00B54458">
        <w:rPr>
          <w:rFonts w:ascii="Verdana" w:hAnsi="Verdana"/>
        </w:rPr>
        <w:t>angrijk sociaal-ethische waarde</w:t>
      </w:r>
      <w:r w:rsidR="00B01BA7" w:rsidRPr="005E0B1F">
        <w:rPr>
          <w:rFonts w:ascii="Verdana" w:hAnsi="Verdana"/>
        </w:rPr>
        <w:t>; een soort rechtsideaal</w:t>
      </w:r>
      <w:r w:rsidR="00B01BA7" w:rsidRPr="005E0B1F">
        <w:rPr>
          <w:rStyle w:val="Voetnootmarkering"/>
          <w:rFonts w:ascii="Verdana" w:hAnsi="Verdana"/>
        </w:rPr>
        <w:footnoteReference w:id="12"/>
      </w:r>
      <w:r w:rsidR="003A1A7A" w:rsidRPr="005E0B1F">
        <w:rPr>
          <w:rFonts w:ascii="Verdana" w:hAnsi="Verdana"/>
        </w:rPr>
        <w:t xml:space="preserve">. </w:t>
      </w:r>
      <w:r w:rsidR="00C71DF4" w:rsidRPr="005E0B1F">
        <w:rPr>
          <w:rFonts w:ascii="Verdana" w:hAnsi="Verdana"/>
        </w:rPr>
        <w:t>Het verschonings</w:t>
      </w:r>
      <w:r w:rsidR="005E0B1F">
        <w:rPr>
          <w:rFonts w:ascii="Verdana" w:hAnsi="Verdana"/>
        </w:rPr>
        <w:t>-</w:t>
      </w:r>
      <w:r w:rsidR="004578CF">
        <w:rPr>
          <w:rFonts w:ascii="Verdana" w:hAnsi="Verdana"/>
        </w:rPr>
        <w:t>recht is een rechtsbeginsel dat</w:t>
      </w:r>
      <w:r w:rsidR="00C71DF4" w:rsidRPr="005E0B1F">
        <w:rPr>
          <w:rFonts w:ascii="Verdana" w:hAnsi="Verdana"/>
        </w:rPr>
        <w:t xml:space="preserve"> een voorwaarde is voor het juist functioneren van de rechtsstaat</w:t>
      </w:r>
      <w:r w:rsidR="008559E4" w:rsidRPr="005E0B1F">
        <w:rPr>
          <w:rStyle w:val="Voetnootmarkering"/>
          <w:rFonts w:ascii="Verdana" w:hAnsi="Verdana"/>
        </w:rPr>
        <w:footnoteReference w:id="13"/>
      </w:r>
      <w:r w:rsidR="00C71DF4" w:rsidRPr="005E0B1F">
        <w:rPr>
          <w:rFonts w:ascii="Verdana" w:hAnsi="Verdana"/>
        </w:rPr>
        <w:t xml:space="preserve">. </w:t>
      </w:r>
      <w:r w:rsidRPr="005E0B1F">
        <w:rPr>
          <w:rFonts w:ascii="Verdana" w:hAnsi="Verdana"/>
        </w:rPr>
        <w:t>Misbruik van het verschoningsrecht is dus niet alleen onbe</w:t>
      </w:r>
      <w:r w:rsidR="00D73AFA">
        <w:rPr>
          <w:rFonts w:ascii="Verdana" w:hAnsi="Verdana"/>
        </w:rPr>
        <w:t>-</w:t>
      </w:r>
      <w:r w:rsidRPr="005E0B1F">
        <w:rPr>
          <w:rFonts w:ascii="Verdana" w:hAnsi="Verdana"/>
        </w:rPr>
        <w:t>hoorlijk en onprofessioneel gedrag van de beroepsbeoefenaar, maar gaat dus ook direct de rechtsstaat aan.</w:t>
      </w:r>
    </w:p>
    <w:p w:rsidR="002232F5" w:rsidRPr="005E0B1F" w:rsidRDefault="002232F5" w:rsidP="0092501F">
      <w:pPr>
        <w:spacing w:after="0" w:line="22" w:lineRule="atLeast"/>
        <w:jc w:val="both"/>
        <w:rPr>
          <w:rFonts w:ascii="Verdana" w:hAnsi="Verdana"/>
        </w:rPr>
      </w:pPr>
    </w:p>
    <w:p w:rsidR="002232F5" w:rsidRPr="005E0B1F" w:rsidRDefault="00806716" w:rsidP="0092501F">
      <w:pPr>
        <w:spacing w:after="0" w:line="22" w:lineRule="atLeast"/>
        <w:jc w:val="both"/>
        <w:rPr>
          <w:rFonts w:ascii="Verdana" w:hAnsi="Verdana"/>
        </w:rPr>
      </w:pPr>
      <w:r w:rsidRPr="005E0B1F">
        <w:rPr>
          <w:rFonts w:ascii="Verdana" w:hAnsi="Verdana"/>
        </w:rPr>
        <w:t>Het beroep van een</w:t>
      </w:r>
      <w:r w:rsidR="002232F5" w:rsidRPr="005E0B1F">
        <w:rPr>
          <w:rFonts w:ascii="Verdana" w:hAnsi="Verdana"/>
        </w:rPr>
        <w:t xml:space="preserve"> beroepsbeoefenaar moet aan een aant</w:t>
      </w:r>
      <w:r w:rsidRPr="005E0B1F">
        <w:rPr>
          <w:rFonts w:ascii="Verdana" w:hAnsi="Verdana"/>
        </w:rPr>
        <w:t>al kenmerken voldoen alvorens een</w:t>
      </w:r>
      <w:r w:rsidR="002232F5" w:rsidRPr="005E0B1F">
        <w:rPr>
          <w:rFonts w:ascii="Verdana" w:hAnsi="Verdana"/>
        </w:rPr>
        <w:t xml:space="preserve"> beroepsbeoefenaar als verschoningsgerechtigde kan worden aangemerkt. In 1913 werd dit door de Hoge Raad betiteld als </w:t>
      </w:r>
      <w:r w:rsidR="002232F5" w:rsidRPr="005E0B1F">
        <w:rPr>
          <w:rFonts w:ascii="Verdana" w:hAnsi="Verdana"/>
          <w:i/>
        </w:rPr>
        <w:t>‘de eigenaardige eischen van het beroep’</w:t>
      </w:r>
      <w:r w:rsidR="002232F5" w:rsidRPr="005E0B1F">
        <w:rPr>
          <w:rStyle w:val="Voetnootmarkering"/>
          <w:rFonts w:ascii="Verdana" w:hAnsi="Verdana"/>
          <w:i/>
        </w:rPr>
        <w:footnoteReference w:id="14"/>
      </w:r>
      <w:r w:rsidR="002232F5" w:rsidRPr="005E0B1F">
        <w:rPr>
          <w:rFonts w:ascii="Verdana" w:hAnsi="Verdana"/>
          <w:i/>
        </w:rPr>
        <w:t xml:space="preserve">. </w:t>
      </w:r>
      <w:r w:rsidR="002232F5" w:rsidRPr="005E0B1F">
        <w:rPr>
          <w:rFonts w:ascii="Verdana" w:hAnsi="Verdana"/>
        </w:rPr>
        <w:t>In de loop der jaren zijn deze eisen door de jurisprudentie ingevuld. Zo moet de beroepsbeoefenaar specifieke kennis hebben, moeten er toelatingseisen zijn in de zin van ervaring of een opleiding, moet het werk een duurzaam karakter hebben en van belang zijn in de samenleving en ook moet de beroepsbeoefening onderworpen zijn aan regels</w:t>
      </w:r>
      <w:r w:rsidR="002232F5" w:rsidRPr="005E0B1F">
        <w:rPr>
          <w:rStyle w:val="Voetnootmarkering"/>
          <w:rFonts w:ascii="Verdana" w:hAnsi="Verdana"/>
        </w:rPr>
        <w:footnoteReference w:id="15"/>
      </w:r>
      <w:r w:rsidR="002232F5" w:rsidRPr="005E0B1F">
        <w:rPr>
          <w:rFonts w:ascii="Verdana" w:hAnsi="Verdana"/>
        </w:rPr>
        <w:t xml:space="preserve">. </w:t>
      </w:r>
    </w:p>
    <w:p w:rsidR="00806716" w:rsidRPr="005E0B1F" w:rsidRDefault="00806716" w:rsidP="0092501F">
      <w:pPr>
        <w:spacing w:after="0" w:line="22" w:lineRule="atLeast"/>
        <w:jc w:val="both"/>
        <w:rPr>
          <w:rFonts w:ascii="Verdana" w:hAnsi="Verdana"/>
        </w:rPr>
      </w:pPr>
    </w:p>
    <w:p w:rsidR="00806716" w:rsidRPr="005E0B1F" w:rsidRDefault="00806716" w:rsidP="0092501F">
      <w:pPr>
        <w:spacing w:after="0" w:line="22" w:lineRule="atLeast"/>
        <w:jc w:val="both"/>
        <w:rPr>
          <w:rFonts w:ascii="Verdana" w:hAnsi="Verdana"/>
        </w:rPr>
      </w:pPr>
      <w:r w:rsidRPr="005E0B1F">
        <w:rPr>
          <w:rFonts w:ascii="Verdana" w:hAnsi="Verdana"/>
        </w:rPr>
        <w:t xml:space="preserve">Verder wordt in de jurisprudentie voor het toekennen van het verschoningsrecht de volgende formule gebruikt: </w:t>
      </w:r>
      <w:r w:rsidRPr="005E0B1F">
        <w:rPr>
          <w:rFonts w:ascii="Verdana" w:hAnsi="Verdana"/>
          <w:i/>
        </w:rPr>
        <w:t>‘aan het verschoningsrecht ligt ten grondslag dat het maatschappelijk belang dat de waarheid in rechte aan het licht komt moet wijken voor het maatschappelijk belang dat een ieder zich vrijelijk en zonder vrees voor openbaarmaking van het toevertrouwde om bijstand en advies tot de verschoningsgerechtigde moet kunnen wenden’</w:t>
      </w:r>
      <w:r w:rsidRPr="005E0B1F">
        <w:rPr>
          <w:rStyle w:val="Voetnootmarkering"/>
          <w:rFonts w:ascii="Verdana" w:hAnsi="Verdana"/>
          <w:i/>
        </w:rPr>
        <w:footnoteReference w:id="16"/>
      </w:r>
      <w:r w:rsidRPr="005E0B1F">
        <w:rPr>
          <w:rFonts w:ascii="Verdana" w:hAnsi="Verdana"/>
        </w:rPr>
        <w:t>.</w:t>
      </w:r>
    </w:p>
    <w:p w:rsidR="00806716" w:rsidRPr="005E0B1F" w:rsidRDefault="00806716" w:rsidP="0092501F">
      <w:pPr>
        <w:spacing w:after="0" w:line="22" w:lineRule="atLeast"/>
        <w:jc w:val="both"/>
        <w:rPr>
          <w:rFonts w:ascii="Verdana" w:hAnsi="Verdana"/>
        </w:rPr>
      </w:pPr>
    </w:p>
    <w:p w:rsidR="00806716" w:rsidRPr="005E0B1F" w:rsidRDefault="00EC29F0" w:rsidP="0092501F">
      <w:pPr>
        <w:spacing w:after="0" w:line="22" w:lineRule="atLeast"/>
        <w:jc w:val="both"/>
        <w:rPr>
          <w:rFonts w:ascii="Verdana" w:hAnsi="Verdana"/>
        </w:rPr>
      </w:pPr>
      <w:r w:rsidRPr="005E0B1F">
        <w:rPr>
          <w:rFonts w:ascii="Verdana" w:hAnsi="Verdana"/>
        </w:rPr>
        <w:t>Het toekennen van een verschoningsrecht is dus tweeledig. Eerst wordt</w:t>
      </w:r>
      <w:r w:rsidR="003B7E22" w:rsidRPr="005E0B1F">
        <w:rPr>
          <w:rFonts w:ascii="Verdana" w:hAnsi="Verdana"/>
        </w:rPr>
        <w:t xml:space="preserve"> er</w:t>
      </w:r>
      <w:r w:rsidR="004578CF">
        <w:rPr>
          <w:rFonts w:ascii="Verdana" w:hAnsi="Verdana"/>
        </w:rPr>
        <w:t xml:space="preserve"> gekeken naar het beroep op zich</w:t>
      </w:r>
      <w:r w:rsidRPr="005E0B1F">
        <w:rPr>
          <w:rFonts w:ascii="Verdana" w:hAnsi="Verdana"/>
        </w:rPr>
        <w:t xml:space="preserve">; dus de kennis, de toelatingseisen, het duurzame karakter, het belang en de regels binnen de beroepsbeoefening. </w:t>
      </w:r>
      <w:r w:rsidR="00BC286B" w:rsidRPr="005E0B1F">
        <w:rPr>
          <w:rFonts w:ascii="Verdana" w:hAnsi="Verdana"/>
        </w:rPr>
        <w:t xml:space="preserve">Vervolgens wordt gekeken of een verschoningsrecht bij die beroepsgroep het maatschappelijk belang al dan niet zou dienen. Indien aan beide voorwaarden is </w:t>
      </w:r>
      <w:r w:rsidR="00BC286B" w:rsidRPr="005E0B1F">
        <w:rPr>
          <w:rFonts w:ascii="Verdana" w:hAnsi="Verdana"/>
        </w:rPr>
        <w:lastRenderedPageBreak/>
        <w:t>voldaan, kan een verschoningsrecht worden toegekend aan een beroepsbe</w:t>
      </w:r>
      <w:r w:rsidR="00A94C92">
        <w:rPr>
          <w:rFonts w:ascii="Verdana" w:hAnsi="Verdana"/>
        </w:rPr>
        <w:t>-</w:t>
      </w:r>
      <w:r w:rsidR="00BC286B" w:rsidRPr="005E0B1F">
        <w:rPr>
          <w:rFonts w:ascii="Verdana" w:hAnsi="Verdana"/>
        </w:rPr>
        <w:t>oefenaar</w:t>
      </w:r>
      <w:r w:rsidR="003D5A66" w:rsidRPr="005E0B1F">
        <w:rPr>
          <w:rFonts w:ascii="Verdana" w:hAnsi="Verdana"/>
        </w:rPr>
        <w:t>;</w:t>
      </w:r>
      <w:r w:rsidR="00BC286B" w:rsidRPr="005E0B1F">
        <w:rPr>
          <w:rFonts w:ascii="Verdana" w:hAnsi="Verdana"/>
        </w:rPr>
        <w:t xml:space="preserve"> zoals dit ook </w:t>
      </w:r>
      <w:r w:rsidR="003D5A66" w:rsidRPr="005E0B1F">
        <w:rPr>
          <w:rFonts w:ascii="Verdana" w:hAnsi="Verdana"/>
        </w:rPr>
        <w:t xml:space="preserve">is </w:t>
      </w:r>
      <w:r w:rsidR="00BC286B" w:rsidRPr="005E0B1F">
        <w:rPr>
          <w:rFonts w:ascii="Verdana" w:hAnsi="Verdana"/>
        </w:rPr>
        <w:t xml:space="preserve">gebeurd  bij artsen, notarissen en advocaten. </w:t>
      </w:r>
    </w:p>
    <w:p w:rsidR="002232F5" w:rsidRPr="00E83257" w:rsidRDefault="002232F5" w:rsidP="0092501F">
      <w:pPr>
        <w:spacing w:after="0" w:line="22" w:lineRule="atLeast"/>
        <w:rPr>
          <w:rFonts w:ascii="Verdana" w:hAnsi="Verdana"/>
          <w:sz w:val="24"/>
          <w:szCs w:val="24"/>
        </w:rPr>
      </w:pPr>
    </w:p>
    <w:p w:rsidR="00DE4FCD" w:rsidRPr="00922BA5" w:rsidRDefault="00922BA5" w:rsidP="0092501F">
      <w:pPr>
        <w:pStyle w:val="Kop3"/>
        <w:spacing w:before="0" w:line="22" w:lineRule="atLeast"/>
        <w:rPr>
          <w:rFonts w:ascii="Verdana" w:hAnsi="Verdana"/>
          <w:b w:val="0"/>
          <w:i/>
          <w:sz w:val="24"/>
        </w:rPr>
      </w:pPr>
      <w:bookmarkStart w:id="24" w:name="_Toc451894990"/>
      <w:r w:rsidRPr="00922BA5">
        <w:rPr>
          <w:rFonts w:ascii="Verdana" w:hAnsi="Verdana"/>
          <w:b w:val="0"/>
          <w:i/>
          <w:sz w:val="24"/>
        </w:rPr>
        <w:t>3.2</w:t>
      </w:r>
      <w:r w:rsidR="002232F5">
        <w:rPr>
          <w:rFonts w:ascii="Verdana" w:hAnsi="Verdana"/>
          <w:b w:val="0"/>
          <w:i/>
          <w:sz w:val="24"/>
        </w:rPr>
        <w:t>.2</w:t>
      </w:r>
      <w:r w:rsidR="00AA6209" w:rsidRPr="00922BA5">
        <w:rPr>
          <w:rFonts w:ascii="Verdana" w:hAnsi="Verdana"/>
          <w:b w:val="0"/>
          <w:i/>
          <w:sz w:val="24"/>
        </w:rPr>
        <w:t xml:space="preserve"> Beroepsgeheim en verschoningsrecht bij a</w:t>
      </w:r>
      <w:r w:rsidR="00DE4FCD" w:rsidRPr="00922BA5">
        <w:rPr>
          <w:rFonts w:ascii="Verdana" w:hAnsi="Verdana"/>
          <w:b w:val="0"/>
          <w:i/>
          <w:sz w:val="24"/>
        </w:rPr>
        <w:t>rtsen</w:t>
      </w:r>
      <w:bookmarkEnd w:id="24"/>
    </w:p>
    <w:p w:rsidR="005908EC" w:rsidRPr="005E0B1F" w:rsidRDefault="00E36DC6" w:rsidP="0092501F">
      <w:pPr>
        <w:spacing w:after="0" w:line="22" w:lineRule="atLeast"/>
        <w:jc w:val="both"/>
        <w:rPr>
          <w:rFonts w:ascii="Verdana" w:hAnsi="Verdana"/>
          <w:i/>
        </w:rPr>
      </w:pPr>
      <w:r w:rsidRPr="005E0B1F">
        <w:rPr>
          <w:rFonts w:ascii="Verdana" w:hAnsi="Verdana"/>
        </w:rPr>
        <w:t xml:space="preserve">Het beroepsgeheim </w:t>
      </w:r>
      <w:r w:rsidR="00B31938" w:rsidRPr="005E0B1F">
        <w:rPr>
          <w:rFonts w:ascii="Verdana" w:hAnsi="Verdana"/>
        </w:rPr>
        <w:t xml:space="preserve">binnen de geneeskunde </w:t>
      </w:r>
      <w:r w:rsidR="00A94C92">
        <w:rPr>
          <w:rFonts w:ascii="Verdana" w:hAnsi="Verdana"/>
        </w:rPr>
        <w:t>is niet nieuw. Tientallen</w:t>
      </w:r>
      <w:r w:rsidRPr="005E0B1F">
        <w:rPr>
          <w:rFonts w:ascii="Verdana" w:hAnsi="Verdana"/>
        </w:rPr>
        <w:t xml:space="preserve"> eeuwen geleden bestond er al iets dergelijks als een beroepsgeheim</w:t>
      </w:r>
      <w:r w:rsidR="00B31938" w:rsidRPr="005E0B1F">
        <w:rPr>
          <w:rFonts w:ascii="Verdana" w:hAnsi="Verdana"/>
        </w:rPr>
        <w:t xml:space="preserve"> binnen deze beroepsgroep</w:t>
      </w:r>
      <w:r w:rsidRPr="005E0B1F">
        <w:rPr>
          <w:rFonts w:ascii="Verdana" w:hAnsi="Verdana"/>
        </w:rPr>
        <w:t xml:space="preserve">. Denk bijvoorbeeld aan de eed die door de geneesheer Hippocrates geformuleerd was: </w:t>
      </w:r>
      <w:r w:rsidR="008C113E" w:rsidRPr="005E0B1F">
        <w:rPr>
          <w:rFonts w:ascii="Verdana" w:hAnsi="Verdana"/>
          <w:i/>
        </w:rPr>
        <w:t>‘</w:t>
      </w:r>
      <w:r w:rsidR="00195CC7" w:rsidRPr="005E0B1F">
        <w:rPr>
          <w:rFonts w:ascii="Verdana" w:hAnsi="Verdana"/>
          <w:i/>
        </w:rPr>
        <w:t xml:space="preserve">(…) </w:t>
      </w:r>
      <w:r w:rsidR="008C113E" w:rsidRPr="005E0B1F">
        <w:rPr>
          <w:rFonts w:ascii="Verdana" w:hAnsi="Verdana"/>
          <w:i/>
        </w:rPr>
        <w:t>Wat ik ook bij de behandeling, of ook buiten de praktijk, over het leven van mensen zal zien of horen aan dingen die nooit mogen worden rondverteld, zal ik verzwijgen, ervan uitgaande dat zulke dingen geheim zijn</w:t>
      </w:r>
      <w:r w:rsidR="00195CC7" w:rsidRPr="005E0B1F">
        <w:rPr>
          <w:rFonts w:ascii="Verdana" w:hAnsi="Verdana"/>
          <w:i/>
        </w:rPr>
        <w:t xml:space="preserve"> (…)</w:t>
      </w:r>
      <w:r w:rsidR="008C113E" w:rsidRPr="005E0B1F">
        <w:rPr>
          <w:rFonts w:ascii="Verdana" w:hAnsi="Verdana"/>
          <w:i/>
        </w:rPr>
        <w:t>’</w:t>
      </w:r>
      <w:r w:rsidR="00195CC7" w:rsidRPr="005E0B1F">
        <w:rPr>
          <w:rStyle w:val="Voetnootmarkering"/>
          <w:rFonts w:ascii="Verdana" w:hAnsi="Verdana"/>
          <w:i/>
        </w:rPr>
        <w:footnoteReference w:id="17"/>
      </w:r>
      <w:r w:rsidR="008C113E" w:rsidRPr="005E0B1F">
        <w:rPr>
          <w:rFonts w:ascii="Verdana" w:hAnsi="Verdana"/>
          <w:i/>
        </w:rPr>
        <w:t xml:space="preserve">. </w:t>
      </w:r>
      <w:r w:rsidRPr="005E0B1F">
        <w:rPr>
          <w:rFonts w:ascii="Verdana" w:hAnsi="Verdana"/>
        </w:rPr>
        <w:t>Deze eed werd in circa 400 voor Christus geformuleerd. Zo ver</w:t>
      </w:r>
      <w:r w:rsidR="009B1382" w:rsidRPr="005E0B1F">
        <w:rPr>
          <w:rFonts w:ascii="Verdana" w:hAnsi="Verdana"/>
        </w:rPr>
        <w:t xml:space="preserve"> terug</w:t>
      </w:r>
      <w:r w:rsidRPr="005E0B1F">
        <w:rPr>
          <w:rFonts w:ascii="Verdana" w:hAnsi="Verdana"/>
        </w:rPr>
        <w:t xml:space="preserve">, en </w:t>
      </w:r>
      <w:r w:rsidR="00311177" w:rsidRPr="005E0B1F">
        <w:rPr>
          <w:rFonts w:ascii="Verdana" w:hAnsi="Verdana"/>
        </w:rPr>
        <w:t>waarschijnlijk</w:t>
      </w:r>
      <w:r w:rsidRPr="005E0B1F">
        <w:rPr>
          <w:rFonts w:ascii="Verdana" w:hAnsi="Verdana"/>
        </w:rPr>
        <w:t xml:space="preserve"> nog wel verder, </w:t>
      </w:r>
      <w:r w:rsidR="009B1382" w:rsidRPr="005E0B1F">
        <w:rPr>
          <w:rFonts w:ascii="Verdana" w:hAnsi="Verdana"/>
        </w:rPr>
        <w:t>stamt het beroepsgeheim al</w:t>
      </w:r>
      <w:r w:rsidRPr="005E0B1F">
        <w:rPr>
          <w:rFonts w:ascii="Verdana" w:hAnsi="Verdana"/>
        </w:rPr>
        <w:t xml:space="preserve">. </w:t>
      </w:r>
    </w:p>
    <w:p w:rsidR="00D012A7" w:rsidRPr="005E0B1F" w:rsidRDefault="00D012A7" w:rsidP="0092501F">
      <w:pPr>
        <w:spacing w:after="0" w:line="22" w:lineRule="atLeast"/>
        <w:jc w:val="both"/>
        <w:rPr>
          <w:rFonts w:ascii="Verdana" w:hAnsi="Verdana"/>
        </w:rPr>
      </w:pPr>
    </w:p>
    <w:p w:rsidR="00E933ED" w:rsidRPr="005E0B1F" w:rsidRDefault="00F46F46" w:rsidP="0092501F">
      <w:pPr>
        <w:spacing w:after="0" w:line="22" w:lineRule="atLeast"/>
        <w:jc w:val="both"/>
        <w:rPr>
          <w:rFonts w:ascii="Verdana" w:hAnsi="Verdana"/>
        </w:rPr>
      </w:pPr>
      <w:r w:rsidRPr="005E0B1F">
        <w:rPr>
          <w:rFonts w:ascii="Verdana" w:hAnsi="Verdana"/>
        </w:rPr>
        <w:t>Nu, in 2016, bestaat het beroepsgeheim nog steeds. Hoewel de eed vroeger strikt werd nageleefd, wordt er nu toch een verschuiving waargenomen</w:t>
      </w:r>
      <w:r w:rsidRPr="005E0B1F">
        <w:rPr>
          <w:rStyle w:val="Voetnootmarkering"/>
          <w:rFonts w:ascii="Verdana" w:hAnsi="Verdana"/>
        </w:rPr>
        <w:footnoteReference w:id="18"/>
      </w:r>
      <w:r w:rsidR="00B54458">
        <w:rPr>
          <w:rFonts w:ascii="Verdana" w:hAnsi="Verdana"/>
        </w:rPr>
        <w:t>. Steeds meer wordt er door</w:t>
      </w:r>
      <w:r w:rsidR="00B31938" w:rsidRPr="005E0B1F">
        <w:rPr>
          <w:rFonts w:ascii="Verdana" w:hAnsi="Verdana"/>
        </w:rPr>
        <w:t xml:space="preserve"> artsen</w:t>
      </w:r>
      <w:r w:rsidRPr="005E0B1F">
        <w:rPr>
          <w:rFonts w:ascii="Verdana" w:hAnsi="Verdana"/>
        </w:rPr>
        <w:t xml:space="preserve"> gesproken waar nodig, wordt er van hun verwacht dat ze spreken of </w:t>
      </w:r>
      <w:r w:rsidR="00AC2CBB" w:rsidRPr="005E0B1F">
        <w:rPr>
          <w:rFonts w:ascii="Verdana" w:hAnsi="Verdana"/>
        </w:rPr>
        <w:t xml:space="preserve">zijn ze zelfs verplicht om te </w:t>
      </w:r>
      <w:r w:rsidRPr="005E0B1F">
        <w:rPr>
          <w:rFonts w:ascii="Verdana" w:hAnsi="Verdana"/>
        </w:rPr>
        <w:t>spreken</w:t>
      </w:r>
      <w:r w:rsidR="00CE7065" w:rsidRPr="005E0B1F">
        <w:rPr>
          <w:rStyle w:val="Voetnootmarkering"/>
          <w:rFonts w:ascii="Verdana" w:hAnsi="Verdana"/>
        </w:rPr>
        <w:footnoteReference w:id="19"/>
      </w:r>
      <w:r w:rsidRPr="005E0B1F">
        <w:rPr>
          <w:rFonts w:ascii="Verdana" w:hAnsi="Verdana"/>
        </w:rPr>
        <w:t xml:space="preserve">. </w:t>
      </w:r>
      <w:r w:rsidR="000C7E21" w:rsidRPr="005E0B1F">
        <w:rPr>
          <w:rFonts w:ascii="Verdana" w:hAnsi="Verdana"/>
        </w:rPr>
        <w:t>De eed van Hippocrate</w:t>
      </w:r>
      <w:r w:rsidR="00E82A68" w:rsidRPr="005E0B1F">
        <w:rPr>
          <w:rFonts w:ascii="Verdana" w:hAnsi="Verdana"/>
        </w:rPr>
        <w:t>s wordt tegenwoordig ook niet meer nageleefd door artsen. In 200</w:t>
      </w:r>
      <w:r w:rsidR="00EC511F" w:rsidRPr="005E0B1F">
        <w:rPr>
          <w:rFonts w:ascii="Verdana" w:hAnsi="Verdana"/>
        </w:rPr>
        <w:t>3 werd door de Commissie Herziening Artseneed, destijds onder leiding van prof. dr. D.W. Erkelens, een nieuwe versie van de eed opgesteld.</w:t>
      </w:r>
      <w:r w:rsidR="00486B24" w:rsidRPr="005E0B1F">
        <w:rPr>
          <w:rFonts w:ascii="Verdana" w:hAnsi="Verdana"/>
        </w:rPr>
        <w:t xml:space="preserve"> Deze zogenaamde Artseneed 2003 luidt, met betrekking tot de geheimhouding, als volgt</w:t>
      </w:r>
      <w:r w:rsidR="00195CC7" w:rsidRPr="005E0B1F">
        <w:rPr>
          <w:rFonts w:ascii="Verdana" w:hAnsi="Verdana"/>
        </w:rPr>
        <w:t>: ‘</w:t>
      </w:r>
      <w:r w:rsidR="00195CC7" w:rsidRPr="005E0B1F">
        <w:rPr>
          <w:rFonts w:ascii="Verdana" w:hAnsi="Verdana"/>
          <w:i/>
        </w:rPr>
        <w:t>(…) Ik zal geheim houden wat mij is toevertrouwd (…).’</w:t>
      </w:r>
      <w:r w:rsidR="0045654C">
        <w:rPr>
          <w:rFonts w:ascii="Verdana" w:hAnsi="Verdana"/>
          <w:i/>
        </w:rPr>
        <w:t> </w:t>
      </w:r>
      <w:r w:rsidR="00EE5D68" w:rsidRPr="005E0B1F">
        <w:rPr>
          <w:rFonts w:ascii="Verdana" w:hAnsi="Verdana"/>
        </w:rPr>
        <w:t>Tevens is er geen wettelijk</w:t>
      </w:r>
      <w:r w:rsidR="00756811" w:rsidRPr="005E0B1F">
        <w:rPr>
          <w:rFonts w:ascii="Verdana" w:hAnsi="Verdana"/>
        </w:rPr>
        <w:t>e verplichting meer voor het af</w:t>
      </w:r>
      <w:r w:rsidR="00EE5D68" w:rsidRPr="005E0B1F">
        <w:rPr>
          <w:rFonts w:ascii="Verdana" w:hAnsi="Verdana"/>
        </w:rPr>
        <w:t>leggen van de eed. Het is ook geen toelatingseis om in het BIG-register ingeschreven te kunnen worden of om de geneeskunst uit te oefenen</w:t>
      </w:r>
      <w:r w:rsidR="00EE5D68" w:rsidRPr="005E0B1F">
        <w:rPr>
          <w:rStyle w:val="Voetnootmarkering"/>
          <w:rFonts w:ascii="Verdana" w:hAnsi="Verdana"/>
        </w:rPr>
        <w:footnoteReference w:id="20"/>
      </w:r>
      <w:r w:rsidR="00EE5D68" w:rsidRPr="005E0B1F">
        <w:rPr>
          <w:rFonts w:ascii="Verdana" w:hAnsi="Verdana"/>
        </w:rPr>
        <w:t xml:space="preserve">. </w:t>
      </w:r>
      <w:r w:rsidR="00E933ED" w:rsidRPr="005E0B1F">
        <w:rPr>
          <w:rFonts w:ascii="Verdana" w:hAnsi="Verdana"/>
        </w:rPr>
        <w:t xml:space="preserve">Wel staat in de artikelen 88 Wet BIG en 457 WGBO de geheimhoudingsplicht vermeld. Dus hoewel </w:t>
      </w:r>
      <w:r w:rsidR="00756811" w:rsidRPr="005E0B1F">
        <w:rPr>
          <w:rFonts w:ascii="Verdana" w:hAnsi="Verdana"/>
        </w:rPr>
        <w:t xml:space="preserve">een arts niet verplicht is om </w:t>
      </w:r>
      <w:r w:rsidR="00E933ED" w:rsidRPr="005E0B1F">
        <w:rPr>
          <w:rFonts w:ascii="Verdana" w:hAnsi="Verdana"/>
        </w:rPr>
        <w:t xml:space="preserve">de eed </w:t>
      </w:r>
      <w:r w:rsidR="00756811" w:rsidRPr="005E0B1F">
        <w:rPr>
          <w:rFonts w:ascii="Verdana" w:hAnsi="Verdana"/>
        </w:rPr>
        <w:t>af te leggen</w:t>
      </w:r>
      <w:r w:rsidR="00E933ED" w:rsidRPr="005E0B1F">
        <w:rPr>
          <w:rFonts w:ascii="Verdana" w:hAnsi="Verdana"/>
        </w:rPr>
        <w:t xml:space="preserve">, blijft </w:t>
      </w:r>
      <w:r w:rsidR="00756811" w:rsidRPr="005E0B1F">
        <w:rPr>
          <w:rFonts w:ascii="Verdana" w:hAnsi="Verdana"/>
        </w:rPr>
        <w:t>de verplichting tot geheimhouding bestaan op basis van de wet</w:t>
      </w:r>
      <w:r w:rsidR="00E933ED" w:rsidRPr="005E0B1F">
        <w:rPr>
          <w:rFonts w:ascii="Verdana" w:hAnsi="Verdana"/>
        </w:rPr>
        <w:t xml:space="preserve">.  </w:t>
      </w:r>
    </w:p>
    <w:p w:rsidR="00FD17F7" w:rsidRDefault="00FD17F7" w:rsidP="0092501F">
      <w:pPr>
        <w:spacing w:after="0" w:line="22" w:lineRule="atLeast"/>
        <w:rPr>
          <w:rFonts w:ascii="Verdana" w:hAnsi="Verdana"/>
          <w:sz w:val="24"/>
          <w:szCs w:val="24"/>
        </w:rPr>
      </w:pPr>
    </w:p>
    <w:p w:rsidR="00DE4FCD" w:rsidRPr="00922BA5" w:rsidRDefault="00922BA5" w:rsidP="0092501F">
      <w:pPr>
        <w:pStyle w:val="Kop3"/>
        <w:spacing w:before="0" w:line="22" w:lineRule="atLeast"/>
        <w:rPr>
          <w:rFonts w:ascii="Verdana" w:hAnsi="Verdana"/>
          <w:b w:val="0"/>
          <w:i/>
          <w:sz w:val="24"/>
        </w:rPr>
      </w:pPr>
      <w:bookmarkStart w:id="25" w:name="_Toc451894991"/>
      <w:r>
        <w:rPr>
          <w:rFonts w:ascii="Verdana" w:hAnsi="Verdana"/>
          <w:b w:val="0"/>
          <w:i/>
          <w:sz w:val="24"/>
        </w:rPr>
        <w:t>3</w:t>
      </w:r>
      <w:r w:rsidR="002232F5">
        <w:rPr>
          <w:rFonts w:ascii="Verdana" w:hAnsi="Verdana"/>
          <w:b w:val="0"/>
          <w:i/>
          <w:sz w:val="24"/>
        </w:rPr>
        <w:t>.2.3</w:t>
      </w:r>
      <w:r w:rsidR="00AA6209" w:rsidRPr="00922BA5">
        <w:rPr>
          <w:rFonts w:ascii="Verdana" w:hAnsi="Verdana"/>
          <w:b w:val="0"/>
          <w:i/>
          <w:sz w:val="24"/>
        </w:rPr>
        <w:t xml:space="preserve"> Beroepsgeheim en verschoningsrecht bij n</w:t>
      </w:r>
      <w:r w:rsidR="00DE4FCD" w:rsidRPr="00922BA5">
        <w:rPr>
          <w:rFonts w:ascii="Verdana" w:hAnsi="Verdana"/>
          <w:b w:val="0"/>
          <w:i/>
          <w:sz w:val="24"/>
        </w:rPr>
        <w:t>otarissen</w:t>
      </w:r>
      <w:bookmarkEnd w:id="25"/>
    </w:p>
    <w:p w:rsidR="00094D73" w:rsidRPr="005E0B1F" w:rsidRDefault="00FD17F7" w:rsidP="0092501F">
      <w:pPr>
        <w:spacing w:after="0" w:line="22" w:lineRule="atLeast"/>
        <w:jc w:val="both"/>
        <w:rPr>
          <w:rFonts w:ascii="Verdana" w:hAnsi="Verdana"/>
        </w:rPr>
      </w:pPr>
      <w:r w:rsidRPr="005E0B1F">
        <w:rPr>
          <w:rFonts w:ascii="Verdana" w:hAnsi="Verdana"/>
        </w:rPr>
        <w:t xml:space="preserve">Het standaard arrest voor het </w:t>
      </w:r>
      <w:r w:rsidRPr="00A94C92">
        <w:rPr>
          <w:rFonts w:ascii="Verdana" w:hAnsi="Verdana"/>
        </w:rPr>
        <w:t>verschoningsrecht is het arrest</w:t>
      </w:r>
      <w:r w:rsidR="00A94C92">
        <w:rPr>
          <w:rFonts w:ascii="Verdana" w:hAnsi="Verdana"/>
        </w:rPr>
        <w:t xml:space="preserve"> van de Hoge Raad genaamd</w:t>
      </w:r>
      <w:r w:rsidR="00B1594D">
        <w:rPr>
          <w:rFonts w:ascii="Verdana" w:hAnsi="Verdana"/>
        </w:rPr>
        <w:t xml:space="preserve"> </w:t>
      </w:r>
      <w:r w:rsidRPr="00A94C92">
        <w:rPr>
          <w:rFonts w:ascii="Verdana" w:hAnsi="Verdana"/>
        </w:rPr>
        <w:t>Ogem/notaris Maas</w:t>
      </w:r>
      <w:r w:rsidRPr="00A94C92">
        <w:rPr>
          <w:rStyle w:val="Voetnootmarkering"/>
          <w:rFonts w:ascii="Verdana" w:hAnsi="Verdana"/>
        </w:rPr>
        <w:footnoteReference w:id="21"/>
      </w:r>
      <w:r w:rsidRPr="00A94C92">
        <w:rPr>
          <w:rFonts w:ascii="Verdana" w:hAnsi="Verdana"/>
        </w:rPr>
        <w:t>, maar met name voor de notaris was dit een belangrijk</w:t>
      </w:r>
      <w:r w:rsidRPr="005E0B1F">
        <w:rPr>
          <w:rFonts w:ascii="Verdana" w:hAnsi="Verdana"/>
        </w:rPr>
        <w:t xml:space="preserve"> arrest omdat hierin het verschoningsrecht voor de notaris werd bevestigd</w:t>
      </w:r>
      <w:r w:rsidR="0096414C" w:rsidRPr="005E0B1F">
        <w:rPr>
          <w:rStyle w:val="Voetnootmarkering"/>
          <w:rFonts w:ascii="Verdana" w:hAnsi="Verdana"/>
        </w:rPr>
        <w:footnoteReference w:id="22"/>
      </w:r>
      <w:r w:rsidRPr="005E0B1F">
        <w:rPr>
          <w:rFonts w:ascii="Verdana" w:hAnsi="Verdana"/>
        </w:rPr>
        <w:t xml:space="preserve">. Dit arrest stamt uit 1985. </w:t>
      </w:r>
    </w:p>
    <w:p w:rsidR="00FD17F7" w:rsidRPr="005E0B1F" w:rsidRDefault="00FD17F7" w:rsidP="0092501F">
      <w:pPr>
        <w:spacing w:after="0" w:line="22" w:lineRule="atLeast"/>
        <w:jc w:val="both"/>
        <w:rPr>
          <w:rFonts w:ascii="Verdana" w:hAnsi="Verdana"/>
        </w:rPr>
      </w:pPr>
    </w:p>
    <w:p w:rsidR="00B93508" w:rsidRPr="005E0B1F" w:rsidRDefault="00445AB7" w:rsidP="0092501F">
      <w:pPr>
        <w:spacing w:after="0" w:line="22" w:lineRule="atLeast"/>
        <w:jc w:val="both"/>
        <w:rPr>
          <w:rFonts w:ascii="Verdana" w:hAnsi="Verdana"/>
        </w:rPr>
      </w:pPr>
      <w:r w:rsidRPr="005E0B1F">
        <w:rPr>
          <w:rFonts w:ascii="Verdana" w:hAnsi="Verdana"/>
        </w:rPr>
        <w:t xml:space="preserve">In tegenstelling tot bij artsen, is bij notarissen de eed wel verankerd in de wet. </w:t>
      </w:r>
      <w:r w:rsidR="00C45F3C" w:rsidRPr="005E0B1F">
        <w:rPr>
          <w:rFonts w:ascii="Verdana" w:hAnsi="Verdana"/>
        </w:rPr>
        <w:t>Een notari</w:t>
      </w:r>
      <w:r w:rsidR="00B54458">
        <w:rPr>
          <w:rFonts w:ascii="Verdana" w:hAnsi="Verdana"/>
        </w:rPr>
        <w:t>s wordt benoemd bij Koninklijk B</w:t>
      </w:r>
      <w:r w:rsidR="00C45F3C" w:rsidRPr="005E0B1F">
        <w:rPr>
          <w:rFonts w:ascii="Verdana" w:hAnsi="Verdana"/>
        </w:rPr>
        <w:t>esluit</w:t>
      </w:r>
      <w:r w:rsidR="00C45F3C" w:rsidRPr="005E0B1F">
        <w:rPr>
          <w:rStyle w:val="Voetnootmarkering"/>
          <w:rFonts w:ascii="Verdana" w:hAnsi="Verdana"/>
        </w:rPr>
        <w:footnoteReference w:id="23"/>
      </w:r>
      <w:r w:rsidR="00C45F3C" w:rsidRPr="005E0B1F">
        <w:rPr>
          <w:rFonts w:ascii="Verdana" w:hAnsi="Verdana"/>
        </w:rPr>
        <w:t>. Wanneer iemand benoemd is tot notaris, moet hij binnen zes maanden na dagtekening van het benoemings</w:t>
      </w:r>
      <w:r w:rsidR="005E0B1F">
        <w:rPr>
          <w:rFonts w:ascii="Verdana" w:hAnsi="Verdana"/>
        </w:rPr>
        <w:t>-</w:t>
      </w:r>
      <w:r w:rsidR="00C45F3C" w:rsidRPr="005E0B1F">
        <w:rPr>
          <w:rFonts w:ascii="Verdana" w:hAnsi="Verdana"/>
        </w:rPr>
        <w:t xml:space="preserve">besluit de eed afleggen voor de rechtbank. Deze eed luidt, met betrekking tot de geheimhoudingsplicht, als volgt: </w:t>
      </w:r>
      <w:r w:rsidR="00C45F3C" w:rsidRPr="005E0B1F">
        <w:rPr>
          <w:rFonts w:ascii="Verdana" w:hAnsi="Verdana"/>
          <w:i/>
        </w:rPr>
        <w:t>‘</w:t>
      </w:r>
      <w:r w:rsidR="00EF3DD9" w:rsidRPr="005E0B1F">
        <w:rPr>
          <w:rFonts w:ascii="Verdana" w:hAnsi="Verdana"/>
          <w:i/>
        </w:rPr>
        <w:t xml:space="preserve">Ik zweer </w:t>
      </w:r>
      <w:r w:rsidR="00C45F3C" w:rsidRPr="005E0B1F">
        <w:rPr>
          <w:rFonts w:ascii="Verdana" w:hAnsi="Verdana"/>
          <w:i/>
        </w:rPr>
        <w:t>(…) dat ik geheimhouding zal betrach</w:t>
      </w:r>
      <w:r w:rsidR="00A94C92">
        <w:rPr>
          <w:rFonts w:ascii="Verdana" w:hAnsi="Verdana"/>
          <w:i/>
        </w:rPr>
        <w:t>-</w:t>
      </w:r>
      <w:r w:rsidR="00C45F3C" w:rsidRPr="005E0B1F">
        <w:rPr>
          <w:rFonts w:ascii="Verdana" w:hAnsi="Verdana"/>
          <w:i/>
        </w:rPr>
        <w:t xml:space="preserve">ten ten aanzien van alles </w:t>
      </w:r>
      <w:r w:rsidR="00A30DE2" w:rsidRPr="005E0B1F">
        <w:rPr>
          <w:rFonts w:ascii="Verdana" w:hAnsi="Verdana"/>
          <w:i/>
        </w:rPr>
        <w:t>waarvan</w:t>
      </w:r>
      <w:r w:rsidR="00C45F3C" w:rsidRPr="005E0B1F">
        <w:rPr>
          <w:rFonts w:ascii="Verdana" w:hAnsi="Verdana"/>
          <w:i/>
        </w:rPr>
        <w:t xml:space="preserve"> ik door mijn ambt kennis neem (…).’</w:t>
      </w:r>
      <w:r w:rsidR="007B30C2" w:rsidRPr="005E0B1F">
        <w:rPr>
          <w:rStyle w:val="Voetnootmarkering"/>
          <w:rFonts w:ascii="Verdana" w:hAnsi="Verdana"/>
        </w:rPr>
        <w:footnoteReference w:id="24"/>
      </w:r>
      <w:r w:rsidR="006F0602">
        <w:rPr>
          <w:rFonts w:ascii="Verdana" w:hAnsi="Verdana"/>
          <w:i/>
        </w:rPr>
        <w:t> </w:t>
      </w:r>
      <w:r w:rsidR="00480805" w:rsidRPr="005E0B1F">
        <w:rPr>
          <w:rFonts w:ascii="Verdana" w:hAnsi="Verdana"/>
        </w:rPr>
        <w:t>Van deze eedsaflegging wordt ook een proces-verbaal opgemaakt</w:t>
      </w:r>
      <w:r w:rsidR="00480805" w:rsidRPr="005E0B1F">
        <w:rPr>
          <w:rStyle w:val="Voetnootmarkering"/>
          <w:rFonts w:ascii="Verdana" w:hAnsi="Verdana"/>
        </w:rPr>
        <w:footnoteReference w:id="25"/>
      </w:r>
      <w:r w:rsidR="00480805" w:rsidRPr="005E0B1F">
        <w:rPr>
          <w:rFonts w:ascii="Verdana" w:hAnsi="Verdana"/>
        </w:rPr>
        <w:t xml:space="preserve">. </w:t>
      </w:r>
      <w:r w:rsidR="00C45F3C" w:rsidRPr="005E0B1F">
        <w:rPr>
          <w:rFonts w:ascii="Verdana" w:hAnsi="Verdana"/>
        </w:rPr>
        <w:t>Wanneer deze eed niet binnen zes maanden na dagtekening van het benoemingsbesluit wordt afgelegd, vervalt de benoeming</w:t>
      </w:r>
      <w:r w:rsidR="00C45F3C" w:rsidRPr="005E0B1F">
        <w:rPr>
          <w:rStyle w:val="Voetnootmarkering"/>
          <w:rFonts w:ascii="Verdana" w:hAnsi="Verdana"/>
        </w:rPr>
        <w:footnoteReference w:id="26"/>
      </w:r>
      <w:r w:rsidR="00C45F3C" w:rsidRPr="005E0B1F">
        <w:rPr>
          <w:rFonts w:ascii="Verdana" w:hAnsi="Verdana"/>
        </w:rPr>
        <w:t xml:space="preserve">. </w:t>
      </w:r>
      <w:r w:rsidR="00B54458">
        <w:rPr>
          <w:rFonts w:ascii="Verdana" w:hAnsi="Verdana"/>
        </w:rPr>
        <w:t>Pas na</w:t>
      </w:r>
      <w:r w:rsidR="00A94C92">
        <w:rPr>
          <w:rFonts w:ascii="Verdana" w:hAnsi="Verdana"/>
        </w:rPr>
        <w:t> </w:t>
      </w:r>
      <w:r w:rsidR="00A30DE2" w:rsidRPr="005E0B1F">
        <w:rPr>
          <w:rFonts w:ascii="Verdana" w:hAnsi="Verdana"/>
        </w:rPr>
        <w:t>de eedsaflegging is de notaris</w:t>
      </w:r>
      <w:r w:rsidR="00A943DD">
        <w:rPr>
          <w:rFonts w:ascii="Verdana" w:hAnsi="Verdana"/>
        </w:rPr>
        <w:t xml:space="preserve"> </w:t>
      </w:r>
      <w:r w:rsidR="00C45F3C" w:rsidRPr="005E0B1F">
        <w:rPr>
          <w:rFonts w:ascii="Verdana" w:hAnsi="Verdana"/>
        </w:rPr>
        <w:t>bevoegd</w:t>
      </w:r>
      <w:r w:rsidR="00A943DD">
        <w:rPr>
          <w:rFonts w:ascii="Verdana" w:hAnsi="Verdana"/>
        </w:rPr>
        <w:t xml:space="preserve"> </w:t>
      </w:r>
      <w:r w:rsidR="002C74CD" w:rsidRPr="005E0B1F">
        <w:rPr>
          <w:rFonts w:ascii="Verdana" w:hAnsi="Verdana"/>
        </w:rPr>
        <w:lastRenderedPageBreak/>
        <w:t>om zijn ambt uit te oefenen</w:t>
      </w:r>
      <w:r w:rsidR="00C45F3C" w:rsidRPr="005E0B1F">
        <w:rPr>
          <w:rStyle w:val="Voetnootmarkering"/>
          <w:rFonts w:ascii="Verdana" w:hAnsi="Verdana"/>
        </w:rPr>
        <w:footnoteReference w:id="27"/>
      </w:r>
      <w:r w:rsidR="00C45F3C" w:rsidRPr="005E0B1F">
        <w:rPr>
          <w:rFonts w:ascii="Verdana" w:hAnsi="Verdana"/>
        </w:rPr>
        <w:t xml:space="preserve">. </w:t>
      </w:r>
      <w:r w:rsidR="00307F51" w:rsidRPr="005E0B1F">
        <w:rPr>
          <w:rFonts w:ascii="Verdana" w:hAnsi="Verdana"/>
        </w:rPr>
        <w:t>In artikel 22 van de WNA wordt de geheimhoudingsplicht</w:t>
      </w:r>
      <w:r w:rsidR="002C74CD" w:rsidRPr="005E0B1F">
        <w:rPr>
          <w:rFonts w:ascii="Verdana" w:hAnsi="Verdana"/>
        </w:rPr>
        <w:t xml:space="preserve"> wederom herhaal</w:t>
      </w:r>
      <w:r w:rsidR="00B54458">
        <w:rPr>
          <w:rFonts w:ascii="Verdana" w:hAnsi="Verdana"/>
        </w:rPr>
        <w:t>d</w:t>
      </w:r>
      <w:r w:rsidR="002C74CD" w:rsidRPr="005E0B1F">
        <w:rPr>
          <w:rFonts w:ascii="Verdana" w:hAnsi="Verdana"/>
        </w:rPr>
        <w:t>, dus de geheimhoudingsplicht is ook wettelijk vastgelegd.</w:t>
      </w:r>
    </w:p>
    <w:p w:rsidR="00B93508" w:rsidRPr="005E0B1F" w:rsidRDefault="00B93508" w:rsidP="0092501F">
      <w:pPr>
        <w:spacing w:after="0" w:line="22" w:lineRule="atLeast"/>
        <w:jc w:val="both"/>
        <w:rPr>
          <w:rFonts w:ascii="Verdana" w:hAnsi="Verdana"/>
        </w:rPr>
      </w:pPr>
    </w:p>
    <w:p w:rsidR="00FB64B4" w:rsidRPr="005E0B1F" w:rsidRDefault="00B93508" w:rsidP="0092501F">
      <w:pPr>
        <w:spacing w:after="0" w:line="22" w:lineRule="atLeast"/>
        <w:jc w:val="both"/>
        <w:rPr>
          <w:rFonts w:ascii="Verdana" w:hAnsi="Verdana"/>
        </w:rPr>
      </w:pPr>
      <w:r w:rsidRPr="005E0B1F">
        <w:rPr>
          <w:rFonts w:ascii="Verdana" w:hAnsi="Verdana"/>
        </w:rPr>
        <w:t xml:space="preserve">In </w:t>
      </w:r>
      <w:r w:rsidR="007214CD" w:rsidRPr="005E0B1F">
        <w:rPr>
          <w:rFonts w:ascii="Verdana" w:hAnsi="Verdana"/>
        </w:rPr>
        <w:t xml:space="preserve">september </w:t>
      </w:r>
      <w:r w:rsidRPr="005E0B1F">
        <w:rPr>
          <w:rFonts w:ascii="Verdana" w:hAnsi="Verdana"/>
        </w:rPr>
        <w:t>2011 werd de geheimhoudingsplicht van de notaris ingeperkt door middel van een wetswijziging</w:t>
      </w:r>
      <w:r w:rsidRPr="005E0B1F">
        <w:rPr>
          <w:rStyle w:val="Voetnootmarkering"/>
          <w:rFonts w:ascii="Verdana" w:hAnsi="Verdana"/>
        </w:rPr>
        <w:footnoteReference w:id="28"/>
      </w:r>
      <w:r w:rsidRPr="005E0B1F">
        <w:rPr>
          <w:rFonts w:ascii="Verdana" w:hAnsi="Verdana"/>
        </w:rPr>
        <w:t>. M</w:t>
      </w:r>
      <w:r w:rsidR="00B54458">
        <w:rPr>
          <w:rFonts w:ascii="Verdana" w:hAnsi="Verdana"/>
        </w:rPr>
        <w:t>iddels deze wetswijziging werd</w:t>
      </w:r>
      <w:r w:rsidRPr="005E0B1F">
        <w:rPr>
          <w:rFonts w:ascii="Verdana" w:hAnsi="Verdana"/>
        </w:rPr>
        <w:t xml:space="preserve"> een aantal artikelen in onder andere de WNA aangepast en toegevoegd. Het was een belangrijke wijziging ten aanzien van de geheimhoudingsplicht, de</w:t>
      </w:r>
      <w:r w:rsidR="00023740">
        <w:rPr>
          <w:rFonts w:ascii="Verdana" w:hAnsi="Verdana"/>
        </w:rPr>
        <w:t> </w:t>
      </w:r>
      <w:r w:rsidR="002159D9" w:rsidRPr="005E0B1F">
        <w:rPr>
          <w:rFonts w:ascii="Verdana" w:hAnsi="Verdana"/>
        </w:rPr>
        <w:t>geheimhou</w:t>
      </w:r>
      <w:r w:rsidR="005E0B1F">
        <w:rPr>
          <w:rFonts w:ascii="Verdana" w:hAnsi="Verdana"/>
        </w:rPr>
        <w:t>-</w:t>
      </w:r>
      <w:r w:rsidR="002159D9" w:rsidRPr="005E0B1F">
        <w:rPr>
          <w:rFonts w:ascii="Verdana" w:hAnsi="Verdana"/>
        </w:rPr>
        <w:t>ding van de notaris w</w:t>
      </w:r>
      <w:r w:rsidRPr="005E0B1F">
        <w:rPr>
          <w:rFonts w:ascii="Verdana" w:hAnsi="Verdana"/>
        </w:rPr>
        <w:t xml:space="preserve">erd </w:t>
      </w:r>
      <w:r w:rsidR="004D2946" w:rsidRPr="005E0B1F">
        <w:rPr>
          <w:rFonts w:ascii="Verdana" w:hAnsi="Verdana"/>
        </w:rPr>
        <w:t xml:space="preserve">namelijk </w:t>
      </w:r>
      <w:r w:rsidRPr="005E0B1F">
        <w:rPr>
          <w:rFonts w:ascii="Verdana" w:hAnsi="Verdana"/>
        </w:rPr>
        <w:t>doorb</w:t>
      </w:r>
      <w:r w:rsidR="008E52C0" w:rsidRPr="005E0B1F">
        <w:rPr>
          <w:rFonts w:ascii="Verdana" w:hAnsi="Verdana"/>
        </w:rPr>
        <w:t>ro</w:t>
      </w:r>
      <w:r w:rsidR="00DA1D5A" w:rsidRPr="005E0B1F">
        <w:rPr>
          <w:rFonts w:ascii="Verdana" w:hAnsi="Verdana"/>
        </w:rPr>
        <w:t xml:space="preserve">ken </w:t>
      </w:r>
      <w:r w:rsidR="00F211E0" w:rsidRPr="005E0B1F">
        <w:rPr>
          <w:rFonts w:ascii="Verdana" w:hAnsi="Verdana"/>
        </w:rPr>
        <w:t xml:space="preserve">in een </w:t>
      </w:r>
      <w:r w:rsidR="00EC7720" w:rsidRPr="005E0B1F">
        <w:rPr>
          <w:rFonts w:ascii="Verdana" w:hAnsi="Verdana"/>
        </w:rPr>
        <w:t>viertal</w:t>
      </w:r>
      <w:r w:rsidR="00F211E0" w:rsidRPr="005E0B1F">
        <w:rPr>
          <w:rFonts w:ascii="Verdana" w:hAnsi="Verdana"/>
        </w:rPr>
        <w:t xml:space="preserve"> situaties</w:t>
      </w:r>
      <w:r w:rsidR="009D582D" w:rsidRPr="005E0B1F">
        <w:rPr>
          <w:rFonts w:ascii="Verdana" w:hAnsi="Verdana"/>
        </w:rPr>
        <w:t>:</w:t>
      </w:r>
    </w:p>
    <w:p w:rsidR="00FB64B4" w:rsidRPr="005E0B1F" w:rsidRDefault="00F211E0" w:rsidP="002734F3">
      <w:pPr>
        <w:pStyle w:val="Lijstalinea"/>
        <w:numPr>
          <w:ilvl w:val="0"/>
          <w:numId w:val="8"/>
        </w:numPr>
        <w:spacing w:after="0" w:line="22" w:lineRule="atLeast"/>
        <w:jc w:val="both"/>
        <w:rPr>
          <w:rFonts w:ascii="Verdana" w:hAnsi="Verdana"/>
        </w:rPr>
      </w:pPr>
      <w:r w:rsidRPr="005E0B1F">
        <w:rPr>
          <w:rFonts w:ascii="Verdana" w:hAnsi="Verdana"/>
        </w:rPr>
        <w:t>Ten</w:t>
      </w:r>
      <w:r w:rsidR="001F18C1" w:rsidRPr="005E0B1F">
        <w:rPr>
          <w:rFonts w:ascii="Verdana" w:hAnsi="Verdana"/>
        </w:rPr>
        <w:t xml:space="preserve"> eerste </w:t>
      </w:r>
      <w:r w:rsidRPr="005E0B1F">
        <w:rPr>
          <w:rFonts w:ascii="Verdana" w:hAnsi="Verdana"/>
        </w:rPr>
        <w:t>ten aanzien van</w:t>
      </w:r>
      <w:r w:rsidR="001F18C1" w:rsidRPr="005E0B1F">
        <w:rPr>
          <w:rFonts w:ascii="Verdana" w:hAnsi="Verdana"/>
        </w:rPr>
        <w:t xml:space="preserve"> d</w:t>
      </w:r>
      <w:r w:rsidR="008A78E2" w:rsidRPr="005E0B1F">
        <w:rPr>
          <w:rFonts w:ascii="Verdana" w:hAnsi="Verdana"/>
        </w:rPr>
        <w:t>e kwaliteitstoetsers van de K</w:t>
      </w:r>
      <w:r w:rsidR="00776E1D">
        <w:rPr>
          <w:rFonts w:ascii="Verdana" w:hAnsi="Verdana"/>
        </w:rPr>
        <w:t>NB</w:t>
      </w:r>
      <w:r w:rsidR="008A78E2" w:rsidRPr="005E0B1F">
        <w:rPr>
          <w:rFonts w:ascii="Verdana" w:hAnsi="Verdana"/>
        </w:rPr>
        <w:t>; de notaris en de onder zijn verantwoordelijkheid werkzame personen zijn sinds de wetswijziging niet langer meer tot geheimhouding gehouden ten opzichte van de kwaliteitstoetsers wanneer zij een kwaliteitstoets verrichten</w:t>
      </w:r>
      <w:r w:rsidR="008A78E2" w:rsidRPr="005E0B1F">
        <w:rPr>
          <w:rStyle w:val="Voetnootmarkering"/>
          <w:rFonts w:ascii="Verdana" w:hAnsi="Verdana"/>
        </w:rPr>
        <w:footnoteReference w:id="29"/>
      </w:r>
      <w:r w:rsidR="008A78E2" w:rsidRPr="005E0B1F">
        <w:rPr>
          <w:rFonts w:ascii="Verdana" w:hAnsi="Verdana"/>
        </w:rPr>
        <w:t>.</w:t>
      </w:r>
    </w:p>
    <w:p w:rsidR="00FB64B4" w:rsidRPr="005E0B1F" w:rsidRDefault="00F211E0" w:rsidP="002734F3">
      <w:pPr>
        <w:pStyle w:val="Lijstalinea"/>
        <w:numPr>
          <w:ilvl w:val="0"/>
          <w:numId w:val="8"/>
        </w:numPr>
        <w:spacing w:after="0" w:line="22" w:lineRule="atLeast"/>
        <w:jc w:val="both"/>
        <w:rPr>
          <w:rFonts w:ascii="Verdana" w:hAnsi="Verdana"/>
        </w:rPr>
      </w:pPr>
      <w:r w:rsidRPr="005E0B1F">
        <w:rPr>
          <w:rFonts w:ascii="Verdana" w:hAnsi="Verdana"/>
        </w:rPr>
        <w:t>Ten tweede ten aanzien van</w:t>
      </w:r>
      <w:r w:rsidR="00DA1D5A" w:rsidRPr="005E0B1F">
        <w:rPr>
          <w:rFonts w:ascii="Verdana" w:hAnsi="Verdana"/>
        </w:rPr>
        <w:t xml:space="preserve"> de tuchtrechter; de notaris en de onder zijn verantwoordelijkheid werkzame personen zijn sinds de wetswijziging niet langer meer tot geheimhouding gehouden ten opzichte van de Kamer voor het Notariaat en het gerechtshof te Amsterdam (ook wel: de Notaris</w:t>
      </w:r>
      <w:r w:rsidR="00A94C92">
        <w:rPr>
          <w:rFonts w:ascii="Verdana" w:hAnsi="Verdana"/>
        </w:rPr>
        <w:t>-</w:t>
      </w:r>
      <w:r w:rsidR="00DA1D5A" w:rsidRPr="005E0B1F">
        <w:rPr>
          <w:rFonts w:ascii="Verdana" w:hAnsi="Verdana"/>
        </w:rPr>
        <w:t>kamer)</w:t>
      </w:r>
      <w:r w:rsidR="009D582D" w:rsidRPr="005E0B1F">
        <w:rPr>
          <w:rFonts w:ascii="Verdana" w:hAnsi="Verdana"/>
        </w:rPr>
        <w:t xml:space="preserve"> wanneer deze tuchtrechtspraak uitoefenen</w:t>
      </w:r>
      <w:r w:rsidR="00DA1D5A" w:rsidRPr="005E0B1F">
        <w:rPr>
          <w:rStyle w:val="Voetnootmarkering"/>
          <w:rFonts w:ascii="Verdana" w:hAnsi="Verdana"/>
        </w:rPr>
        <w:footnoteReference w:id="30"/>
      </w:r>
      <w:r w:rsidR="00DA1D5A" w:rsidRPr="005E0B1F">
        <w:rPr>
          <w:rFonts w:ascii="Verdana" w:hAnsi="Verdana"/>
        </w:rPr>
        <w:t xml:space="preserve">. </w:t>
      </w:r>
    </w:p>
    <w:p w:rsidR="00FB64B4" w:rsidRPr="005E0B1F" w:rsidRDefault="00F211E0" w:rsidP="002734F3">
      <w:pPr>
        <w:pStyle w:val="Lijstalinea"/>
        <w:numPr>
          <w:ilvl w:val="0"/>
          <w:numId w:val="8"/>
        </w:numPr>
        <w:spacing w:after="0" w:line="22" w:lineRule="atLeast"/>
        <w:jc w:val="both"/>
        <w:rPr>
          <w:rFonts w:ascii="Verdana" w:hAnsi="Verdana"/>
        </w:rPr>
      </w:pPr>
      <w:r w:rsidRPr="005E0B1F">
        <w:rPr>
          <w:rFonts w:ascii="Verdana" w:hAnsi="Verdana"/>
        </w:rPr>
        <w:t>Ten derde ten aanzien van de</w:t>
      </w:r>
      <w:r w:rsidR="008F4F97" w:rsidRPr="005E0B1F">
        <w:rPr>
          <w:rFonts w:ascii="Verdana" w:hAnsi="Verdana"/>
        </w:rPr>
        <w:t xml:space="preserve"> onderzoeksrechter van de Kamer voor het Notariaat; de notaris en de onder zijn verantwoordelijkheid werkzame personen zijn sinds de wetswijziging niet langer meer tot geheimhouding gehouden ten opzichte van de onderzoeksrechter van de Kamer voor het Notariaat wanneer deze het vooronderzoek verricht</w:t>
      </w:r>
      <w:r w:rsidR="008F4F97" w:rsidRPr="005E0B1F">
        <w:rPr>
          <w:rStyle w:val="Voetnootmarkering"/>
          <w:rFonts w:ascii="Verdana" w:hAnsi="Verdana"/>
        </w:rPr>
        <w:footnoteReference w:id="31"/>
      </w:r>
      <w:r w:rsidR="008F4F97" w:rsidRPr="005E0B1F">
        <w:rPr>
          <w:rFonts w:ascii="Verdana" w:hAnsi="Verdana"/>
        </w:rPr>
        <w:t xml:space="preserve">. </w:t>
      </w:r>
    </w:p>
    <w:p w:rsidR="00B93508" w:rsidRPr="005E0B1F" w:rsidRDefault="00F211E0" w:rsidP="002734F3">
      <w:pPr>
        <w:pStyle w:val="Lijstalinea"/>
        <w:numPr>
          <w:ilvl w:val="0"/>
          <w:numId w:val="8"/>
        </w:numPr>
        <w:spacing w:after="0" w:line="22" w:lineRule="atLeast"/>
        <w:jc w:val="both"/>
        <w:rPr>
          <w:rFonts w:ascii="Verdana" w:hAnsi="Verdana"/>
        </w:rPr>
      </w:pPr>
      <w:r w:rsidRPr="005E0B1F">
        <w:rPr>
          <w:rFonts w:ascii="Verdana" w:hAnsi="Verdana"/>
        </w:rPr>
        <w:t>Als laatst ten aanzien van de</w:t>
      </w:r>
      <w:r w:rsidR="008E52C0" w:rsidRPr="005E0B1F">
        <w:rPr>
          <w:rFonts w:ascii="Verdana" w:hAnsi="Verdana"/>
        </w:rPr>
        <w:t xml:space="preserve"> toezichthouders van het BFT; de notaris en de onder zijn verantwo</w:t>
      </w:r>
      <w:r w:rsidR="002159D9" w:rsidRPr="005E0B1F">
        <w:rPr>
          <w:rFonts w:ascii="Verdana" w:hAnsi="Verdana"/>
        </w:rPr>
        <w:t>ordelijkheid werkzame personen zij</w:t>
      </w:r>
      <w:r w:rsidR="008E52C0" w:rsidRPr="005E0B1F">
        <w:rPr>
          <w:rFonts w:ascii="Verdana" w:hAnsi="Verdana"/>
        </w:rPr>
        <w:t xml:space="preserve">n </w:t>
      </w:r>
      <w:r w:rsidR="002159D9" w:rsidRPr="005E0B1F">
        <w:rPr>
          <w:rFonts w:ascii="Verdana" w:hAnsi="Verdana"/>
        </w:rPr>
        <w:t xml:space="preserve">sinds de wetswijziging </w:t>
      </w:r>
      <w:r w:rsidR="008E52C0" w:rsidRPr="005E0B1F">
        <w:rPr>
          <w:rFonts w:ascii="Verdana" w:hAnsi="Verdana"/>
        </w:rPr>
        <w:t>niet langer meer tot geheimhouding gehouden ten opzichte van toezichthouders in de uitoefening van het toezicht</w:t>
      </w:r>
      <w:r w:rsidR="008E52C0" w:rsidRPr="005E0B1F">
        <w:rPr>
          <w:rStyle w:val="Voetnootmarkering"/>
          <w:rFonts w:ascii="Verdana" w:hAnsi="Verdana"/>
        </w:rPr>
        <w:footnoteReference w:id="32"/>
      </w:r>
      <w:r w:rsidR="008E52C0" w:rsidRPr="005E0B1F">
        <w:rPr>
          <w:rFonts w:ascii="Verdana" w:hAnsi="Verdana"/>
        </w:rPr>
        <w:t xml:space="preserve">. </w:t>
      </w:r>
    </w:p>
    <w:p w:rsidR="009D582D" w:rsidRPr="005E0B1F" w:rsidRDefault="009D582D" w:rsidP="0092501F">
      <w:pPr>
        <w:spacing w:after="0" w:line="22" w:lineRule="atLeast"/>
        <w:jc w:val="both"/>
        <w:rPr>
          <w:rFonts w:ascii="Verdana" w:hAnsi="Verdana"/>
        </w:rPr>
      </w:pPr>
    </w:p>
    <w:p w:rsidR="004E346A" w:rsidRPr="005E0B1F" w:rsidRDefault="004E346A" w:rsidP="0092501F">
      <w:pPr>
        <w:spacing w:after="0" w:line="22" w:lineRule="atLeast"/>
        <w:jc w:val="both"/>
        <w:rPr>
          <w:rFonts w:ascii="Verdana" w:hAnsi="Verdana"/>
        </w:rPr>
      </w:pPr>
      <w:r w:rsidRPr="005E0B1F">
        <w:rPr>
          <w:rFonts w:ascii="Verdana" w:hAnsi="Verdana"/>
        </w:rPr>
        <w:t>Deze wetswijziging is eigenlijk tegenstrijdig, of juist een reactie op, de uitspraak van het Hof Ams</w:t>
      </w:r>
      <w:r w:rsidR="004578CF">
        <w:rPr>
          <w:rFonts w:ascii="Verdana" w:hAnsi="Verdana"/>
        </w:rPr>
        <w:t>terdam in 2007. Toen oordeelde h</w:t>
      </w:r>
      <w:r w:rsidRPr="005E0B1F">
        <w:rPr>
          <w:rFonts w:ascii="Verdana" w:hAnsi="Verdana"/>
        </w:rPr>
        <w:t>ij namelijk dat het toezicht en de naleving van de WWFT door het BFT ‘niet</w:t>
      </w:r>
      <w:r w:rsidR="00776E1D">
        <w:rPr>
          <w:rFonts w:ascii="Verdana" w:hAnsi="Verdana"/>
        </w:rPr>
        <w:t xml:space="preserve"> ee</w:t>
      </w:r>
      <w:r w:rsidRPr="005E0B1F">
        <w:rPr>
          <w:rFonts w:ascii="Verdana" w:hAnsi="Verdana"/>
        </w:rPr>
        <w:t>n zo zwaarwegend vereiste van algemeen belang’ was, dat daarvoor zonder wettelijke grondslag het beroeps</w:t>
      </w:r>
      <w:r w:rsidR="00776E1D">
        <w:rPr>
          <w:rFonts w:ascii="Verdana" w:hAnsi="Verdana"/>
        </w:rPr>
        <w:t>-</w:t>
      </w:r>
      <w:r w:rsidRPr="005E0B1F">
        <w:rPr>
          <w:rFonts w:ascii="Verdana" w:hAnsi="Verdana"/>
        </w:rPr>
        <w:t>geheim moest worden beperkt</w:t>
      </w:r>
      <w:r w:rsidRPr="005E0B1F">
        <w:rPr>
          <w:rStyle w:val="Voetnootmarkering"/>
          <w:rFonts w:ascii="Verdana" w:hAnsi="Verdana"/>
        </w:rPr>
        <w:footnoteReference w:id="33"/>
      </w:r>
      <w:r w:rsidRPr="005E0B1F">
        <w:rPr>
          <w:rFonts w:ascii="Verdana" w:hAnsi="Verdana"/>
        </w:rPr>
        <w:t xml:space="preserve">. </w:t>
      </w:r>
      <w:r w:rsidR="00D6340C" w:rsidRPr="005E0B1F">
        <w:rPr>
          <w:rFonts w:ascii="Verdana" w:hAnsi="Verdana"/>
        </w:rPr>
        <w:t xml:space="preserve">Maar het belang van effectief toezicht op de integriteit en kwaliteit van het notariaat blijkt groter. Ook </w:t>
      </w:r>
      <w:r w:rsidR="0001378F" w:rsidRPr="005E0B1F">
        <w:rPr>
          <w:rFonts w:ascii="Verdana" w:hAnsi="Verdana"/>
        </w:rPr>
        <w:t xml:space="preserve">de </w:t>
      </w:r>
      <w:r w:rsidR="00D6340C" w:rsidRPr="005E0B1F">
        <w:rPr>
          <w:rFonts w:ascii="Verdana" w:hAnsi="Verdana"/>
        </w:rPr>
        <w:t>volledige to</w:t>
      </w:r>
      <w:r w:rsidR="00776E1D">
        <w:rPr>
          <w:rFonts w:ascii="Verdana" w:hAnsi="Verdana"/>
        </w:rPr>
        <w:t xml:space="preserve">etsings-mogelijkheid door </w:t>
      </w:r>
      <w:r w:rsidR="00776E1D" w:rsidRPr="005E0B1F">
        <w:rPr>
          <w:rFonts w:ascii="Verdana" w:hAnsi="Verdana"/>
        </w:rPr>
        <w:t xml:space="preserve">de </w:t>
      </w:r>
      <w:r w:rsidR="00776E1D">
        <w:rPr>
          <w:rFonts w:ascii="Verdana" w:hAnsi="Verdana"/>
        </w:rPr>
        <w:t>KNB</w:t>
      </w:r>
      <w:r w:rsidR="00D6340C" w:rsidRPr="005E0B1F">
        <w:rPr>
          <w:rFonts w:ascii="Verdana" w:hAnsi="Verdana"/>
        </w:rPr>
        <w:t xml:space="preserve"> en </w:t>
      </w:r>
      <w:r w:rsidR="0001378F" w:rsidRPr="005E0B1F">
        <w:rPr>
          <w:rFonts w:ascii="Verdana" w:hAnsi="Verdana"/>
        </w:rPr>
        <w:t>de</w:t>
      </w:r>
      <w:r w:rsidR="00D6340C" w:rsidRPr="005E0B1F">
        <w:rPr>
          <w:rFonts w:ascii="Verdana" w:hAnsi="Verdana"/>
        </w:rPr>
        <w:t xml:space="preserve"> goede uitoefening van het tuchtrecht </w:t>
      </w:r>
      <w:r w:rsidR="0001378F" w:rsidRPr="005E0B1F">
        <w:rPr>
          <w:rFonts w:ascii="Verdana" w:hAnsi="Verdana"/>
        </w:rPr>
        <w:t>blijkt van groot belang uit deze wetswijziging. D</w:t>
      </w:r>
      <w:r w:rsidR="00B54458">
        <w:rPr>
          <w:rFonts w:ascii="Verdana" w:hAnsi="Verdana"/>
        </w:rPr>
        <w:t>oor de wetswijziging werd beoogd</w:t>
      </w:r>
      <w:r w:rsidR="0001378F" w:rsidRPr="005E0B1F">
        <w:rPr>
          <w:rFonts w:ascii="Verdana" w:hAnsi="Verdana"/>
        </w:rPr>
        <w:t xml:space="preserve"> misbruik</w:t>
      </w:r>
      <w:r w:rsidR="00B54458">
        <w:rPr>
          <w:rFonts w:ascii="Verdana" w:hAnsi="Verdana"/>
        </w:rPr>
        <w:t xml:space="preserve"> van het beroepsgeheim door </w:t>
      </w:r>
      <w:r w:rsidR="0001378F" w:rsidRPr="005E0B1F">
        <w:rPr>
          <w:rFonts w:ascii="Verdana" w:hAnsi="Verdana"/>
        </w:rPr>
        <w:t>de notaris te voorkomen en dat hij zich zodoende kon onttrekken aan enige vorm van toezicht</w:t>
      </w:r>
      <w:r w:rsidR="0001378F" w:rsidRPr="005E0B1F">
        <w:rPr>
          <w:rStyle w:val="Voetnootmarkering"/>
          <w:rFonts w:ascii="Verdana" w:hAnsi="Verdana"/>
        </w:rPr>
        <w:footnoteReference w:id="34"/>
      </w:r>
      <w:r w:rsidR="0001378F" w:rsidRPr="005E0B1F">
        <w:rPr>
          <w:rFonts w:ascii="Verdana" w:hAnsi="Verdana"/>
        </w:rPr>
        <w:t xml:space="preserve">. </w:t>
      </w:r>
      <w:r w:rsidR="00CB072D" w:rsidRPr="005E0B1F">
        <w:rPr>
          <w:rFonts w:ascii="Verdana" w:hAnsi="Verdana"/>
        </w:rPr>
        <w:t>Ook dit is weer tegenstrijdig met de voornoemde uitspraak van het Hof Amsterdam, want daarin werd ook gesteld dat men algemeen vertrouwen mag hebben in het notariaat en dat er bovendien achteraf mogelijkheden zijn tot optreden.</w:t>
      </w:r>
    </w:p>
    <w:p w:rsidR="00CD6AB4" w:rsidRPr="005E0B1F" w:rsidRDefault="00CD6AB4" w:rsidP="0092501F">
      <w:pPr>
        <w:spacing w:after="0" w:line="22" w:lineRule="atLeast"/>
        <w:jc w:val="both"/>
        <w:rPr>
          <w:rFonts w:ascii="Verdana" w:hAnsi="Verdana"/>
        </w:rPr>
      </w:pPr>
    </w:p>
    <w:p w:rsidR="00CD6AB4" w:rsidRPr="005E0B1F" w:rsidRDefault="007214CD" w:rsidP="0092501F">
      <w:pPr>
        <w:spacing w:after="0" w:line="22" w:lineRule="atLeast"/>
        <w:jc w:val="both"/>
        <w:rPr>
          <w:rFonts w:ascii="Verdana" w:hAnsi="Verdana"/>
        </w:rPr>
      </w:pPr>
      <w:r w:rsidRPr="005E0B1F">
        <w:rPr>
          <w:rFonts w:ascii="Verdana" w:hAnsi="Verdana"/>
        </w:rPr>
        <w:lastRenderedPageBreak/>
        <w:t>In november 2011 werd wederom e</w:t>
      </w:r>
      <w:r w:rsidR="00CD6AB4" w:rsidRPr="005E0B1F">
        <w:rPr>
          <w:rFonts w:ascii="Verdana" w:hAnsi="Verdana"/>
        </w:rPr>
        <w:t>en wetswijziging toegepast op de WNA</w:t>
      </w:r>
      <w:r w:rsidR="00CD6AB4" w:rsidRPr="005E0B1F">
        <w:rPr>
          <w:rStyle w:val="Voetnootmarkering"/>
          <w:rFonts w:ascii="Verdana" w:hAnsi="Verdana"/>
        </w:rPr>
        <w:footnoteReference w:id="35"/>
      </w:r>
      <w:r w:rsidR="00CD6AB4" w:rsidRPr="005E0B1F">
        <w:rPr>
          <w:rFonts w:ascii="Verdana" w:hAnsi="Verdana"/>
        </w:rPr>
        <w:t xml:space="preserve">. Bij deze wetswijziging werden twee leden toegevoegd aan artikel 25 WNA. </w:t>
      </w:r>
      <w:r w:rsidR="00570FCB" w:rsidRPr="005E0B1F">
        <w:rPr>
          <w:rFonts w:ascii="Verdana" w:hAnsi="Verdana"/>
        </w:rPr>
        <w:t>Middels deze wetswijziging werd het beroepsgeheim en verschoningsrecht van de notaris nog verder ingeperkt. In nog twee situaties moet de notaris zijn geheimhou</w:t>
      </w:r>
      <w:r w:rsidR="005E0B1F">
        <w:rPr>
          <w:rFonts w:ascii="Verdana" w:hAnsi="Verdana"/>
        </w:rPr>
        <w:t>-</w:t>
      </w:r>
      <w:r w:rsidR="00570FCB" w:rsidRPr="005E0B1F">
        <w:rPr>
          <w:rFonts w:ascii="Verdana" w:hAnsi="Verdana"/>
        </w:rPr>
        <w:t>dingsplicht en verschoningsrecht doorbreken:</w:t>
      </w:r>
    </w:p>
    <w:p w:rsidR="00CD6AB4" w:rsidRPr="005E0B1F" w:rsidRDefault="00570FCB" w:rsidP="002734F3">
      <w:pPr>
        <w:pStyle w:val="Lijstalinea"/>
        <w:numPr>
          <w:ilvl w:val="0"/>
          <w:numId w:val="11"/>
        </w:numPr>
        <w:spacing w:after="0" w:line="22" w:lineRule="atLeast"/>
        <w:jc w:val="both"/>
        <w:rPr>
          <w:rFonts w:ascii="Verdana" w:hAnsi="Verdana"/>
        </w:rPr>
      </w:pPr>
      <w:r w:rsidRPr="005E0B1F">
        <w:rPr>
          <w:rFonts w:ascii="Verdana" w:hAnsi="Verdana"/>
        </w:rPr>
        <w:t xml:space="preserve">Ten aanzien van de inspecteur of de ontvanger als bedoeld in artikel 2 van de Algemene wet inzake rijksbelastingen, artikel 2 van de Invorderingswet dan wel artikel 1:3 van de Algemene douanewet indien deze gemachtigd is door Onze Minister van Financiën; de notaris verstrekt gegevens die betrekking hebben op de derdengeldenrekening indien hierom </w:t>
      </w:r>
      <w:r w:rsidR="00B1594D">
        <w:rPr>
          <w:rFonts w:ascii="Verdana" w:hAnsi="Verdana"/>
        </w:rPr>
        <w:t xml:space="preserve">wordt </w:t>
      </w:r>
      <w:r w:rsidRPr="005E0B1F">
        <w:rPr>
          <w:rFonts w:ascii="Verdana" w:hAnsi="Verdana"/>
        </w:rPr>
        <w:t>gevraagd</w:t>
      </w:r>
      <w:r w:rsidRPr="005E0B1F">
        <w:rPr>
          <w:rStyle w:val="Voetnootmarkering"/>
          <w:rFonts w:ascii="Verdana" w:hAnsi="Verdana"/>
        </w:rPr>
        <w:footnoteReference w:id="36"/>
      </w:r>
      <w:r w:rsidRPr="005E0B1F">
        <w:rPr>
          <w:rFonts w:ascii="Verdana" w:hAnsi="Verdana"/>
        </w:rPr>
        <w:t xml:space="preserve">. </w:t>
      </w:r>
    </w:p>
    <w:p w:rsidR="00570FCB" w:rsidRPr="005E0B1F" w:rsidRDefault="00570FCB" w:rsidP="002734F3">
      <w:pPr>
        <w:pStyle w:val="Lijstalinea"/>
        <w:numPr>
          <w:ilvl w:val="0"/>
          <w:numId w:val="11"/>
        </w:numPr>
        <w:spacing w:after="0" w:line="22" w:lineRule="atLeast"/>
        <w:jc w:val="both"/>
        <w:rPr>
          <w:rFonts w:ascii="Verdana" w:hAnsi="Verdana"/>
        </w:rPr>
      </w:pPr>
      <w:r w:rsidRPr="005E0B1F">
        <w:rPr>
          <w:rFonts w:ascii="Verdana" w:hAnsi="Verdana"/>
        </w:rPr>
        <w:t>Ten aanzien van de opsporingsambtenaar, de Officier van Justitie of de rechter-commissaris; de notaris verstrekt de gegevens met betrekking tot de bijzondere rekening indien dit wordt gevorderd op grond van het Wetboek van Strafvordering</w:t>
      </w:r>
      <w:r w:rsidRPr="005E0B1F">
        <w:rPr>
          <w:rStyle w:val="Voetnootmarkering"/>
          <w:rFonts w:ascii="Verdana" w:hAnsi="Verdana"/>
        </w:rPr>
        <w:footnoteReference w:id="37"/>
      </w:r>
      <w:r w:rsidRPr="005E0B1F">
        <w:rPr>
          <w:rFonts w:ascii="Verdana" w:hAnsi="Verdana"/>
        </w:rPr>
        <w:t xml:space="preserve">. </w:t>
      </w:r>
    </w:p>
    <w:p w:rsidR="00570FCB" w:rsidRPr="005E0B1F" w:rsidRDefault="00570FCB" w:rsidP="0092501F">
      <w:pPr>
        <w:spacing w:after="0" w:line="22" w:lineRule="atLeast"/>
        <w:jc w:val="both"/>
        <w:rPr>
          <w:rFonts w:ascii="Verdana" w:hAnsi="Verdana"/>
        </w:rPr>
      </w:pPr>
    </w:p>
    <w:p w:rsidR="00570FCB" w:rsidRPr="005E0B1F" w:rsidRDefault="00570FCB" w:rsidP="0092501F">
      <w:pPr>
        <w:spacing w:after="0" w:line="22" w:lineRule="atLeast"/>
        <w:jc w:val="both"/>
        <w:rPr>
          <w:rFonts w:ascii="Verdana" w:hAnsi="Verdana"/>
        </w:rPr>
      </w:pPr>
      <w:r w:rsidRPr="005E0B1F">
        <w:rPr>
          <w:rFonts w:ascii="Verdana" w:hAnsi="Verdana"/>
        </w:rPr>
        <w:t>Beide wetswijzigingen zijn op 01 januari 2012 in</w:t>
      </w:r>
      <w:r w:rsidR="00E93537">
        <w:rPr>
          <w:rFonts w:ascii="Verdana" w:hAnsi="Verdana"/>
        </w:rPr>
        <w:t> </w:t>
      </w:r>
      <w:r w:rsidRPr="005E0B1F">
        <w:rPr>
          <w:rFonts w:ascii="Verdana" w:hAnsi="Verdana"/>
        </w:rPr>
        <w:t>werking getreden</w:t>
      </w:r>
      <w:r w:rsidRPr="005E0B1F">
        <w:rPr>
          <w:rStyle w:val="Voetnootmarkering"/>
          <w:rFonts w:ascii="Verdana" w:hAnsi="Verdana"/>
        </w:rPr>
        <w:footnoteReference w:id="38"/>
      </w:r>
      <w:r w:rsidRPr="005E0B1F">
        <w:rPr>
          <w:rFonts w:ascii="Verdana" w:hAnsi="Verdana"/>
        </w:rPr>
        <w:t xml:space="preserve">. </w:t>
      </w:r>
    </w:p>
    <w:p w:rsidR="00B31938" w:rsidRPr="00C45F3C" w:rsidRDefault="00B31938" w:rsidP="0092501F">
      <w:pPr>
        <w:spacing w:after="0" w:line="22" w:lineRule="atLeast"/>
        <w:rPr>
          <w:rFonts w:ascii="Verdana" w:hAnsi="Verdana"/>
          <w:sz w:val="24"/>
        </w:rPr>
      </w:pPr>
    </w:p>
    <w:p w:rsidR="00DE4FCD" w:rsidRPr="00922BA5" w:rsidRDefault="00922BA5" w:rsidP="0092501F">
      <w:pPr>
        <w:pStyle w:val="Kop3"/>
        <w:spacing w:before="0" w:line="22" w:lineRule="atLeast"/>
        <w:rPr>
          <w:rFonts w:ascii="Verdana" w:hAnsi="Verdana"/>
          <w:b w:val="0"/>
          <w:i/>
          <w:sz w:val="24"/>
        </w:rPr>
      </w:pPr>
      <w:bookmarkStart w:id="26" w:name="_Toc451894992"/>
      <w:r w:rsidRPr="00922BA5">
        <w:rPr>
          <w:rFonts w:ascii="Verdana" w:hAnsi="Verdana"/>
          <w:b w:val="0"/>
          <w:i/>
          <w:sz w:val="24"/>
        </w:rPr>
        <w:t>3</w:t>
      </w:r>
      <w:r w:rsidR="00AA6209" w:rsidRPr="00922BA5">
        <w:rPr>
          <w:rFonts w:ascii="Verdana" w:hAnsi="Verdana"/>
          <w:b w:val="0"/>
          <w:i/>
          <w:sz w:val="24"/>
        </w:rPr>
        <w:t>.2.</w:t>
      </w:r>
      <w:r w:rsidR="002232F5">
        <w:rPr>
          <w:rFonts w:ascii="Verdana" w:hAnsi="Verdana"/>
          <w:b w:val="0"/>
          <w:i/>
          <w:sz w:val="24"/>
        </w:rPr>
        <w:t>4</w:t>
      </w:r>
      <w:r w:rsidR="00AA6209" w:rsidRPr="00922BA5">
        <w:rPr>
          <w:rFonts w:ascii="Verdana" w:hAnsi="Verdana"/>
          <w:b w:val="0"/>
          <w:i/>
          <w:sz w:val="24"/>
        </w:rPr>
        <w:t xml:space="preserve"> Beroepsgeheim en verschoningsrecht bij a</w:t>
      </w:r>
      <w:r w:rsidR="00DE4FCD" w:rsidRPr="00922BA5">
        <w:rPr>
          <w:rFonts w:ascii="Verdana" w:hAnsi="Verdana"/>
          <w:b w:val="0"/>
          <w:i/>
          <w:sz w:val="24"/>
        </w:rPr>
        <w:t>dvocaten</w:t>
      </w:r>
      <w:bookmarkEnd w:id="26"/>
    </w:p>
    <w:p w:rsidR="000E7CEA" w:rsidRPr="005E0B1F" w:rsidRDefault="00090E68" w:rsidP="0092501F">
      <w:pPr>
        <w:spacing w:after="0" w:line="22" w:lineRule="atLeast"/>
        <w:jc w:val="both"/>
        <w:rPr>
          <w:rFonts w:ascii="Verdana" w:hAnsi="Verdana"/>
        </w:rPr>
      </w:pPr>
      <w:r w:rsidRPr="005E0B1F">
        <w:rPr>
          <w:rFonts w:ascii="Verdana" w:hAnsi="Verdana"/>
        </w:rPr>
        <w:t>Het eerste document waarin de advocate</w:t>
      </w:r>
      <w:r w:rsidR="00D849A4">
        <w:rPr>
          <w:rFonts w:ascii="Verdana" w:hAnsi="Verdana"/>
        </w:rPr>
        <w:t>need staat geformuleerd, stamt</w:t>
      </w:r>
      <w:r w:rsidRPr="005E0B1F">
        <w:rPr>
          <w:rFonts w:ascii="Verdana" w:hAnsi="Verdana"/>
        </w:rPr>
        <w:t xml:space="preserve"> uit 1531. </w:t>
      </w:r>
      <w:r w:rsidR="00200AE9" w:rsidRPr="005E0B1F">
        <w:rPr>
          <w:rFonts w:ascii="Verdana" w:hAnsi="Verdana"/>
        </w:rPr>
        <w:t>Dit document is</w:t>
      </w:r>
      <w:r w:rsidR="00E93537">
        <w:rPr>
          <w:rFonts w:ascii="Verdana" w:hAnsi="Verdana"/>
        </w:rPr>
        <w:t xml:space="preserve"> getiteld:</w:t>
      </w:r>
      <w:r w:rsidR="00200AE9" w:rsidRPr="005E0B1F">
        <w:rPr>
          <w:rFonts w:ascii="Verdana" w:hAnsi="Verdana"/>
        </w:rPr>
        <w:t xml:space="preserve"> de ‘Instructie van den Hove van Hollant, Zeelandt ende Vrieslandt’</w:t>
      </w:r>
      <w:r w:rsidR="00200AE9" w:rsidRPr="005E0B1F">
        <w:rPr>
          <w:rStyle w:val="Voetnootmarkering"/>
          <w:rFonts w:ascii="Verdana" w:hAnsi="Verdana"/>
        </w:rPr>
        <w:footnoteReference w:id="39"/>
      </w:r>
      <w:r w:rsidR="00200AE9" w:rsidRPr="005E0B1F">
        <w:rPr>
          <w:rFonts w:ascii="Verdana" w:hAnsi="Verdana"/>
        </w:rPr>
        <w:t xml:space="preserve">. </w:t>
      </w:r>
      <w:r w:rsidR="00D849A4">
        <w:rPr>
          <w:rFonts w:ascii="Verdana" w:hAnsi="Verdana"/>
        </w:rPr>
        <w:t xml:space="preserve">In deze eed werd </w:t>
      </w:r>
      <w:r w:rsidR="004F6798" w:rsidRPr="005E0B1F">
        <w:rPr>
          <w:rFonts w:ascii="Verdana" w:hAnsi="Verdana"/>
        </w:rPr>
        <w:t xml:space="preserve">de geheimhouding niet genoemd. </w:t>
      </w:r>
      <w:r w:rsidR="000E7CEA" w:rsidRPr="005E0B1F">
        <w:rPr>
          <w:rFonts w:ascii="Verdana" w:hAnsi="Verdana"/>
        </w:rPr>
        <w:t>Na de Franse revolutie ontwierp Napoleon het Decreet 1810 waarin hij de zelfstan</w:t>
      </w:r>
      <w:r w:rsidR="007150B8">
        <w:rPr>
          <w:rFonts w:ascii="Verdana" w:hAnsi="Verdana"/>
        </w:rPr>
        <w:t>d</w:t>
      </w:r>
      <w:r w:rsidR="000E7CEA" w:rsidRPr="005E0B1F">
        <w:rPr>
          <w:rFonts w:ascii="Verdana" w:hAnsi="Verdana"/>
        </w:rPr>
        <w:t>ig</w:t>
      </w:r>
      <w:r w:rsidR="00E93537">
        <w:rPr>
          <w:rFonts w:ascii="Verdana" w:hAnsi="Verdana"/>
        </w:rPr>
        <w:t>-</w:t>
      </w:r>
      <w:r w:rsidR="000E7CEA" w:rsidRPr="005E0B1F">
        <w:rPr>
          <w:rFonts w:ascii="Verdana" w:hAnsi="Verdana"/>
        </w:rPr>
        <w:t>hei</w:t>
      </w:r>
      <w:r w:rsidR="00D849A4">
        <w:rPr>
          <w:rFonts w:ascii="Verdana" w:hAnsi="Verdana"/>
        </w:rPr>
        <w:t>d bij de advocaten ontnam</w:t>
      </w:r>
      <w:r w:rsidR="000E7CEA" w:rsidRPr="005E0B1F">
        <w:rPr>
          <w:rFonts w:ascii="Verdana" w:hAnsi="Verdana"/>
        </w:rPr>
        <w:t xml:space="preserve"> en zij onder gezag kwamen te staan van de rechterlijke macht. De advocaat moest voor zijn toelating onder andere gehoorzaamheid zweren aan de Grondwet van het Keizerrijk en getrouwheid aan de Keizer. Ook in Nederland werd in 1838 het Decreet 1810 van krac</w:t>
      </w:r>
      <w:r w:rsidR="00E93537">
        <w:rPr>
          <w:rFonts w:ascii="Verdana" w:hAnsi="Verdana"/>
        </w:rPr>
        <w:t>ht verklaard middels het zogenoe</w:t>
      </w:r>
      <w:r w:rsidR="000E7CEA" w:rsidRPr="005E0B1F">
        <w:rPr>
          <w:rFonts w:ascii="Verdana" w:hAnsi="Verdana"/>
        </w:rPr>
        <w:t>mde Reglement III. Pas in 1952 kreeg de advocatuur de zorg voor de eer en stand van hun beroepsgroep weer volledig in eigen hand door middel van invoering van de Advocatenwet. De tekst van de advocateneed is sinds de invoering van het Reglement III niet meer gewijzigd en houdt nog steeds in dat getrouwheid aan de Koning, gehoorzaamheid aan de Grondwet en eerbiediging van de rechterlijke macht wordt gezworen</w:t>
      </w:r>
      <w:r w:rsidR="00855D27" w:rsidRPr="005E0B1F">
        <w:rPr>
          <w:rStyle w:val="Voetnootmarkering"/>
          <w:rFonts w:ascii="Verdana" w:hAnsi="Verdana"/>
        </w:rPr>
        <w:footnoteReference w:id="40"/>
      </w:r>
      <w:r w:rsidR="000E7CEA" w:rsidRPr="005E0B1F">
        <w:rPr>
          <w:rFonts w:ascii="Verdana" w:hAnsi="Verdana"/>
        </w:rPr>
        <w:t xml:space="preserve">. </w:t>
      </w:r>
    </w:p>
    <w:p w:rsidR="00D311AA" w:rsidRPr="005E0B1F" w:rsidRDefault="00D311AA" w:rsidP="0092501F">
      <w:pPr>
        <w:spacing w:after="0" w:line="22" w:lineRule="atLeast"/>
        <w:jc w:val="both"/>
        <w:rPr>
          <w:rFonts w:ascii="Verdana" w:hAnsi="Verdana"/>
        </w:rPr>
      </w:pPr>
    </w:p>
    <w:p w:rsidR="00ED3F37" w:rsidRPr="005E0B1F" w:rsidRDefault="00EF3DD9" w:rsidP="0092501F">
      <w:pPr>
        <w:spacing w:after="0" w:line="22" w:lineRule="atLeast"/>
        <w:jc w:val="both"/>
        <w:rPr>
          <w:rFonts w:ascii="Verdana" w:hAnsi="Verdana"/>
        </w:rPr>
      </w:pPr>
      <w:r w:rsidRPr="005E0B1F">
        <w:rPr>
          <w:rFonts w:ascii="Verdana" w:hAnsi="Verdana"/>
        </w:rPr>
        <w:t>Ook bij advocaten staat de eed verank</w:t>
      </w:r>
      <w:r w:rsidR="00320E01" w:rsidRPr="005E0B1F">
        <w:rPr>
          <w:rFonts w:ascii="Verdana" w:hAnsi="Verdana"/>
        </w:rPr>
        <w:t>erd in de wet. Wanneer iemand een verzoek heeft gedaan tot</w:t>
      </w:r>
      <w:r w:rsidRPr="005E0B1F">
        <w:rPr>
          <w:rFonts w:ascii="Verdana" w:hAnsi="Verdana"/>
        </w:rPr>
        <w:t xml:space="preserve"> inschrijving op het tableau van de Nederlandse Orde van advocaten en voldoet aan alle eisen, wordt diegene beëdigd. Deze beëdiging geschiedt op requisitoir van het Openbaar Ministerie in de rechtbank</w:t>
      </w:r>
      <w:r w:rsidRPr="005E0B1F">
        <w:rPr>
          <w:rStyle w:val="Voetnootmarkering"/>
          <w:rFonts w:ascii="Verdana" w:hAnsi="Verdana"/>
        </w:rPr>
        <w:footnoteReference w:id="41"/>
      </w:r>
      <w:r w:rsidR="00320E01" w:rsidRPr="005E0B1F">
        <w:rPr>
          <w:rFonts w:ascii="Verdana" w:hAnsi="Verdana"/>
        </w:rPr>
        <w:t>. De</w:t>
      </w:r>
      <w:r w:rsidR="00A943DD">
        <w:rPr>
          <w:rFonts w:ascii="Verdana" w:hAnsi="Verdana"/>
        </w:rPr>
        <w:t xml:space="preserve"> </w:t>
      </w:r>
      <w:r w:rsidRPr="005E0B1F">
        <w:rPr>
          <w:rFonts w:ascii="Verdana" w:hAnsi="Verdana"/>
        </w:rPr>
        <w:lastRenderedPageBreak/>
        <w:t>eed</w:t>
      </w:r>
      <w:r w:rsidR="00E93537">
        <w:rPr>
          <w:rFonts w:ascii="Verdana" w:hAnsi="Verdana"/>
        </w:rPr>
        <w:t> </w:t>
      </w:r>
      <w:r w:rsidR="00320E01" w:rsidRPr="005E0B1F">
        <w:rPr>
          <w:rFonts w:ascii="Verdana" w:hAnsi="Verdana"/>
        </w:rPr>
        <w:t>die moet worden afgelegd</w:t>
      </w:r>
      <w:r w:rsidRPr="005E0B1F">
        <w:rPr>
          <w:rFonts w:ascii="Verdana" w:hAnsi="Verdana"/>
        </w:rPr>
        <w:t xml:space="preserve"> luidt als volgt: </w:t>
      </w:r>
      <w:r w:rsidRPr="005E0B1F">
        <w:rPr>
          <w:rFonts w:ascii="Verdana" w:hAnsi="Verdana"/>
          <w:i/>
        </w:rPr>
        <w:t>‘Ik zweer/beloof getrouwheid aan de Koning, gehoorzaamheid aan de Grondwet, eerbied voor de rechterlijke autoriteiten (…).’</w:t>
      </w:r>
      <w:r w:rsidRPr="005E0B1F">
        <w:rPr>
          <w:rStyle w:val="Voetnootmarkering"/>
          <w:rFonts w:ascii="Verdana" w:hAnsi="Verdana"/>
          <w:i/>
        </w:rPr>
        <w:footnoteReference w:id="42"/>
      </w:r>
      <w:r w:rsidR="00114DA1">
        <w:rPr>
          <w:rFonts w:ascii="Verdana" w:hAnsi="Verdana"/>
          <w:i/>
        </w:rPr>
        <w:t> </w:t>
      </w:r>
      <w:r w:rsidRPr="005E0B1F">
        <w:rPr>
          <w:rFonts w:ascii="Verdana" w:hAnsi="Verdana"/>
        </w:rPr>
        <w:t>Hoewel in de eed niet expliciet de geheimhouding wordt vermeld, wordt wel verwezen naar de grondwet. In de grondwet is de bepaling te vinden dat een ieder recht heeft op eerbiediging van zijn persoonlijke levenssfeer</w:t>
      </w:r>
      <w:r w:rsidRPr="005E0B1F">
        <w:rPr>
          <w:rStyle w:val="Voetnootmarkering"/>
          <w:rFonts w:ascii="Verdana" w:hAnsi="Verdana"/>
        </w:rPr>
        <w:footnoteReference w:id="43"/>
      </w:r>
      <w:r w:rsidRPr="005E0B1F">
        <w:rPr>
          <w:rFonts w:ascii="Verdana" w:hAnsi="Verdana"/>
        </w:rPr>
        <w:t xml:space="preserve">. </w:t>
      </w:r>
      <w:r w:rsidR="00320E01" w:rsidRPr="005E0B1F">
        <w:rPr>
          <w:rFonts w:ascii="Verdana" w:hAnsi="Verdana"/>
        </w:rPr>
        <w:t xml:space="preserve">Naast de verkapte geheimhouding uit de eed, staat </w:t>
      </w:r>
      <w:r w:rsidR="00307F51" w:rsidRPr="005E0B1F">
        <w:rPr>
          <w:rFonts w:ascii="Verdana" w:hAnsi="Verdana"/>
        </w:rPr>
        <w:t>de geheim</w:t>
      </w:r>
      <w:r w:rsidR="00E93537">
        <w:rPr>
          <w:rFonts w:ascii="Verdana" w:hAnsi="Verdana"/>
        </w:rPr>
        <w:t>-</w:t>
      </w:r>
      <w:r w:rsidR="00307F51" w:rsidRPr="005E0B1F">
        <w:rPr>
          <w:rFonts w:ascii="Verdana" w:hAnsi="Verdana"/>
        </w:rPr>
        <w:t>houdingsplicht van de advoc</w:t>
      </w:r>
      <w:r w:rsidR="00ED3F37" w:rsidRPr="005E0B1F">
        <w:rPr>
          <w:rFonts w:ascii="Verdana" w:hAnsi="Verdana"/>
        </w:rPr>
        <w:t>aat ook vermeld in artikel</w:t>
      </w:r>
      <w:r w:rsidR="00320E01" w:rsidRPr="005E0B1F">
        <w:rPr>
          <w:rFonts w:ascii="Verdana" w:hAnsi="Verdana"/>
        </w:rPr>
        <w:t xml:space="preserve"> 11a van de Advocatenwet; er is dus ook een wettelijke verplichting tot geheimhouding</w:t>
      </w:r>
      <w:r w:rsidR="00ED3F37" w:rsidRPr="005E0B1F">
        <w:rPr>
          <w:rFonts w:ascii="Verdana" w:hAnsi="Verdana"/>
        </w:rPr>
        <w:t>. Naast de geheimhouding</w:t>
      </w:r>
      <w:r w:rsidR="008055EC" w:rsidRPr="005E0B1F">
        <w:rPr>
          <w:rFonts w:ascii="Verdana" w:hAnsi="Verdana"/>
        </w:rPr>
        <w:t xml:space="preserve">splicht die </w:t>
      </w:r>
      <w:r w:rsidR="00ED3F37" w:rsidRPr="005E0B1F">
        <w:rPr>
          <w:rFonts w:ascii="Verdana" w:hAnsi="Verdana"/>
        </w:rPr>
        <w:t xml:space="preserve">vermeld staat in artikel 11a van de Advocatenwet, </w:t>
      </w:r>
      <w:r w:rsidR="008055EC" w:rsidRPr="005E0B1F">
        <w:rPr>
          <w:rFonts w:ascii="Verdana" w:hAnsi="Verdana"/>
        </w:rPr>
        <w:t>staat deze ook vermeld</w:t>
      </w:r>
      <w:r w:rsidR="00ED3F37" w:rsidRPr="005E0B1F">
        <w:rPr>
          <w:rFonts w:ascii="Verdana" w:hAnsi="Verdana"/>
        </w:rPr>
        <w:t xml:space="preserve"> in artikel 10a lid 1 sub e van de Advocatenwet. In artikel 10a van de Advocatenwet </w:t>
      </w:r>
      <w:r w:rsidR="00E93537">
        <w:rPr>
          <w:rFonts w:ascii="Verdana" w:hAnsi="Verdana"/>
        </w:rPr>
        <w:t>staan</w:t>
      </w:r>
      <w:r w:rsidR="00ED3F37" w:rsidRPr="005E0B1F">
        <w:rPr>
          <w:rFonts w:ascii="Verdana" w:hAnsi="Verdana"/>
        </w:rPr>
        <w:t xml:space="preserve"> namelijk de kernwaarden die advocaten moeten naleven bij de uitoefening van hun beroep, vertrouwelijkheid is daar dus één van. </w:t>
      </w:r>
    </w:p>
    <w:p w:rsidR="00890608" w:rsidRPr="005E0B1F" w:rsidRDefault="00890608" w:rsidP="0092501F">
      <w:pPr>
        <w:spacing w:after="0" w:line="22" w:lineRule="atLeast"/>
        <w:jc w:val="both"/>
        <w:rPr>
          <w:rFonts w:ascii="Verdana" w:hAnsi="Verdana"/>
        </w:rPr>
      </w:pPr>
    </w:p>
    <w:p w:rsidR="00EC5DE5" w:rsidRPr="005E0B1F" w:rsidRDefault="00890608" w:rsidP="0092501F">
      <w:pPr>
        <w:spacing w:after="0" w:line="22" w:lineRule="atLeast"/>
        <w:jc w:val="both"/>
        <w:rPr>
          <w:rFonts w:ascii="Verdana" w:hAnsi="Verdana"/>
        </w:rPr>
      </w:pPr>
      <w:r w:rsidRPr="005E0B1F">
        <w:rPr>
          <w:rFonts w:ascii="Verdana" w:hAnsi="Verdana"/>
        </w:rPr>
        <w:t>In oktober 2014 werd voor de advocaat de geheimhouding ingeperkt, dit door middel van een wetswijziging</w:t>
      </w:r>
      <w:r w:rsidRPr="005E0B1F">
        <w:rPr>
          <w:rStyle w:val="Voetnootmarkering"/>
          <w:rFonts w:ascii="Verdana" w:hAnsi="Verdana"/>
        </w:rPr>
        <w:footnoteReference w:id="44"/>
      </w:r>
      <w:r w:rsidRPr="005E0B1F">
        <w:rPr>
          <w:rFonts w:ascii="Verdana" w:hAnsi="Verdana"/>
        </w:rPr>
        <w:t xml:space="preserve">. </w:t>
      </w:r>
      <w:r w:rsidR="00EC5DE5" w:rsidRPr="005E0B1F">
        <w:rPr>
          <w:rFonts w:ascii="Verdana" w:hAnsi="Verdana"/>
        </w:rPr>
        <w:t xml:space="preserve">Middels deze wetswijziging werden een aantal artikelen uit de wet aangepast maar ook veel nieuwe artikelen toegevoegd. </w:t>
      </w:r>
      <w:r w:rsidR="003427EE" w:rsidRPr="005E0B1F">
        <w:rPr>
          <w:rFonts w:ascii="Verdana" w:hAnsi="Verdana"/>
        </w:rPr>
        <w:t>Ten aanzien van de geheimhoudingsplicht van de advo</w:t>
      </w:r>
      <w:r w:rsidR="00E93537">
        <w:rPr>
          <w:rFonts w:ascii="Verdana" w:hAnsi="Verdana"/>
        </w:rPr>
        <w:t xml:space="preserve">caat was deze wetswijziging </w:t>
      </w:r>
      <w:r w:rsidR="003427EE" w:rsidRPr="005E0B1F">
        <w:rPr>
          <w:rFonts w:ascii="Verdana" w:hAnsi="Verdana"/>
        </w:rPr>
        <w:t xml:space="preserve">belangrijk, want </w:t>
      </w:r>
      <w:r w:rsidR="00EC7720" w:rsidRPr="005E0B1F">
        <w:rPr>
          <w:rFonts w:ascii="Verdana" w:hAnsi="Verdana"/>
        </w:rPr>
        <w:t>in een drietal</w:t>
      </w:r>
      <w:r w:rsidR="00F211E0" w:rsidRPr="005E0B1F">
        <w:rPr>
          <w:rFonts w:ascii="Verdana" w:hAnsi="Verdana"/>
        </w:rPr>
        <w:t xml:space="preserve"> situaties </w:t>
      </w:r>
      <w:r w:rsidR="003427EE" w:rsidRPr="005E0B1F">
        <w:rPr>
          <w:rFonts w:ascii="Verdana" w:hAnsi="Verdana"/>
        </w:rPr>
        <w:t>werd de geheimhoud</w:t>
      </w:r>
      <w:r w:rsidR="00087F4F" w:rsidRPr="005E0B1F">
        <w:rPr>
          <w:rFonts w:ascii="Verdana" w:hAnsi="Verdana"/>
        </w:rPr>
        <w:t>ing van de advocaat doorbroken:</w:t>
      </w:r>
    </w:p>
    <w:p w:rsidR="003427EE" w:rsidRPr="005E0B1F" w:rsidRDefault="003427EE" w:rsidP="002734F3">
      <w:pPr>
        <w:pStyle w:val="Lijstalinea"/>
        <w:numPr>
          <w:ilvl w:val="0"/>
          <w:numId w:val="9"/>
        </w:numPr>
        <w:spacing w:after="0" w:line="22" w:lineRule="atLeast"/>
        <w:jc w:val="both"/>
        <w:rPr>
          <w:rFonts w:ascii="Verdana" w:hAnsi="Verdana"/>
        </w:rPr>
      </w:pPr>
      <w:r w:rsidRPr="005E0B1F">
        <w:rPr>
          <w:rFonts w:ascii="Verdana" w:hAnsi="Verdana"/>
        </w:rPr>
        <w:t>Ten eerste ten aanzien van de Deken; v</w:t>
      </w:r>
      <w:r w:rsidR="00EC5DE5" w:rsidRPr="005E0B1F">
        <w:rPr>
          <w:rFonts w:ascii="Verdana" w:hAnsi="Verdana"/>
        </w:rPr>
        <w:t xml:space="preserve">ia deze wetswijziging werd bepaald dat advocaten, hun medewerkers en hun </w:t>
      </w:r>
      <w:r w:rsidR="00E93537">
        <w:rPr>
          <w:rFonts w:ascii="Verdana" w:hAnsi="Verdana"/>
        </w:rPr>
        <w:t>personeel</w:t>
      </w:r>
      <w:r w:rsidR="00EC5DE5" w:rsidRPr="005E0B1F">
        <w:rPr>
          <w:rFonts w:ascii="Verdana" w:hAnsi="Verdana"/>
        </w:rPr>
        <w:t>, alsmede andere personen die bij de beroepsuitoefening betrokken zijn, niet tot geheim</w:t>
      </w:r>
      <w:r w:rsidR="00E93537">
        <w:rPr>
          <w:rFonts w:ascii="Verdana" w:hAnsi="Verdana"/>
        </w:rPr>
        <w:t>-</w:t>
      </w:r>
      <w:r w:rsidR="00EC5DE5" w:rsidRPr="005E0B1F">
        <w:rPr>
          <w:rFonts w:ascii="Verdana" w:hAnsi="Verdana"/>
        </w:rPr>
        <w:t xml:space="preserve">houding </w:t>
      </w:r>
      <w:r w:rsidR="00D67089">
        <w:rPr>
          <w:rFonts w:ascii="Verdana" w:hAnsi="Verdana"/>
        </w:rPr>
        <w:t xml:space="preserve">zijn </w:t>
      </w:r>
      <w:r w:rsidR="00EC5DE5" w:rsidRPr="005E0B1F">
        <w:rPr>
          <w:rFonts w:ascii="Verdana" w:hAnsi="Verdana"/>
        </w:rPr>
        <w:t>gehouden ten aanzien van de Deken in de uitoefening van het toezicht</w:t>
      </w:r>
      <w:r w:rsidRPr="005E0B1F">
        <w:rPr>
          <w:rStyle w:val="Voetnootmarkering"/>
          <w:rFonts w:ascii="Verdana" w:hAnsi="Verdana"/>
        </w:rPr>
        <w:footnoteReference w:id="45"/>
      </w:r>
      <w:r w:rsidR="00EC5DE5" w:rsidRPr="005E0B1F">
        <w:rPr>
          <w:rFonts w:ascii="Verdana" w:hAnsi="Verdana"/>
        </w:rPr>
        <w:t xml:space="preserve">. </w:t>
      </w:r>
    </w:p>
    <w:p w:rsidR="003427EE" w:rsidRPr="005E0B1F" w:rsidRDefault="00A9089C" w:rsidP="002734F3">
      <w:pPr>
        <w:pStyle w:val="Lijstalinea"/>
        <w:numPr>
          <w:ilvl w:val="0"/>
          <w:numId w:val="9"/>
        </w:numPr>
        <w:spacing w:after="0" w:line="22" w:lineRule="atLeast"/>
        <w:jc w:val="both"/>
        <w:rPr>
          <w:rFonts w:ascii="Verdana" w:hAnsi="Verdana"/>
        </w:rPr>
      </w:pPr>
      <w:r w:rsidRPr="005E0B1F">
        <w:rPr>
          <w:rFonts w:ascii="Verdana" w:hAnsi="Verdana"/>
        </w:rPr>
        <w:t>Ten tweede ten aanzien van</w:t>
      </w:r>
      <w:r w:rsidR="003427EE" w:rsidRPr="005E0B1F">
        <w:rPr>
          <w:rFonts w:ascii="Verdana" w:hAnsi="Verdana"/>
        </w:rPr>
        <w:t xml:space="preserve"> de vooronderzoekers; de advocaten, hun medewerk</w:t>
      </w:r>
      <w:r w:rsidR="00E93537">
        <w:rPr>
          <w:rFonts w:ascii="Verdana" w:hAnsi="Verdana"/>
        </w:rPr>
        <w:t>ers en hun personeel</w:t>
      </w:r>
      <w:r w:rsidR="003427EE" w:rsidRPr="005E0B1F">
        <w:rPr>
          <w:rFonts w:ascii="Verdana" w:hAnsi="Verdana"/>
        </w:rPr>
        <w:t>, alsmede andere personen die bij de beroepsuitoefening betrokken zijn, zijn sinds de wetswijziging niet meer tot geheimhouding gehouden ten aanzien van de vooronderzoeker in de uitoefening van het vooronderzoek</w:t>
      </w:r>
      <w:r w:rsidR="003427EE" w:rsidRPr="005E0B1F">
        <w:rPr>
          <w:rStyle w:val="Voetnootmarkering"/>
          <w:rFonts w:ascii="Verdana" w:hAnsi="Verdana"/>
        </w:rPr>
        <w:footnoteReference w:id="46"/>
      </w:r>
      <w:r w:rsidR="003427EE" w:rsidRPr="005E0B1F">
        <w:rPr>
          <w:rFonts w:ascii="Verdana" w:hAnsi="Verdana"/>
        </w:rPr>
        <w:t xml:space="preserve">. </w:t>
      </w:r>
    </w:p>
    <w:p w:rsidR="00B45609" w:rsidRPr="005E0B1F" w:rsidRDefault="00A9089C" w:rsidP="002734F3">
      <w:pPr>
        <w:pStyle w:val="Lijstalinea"/>
        <w:numPr>
          <w:ilvl w:val="0"/>
          <w:numId w:val="9"/>
        </w:numPr>
        <w:spacing w:after="0" w:line="22" w:lineRule="atLeast"/>
        <w:jc w:val="both"/>
        <w:rPr>
          <w:rFonts w:ascii="Verdana" w:hAnsi="Verdana"/>
        </w:rPr>
      </w:pPr>
      <w:r w:rsidRPr="005E0B1F">
        <w:rPr>
          <w:rFonts w:ascii="Verdana" w:hAnsi="Verdana"/>
        </w:rPr>
        <w:t>Ten derde ten aanzien van een rapporteur van de Raad van Discipline; de advocaten, h</w:t>
      </w:r>
      <w:r w:rsidR="00E93537">
        <w:rPr>
          <w:rFonts w:ascii="Verdana" w:hAnsi="Verdana"/>
        </w:rPr>
        <w:t>un medewerkers en hun personeel</w:t>
      </w:r>
      <w:r w:rsidRPr="005E0B1F">
        <w:rPr>
          <w:rFonts w:ascii="Verdana" w:hAnsi="Verdana"/>
        </w:rPr>
        <w:t>, alsmede andere personen die bij de beroepsuitoefening betrokken zijn, zijn sinds de wetswijziging niet meer tot geheimhouding gehouden ten aanzien van de rapporteur van de Raad van Discipline in het kader van het onderzoek</w:t>
      </w:r>
      <w:r w:rsidRPr="005E0B1F">
        <w:rPr>
          <w:rStyle w:val="Voetnootmarkering"/>
          <w:rFonts w:ascii="Verdana" w:hAnsi="Verdana"/>
        </w:rPr>
        <w:footnoteReference w:id="47"/>
      </w:r>
      <w:r w:rsidRPr="005E0B1F">
        <w:rPr>
          <w:rFonts w:ascii="Verdana" w:hAnsi="Verdana"/>
        </w:rPr>
        <w:t xml:space="preserve">. </w:t>
      </w:r>
    </w:p>
    <w:p w:rsidR="007B2208" w:rsidRPr="005E0B1F" w:rsidRDefault="007B2208" w:rsidP="0092501F">
      <w:pPr>
        <w:spacing w:after="0" w:line="22" w:lineRule="atLeast"/>
        <w:jc w:val="both"/>
        <w:rPr>
          <w:rFonts w:ascii="Verdana" w:hAnsi="Verdana"/>
        </w:rPr>
      </w:pPr>
    </w:p>
    <w:p w:rsidR="009F36CD" w:rsidRDefault="009F36CD" w:rsidP="0092501F">
      <w:pPr>
        <w:spacing w:after="0" w:line="22" w:lineRule="atLeast"/>
        <w:jc w:val="both"/>
        <w:rPr>
          <w:rFonts w:ascii="Verdana" w:hAnsi="Verdana"/>
        </w:rPr>
      </w:pPr>
      <w:r w:rsidRPr="005E0B1F">
        <w:rPr>
          <w:rFonts w:ascii="Verdana" w:hAnsi="Verdana"/>
        </w:rPr>
        <w:t>Deze wetswijzigingen zijn op 01 januari 2015 in werking getreden</w:t>
      </w:r>
      <w:r w:rsidRPr="005E0B1F">
        <w:rPr>
          <w:rStyle w:val="Voetnootmarkering"/>
          <w:rFonts w:ascii="Verdana" w:hAnsi="Verdana"/>
        </w:rPr>
        <w:footnoteReference w:id="48"/>
      </w:r>
      <w:r w:rsidRPr="005E0B1F">
        <w:rPr>
          <w:rFonts w:ascii="Verdana" w:hAnsi="Verdana"/>
        </w:rPr>
        <w:t>.</w:t>
      </w:r>
    </w:p>
    <w:p w:rsidR="005E0B1F" w:rsidRDefault="005E0B1F" w:rsidP="0092501F">
      <w:pPr>
        <w:spacing w:after="0" w:line="22" w:lineRule="atLeast"/>
        <w:jc w:val="both"/>
        <w:rPr>
          <w:rFonts w:ascii="Verdana" w:hAnsi="Verdana"/>
        </w:rPr>
      </w:pPr>
    </w:p>
    <w:p w:rsidR="005E0B1F" w:rsidRPr="005E0B1F" w:rsidRDefault="005E0B1F" w:rsidP="0092501F">
      <w:pPr>
        <w:spacing w:after="0" w:line="22" w:lineRule="atLeast"/>
        <w:jc w:val="both"/>
        <w:rPr>
          <w:rFonts w:ascii="Verdana" w:hAnsi="Verdana"/>
        </w:rPr>
      </w:pPr>
    </w:p>
    <w:p w:rsidR="004B2859" w:rsidRPr="00922BA5" w:rsidRDefault="00401948" w:rsidP="0092501F">
      <w:pPr>
        <w:pStyle w:val="Kop2"/>
        <w:spacing w:before="0" w:line="22" w:lineRule="atLeast"/>
        <w:rPr>
          <w:rFonts w:ascii="Verdana" w:hAnsi="Verdana"/>
        </w:rPr>
      </w:pPr>
      <w:bookmarkStart w:id="27" w:name="_Toc451894993"/>
      <w:r w:rsidRPr="00922BA5">
        <w:rPr>
          <w:rFonts w:ascii="Verdana" w:hAnsi="Verdana"/>
        </w:rPr>
        <w:t>3</w:t>
      </w:r>
      <w:r w:rsidR="00922BA5">
        <w:rPr>
          <w:rFonts w:ascii="Verdana" w:hAnsi="Verdana"/>
        </w:rPr>
        <w:t>.</w:t>
      </w:r>
      <w:r w:rsidR="004B2859" w:rsidRPr="00922BA5">
        <w:rPr>
          <w:rFonts w:ascii="Verdana" w:hAnsi="Verdana"/>
        </w:rPr>
        <w:t>3 Het belang van het beroepsgeheim en verschoningsrecht</w:t>
      </w:r>
      <w:bookmarkEnd w:id="27"/>
    </w:p>
    <w:p w:rsidR="00CE6D04" w:rsidRPr="005E0B1F" w:rsidRDefault="00CE6D04" w:rsidP="0092501F">
      <w:pPr>
        <w:spacing w:after="0" w:line="22" w:lineRule="atLeast"/>
        <w:jc w:val="both"/>
        <w:rPr>
          <w:rFonts w:ascii="Verdana" w:hAnsi="Verdana"/>
        </w:rPr>
      </w:pPr>
      <w:r w:rsidRPr="005E0B1F">
        <w:rPr>
          <w:rFonts w:ascii="Verdana" w:hAnsi="Verdana"/>
        </w:rPr>
        <w:t>Het beroepsgeheim dient zowel een collectief</w:t>
      </w:r>
      <w:r w:rsidR="00AC5148" w:rsidRPr="005E0B1F">
        <w:rPr>
          <w:rFonts w:ascii="Verdana" w:hAnsi="Verdana"/>
        </w:rPr>
        <w:t>-</w:t>
      </w:r>
      <w:r w:rsidRPr="005E0B1F">
        <w:rPr>
          <w:rFonts w:ascii="Verdana" w:hAnsi="Verdana"/>
        </w:rPr>
        <w:t xml:space="preserve"> als een individueel belang. Het individuele belang ziet op de</w:t>
      </w:r>
      <w:r w:rsidR="00800F77" w:rsidRPr="005E0B1F">
        <w:rPr>
          <w:rFonts w:ascii="Verdana" w:hAnsi="Verdana"/>
        </w:rPr>
        <w:t xml:space="preserve"> bescherming van de</w:t>
      </w:r>
      <w:r w:rsidRPr="005E0B1F">
        <w:rPr>
          <w:rFonts w:ascii="Verdana" w:hAnsi="Verdana"/>
        </w:rPr>
        <w:t xml:space="preserve"> privacy van de cliënt/patiënt. Het recht op privacy is een zeer ruim begrip maar ook een groot goed. Dat het </w:t>
      </w:r>
      <w:r w:rsidRPr="005E0B1F">
        <w:rPr>
          <w:rFonts w:ascii="Verdana" w:hAnsi="Verdana"/>
        </w:rPr>
        <w:lastRenderedPageBreak/>
        <w:t>van groot belang is, wordt onderstreept door het feit dat het recht op privacy op veel plaatsen in de wet is opgenomen. Het recht op privacy is zowel nationaal als internationaal vastgelegd; denk aan artikel 8 EVRM, artikel 17 IVBPR en de artikelen 10, 11, 12 en 13 van de Grondwet. Het recht op privacy is echter niet absoluut. In artikel 8 lid 2 EVRM is te lezen dat inbreuk op het recht op privacy mogelijk is</w:t>
      </w:r>
      <w:r w:rsidR="00C51202">
        <w:rPr>
          <w:rFonts w:ascii="Verdana" w:hAnsi="Verdana"/>
        </w:rPr>
        <w:t>,</w:t>
      </w:r>
      <w:r w:rsidRPr="005E0B1F">
        <w:rPr>
          <w:rFonts w:ascii="Verdana" w:hAnsi="Verdana"/>
        </w:rPr>
        <w:t xml:space="preserve"> indien de inbreuk bij wet is voorzien en noodzakelijk is in </w:t>
      </w:r>
      <w:r w:rsidR="00C51202">
        <w:rPr>
          <w:rFonts w:ascii="Verdana" w:hAnsi="Verdana"/>
        </w:rPr>
        <w:t>e</w:t>
      </w:r>
      <w:r w:rsidRPr="005E0B1F">
        <w:rPr>
          <w:rFonts w:ascii="Verdana" w:hAnsi="Verdana"/>
        </w:rPr>
        <w:t>en democratische samenleving ter voorkoming van wanordelijkheden en strafbare feiten, voor de bescherming van de gezondheid van anderen en de rechten en vrijheden van anderen. Inbreuk op grondwettelijke privacy bepalingen is ook</w:t>
      </w:r>
      <w:r w:rsidR="00DA3259">
        <w:rPr>
          <w:rFonts w:ascii="Verdana" w:hAnsi="Verdana"/>
        </w:rPr>
        <w:t xml:space="preserve"> enkel mogelijk indien dit bij</w:t>
      </w:r>
      <w:r w:rsidRPr="005E0B1F">
        <w:rPr>
          <w:rFonts w:ascii="Verdana" w:hAnsi="Verdana"/>
        </w:rPr>
        <w:t xml:space="preserve"> wet is voorzien</w:t>
      </w:r>
      <w:r w:rsidRPr="005E0B1F">
        <w:rPr>
          <w:rStyle w:val="Voetnootmarkering"/>
          <w:rFonts w:ascii="Verdana" w:hAnsi="Verdana"/>
        </w:rPr>
        <w:footnoteReference w:id="49"/>
      </w:r>
      <w:r w:rsidRPr="005E0B1F">
        <w:rPr>
          <w:rFonts w:ascii="Verdana" w:hAnsi="Verdana"/>
        </w:rPr>
        <w:t xml:space="preserve">. Behalve deze wettelijke bepalingen, is er ook nog de mogelijkheid dat de </w:t>
      </w:r>
      <w:r w:rsidR="00800F77" w:rsidRPr="005E0B1F">
        <w:rPr>
          <w:rFonts w:ascii="Verdana" w:hAnsi="Verdana"/>
        </w:rPr>
        <w:t>cliënt/</w:t>
      </w:r>
      <w:r w:rsidRPr="005E0B1F">
        <w:rPr>
          <w:rFonts w:ascii="Verdana" w:hAnsi="Verdana"/>
        </w:rPr>
        <w:t>patiënt zelf toestemming geeft voor het doorbreken van de privacy. Hierbij moet de beroepsbeoefenaar wel opletten, want ook al is er toestemming van de cliënt</w:t>
      </w:r>
      <w:r w:rsidR="00800F77" w:rsidRPr="005E0B1F">
        <w:rPr>
          <w:rFonts w:ascii="Verdana" w:hAnsi="Verdana"/>
        </w:rPr>
        <w:t>/patiënt</w:t>
      </w:r>
      <w:r w:rsidRPr="005E0B1F">
        <w:rPr>
          <w:rFonts w:ascii="Verdana" w:hAnsi="Verdana"/>
        </w:rPr>
        <w:t xml:space="preserve">, hij </w:t>
      </w:r>
      <w:r w:rsidR="00AC5148" w:rsidRPr="005E0B1F">
        <w:rPr>
          <w:rFonts w:ascii="Verdana" w:hAnsi="Verdana"/>
        </w:rPr>
        <w:t>draagt</w:t>
      </w:r>
      <w:r w:rsidRPr="005E0B1F">
        <w:rPr>
          <w:rFonts w:ascii="Verdana" w:hAnsi="Verdana"/>
        </w:rPr>
        <w:t xml:space="preserve"> altijd nog de verantwoordelijkheid om te controleren of de </w:t>
      </w:r>
      <w:r w:rsidR="00800F77" w:rsidRPr="005E0B1F">
        <w:rPr>
          <w:rFonts w:ascii="Verdana" w:hAnsi="Verdana"/>
        </w:rPr>
        <w:t>cliënt/</w:t>
      </w:r>
      <w:r w:rsidRPr="005E0B1F">
        <w:rPr>
          <w:rFonts w:ascii="Verdana" w:hAnsi="Verdana"/>
        </w:rPr>
        <w:t>patiënt</w:t>
      </w:r>
      <w:r w:rsidR="005B5B30">
        <w:rPr>
          <w:rFonts w:ascii="Verdana" w:hAnsi="Verdana"/>
        </w:rPr>
        <w:t> </w:t>
      </w:r>
      <w:r w:rsidRPr="005E0B1F">
        <w:rPr>
          <w:rFonts w:ascii="Verdana" w:hAnsi="Verdana"/>
        </w:rPr>
        <w:t>de gevolgen kan overzien van zijn besluit</w:t>
      </w:r>
      <w:r w:rsidRPr="005E0B1F">
        <w:rPr>
          <w:rStyle w:val="Voetnootmarkering"/>
          <w:rFonts w:ascii="Verdana" w:hAnsi="Verdana"/>
        </w:rPr>
        <w:footnoteReference w:id="50"/>
      </w:r>
      <w:r w:rsidRPr="005E0B1F">
        <w:rPr>
          <w:rFonts w:ascii="Verdana" w:hAnsi="Verdana"/>
        </w:rPr>
        <w:t xml:space="preserve">. </w:t>
      </w:r>
    </w:p>
    <w:p w:rsidR="00CE6D04" w:rsidRPr="005E0B1F" w:rsidRDefault="00CE6D04" w:rsidP="0092501F">
      <w:pPr>
        <w:spacing w:after="0" w:line="22" w:lineRule="atLeast"/>
        <w:jc w:val="both"/>
        <w:rPr>
          <w:rFonts w:ascii="Verdana" w:hAnsi="Verdana"/>
        </w:rPr>
      </w:pPr>
    </w:p>
    <w:p w:rsidR="009725C1" w:rsidRPr="005E0B1F" w:rsidRDefault="00CE6D04" w:rsidP="0092501F">
      <w:pPr>
        <w:spacing w:after="0" w:line="22" w:lineRule="atLeast"/>
        <w:jc w:val="both"/>
        <w:rPr>
          <w:rFonts w:ascii="Verdana" w:hAnsi="Verdana"/>
        </w:rPr>
      </w:pPr>
      <w:r w:rsidRPr="005E0B1F">
        <w:rPr>
          <w:rFonts w:ascii="Verdana" w:hAnsi="Verdana"/>
        </w:rPr>
        <w:t>Daarnaast</w:t>
      </w:r>
      <w:r w:rsidR="00800F77" w:rsidRPr="005E0B1F">
        <w:rPr>
          <w:rFonts w:ascii="Verdana" w:hAnsi="Verdana"/>
        </w:rPr>
        <w:t xml:space="preserve"> i</w:t>
      </w:r>
      <w:r w:rsidR="00E93537">
        <w:rPr>
          <w:rFonts w:ascii="Verdana" w:hAnsi="Verdana"/>
        </w:rPr>
        <w:t>s er het collectief belang, dit</w:t>
      </w:r>
      <w:r w:rsidRPr="005E0B1F">
        <w:rPr>
          <w:rFonts w:ascii="Verdana" w:hAnsi="Verdana"/>
        </w:rPr>
        <w:t xml:space="preserve"> geeft een ieder de garantie dat hij een beroepsbeoefenaar kan raadplegen zonder dat de persoon in kwestie bang hoeft te zijn dat deze beroepsbeoefenaar de informatie, die de cliënt/patiënt in vertrouwen heeft verschaft, met een derde zal delen. Door deze garanties wordt de toegankelijkheid van deze beroepsbeoefenaren voor iedereen gegarandeerd</w:t>
      </w:r>
      <w:r w:rsidRPr="005E0B1F">
        <w:rPr>
          <w:rStyle w:val="Voetnootmarkering"/>
          <w:rFonts w:ascii="Verdana" w:hAnsi="Verdana"/>
        </w:rPr>
        <w:footnoteReference w:id="51"/>
      </w:r>
      <w:r w:rsidR="00800F77" w:rsidRPr="005E0B1F">
        <w:rPr>
          <w:rFonts w:ascii="Verdana" w:hAnsi="Verdana"/>
        </w:rPr>
        <w:t xml:space="preserve">. </w:t>
      </w:r>
    </w:p>
    <w:p w:rsidR="009725C1" w:rsidRPr="005E0B1F" w:rsidRDefault="009725C1" w:rsidP="0092501F">
      <w:pPr>
        <w:spacing w:after="0" w:line="22" w:lineRule="atLeast"/>
        <w:jc w:val="both"/>
        <w:rPr>
          <w:rFonts w:ascii="Verdana" w:hAnsi="Verdana"/>
        </w:rPr>
      </w:pPr>
    </w:p>
    <w:p w:rsidR="00290929" w:rsidRPr="005E0B1F" w:rsidRDefault="009725C1" w:rsidP="0092501F">
      <w:pPr>
        <w:spacing w:after="0" w:line="22" w:lineRule="atLeast"/>
        <w:jc w:val="both"/>
        <w:rPr>
          <w:rFonts w:ascii="Verdana" w:hAnsi="Verdana"/>
        </w:rPr>
      </w:pPr>
      <w:r w:rsidRPr="005E0B1F">
        <w:rPr>
          <w:rFonts w:ascii="Verdana" w:hAnsi="Verdana"/>
        </w:rPr>
        <w:t xml:space="preserve">Bij alle drie de beroepsgroepen is het beroepsgeheim en verschoningsrecht in beweging. Onder andere het Openbaar Ministerie </w:t>
      </w:r>
      <w:r w:rsidR="00C51202">
        <w:rPr>
          <w:rFonts w:ascii="Verdana" w:hAnsi="Verdana"/>
        </w:rPr>
        <w:t>zou graag een versoepeling zien</w:t>
      </w:r>
      <w:r w:rsidRPr="005E0B1F">
        <w:rPr>
          <w:rFonts w:ascii="Verdana" w:hAnsi="Verdana"/>
        </w:rPr>
        <w:t xml:space="preserve"> van het beroepsgeheim en </w:t>
      </w:r>
      <w:r w:rsidR="002321D9" w:rsidRPr="005E0B1F">
        <w:rPr>
          <w:rFonts w:ascii="Verdana" w:hAnsi="Verdana"/>
        </w:rPr>
        <w:t xml:space="preserve">het </w:t>
      </w:r>
      <w:r w:rsidRPr="005E0B1F">
        <w:rPr>
          <w:rFonts w:ascii="Verdana" w:hAnsi="Verdana"/>
        </w:rPr>
        <w:t>verschoningsrecht. Maar ook vanuit de maatschappij komt af en toe de roep om het beroepsgeheim en verschonings</w:t>
      </w:r>
      <w:r w:rsidR="005E0B1F">
        <w:rPr>
          <w:rFonts w:ascii="Verdana" w:hAnsi="Verdana"/>
        </w:rPr>
        <w:t>-</w:t>
      </w:r>
      <w:r w:rsidRPr="005E0B1F">
        <w:rPr>
          <w:rFonts w:ascii="Verdana" w:hAnsi="Verdana"/>
        </w:rPr>
        <w:t>recht te versoepelen. Deze roep speelt vooral op na ernstige veiligheids</w:t>
      </w:r>
      <w:r w:rsidR="005E0B1F">
        <w:rPr>
          <w:rFonts w:ascii="Verdana" w:hAnsi="Verdana"/>
        </w:rPr>
        <w:t>-</w:t>
      </w:r>
      <w:r w:rsidRPr="005E0B1F">
        <w:rPr>
          <w:rFonts w:ascii="Verdana" w:hAnsi="Verdana"/>
        </w:rPr>
        <w:t>incidenten, waarbij te denken valt aan de aanslag in Apeldoorn op Koninginnedag 2010, het schietincident in Alphen aan de Rijn in 2011 en de eerder aangehaalde zelfmoord van de copiloot van Germanwings in 2015 waarbij hij een vliegtui</w:t>
      </w:r>
      <w:r w:rsidR="00C51202">
        <w:rPr>
          <w:rFonts w:ascii="Verdana" w:hAnsi="Verdana"/>
        </w:rPr>
        <w:t>g vol passagiers</w:t>
      </w:r>
      <w:r w:rsidR="00E93537">
        <w:rPr>
          <w:rFonts w:ascii="Verdana" w:hAnsi="Verdana"/>
        </w:rPr>
        <w:t xml:space="preserve"> de dood</w:t>
      </w:r>
      <w:r w:rsidR="00C51202">
        <w:rPr>
          <w:rFonts w:ascii="Verdana" w:hAnsi="Verdana"/>
        </w:rPr>
        <w:t xml:space="preserve"> mee in</w:t>
      </w:r>
      <w:r w:rsidR="00310FF9">
        <w:rPr>
          <w:rFonts w:ascii="Verdana" w:hAnsi="Verdana"/>
        </w:rPr>
        <w:t>nam. In eerste instantie lijkt het</w:t>
      </w:r>
      <w:r w:rsidR="004578CF">
        <w:rPr>
          <w:rFonts w:ascii="Verdana" w:hAnsi="Verdana"/>
        </w:rPr>
        <w:t xml:space="preserve"> er op</w:t>
      </w:r>
      <w:r w:rsidR="00310FF9">
        <w:rPr>
          <w:rFonts w:ascii="Verdana" w:hAnsi="Verdana"/>
        </w:rPr>
        <w:t xml:space="preserve"> dat</w:t>
      </w:r>
      <w:r w:rsidRPr="005E0B1F">
        <w:rPr>
          <w:rFonts w:ascii="Verdana" w:hAnsi="Verdana"/>
        </w:rPr>
        <w:t xml:space="preserve"> deze inci</w:t>
      </w:r>
      <w:r w:rsidR="004578CF">
        <w:rPr>
          <w:rFonts w:ascii="Verdana" w:hAnsi="Verdana"/>
        </w:rPr>
        <w:t>-</w:t>
      </w:r>
      <w:r w:rsidRPr="005E0B1F">
        <w:rPr>
          <w:rFonts w:ascii="Verdana" w:hAnsi="Verdana"/>
        </w:rPr>
        <w:t>denten</w:t>
      </w:r>
      <w:r w:rsidR="00310FF9">
        <w:rPr>
          <w:rFonts w:ascii="Verdana" w:hAnsi="Verdana"/>
        </w:rPr>
        <w:t>te voorkomen waren</w:t>
      </w:r>
      <w:r w:rsidRPr="005E0B1F">
        <w:rPr>
          <w:rFonts w:ascii="Verdana" w:hAnsi="Verdana"/>
        </w:rPr>
        <w:t xml:space="preserve"> geweest indien de hulpverleners eerder hadden ingegrepen en</w:t>
      </w:r>
      <w:r w:rsidR="00310FF9">
        <w:rPr>
          <w:rFonts w:ascii="Verdana" w:hAnsi="Verdana"/>
        </w:rPr>
        <w:t xml:space="preserve"> zij</w:t>
      </w:r>
      <w:r w:rsidRPr="005E0B1F">
        <w:rPr>
          <w:rFonts w:ascii="Verdana" w:hAnsi="Verdana"/>
        </w:rPr>
        <w:t xml:space="preserve"> politie en justitie hadden gewaarschuwd. </w:t>
      </w:r>
      <w:r w:rsidR="00E748C8">
        <w:rPr>
          <w:rFonts w:ascii="Verdana" w:hAnsi="Verdana"/>
        </w:rPr>
        <w:t>Maar dit is niet zo zwart-</w:t>
      </w:r>
      <w:r w:rsidR="00357C3C" w:rsidRPr="005E0B1F">
        <w:rPr>
          <w:rFonts w:ascii="Verdana" w:hAnsi="Verdana"/>
        </w:rPr>
        <w:t>wit te stellen. Goed denkbaar is namelijk ook dat hulpzoekende</w:t>
      </w:r>
      <w:r w:rsidR="00290929" w:rsidRPr="005E0B1F">
        <w:rPr>
          <w:rFonts w:ascii="Verdana" w:hAnsi="Verdana"/>
        </w:rPr>
        <w:t>n</w:t>
      </w:r>
      <w:r w:rsidR="00357C3C" w:rsidRPr="005E0B1F">
        <w:rPr>
          <w:rFonts w:ascii="Verdana" w:hAnsi="Verdana"/>
        </w:rPr>
        <w:t xml:space="preserve"> niet meer </w:t>
      </w:r>
      <w:r w:rsidR="00310FF9">
        <w:rPr>
          <w:rFonts w:ascii="Verdana" w:hAnsi="Verdana"/>
        </w:rPr>
        <w:t>naar hulpverleners toe durven stappen omdat zij</w:t>
      </w:r>
      <w:r w:rsidR="00E748C8">
        <w:rPr>
          <w:rFonts w:ascii="Verdana" w:hAnsi="Verdana"/>
        </w:rPr>
        <w:t> </w:t>
      </w:r>
      <w:r w:rsidR="00357C3C" w:rsidRPr="005E0B1F">
        <w:rPr>
          <w:rFonts w:ascii="Verdana" w:hAnsi="Verdana"/>
        </w:rPr>
        <w:t xml:space="preserve">bang zijn dat </w:t>
      </w:r>
      <w:r w:rsidR="00290929" w:rsidRPr="005E0B1F">
        <w:rPr>
          <w:rFonts w:ascii="Verdana" w:hAnsi="Verdana"/>
        </w:rPr>
        <w:t>gevoelige informatie van hen op straat komt te liggen. Door deze vrees kunnen hulpzoe</w:t>
      </w:r>
      <w:r w:rsidR="004C54C0">
        <w:rPr>
          <w:rFonts w:ascii="Verdana" w:hAnsi="Verdana"/>
        </w:rPr>
        <w:t>kenden afzien van het zoeken naar</w:t>
      </w:r>
      <w:r w:rsidR="00290929" w:rsidRPr="005E0B1F">
        <w:rPr>
          <w:rFonts w:ascii="Verdana" w:hAnsi="Verdana"/>
        </w:rPr>
        <w:t xml:space="preserve"> hulp. Dit heeft tot gevolg dat de problematiek van deze hulpzoekenden onbekend blijft en dat de problematiek alleen maar vererger</w:t>
      </w:r>
      <w:r w:rsidR="00827E8D">
        <w:rPr>
          <w:rFonts w:ascii="Verdana" w:hAnsi="Verdana"/>
        </w:rPr>
        <w:t>t</w:t>
      </w:r>
      <w:r w:rsidR="00290929" w:rsidRPr="005E0B1F">
        <w:rPr>
          <w:rFonts w:ascii="Verdana" w:hAnsi="Verdana"/>
        </w:rPr>
        <w:t xml:space="preserve"> omdat deze onbehandeld blijft. Dit zou dus alleen ma</w:t>
      </w:r>
      <w:r w:rsidR="004C54C0">
        <w:rPr>
          <w:rFonts w:ascii="Verdana" w:hAnsi="Verdana"/>
        </w:rPr>
        <w:t>ar een grotere bedreiging vormen</w:t>
      </w:r>
      <w:r w:rsidR="00290929" w:rsidRPr="005E0B1F">
        <w:rPr>
          <w:rFonts w:ascii="Verdana" w:hAnsi="Verdana"/>
        </w:rPr>
        <w:t xml:space="preserve"> voor de veiligheid</w:t>
      </w:r>
      <w:r w:rsidR="00290929" w:rsidRPr="005E0B1F">
        <w:rPr>
          <w:rStyle w:val="Voetnootmarkering"/>
          <w:rFonts w:ascii="Verdana" w:hAnsi="Verdana"/>
        </w:rPr>
        <w:footnoteReference w:id="52"/>
      </w:r>
      <w:r w:rsidR="00290929" w:rsidRPr="005E0B1F">
        <w:rPr>
          <w:rFonts w:ascii="Verdana" w:hAnsi="Verdana"/>
        </w:rPr>
        <w:t xml:space="preserve">.   </w:t>
      </w:r>
    </w:p>
    <w:p w:rsidR="00290929" w:rsidRPr="005E0B1F" w:rsidRDefault="00290929" w:rsidP="0092501F">
      <w:pPr>
        <w:spacing w:after="0" w:line="22" w:lineRule="atLeast"/>
        <w:jc w:val="both"/>
        <w:rPr>
          <w:rFonts w:ascii="Verdana" w:hAnsi="Verdana"/>
        </w:rPr>
      </w:pPr>
    </w:p>
    <w:p w:rsidR="00960FD3" w:rsidRPr="005E0B1F" w:rsidRDefault="003E18E2" w:rsidP="0092501F">
      <w:pPr>
        <w:spacing w:after="0" w:line="22" w:lineRule="atLeast"/>
        <w:jc w:val="both"/>
        <w:rPr>
          <w:rFonts w:ascii="Verdana" w:hAnsi="Verdana"/>
        </w:rPr>
      </w:pPr>
      <w:r w:rsidRPr="005E0B1F">
        <w:rPr>
          <w:rFonts w:ascii="Verdana" w:hAnsi="Verdana"/>
        </w:rPr>
        <w:t>In een aantal beroepsgroepen leidt de geheimhoudingsplicht tot een verscho</w:t>
      </w:r>
      <w:r w:rsidR="00310FF9">
        <w:rPr>
          <w:rFonts w:ascii="Verdana" w:hAnsi="Verdana"/>
        </w:rPr>
        <w:t>-</w:t>
      </w:r>
      <w:r w:rsidRPr="005E0B1F">
        <w:rPr>
          <w:rFonts w:ascii="Verdana" w:hAnsi="Verdana"/>
        </w:rPr>
        <w:t>ningsrec</w:t>
      </w:r>
      <w:r w:rsidR="00310FF9">
        <w:rPr>
          <w:rFonts w:ascii="Verdana" w:hAnsi="Verdana"/>
        </w:rPr>
        <w:t>ht. Dit is in de gevallen dat</w:t>
      </w:r>
      <w:r w:rsidRPr="005E0B1F">
        <w:rPr>
          <w:rFonts w:ascii="Verdana" w:hAnsi="Verdana"/>
        </w:rPr>
        <w:t xml:space="preserve"> vrije toegang tot bepaalde beroepsgroepen van zeer groot maatschappelijk belang wordt geacht. In die gevallen is er een verschoningsrecht gekoppeld aan de geheimhoudingsplicht</w:t>
      </w:r>
      <w:r w:rsidRPr="005E0B1F">
        <w:rPr>
          <w:rStyle w:val="Voetnootmarkering"/>
          <w:rFonts w:ascii="Verdana" w:hAnsi="Verdana"/>
        </w:rPr>
        <w:footnoteReference w:id="53"/>
      </w:r>
      <w:r w:rsidR="00AC5148" w:rsidRPr="005E0B1F">
        <w:rPr>
          <w:rFonts w:ascii="Verdana" w:hAnsi="Verdana"/>
        </w:rPr>
        <w:t>. Zoals eerder aangegeven is</w:t>
      </w:r>
      <w:r w:rsidRPr="005E0B1F">
        <w:rPr>
          <w:rFonts w:ascii="Verdana" w:hAnsi="Verdana"/>
        </w:rPr>
        <w:t xml:space="preserve"> door de Hoge Raad aan onder andere advocaten, notarissen en medici een verschoningsrecht toegekend</w:t>
      </w:r>
      <w:r w:rsidRPr="005E0B1F">
        <w:rPr>
          <w:rStyle w:val="Voetnootmarkering"/>
          <w:rFonts w:ascii="Verdana" w:hAnsi="Verdana"/>
        </w:rPr>
        <w:footnoteReference w:id="54"/>
      </w:r>
      <w:r w:rsidRPr="005E0B1F">
        <w:rPr>
          <w:rFonts w:ascii="Verdana" w:hAnsi="Verdana"/>
        </w:rPr>
        <w:t xml:space="preserve">. </w:t>
      </w:r>
    </w:p>
    <w:p w:rsidR="007B2208" w:rsidRPr="005E0B1F" w:rsidRDefault="007B2208" w:rsidP="0092501F">
      <w:pPr>
        <w:spacing w:after="0" w:line="22" w:lineRule="atLeast"/>
        <w:jc w:val="both"/>
        <w:rPr>
          <w:rFonts w:ascii="Verdana" w:hAnsi="Verdana"/>
        </w:rPr>
      </w:pPr>
    </w:p>
    <w:p w:rsidR="007B2208" w:rsidRPr="005E0B1F" w:rsidRDefault="007C59BD" w:rsidP="0092501F">
      <w:pPr>
        <w:spacing w:after="0" w:line="22" w:lineRule="atLeast"/>
        <w:jc w:val="both"/>
        <w:rPr>
          <w:rFonts w:ascii="Verdana" w:hAnsi="Verdana"/>
          <w:color w:val="548DD4" w:themeColor="text2" w:themeTint="99"/>
        </w:rPr>
      </w:pPr>
      <w:r w:rsidRPr="005E0B1F">
        <w:rPr>
          <w:rFonts w:ascii="Verdana" w:hAnsi="Verdana"/>
        </w:rPr>
        <w:t>Bij artsen is de geheimhoudingsplicht</w:t>
      </w:r>
      <w:r w:rsidR="00A40659" w:rsidRPr="005E0B1F">
        <w:rPr>
          <w:rFonts w:ascii="Verdana" w:hAnsi="Verdana"/>
        </w:rPr>
        <w:t xml:space="preserve"> en het verschoningsrecht </w:t>
      </w:r>
      <w:r w:rsidRPr="005E0B1F">
        <w:rPr>
          <w:rFonts w:ascii="Verdana" w:hAnsi="Verdana"/>
        </w:rPr>
        <w:t>van funda</w:t>
      </w:r>
      <w:r w:rsidR="00D47D4E">
        <w:rPr>
          <w:rFonts w:ascii="Verdana" w:hAnsi="Verdana"/>
        </w:rPr>
        <w:t>-</w:t>
      </w:r>
      <w:r w:rsidRPr="005E0B1F">
        <w:rPr>
          <w:rFonts w:ascii="Verdana" w:hAnsi="Verdana"/>
        </w:rPr>
        <w:t>menteel belang omdat iedere Nederlander recht heeft op zorg</w:t>
      </w:r>
      <w:r w:rsidRPr="005E0B1F">
        <w:rPr>
          <w:rStyle w:val="Voetnootmarkering"/>
          <w:rFonts w:ascii="Verdana" w:hAnsi="Verdana"/>
        </w:rPr>
        <w:footnoteReference w:id="55"/>
      </w:r>
      <w:r w:rsidRPr="005E0B1F">
        <w:rPr>
          <w:rFonts w:ascii="Verdana" w:hAnsi="Verdana"/>
        </w:rPr>
        <w:t>. Een ieder heeft het recht op medische zorg indien nodig. Wanneer er geen geheimhoudingsplicht en verschoningsrecht zou bestaan, zou</w:t>
      </w:r>
      <w:r w:rsidR="00916101" w:rsidRPr="005E0B1F">
        <w:rPr>
          <w:rFonts w:ascii="Verdana" w:hAnsi="Verdana"/>
        </w:rPr>
        <w:t xml:space="preserve"> wellicht</w:t>
      </w:r>
      <w:r w:rsidRPr="005E0B1F">
        <w:rPr>
          <w:rFonts w:ascii="Verdana" w:hAnsi="Verdana"/>
        </w:rPr>
        <w:t xml:space="preserve"> een deel van de patiënten </w:t>
      </w:r>
      <w:r w:rsidR="00916101" w:rsidRPr="005E0B1F">
        <w:rPr>
          <w:rFonts w:ascii="Verdana" w:hAnsi="Verdana"/>
        </w:rPr>
        <w:t xml:space="preserve">kunnen </w:t>
      </w:r>
      <w:r w:rsidRPr="005E0B1F">
        <w:rPr>
          <w:rFonts w:ascii="Verdana" w:hAnsi="Verdana"/>
        </w:rPr>
        <w:t>worden uitgesloten van zorg. Denk bijvoorbeeld aan twee criminelen die in een schietpartij zijn beland en beide</w:t>
      </w:r>
      <w:r w:rsidR="00437E5E">
        <w:rPr>
          <w:rFonts w:ascii="Verdana" w:hAnsi="Verdana"/>
        </w:rPr>
        <w:t>n</w:t>
      </w:r>
      <w:r w:rsidRPr="005E0B1F">
        <w:rPr>
          <w:rFonts w:ascii="Verdana" w:hAnsi="Verdana"/>
        </w:rPr>
        <w:t xml:space="preserve"> geraakt worden door kogels. Indien er geen geheimhoudingsplicht en verschoningsrecht bestonden, zouden zij misschien niet na</w:t>
      </w:r>
      <w:r w:rsidR="007031D6">
        <w:rPr>
          <w:rFonts w:ascii="Verdana" w:hAnsi="Verdana"/>
        </w:rPr>
        <w:t>ar het ziekenhuis durven gaan</w:t>
      </w:r>
      <w:r w:rsidRPr="005E0B1F">
        <w:rPr>
          <w:rFonts w:ascii="Verdana" w:hAnsi="Verdana"/>
        </w:rPr>
        <w:t xml:space="preserve"> omdat ze dan bang zijn dat er informatie over een schietpartij terecht komt bij de politie.</w:t>
      </w:r>
      <w:r w:rsidR="00D23DB9" w:rsidRPr="005E0B1F">
        <w:rPr>
          <w:rFonts w:ascii="Verdana" w:hAnsi="Verdana"/>
        </w:rPr>
        <w:t xml:space="preserve"> Zij zouden dan onthouden worden van hun recht op zorg.</w:t>
      </w:r>
    </w:p>
    <w:p w:rsidR="007B2208" w:rsidRPr="005E0B1F" w:rsidRDefault="007B2208" w:rsidP="0092501F">
      <w:pPr>
        <w:spacing w:after="0" w:line="22" w:lineRule="atLeast"/>
        <w:jc w:val="both"/>
        <w:rPr>
          <w:rFonts w:ascii="Verdana" w:hAnsi="Verdana"/>
        </w:rPr>
      </w:pPr>
    </w:p>
    <w:p w:rsidR="007B2208" w:rsidRPr="005E0B1F" w:rsidRDefault="007B2208" w:rsidP="0092501F">
      <w:pPr>
        <w:spacing w:after="0" w:line="22" w:lineRule="atLeast"/>
        <w:jc w:val="both"/>
        <w:rPr>
          <w:rFonts w:ascii="Verdana" w:hAnsi="Verdana"/>
        </w:rPr>
      </w:pPr>
      <w:r w:rsidRPr="005E0B1F">
        <w:rPr>
          <w:rFonts w:ascii="Verdana" w:hAnsi="Verdana"/>
        </w:rPr>
        <w:t>Bij notarissen is de geheimhoudingsplicht</w:t>
      </w:r>
      <w:r w:rsidR="00A40659" w:rsidRPr="005E0B1F">
        <w:rPr>
          <w:rFonts w:ascii="Verdana" w:hAnsi="Verdana"/>
        </w:rPr>
        <w:t xml:space="preserve"> en het verschoningsrecht</w:t>
      </w:r>
      <w:r w:rsidRPr="005E0B1F">
        <w:rPr>
          <w:rFonts w:ascii="Verdana" w:hAnsi="Verdana"/>
        </w:rPr>
        <w:t xml:space="preserve"> van funda</w:t>
      </w:r>
      <w:r w:rsidR="005E0B1F">
        <w:rPr>
          <w:rFonts w:ascii="Verdana" w:hAnsi="Verdana"/>
        </w:rPr>
        <w:t>-</w:t>
      </w:r>
      <w:r w:rsidRPr="005E0B1F">
        <w:rPr>
          <w:rFonts w:ascii="Verdana" w:hAnsi="Verdana"/>
        </w:rPr>
        <w:t xml:space="preserve">menteel belang omdat voor een aantal (privaatrechtelijke-)rechtshandelingen de notaris moet worden ingeschakeld, wil de rechtshandeling rechtsgeldig zijn. Denk bijvoorbeeld aan huwelijkse voorwaarden, een testament, een koopakte en de oprichting van een rechtspersoon. Omdat de gang naar een notaris in sommige gevallen verplicht is, is een goede vertrouwensrelatie tussen cliënt en notaris van groot belang. Openheid van zaken door de cliënt is voor een notaris nodig om zijn werk goed te kunnen verrichten. Om die informatie ook te krijgen is het dus belangrijk dat een cliënt niet hoeft te vrezen dat zijn gegevens openbaar worden gemaakt. </w:t>
      </w:r>
    </w:p>
    <w:p w:rsidR="007B2208" w:rsidRPr="005E0B1F" w:rsidRDefault="007B2208" w:rsidP="0092501F">
      <w:pPr>
        <w:spacing w:after="0" w:line="22" w:lineRule="atLeast"/>
        <w:jc w:val="both"/>
        <w:rPr>
          <w:rFonts w:ascii="Verdana" w:hAnsi="Verdana"/>
        </w:rPr>
      </w:pPr>
    </w:p>
    <w:p w:rsidR="007B2208" w:rsidRPr="005E0B1F" w:rsidRDefault="00A40659" w:rsidP="0092501F">
      <w:pPr>
        <w:spacing w:after="0" w:line="22" w:lineRule="atLeast"/>
        <w:jc w:val="both"/>
        <w:rPr>
          <w:rFonts w:ascii="Verdana" w:hAnsi="Verdana"/>
        </w:rPr>
      </w:pPr>
      <w:r w:rsidRPr="005E0B1F">
        <w:rPr>
          <w:rFonts w:ascii="Verdana" w:hAnsi="Verdana"/>
        </w:rPr>
        <w:t>Bij advocaten is de geheimhoudingsplicht en het verschoningsrecht van funda</w:t>
      </w:r>
      <w:r w:rsidR="005E0B1F">
        <w:rPr>
          <w:rFonts w:ascii="Verdana" w:hAnsi="Verdana"/>
        </w:rPr>
        <w:t>-</w:t>
      </w:r>
      <w:r w:rsidRPr="005E0B1F">
        <w:rPr>
          <w:rFonts w:ascii="Verdana" w:hAnsi="Verdana"/>
        </w:rPr>
        <w:t xml:space="preserve">menteel belang omdat een ieder recht heeft op </w:t>
      </w:r>
      <w:r w:rsidRPr="005E0B1F">
        <w:rPr>
          <w:rFonts w:ascii="Verdana" w:hAnsi="Verdana"/>
          <w:i/>
        </w:rPr>
        <w:t>fair trial</w:t>
      </w:r>
      <w:r w:rsidRPr="005E0B1F">
        <w:rPr>
          <w:rStyle w:val="Voetnootmarkering"/>
          <w:rFonts w:ascii="Verdana" w:hAnsi="Verdana"/>
          <w:i/>
        </w:rPr>
        <w:footnoteReference w:id="56"/>
      </w:r>
      <w:r w:rsidRPr="005E0B1F">
        <w:rPr>
          <w:rFonts w:ascii="Verdana" w:hAnsi="Verdana"/>
        </w:rPr>
        <w:t>.</w:t>
      </w:r>
      <w:r w:rsidR="00FE2DE9">
        <w:rPr>
          <w:rFonts w:ascii="Verdana" w:hAnsi="Verdana"/>
        </w:rPr>
        <w:t> </w:t>
      </w:r>
      <w:r w:rsidR="00BA5280" w:rsidRPr="005E0B1F">
        <w:rPr>
          <w:rFonts w:ascii="Verdana" w:hAnsi="Verdana"/>
        </w:rPr>
        <w:t>Een verdachte heeft dus recht op een advocaat en hoeft ook niet mee te werken aan zijn eigen veroordeling</w:t>
      </w:r>
      <w:r w:rsidR="005C00AC" w:rsidRPr="005E0B1F">
        <w:rPr>
          <w:rFonts w:ascii="Verdana" w:hAnsi="Verdana"/>
        </w:rPr>
        <w:t>.</w:t>
      </w:r>
      <w:r w:rsidR="00BA5280" w:rsidRPr="005E0B1F">
        <w:rPr>
          <w:rFonts w:ascii="Verdana" w:hAnsi="Verdana"/>
        </w:rPr>
        <w:t xml:space="preserve"> Stel de situatie voor dat een verdachte bij</w:t>
      </w:r>
      <w:r w:rsidR="00437E5E">
        <w:rPr>
          <w:rFonts w:ascii="Verdana" w:hAnsi="Verdana"/>
        </w:rPr>
        <w:t xml:space="preserve"> een advocaat </w:t>
      </w:r>
      <w:r w:rsidR="00310FF9">
        <w:rPr>
          <w:rFonts w:ascii="Verdana" w:hAnsi="Verdana"/>
        </w:rPr>
        <w:t>komt en deze</w:t>
      </w:r>
      <w:r w:rsidR="00437E5E">
        <w:rPr>
          <w:rFonts w:ascii="Verdana" w:hAnsi="Verdana"/>
        </w:rPr>
        <w:t xml:space="preserve"> vertelt</w:t>
      </w:r>
      <w:r w:rsidR="00BA5280" w:rsidRPr="005E0B1F">
        <w:rPr>
          <w:rFonts w:ascii="Verdana" w:hAnsi="Verdana"/>
        </w:rPr>
        <w:t xml:space="preserve"> wat hij heeft gedaan. De advocaat geeft zijn cliënt het advies om zich op zijn zwijgrecht te beroepen in het belang van de verdediging. Even later staat de politie op de stoep en neemt de advocaat mee voor verhoor. Tijdens dat verhoor wordt de advocaat gevraagd naar wat hij weet over de misstap van zijn cliënt. Indien de advocaat geen verschoningsrecht zou hebben, zou hij dus als getuige gebruikt kunnen worden tegen de verdachte. Wanneer dit het geval zou zijn, wordt het recht op </w:t>
      </w:r>
      <w:r w:rsidR="00BA5280" w:rsidRPr="005E0B1F">
        <w:rPr>
          <w:rFonts w:ascii="Verdana" w:hAnsi="Verdana"/>
          <w:i/>
        </w:rPr>
        <w:t>fair trial</w:t>
      </w:r>
      <w:r w:rsidR="00BA5280" w:rsidRPr="005E0B1F">
        <w:rPr>
          <w:rFonts w:ascii="Verdana" w:hAnsi="Verdana"/>
        </w:rPr>
        <w:t xml:space="preserve"> eigenlijk afgenomen, omdat een verdachte niet meer vrijelijk naar een advocaat kan stappen en zijn verhaal kan doen.</w:t>
      </w:r>
    </w:p>
    <w:p w:rsidR="000D376F" w:rsidRDefault="000D376F" w:rsidP="0092501F">
      <w:pPr>
        <w:spacing w:after="0" w:line="22" w:lineRule="atLeast"/>
        <w:rPr>
          <w:rFonts w:ascii="Verdana" w:hAnsi="Verdana"/>
          <w:sz w:val="24"/>
        </w:rPr>
      </w:pPr>
    </w:p>
    <w:p w:rsidR="00F749AA" w:rsidRPr="00960FD3" w:rsidRDefault="00960FD3" w:rsidP="0092501F">
      <w:pPr>
        <w:pStyle w:val="Kop2"/>
        <w:spacing w:before="0" w:line="22" w:lineRule="atLeast"/>
        <w:rPr>
          <w:rFonts w:ascii="Verdana" w:hAnsi="Verdana"/>
        </w:rPr>
      </w:pPr>
      <w:bookmarkStart w:id="28" w:name="_Toc451894994"/>
      <w:r w:rsidRPr="00960FD3">
        <w:rPr>
          <w:rFonts w:ascii="Verdana" w:hAnsi="Verdana"/>
        </w:rPr>
        <w:t>3</w:t>
      </w:r>
      <w:r w:rsidR="00F749AA" w:rsidRPr="00960FD3">
        <w:rPr>
          <w:rFonts w:ascii="Verdana" w:hAnsi="Verdana"/>
        </w:rPr>
        <w:t xml:space="preserve">.4 </w:t>
      </w:r>
      <w:r w:rsidR="00DC127E">
        <w:rPr>
          <w:rFonts w:ascii="Verdana" w:hAnsi="Verdana"/>
        </w:rPr>
        <w:t>Samenvattend</w:t>
      </w:r>
      <w:bookmarkEnd w:id="28"/>
    </w:p>
    <w:p w:rsidR="001B5E4A" w:rsidRPr="005E0B1F" w:rsidRDefault="001B5E4A" w:rsidP="0092501F">
      <w:pPr>
        <w:spacing w:after="0" w:line="22" w:lineRule="atLeast"/>
        <w:jc w:val="both"/>
        <w:rPr>
          <w:rFonts w:ascii="Verdana" w:hAnsi="Verdana"/>
        </w:rPr>
      </w:pPr>
      <w:r w:rsidRPr="005E0B1F">
        <w:rPr>
          <w:rFonts w:ascii="Verdana" w:hAnsi="Verdana"/>
        </w:rPr>
        <w:t xml:space="preserve">Het verschoningsrecht is </w:t>
      </w:r>
      <w:r w:rsidR="001E2615" w:rsidRPr="005E0B1F">
        <w:rPr>
          <w:rFonts w:ascii="Verdana" w:hAnsi="Verdana"/>
        </w:rPr>
        <w:t xml:space="preserve">een </w:t>
      </w:r>
      <w:r w:rsidRPr="005E0B1F">
        <w:rPr>
          <w:rFonts w:ascii="Verdana" w:hAnsi="Verdana"/>
        </w:rPr>
        <w:t>algemeen re</w:t>
      </w:r>
      <w:r w:rsidR="00310FF9">
        <w:rPr>
          <w:rFonts w:ascii="Verdana" w:hAnsi="Verdana"/>
        </w:rPr>
        <w:t>chtsbeginsel dat</w:t>
      </w:r>
      <w:r w:rsidRPr="005E0B1F">
        <w:rPr>
          <w:rFonts w:ascii="Verdana" w:hAnsi="Verdana"/>
        </w:rPr>
        <w:t xml:space="preserve"> een voorwaarde is voor het juist functioneren van de rechtsstaat. Het toekennen van een verschoningsrecht is tweeledig. Er </w:t>
      </w:r>
      <w:r w:rsidR="007031D6">
        <w:rPr>
          <w:rFonts w:ascii="Verdana" w:hAnsi="Verdana"/>
        </w:rPr>
        <w:t>wordt gekeken naar het beroep op zich</w:t>
      </w:r>
      <w:r w:rsidRPr="005E0B1F">
        <w:rPr>
          <w:rFonts w:ascii="Verdana" w:hAnsi="Verdana"/>
        </w:rPr>
        <w:t xml:space="preserve">; dus de kennis, de toelatingseisen, het duurzame karakter, het belang en de regels binnen de beroepsbeoefening en er wordt gekeken of een verschoningsrecht bij die beroepsgroep het maatschappelijk belang al dan niet zou dienen. Indien aan beide voorwaarden is voldaan, kan een verschoningsrecht worden toegekend aan een beroepsbeoefenaar. </w:t>
      </w:r>
    </w:p>
    <w:p w:rsidR="001B5E4A" w:rsidRPr="005E0B1F" w:rsidRDefault="001B5E4A" w:rsidP="0092501F">
      <w:pPr>
        <w:spacing w:after="0" w:line="22" w:lineRule="atLeast"/>
        <w:jc w:val="both"/>
        <w:rPr>
          <w:rFonts w:ascii="Verdana" w:hAnsi="Verdana"/>
        </w:rPr>
      </w:pPr>
    </w:p>
    <w:p w:rsidR="001B5E4A" w:rsidRDefault="008776D2" w:rsidP="0092501F">
      <w:pPr>
        <w:spacing w:after="0" w:line="22" w:lineRule="atLeast"/>
        <w:jc w:val="both"/>
        <w:rPr>
          <w:rFonts w:ascii="Verdana" w:hAnsi="Verdana"/>
        </w:rPr>
      </w:pPr>
      <w:r w:rsidRPr="005E0B1F">
        <w:rPr>
          <w:rFonts w:ascii="Verdana" w:hAnsi="Verdana"/>
        </w:rPr>
        <w:t xml:space="preserve">Het beroepsgeheim binnen de geneeskunde stamt al uit circa 400 jaar voor Christus middels de eed van Hippocrates. In 2003 is er een nieuwe, modernere, eed ingevoerd binnen de geneeskunst. Het afleggen van de eed is geen </w:t>
      </w:r>
      <w:r w:rsidRPr="005E0B1F">
        <w:rPr>
          <w:rFonts w:ascii="Verdana" w:hAnsi="Verdana"/>
        </w:rPr>
        <w:lastRenderedPageBreak/>
        <w:t xml:space="preserve">wettelijke verplichting. </w:t>
      </w:r>
      <w:r w:rsidR="00944532" w:rsidRPr="005E0B1F">
        <w:rPr>
          <w:rFonts w:ascii="Verdana" w:hAnsi="Verdana"/>
        </w:rPr>
        <w:t xml:space="preserve">De geheimhouding voor artsen staat echter wel in de wet geformuleerd. </w:t>
      </w:r>
    </w:p>
    <w:p w:rsidR="005E0B1F" w:rsidRPr="005E0B1F" w:rsidRDefault="005E0B1F" w:rsidP="0092501F">
      <w:pPr>
        <w:spacing w:after="0" w:line="22" w:lineRule="atLeast"/>
        <w:jc w:val="both"/>
        <w:rPr>
          <w:rFonts w:ascii="Verdana" w:hAnsi="Verdana"/>
        </w:rPr>
      </w:pPr>
    </w:p>
    <w:p w:rsidR="008776D2" w:rsidRDefault="00DB5EBA" w:rsidP="0092501F">
      <w:pPr>
        <w:spacing w:after="0" w:line="22" w:lineRule="atLeast"/>
        <w:jc w:val="both"/>
        <w:rPr>
          <w:rFonts w:ascii="Verdana" w:hAnsi="Verdana"/>
        </w:rPr>
      </w:pPr>
      <w:r w:rsidRPr="005E0B1F">
        <w:rPr>
          <w:rFonts w:ascii="Verdana" w:hAnsi="Verdana"/>
        </w:rPr>
        <w:t>Het verschoningsrecht voor notarissen stamt uit 1985, het werd erken</w:t>
      </w:r>
      <w:r w:rsidR="00437E5E">
        <w:rPr>
          <w:rFonts w:ascii="Verdana" w:hAnsi="Verdana"/>
        </w:rPr>
        <w:t>d</w:t>
      </w:r>
      <w:r w:rsidRPr="005E0B1F">
        <w:rPr>
          <w:rFonts w:ascii="Verdana" w:hAnsi="Verdana"/>
        </w:rPr>
        <w:t xml:space="preserve"> in het Ogem/notaris Maas-arrest. </w:t>
      </w:r>
      <w:r w:rsidR="00944532" w:rsidRPr="005E0B1F">
        <w:rPr>
          <w:rFonts w:ascii="Verdana" w:hAnsi="Verdana"/>
        </w:rPr>
        <w:t>Binnen het notariaat is de eed we</w:t>
      </w:r>
      <w:r w:rsidR="00437E5E">
        <w:rPr>
          <w:rFonts w:ascii="Verdana" w:hAnsi="Verdana"/>
        </w:rPr>
        <w:t>l verankerd in de wet, even</w:t>
      </w:r>
      <w:r w:rsidR="00944532" w:rsidRPr="005E0B1F">
        <w:rPr>
          <w:rFonts w:ascii="Verdana" w:hAnsi="Verdana"/>
        </w:rPr>
        <w:t xml:space="preserve">als de geheimhoudingsplicht. Sinds 2012 is de </w:t>
      </w:r>
      <w:r w:rsidR="00AB257D" w:rsidRPr="005E0B1F">
        <w:rPr>
          <w:rFonts w:ascii="Verdana" w:hAnsi="Verdana"/>
        </w:rPr>
        <w:t>geheimhoudingsplicht</w:t>
      </w:r>
      <w:r w:rsidR="00944532" w:rsidRPr="005E0B1F">
        <w:rPr>
          <w:rFonts w:ascii="Verdana" w:hAnsi="Verdana"/>
        </w:rPr>
        <w:t xml:space="preserve"> binnen het notariaat ingeperkt middels een wetswijziging; tegenover een aantal personen moet de notaris namelijk zijn geheimhouding doorbreken. </w:t>
      </w:r>
    </w:p>
    <w:p w:rsidR="005E0B1F" w:rsidRPr="005E0B1F" w:rsidRDefault="005E0B1F" w:rsidP="0092501F">
      <w:pPr>
        <w:spacing w:after="0" w:line="22" w:lineRule="atLeast"/>
        <w:jc w:val="both"/>
        <w:rPr>
          <w:rFonts w:ascii="Verdana" w:hAnsi="Verdana"/>
        </w:rPr>
      </w:pPr>
    </w:p>
    <w:p w:rsidR="001E2615" w:rsidRPr="005E0B1F" w:rsidRDefault="00DB5EBA" w:rsidP="0092501F">
      <w:pPr>
        <w:spacing w:after="0" w:line="22" w:lineRule="atLeast"/>
        <w:jc w:val="both"/>
        <w:rPr>
          <w:rFonts w:ascii="Verdana" w:hAnsi="Verdana"/>
        </w:rPr>
      </w:pPr>
      <w:r w:rsidRPr="005E0B1F">
        <w:rPr>
          <w:rFonts w:ascii="Verdana" w:hAnsi="Verdana"/>
        </w:rPr>
        <w:t>De advocateneed is voor het eerst gevonden in een document uit 1531. Momenteel is binnen de advocatuur</w:t>
      </w:r>
      <w:r w:rsidR="001545EC" w:rsidRPr="005E0B1F">
        <w:rPr>
          <w:rFonts w:ascii="Verdana" w:hAnsi="Verdana"/>
        </w:rPr>
        <w:t xml:space="preserve"> ook de eed en de geheimhoudingsplicht verankerd in de wet. </w:t>
      </w:r>
      <w:r w:rsidR="001052D5" w:rsidRPr="005E0B1F">
        <w:rPr>
          <w:rFonts w:ascii="Verdana" w:hAnsi="Verdana"/>
        </w:rPr>
        <w:t>Sinds 2015 is ook bij de advocatuur de geheimhouding ingeperkt middels een wetswijziging; tegenover e</w:t>
      </w:r>
      <w:r w:rsidR="00437E5E">
        <w:rPr>
          <w:rFonts w:ascii="Verdana" w:hAnsi="Verdana"/>
        </w:rPr>
        <w:t>en aantal personen moet een advocaat</w:t>
      </w:r>
      <w:r w:rsidR="001052D5" w:rsidRPr="005E0B1F">
        <w:rPr>
          <w:rFonts w:ascii="Verdana" w:hAnsi="Verdana"/>
        </w:rPr>
        <w:t xml:space="preserve"> namelijk zijn geheimhouding doorbreken. </w:t>
      </w:r>
    </w:p>
    <w:p w:rsidR="00C379BD" w:rsidRPr="005E0B1F" w:rsidRDefault="00C379BD" w:rsidP="0092501F">
      <w:pPr>
        <w:spacing w:after="0" w:line="22" w:lineRule="atLeast"/>
        <w:jc w:val="both"/>
        <w:rPr>
          <w:rFonts w:ascii="Verdana" w:hAnsi="Verdana"/>
        </w:rPr>
      </w:pPr>
    </w:p>
    <w:p w:rsidR="00430E22" w:rsidRPr="005E0B1F" w:rsidRDefault="001A1612" w:rsidP="0092501F">
      <w:pPr>
        <w:spacing w:after="0" w:line="22" w:lineRule="atLeast"/>
        <w:jc w:val="both"/>
        <w:rPr>
          <w:rFonts w:ascii="Verdana" w:hAnsi="Verdana"/>
        </w:rPr>
      </w:pPr>
      <w:r w:rsidRPr="005E0B1F">
        <w:rPr>
          <w:rFonts w:ascii="Verdana" w:hAnsi="Verdana"/>
        </w:rPr>
        <w:t xml:space="preserve">Het beroepsgeheim dient zowel een collectief- als een individueel belang. Het individuele belang ziet op de bescherming van de privacy van de cliënt/patiënt, het collectieve belang ziet op de garantie dat een ieder deze beroepsbeoefenaren kan raadplegen zonder te vrezen dat vertrouwelijke informatie gedeeld zal worden met derden. Door deze garanties wordt de toegankelijkheid voor een ieder gegarandeerd. </w:t>
      </w:r>
      <w:r w:rsidR="00227C2E" w:rsidRPr="005E0B1F">
        <w:rPr>
          <w:rFonts w:ascii="Verdana" w:hAnsi="Verdana"/>
        </w:rPr>
        <w:t xml:space="preserve">De vrije toegang tot de klassiek verschoningsgerechtigden raakt de grondrechten van de burger. Vrije toegang hebben tot een advocaat raakt bijvoorbeeld het recht op </w:t>
      </w:r>
      <w:r w:rsidR="00227C2E" w:rsidRPr="005E0B1F">
        <w:rPr>
          <w:rFonts w:ascii="Verdana" w:hAnsi="Verdana"/>
          <w:i/>
        </w:rPr>
        <w:t>fair trial</w:t>
      </w:r>
      <w:r w:rsidR="00227C2E" w:rsidRPr="005E0B1F">
        <w:rPr>
          <w:rFonts w:ascii="Verdana" w:hAnsi="Verdana"/>
        </w:rPr>
        <w:t xml:space="preserve"> uit artikel 6 EVRM, want iedereen moet recht hebben op verde</w:t>
      </w:r>
      <w:r w:rsidR="001D163B">
        <w:rPr>
          <w:rFonts w:ascii="Verdana" w:hAnsi="Verdana"/>
        </w:rPr>
        <w:t>diging in een rechtsgeding. Vr</w:t>
      </w:r>
      <w:r w:rsidR="00227C2E" w:rsidRPr="005E0B1F">
        <w:rPr>
          <w:rFonts w:ascii="Verdana" w:hAnsi="Verdana"/>
        </w:rPr>
        <w:t xml:space="preserve">ije toegang hebben tot de zorg raakt het recht op zorg uit artikel 22 Gw. Verder is het beroepsgeheim en verschoningsrecht ook van groot belang omdat de gang tot de notaris in een aantal situaties verplicht is en er zodoende een goede vertrouwensrelatie moet bestaan tussen notaris en cliënt. </w:t>
      </w:r>
      <w:r w:rsidR="00430E22" w:rsidRPr="005E0B1F">
        <w:rPr>
          <w:rFonts w:ascii="Verdana" w:hAnsi="Verdana"/>
        </w:rPr>
        <w:t>Een beroepsgeheim leidt tot een verschonings</w:t>
      </w:r>
      <w:r w:rsidR="00D67089">
        <w:rPr>
          <w:rFonts w:ascii="Verdana" w:hAnsi="Verdana"/>
        </w:rPr>
        <w:t>-</w:t>
      </w:r>
      <w:r w:rsidR="00430E22" w:rsidRPr="005E0B1F">
        <w:rPr>
          <w:rFonts w:ascii="Verdana" w:hAnsi="Verdana"/>
        </w:rPr>
        <w:t xml:space="preserve">recht wanneer de vrije toegang tot die beroepsgroep van zeer groot maatschappelijk belang wordt geacht. </w:t>
      </w:r>
    </w:p>
    <w:p w:rsidR="00944532" w:rsidRDefault="00944532" w:rsidP="0092501F">
      <w:pPr>
        <w:spacing w:after="0" w:line="22" w:lineRule="atLeast"/>
        <w:rPr>
          <w:rFonts w:ascii="Verdana" w:hAnsi="Verdana"/>
          <w:sz w:val="24"/>
        </w:rPr>
      </w:pPr>
    </w:p>
    <w:p w:rsidR="001A1612" w:rsidRDefault="001A1612" w:rsidP="0092501F">
      <w:pPr>
        <w:spacing w:after="0" w:line="22" w:lineRule="atLeast"/>
        <w:rPr>
          <w:rFonts w:ascii="Verdana" w:hAnsi="Verdana"/>
          <w:sz w:val="24"/>
        </w:rPr>
      </w:pPr>
    </w:p>
    <w:p w:rsidR="001A1612" w:rsidRDefault="001A1612" w:rsidP="0092501F">
      <w:pPr>
        <w:spacing w:after="0" w:line="22" w:lineRule="atLeast"/>
        <w:rPr>
          <w:rFonts w:ascii="Verdana" w:hAnsi="Verdana"/>
          <w:sz w:val="24"/>
        </w:rPr>
      </w:pPr>
    </w:p>
    <w:p w:rsidR="0045654C" w:rsidRDefault="0045654C" w:rsidP="0092501F">
      <w:pPr>
        <w:spacing w:after="200" w:line="22" w:lineRule="atLeast"/>
        <w:rPr>
          <w:rFonts w:ascii="Verdana" w:eastAsiaTheme="majorEastAsia" w:hAnsi="Verdana" w:cstheme="majorBidi"/>
          <w:b/>
          <w:color w:val="365F91" w:themeColor="accent1" w:themeShade="BF"/>
          <w:sz w:val="36"/>
          <w:szCs w:val="32"/>
        </w:rPr>
      </w:pPr>
      <w:r>
        <w:rPr>
          <w:rFonts w:ascii="Verdana" w:hAnsi="Verdana"/>
          <w:b/>
          <w:sz w:val="36"/>
        </w:rPr>
        <w:br w:type="page"/>
      </w:r>
    </w:p>
    <w:p w:rsidR="005908EC" w:rsidRPr="001F5BAD" w:rsidRDefault="00960FD3" w:rsidP="0092501F">
      <w:pPr>
        <w:pStyle w:val="Kop1"/>
        <w:spacing w:line="22" w:lineRule="atLeast"/>
        <w:rPr>
          <w:rFonts w:ascii="Verdana" w:hAnsi="Verdana"/>
          <w:b/>
          <w:sz w:val="36"/>
        </w:rPr>
      </w:pPr>
      <w:bookmarkStart w:id="29" w:name="_Toc451894995"/>
      <w:r w:rsidRPr="001F5BAD">
        <w:rPr>
          <w:rFonts w:ascii="Verdana" w:hAnsi="Verdana"/>
          <w:b/>
          <w:sz w:val="36"/>
        </w:rPr>
        <w:lastRenderedPageBreak/>
        <w:t>4</w:t>
      </w:r>
      <w:r w:rsidR="005908EC" w:rsidRPr="001F5BAD">
        <w:rPr>
          <w:rFonts w:ascii="Verdana" w:hAnsi="Verdana"/>
          <w:b/>
          <w:sz w:val="36"/>
        </w:rPr>
        <w:t>.</w:t>
      </w:r>
      <w:r w:rsidRPr="001F5BAD">
        <w:rPr>
          <w:rFonts w:ascii="Verdana" w:hAnsi="Verdana"/>
          <w:b/>
          <w:sz w:val="36"/>
        </w:rPr>
        <w:t xml:space="preserve"> Deelvraag 2:</w:t>
      </w:r>
      <w:r w:rsidR="00D943BB" w:rsidRPr="001F5BAD">
        <w:rPr>
          <w:rFonts w:ascii="Verdana" w:hAnsi="Verdana"/>
          <w:b/>
          <w:sz w:val="36"/>
        </w:rPr>
        <w:t xml:space="preserve"> H</w:t>
      </w:r>
      <w:r w:rsidR="00A37AB5" w:rsidRPr="001F5BAD">
        <w:rPr>
          <w:rFonts w:ascii="Verdana" w:hAnsi="Verdana"/>
          <w:b/>
          <w:sz w:val="36"/>
        </w:rPr>
        <w:t>et beroepsgeheim en</w:t>
      </w:r>
      <w:r w:rsidR="005908EC" w:rsidRPr="001F5BAD">
        <w:rPr>
          <w:rFonts w:ascii="Verdana" w:hAnsi="Verdana"/>
          <w:b/>
          <w:sz w:val="36"/>
        </w:rPr>
        <w:t xml:space="preserve"> verschoningsrecht in de wet</w:t>
      </w:r>
      <w:bookmarkEnd w:id="29"/>
    </w:p>
    <w:p w:rsidR="009355FB" w:rsidRPr="001F5BAD" w:rsidRDefault="00960FD3" w:rsidP="0092501F">
      <w:pPr>
        <w:pStyle w:val="Kop2"/>
        <w:spacing w:before="0" w:line="22" w:lineRule="atLeast"/>
        <w:rPr>
          <w:rFonts w:ascii="Verdana" w:hAnsi="Verdana"/>
        </w:rPr>
      </w:pPr>
      <w:bookmarkStart w:id="30" w:name="_Toc451894996"/>
      <w:r w:rsidRPr="001F5BAD">
        <w:rPr>
          <w:rFonts w:ascii="Verdana" w:hAnsi="Verdana"/>
        </w:rPr>
        <w:t>4</w:t>
      </w:r>
      <w:r w:rsidR="009355FB" w:rsidRPr="001F5BAD">
        <w:rPr>
          <w:rFonts w:ascii="Verdana" w:hAnsi="Verdana"/>
        </w:rPr>
        <w:t>.1 Inleiding</w:t>
      </w:r>
      <w:bookmarkEnd w:id="30"/>
    </w:p>
    <w:p w:rsidR="00694E2C" w:rsidRPr="005E0B1F" w:rsidRDefault="006564C8" w:rsidP="0092501F">
      <w:pPr>
        <w:spacing w:after="0" w:line="22" w:lineRule="atLeast"/>
        <w:jc w:val="both"/>
        <w:rPr>
          <w:rFonts w:ascii="Verdana" w:hAnsi="Verdana"/>
        </w:rPr>
      </w:pPr>
      <w:r w:rsidRPr="001F5BAD">
        <w:rPr>
          <w:rFonts w:ascii="Verdana" w:hAnsi="Verdana"/>
        </w:rPr>
        <w:t>De wet geeft meerdere bepalingen</w:t>
      </w:r>
      <w:r>
        <w:rPr>
          <w:rFonts w:ascii="Verdana" w:hAnsi="Verdana"/>
        </w:rPr>
        <w:t xml:space="preserve"> met betrekking tot</w:t>
      </w:r>
      <w:r w:rsidR="00822DAE" w:rsidRPr="005E0B1F">
        <w:rPr>
          <w:rFonts w:ascii="Verdana" w:hAnsi="Verdana"/>
        </w:rPr>
        <w:t xml:space="preserve"> het beroepsgeheim en het verschoningsrecht</w:t>
      </w:r>
      <w:r w:rsidR="00D82097" w:rsidRPr="005E0B1F">
        <w:rPr>
          <w:rFonts w:ascii="Verdana" w:hAnsi="Verdana"/>
        </w:rPr>
        <w:t xml:space="preserve">; </w:t>
      </w:r>
      <w:r>
        <w:rPr>
          <w:rFonts w:ascii="Verdana" w:hAnsi="Verdana"/>
        </w:rPr>
        <w:t>zoals hierna zal blijken</w:t>
      </w:r>
      <w:r w:rsidR="007031D6">
        <w:rPr>
          <w:rFonts w:ascii="Verdana" w:hAnsi="Verdana"/>
        </w:rPr>
        <w:t>,</w:t>
      </w:r>
      <w:r>
        <w:rPr>
          <w:rFonts w:ascii="Verdana" w:hAnsi="Verdana"/>
        </w:rPr>
        <w:t xml:space="preserve"> zijn </w:t>
      </w:r>
      <w:r w:rsidR="00D82097" w:rsidRPr="005E0B1F">
        <w:rPr>
          <w:rFonts w:ascii="Verdana" w:hAnsi="Verdana"/>
        </w:rPr>
        <w:t>i</w:t>
      </w:r>
      <w:r>
        <w:rPr>
          <w:rFonts w:ascii="Verdana" w:hAnsi="Verdana"/>
        </w:rPr>
        <w:t>n verschillende wetten</w:t>
      </w:r>
      <w:r w:rsidR="00822DAE" w:rsidRPr="005E0B1F">
        <w:rPr>
          <w:rFonts w:ascii="Verdana" w:hAnsi="Verdana"/>
        </w:rPr>
        <w:t xml:space="preserve"> deze termen </w:t>
      </w:r>
      <w:r w:rsidR="00D82097" w:rsidRPr="005E0B1F">
        <w:rPr>
          <w:rFonts w:ascii="Verdana" w:hAnsi="Verdana"/>
        </w:rPr>
        <w:t xml:space="preserve">terug </w:t>
      </w:r>
      <w:r w:rsidR="00822DAE" w:rsidRPr="005E0B1F">
        <w:rPr>
          <w:rFonts w:ascii="Verdana" w:hAnsi="Verdana"/>
        </w:rPr>
        <w:t xml:space="preserve">te vinden. </w:t>
      </w:r>
      <w:r w:rsidR="00D82097" w:rsidRPr="005E0B1F">
        <w:rPr>
          <w:rFonts w:ascii="Verdana" w:hAnsi="Verdana"/>
        </w:rPr>
        <w:t>Juist omdat er zoveel over geregeld is, kan</w:t>
      </w:r>
      <w:r w:rsidR="006524BD" w:rsidRPr="005E0B1F">
        <w:rPr>
          <w:rFonts w:ascii="Verdana" w:hAnsi="Verdana"/>
        </w:rPr>
        <w:t xml:space="preserve"> het soms wat onduidelijk zijn wat er nu allemaal precies is geregeld. </w:t>
      </w:r>
      <w:r w:rsidR="00822DAE" w:rsidRPr="005E0B1F">
        <w:rPr>
          <w:rFonts w:ascii="Verdana" w:hAnsi="Verdana"/>
        </w:rPr>
        <w:t xml:space="preserve">Ik wil daarom </w:t>
      </w:r>
      <w:r>
        <w:rPr>
          <w:rFonts w:ascii="Verdana" w:hAnsi="Verdana"/>
        </w:rPr>
        <w:t xml:space="preserve">uiteen zetten </w:t>
      </w:r>
      <w:r w:rsidR="00822DAE" w:rsidRPr="005E0B1F">
        <w:rPr>
          <w:rFonts w:ascii="Verdana" w:hAnsi="Verdana"/>
        </w:rPr>
        <w:t>wat er omtrent het beroepsgeheim en verschoningsrecht (in straf</w:t>
      </w:r>
      <w:r w:rsidR="001F5BAD">
        <w:rPr>
          <w:rFonts w:ascii="Verdana" w:hAnsi="Verdana"/>
        </w:rPr>
        <w:t>-</w:t>
      </w:r>
      <w:r w:rsidR="00822DAE" w:rsidRPr="005E0B1F">
        <w:rPr>
          <w:rFonts w:ascii="Verdana" w:hAnsi="Verdana"/>
        </w:rPr>
        <w:t>rechtelijke zin) geregeld</w:t>
      </w:r>
      <w:r w:rsidR="00370A2E" w:rsidRPr="005E0B1F">
        <w:rPr>
          <w:rFonts w:ascii="Verdana" w:hAnsi="Verdana"/>
        </w:rPr>
        <w:t xml:space="preserve"> is in de wet, </w:t>
      </w:r>
      <w:r w:rsidR="006524BD" w:rsidRPr="005E0B1F">
        <w:rPr>
          <w:rFonts w:ascii="Verdana" w:hAnsi="Verdana"/>
        </w:rPr>
        <w:t>om zo</w:t>
      </w:r>
      <w:r>
        <w:rPr>
          <w:rFonts w:ascii="Verdana" w:hAnsi="Verdana"/>
        </w:rPr>
        <w:t>doende</w:t>
      </w:r>
      <w:r w:rsidR="006524BD" w:rsidRPr="005E0B1F">
        <w:rPr>
          <w:rFonts w:ascii="Verdana" w:hAnsi="Verdana"/>
        </w:rPr>
        <w:t xml:space="preserve"> de onduidelijkheid weg te nemen. Hieronder </w:t>
      </w:r>
      <w:r w:rsidR="00BD7F88">
        <w:rPr>
          <w:rFonts w:ascii="Verdana" w:hAnsi="Verdana"/>
        </w:rPr>
        <w:t>wordt</w:t>
      </w:r>
      <w:r w:rsidR="006524BD" w:rsidRPr="005E0B1F">
        <w:rPr>
          <w:rFonts w:ascii="Verdana" w:hAnsi="Verdana"/>
        </w:rPr>
        <w:t xml:space="preserve"> per onderdeel aangeven wat daarover in de wet is geregeld. De onderdelen die langs komen zijn het beroepsgeheim,</w:t>
      </w:r>
      <w:r w:rsidR="00694E2C" w:rsidRPr="005E0B1F">
        <w:rPr>
          <w:rFonts w:ascii="Verdana" w:hAnsi="Verdana"/>
        </w:rPr>
        <w:t xml:space="preserve"> de verschillende vormen van het verschoningsrecht, het niet absoluut zijn van het verschoningsrecht, het afgeleide- en gedeelde verschoningsrecht, de aangifte- en meldplicht, de getuigenverklaring, de verschonin</w:t>
      </w:r>
      <w:r w:rsidR="00464970" w:rsidRPr="005E0B1F">
        <w:rPr>
          <w:rFonts w:ascii="Verdana" w:hAnsi="Verdana"/>
        </w:rPr>
        <w:t>g</w:t>
      </w:r>
      <w:r w:rsidR="00694E2C" w:rsidRPr="005E0B1F">
        <w:rPr>
          <w:rFonts w:ascii="Verdana" w:hAnsi="Verdana"/>
        </w:rPr>
        <w:t xml:space="preserve">sgerechtigde als verdachte, het binnentreden en de doorzoeking en inbeslagname. </w:t>
      </w:r>
    </w:p>
    <w:p w:rsidR="00822DAE" w:rsidRDefault="00822DAE" w:rsidP="0092501F">
      <w:pPr>
        <w:spacing w:after="0" w:line="22" w:lineRule="atLeast"/>
        <w:rPr>
          <w:rFonts w:ascii="Verdana" w:hAnsi="Verdana"/>
          <w:sz w:val="24"/>
        </w:rPr>
      </w:pPr>
    </w:p>
    <w:p w:rsidR="00960FD3" w:rsidRPr="00822DAE" w:rsidRDefault="00960FD3" w:rsidP="0092501F">
      <w:pPr>
        <w:spacing w:after="0" w:line="22" w:lineRule="atLeast"/>
        <w:rPr>
          <w:rFonts w:ascii="Verdana" w:hAnsi="Verdana"/>
          <w:sz w:val="24"/>
        </w:rPr>
      </w:pPr>
    </w:p>
    <w:p w:rsidR="00C6304B" w:rsidRPr="00960FD3" w:rsidRDefault="00960FD3" w:rsidP="0092501F">
      <w:pPr>
        <w:pStyle w:val="Kop2"/>
        <w:spacing w:before="0" w:line="22" w:lineRule="atLeast"/>
        <w:rPr>
          <w:rFonts w:ascii="Verdana" w:hAnsi="Verdana"/>
        </w:rPr>
      </w:pPr>
      <w:bookmarkStart w:id="31" w:name="_Toc451894997"/>
      <w:r>
        <w:rPr>
          <w:rFonts w:ascii="Verdana" w:hAnsi="Verdana"/>
        </w:rPr>
        <w:t>4</w:t>
      </w:r>
      <w:r w:rsidR="009355FB" w:rsidRPr="00960FD3">
        <w:rPr>
          <w:rFonts w:ascii="Verdana" w:hAnsi="Verdana"/>
        </w:rPr>
        <w:t>.2</w:t>
      </w:r>
      <w:r w:rsidR="00C6304B" w:rsidRPr="00960FD3">
        <w:rPr>
          <w:rFonts w:ascii="Verdana" w:hAnsi="Verdana"/>
        </w:rPr>
        <w:t xml:space="preserve"> Het beroepsgeheim</w:t>
      </w:r>
      <w:bookmarkEnd w:id="31"/>
    </w:p>
    <w:p w:rsidR="00C6304B" w:rsidRPr="005E0B1F" w:rsidRDefault="00C6304B" w:rsidP="0092501F">
      <w:pPr>
        <w:spacing w:after="0" w:line="22" w:lineRule="atLeast"/>
        <w:jc w:val="both"/>
        <w:rPr>
          <w:rFonts w:ascii="Verdana" w:hAnsi="Verdana"/>
        </w:rPr>
      </w:pPr>
      <w:r w:rsidRPr="005E0B1F">
        <w:rPr>
          <w:rFonts w:ascii="Verdana" w:hAnsi="Verdana"/>
        </w:rPr>
        <w:t>Binnen verschillende beroepsgroepe</w:t>
      </w:r>
      <w:r w:rsidR="0095693E" w:rsidRPr="005E0B1F">
        <w:rPr>
          <w:rFonts w:ascii="Verdana" w:hAnsi="Verdana"/>
        </w:rPr>
        <w:t>n krijgen beroepsbeoefenaren</w:t>
      </w:r>
      <w:r w:rsidRPr="005E0B1F">
        <w:rPr>
          <w:rFonts w:ascii="Verdana" w:hAnsi="Verdana"/>
        </w:rPr>
        <w:t xml:space="preserve"> te maken met een beroepsgeheim, ook w</w:t>
      </w:r>
      <w:r w:rsidR="002D2E67">
        <w:rPr>
          <w:rFonts w:ascii="Verdana" w:hAnsi="Verdana"/>
        </w:rPr>
        <w:t>el de geheimhoudingsplicht. Dit</w:t>
      </w:r>
      <w:r w:rsidRPr="005E0B1F">
        <w:rPr>
          <w:rFonts w:ascii="Verdana" w:hAnsi="Verdana"/>
        </w:rPr>
        <w:t xml:space="preserve"> houdt in dat de beroepsbeoefenaar dien</w:t>
      </w:r>
      <w:r w:rsidR="002D2E67">
        <w:rPr>
          <w:rFonts w:ascii="Verdana" w:hAnsi="Verdana"/>
        </w:rPr>
        <w:t>t te zwijgen over al hetgeen</w:t>
      </w:r>
      <w:r w:rsidRPr="005E0B1F">
        <w:rPr>
          <w:rFonts w:ascii="Verdana" w:hAnsi="Verdana"/>
        </w:rPr>
        <w:t xml:space="preserve"> hij te weten is gekomen in de uitoefening van zijn beroep. Een beroepsbeoefenaar kan door de rechter een sanctie opgelegd krijgen indien hij niet voldoet aan zijn geheimhoudingsplicht. Ook </w:t>
      </w:r>
      <w:r w:rsidR="005C3DA2" w:rsidRPr="005E0B1F">
        <w:rPr>
          <w:rFonts w:ascii="Verdana" w:hAnsi="Verdana"/>
        </w:rPr>
        <w:t>bestaat de mogelijkheid voor een</w:t>
      </w:r>
      <w:r w:rsidRPr="005E0B1F">
        <w:rPr>
          <w:rFonts w:ascii="Verdana" w:hAnsi="Verdana"/>
        </w:rPr>
        <w:t xml:space="preserve"> cliënt of patiënt </w:t>
      </w:r>
      <w:r w:rsidR="005C3DA2" w:rsidRPr="005E0B1F">
        <w:rPr>
          <w:rFonts w:ascii="Verdana" w:hAnsi="Verdana"/>
        </w:rPr>
        <w:t xml:space="preserve">om </w:t>
      </w:r>
      <w:r w:rsidRPr="005E0B1F">
        <w:rPr>
          <w:rFonts w:ascii="Verdana" w:hAnsi="Verdana"/>
        </w:rPr>
        <w:t>een klacht in</w:t>
      </w:r>
      <w:r w:rsidR="005C3DA2" w:rsidRPr="005E0B1F">
        <w:rPr>
          <w:rFonts w:ascii="Verdana" w:hAnsi="Verdana"/>
        </w:rPr>
        <w:t xml:space="preserve"> te </w:t>
      </w:r>
      <w:r w:rsidRPr="005E0B1F">
        <w:rPr>
          <w:rFonts w:ascii="Verdana" w:hAnsi="Verdana"/>
        </w:rPr>
        <w:t>dienen bij de tuchtrechter</w:t>
      </w:r>
      <w:r w:rsidR="005C3DA2" w:rsidRPr="005E0B1F">
        <w:rPr>
          <w:rFonts w:ascii="Verdana" w:hAnsi="Verdana"/>
        </w:rPr>
        <w:t xml:space="preserve"> indien de beroepsbeoefenaar niet voldoet aan zijn geheim</w:t>
      </w:r>
      <w:r w:rsidR="006564C8">
        <w:rPr>
          <w:rFonts w:ascii="Verdana" w:hAnsi="Verdana"/>
        </w:rPr>
        <w:t xml:space="preserve">-houdingsplicht. </w:t>
      </w:r>
      <w:r w:rsidR="005C3DA2" w:rsidRPr="005E0B1F">
        <w:rPr>
          <w:rFonts w:ascii="Verdana" w:hAnsi="Verdana"/>
        </w:rPr>
        <w:t xml:space="preserve">De </w:t>
      </w:r>
      <w:r w:rsidRPr="005E0B1F">
        <w:rPr>
          <w:rFonts w:ascii="Verdana" w:hAnsi="Verdana"/>
        </w:rPr>
        <w:t xml:space="preserve">tuchtrechter </w:t>
      </w:r>
      <w:r w:rsidR="005C3DA2" w:rsidRPr="005E0B1F">
        <w:rPr>
          <w:rFonts w:ascii="Verdana" w:hAnsi="Verdana"/>
        </w:rPr>
        <w:t>kan</w:t>
      </w:r>
      <w:r w:rsidR="006564C8">
        <w:rPr>
          <w:rFonts w:ascii="Verdana" w:hAnsi="Verdana"/>
        </w:rPr>
        <w:t xml:space="preserve"> derhalve </w:t>
      </w:r>
      <w:r w:rsidRPr="005E0B1F">
        <w:rPr>
          <w:rFonts w:ascii="Verdana" w:hAnsi="Verdana"/>
        </w:rPr>
        <w:t>tuchtrechtelijke maatregelen nemen tegen de beroepsbeoefenaar</w:t>
      </w:r>
      <w:r w:rsidRPr="005E0B1F">
        <w:rPr>
          <w:rStyle w:val="Voetnootmarkering"/>
          <w:rFonts w:ascii="Verdana" w:hAnsi="Verdana"/>
        </w:rPr>
        <w:footnoteReference w:id="57"/>
      </w:r>
      <w:r w:rsidRPr="005E0B1F">
        <w:rPr>
          <w:rFonts w:ascii="Verdana" w:hAnsi="Verdana"/>
        </w:rPr>
        <w:t>. Hoewel de geheimhoudingsplicht kan worden gezien als een verplichting voor de beroepsbeoefenaar, kan het ook worden gezien als een recht van de cliënt/patiënt. De cliënt van een</w:t>
      </w:r>
      <w:r w:rsidR="005D5E25" w:rsidRPr="005E0B1F">
        <w:rPr>
          <w:rFonts w:ascii="Verdana" w:hAnsi="Verdana"/>
        </w:rPr>
        <w:t xml:space="preserve"> notaris of</w:t>
      </w:r>
      <w:r w:rsidRPr="005E0B1F">
        <w:rPr>
          <w:rFonts w:ascii="Verdana" w:hAnsi="Verdana"/>
        </w:rPr>
        <w:t xml:space="preserve"> advocaat kan het recht tot geheimhouding niet afdwingen, evenmin kan hij de</w:t>
      </w:r>
      <w:r w:rsidR="005D5E25" w:rsidRPr="005E0B1F">
        <w:rPr>
          <w:rFonts w:ascii="Verdana" w:hAnsi="Verdana"/>
        </w:rPr>
        <w:t xml:space="preserve"> notaris of</w:t>
      </w:r>
      <w:r w:rsidRPr="005E0B1F">
        <w:rPr>
          <w:rFonts w:ascii="Verdana" w:hAnsi="Verdana"/>
        </w:rPr>
        <w:t xml:space="preserve"> advocaat ontslaan van hun plicht tot geheimhouding. De patiënt van een hulpverlener kan het recht op geheimhouding daarentegen wel afdwingen en mag ook toestemming verlenen om de geheimhoudingsplicht te doorbreken. De hulpverlener mag ten aanzien van het bewaren van de geheimhoudingsplicht afwijken van de mening van de patiënt</w:t>
      </w:r>
      <w:r w:rsidRPr="005E0B1F">
        <w:rPr>
          <w:rStyle w:val="Voetnootmarkering"/>
          <w:rFonts w:ascii="Verdana" w:hAnsi="Verdana"/>
        </w:rPr>
        <w:footnoteReference w:id="58"/>
      </w:r>
      <w:r w:rsidRPr="005E0B1F">
        <w:rPr>
          <w:rFonts w:ascii="Verdana" w:hAnsi="Verdana"/>
        </w:rPr>
        <w:t xml:space="preserve">, hij behoudt </w:t>
      </w:r>
      <w:r w:rsidR="005C3DA2" w:rsidRPr="005E0B1F">
        <w:rPr>
          <w:rFonts w:ascii="Verdana" w:hAnsi="Verdana"/>
        </w:rPr>
        <w:t xml:space="preserve">te allen tijde </w:t>
      </w:r>
      <w:r w:rsidRPr="005E0B1F">
        <w:rPr>
          <w:rFonts w:ascii="Verdana" w:hAnsi="Verdana"/>
        </w:rPr>
        <w:t>de plicht om zelf een afweging te maken</w:t>
      </w:r>
      <w:r w:rsidRPr="005E0B1F">
        <w:rPr>
          <w:rStyle w:val="Voetnootmarkering"/>
          <w:rFonts w:ascii="Verdana" w:hAnsi="Verdana"/>
        </w:rPr>
        <w:footnoteReference w:id="59"/>
      </w:r>
      <w:r w:rsidRPr="005E0B1F">
        <w:rPr>
          <w:rFonts w:ascii="Verdana" w:hAnsi="Verdana"/>
        </w:rPr>
        <w:t xml:space="preserve">. </w:t>
      </w:r>
    </w:p>
    <w:p w:rsidR="00C6304B" w:rsidRPr="005E0B1F" w:rsidRDefault="00C6304B" w:rsidP="0092501F">
      <w:pPr>
        <w:spacing w:after="0" w:line="22" w:lineRule="atLeast"/>
        <w:jc w:val="both"/>
        <w:rPr>
          <w:rFonts w:ascii="Verdana" w:hAnsi="Verdana"/>
        </w:rPr>
      </w:pPr>
    </w:p>
    <w:p w:rsidR="00C6304B" w:rsidRPr="005E0B1F" w:rsidRDefault="00C6304B" w:rsidP="0092501F">
      <w:pPr>
        <w:spacing w:after="0" w:line="22" w:lineRule="atLeast"/>
        <w:jc w:val="both"/>
        <w:rPr>
          <w:rFonts w:ascii="Verdana" w:hAnsi="Verdana"/>
        </w:rPr>
      </w:pPr>
      <w:r w:rsidRPr="005E0B1F">
        <w:rPr>
          <w:rFonts w:ascii="Verdana" w:hAnsi="Verdana"/>
        </w:rPr>
        <w:t xml:space="preserve">Het schenden van de geheimhoudingsplicht is onder andere vastgelegd in artikel 272 Sr. </w:t>
      </w:r>
      <w:r w:rsidR="006503FE">
        <w:rPr>
          <w:rFonts w:ascii="Verdana" w:hAnsi="Verdana"/>
        </w:rPr>
        <w:t>Schending van de geheimhoudingsplicht</w:t>
      </w:r>
      <w:r w:rsidRPr="005E0B1F">
        <w:rPr>
          <w:rFonts w:ascii="Verdana" w:hAnsi="Verdana"/>
        </w:rPr>
        <w:t xml:space="preserve"> is een zogenaamd opzetdelict. De geheimhoudingsplicht moet dus opzettelijk geschonden zijn, wil er vervolging plaatsvinden. Voorwaardelijke opzet is ook voldoende</w:t>
      </w:r>
      <w:r w:rsidRPr="005E0B1F">
        <w:rPr>
          <w:rStyle w:val="Voetnootmarkering"/>
          <w:rFonts w:ascii="Verdana" w:hAnsi="Verdana"/>
        </w:rPr>
        <w:footnoteReference w:id="60"/>
      </w:r>
      <w:r w:rsidR="006503FE">
        <w:rPr>
          <w:rFonts w:ascii="Verdana" w:hAnsi="Verdana"/>
        </w:rPr>
        <w:t>. I</w:t>
      </w:r>
      <w:r w:rsidRPr="005E0B1F">
        <w:rPr>
          <w:rFonts w:ascii="Verdana" w:hAnsi="Verdana"/>
        </w:rPr>
        <w:t>n lid 2</w:t>
      </w:r>
      <w:r w:rsidR="006A5708">
        <w:rPr>
          <w:rFonts w:ascii="Verdana" w:hAnsi="Verdana"/>
        </w:rPr>
        <w:t xml:space="preserve"> van artikel 272 Sr</w:t>
      </w:r>
      <w:r w:rsidR="00A943DD">
        <w:rPr>
          <w:rFonts w:ascii="Verdana" w:hAnsi="Verdana"/>
        </w:rPr>
        <w:t xml:space="preserve"> </w:t>
      </w:r>
      <w:r w:rsidR="006503FE">
        <w:rPr>
          <w:rFonts w:ascii="Verdana" w:hAnsi="Verdana"/>
        </w:rPr>
        <w:t>is</w:t>
      </w:r>
      <w:r w:rsidR="00A943DD">
        <w:rPr>
          <w:rFonts w:ascii="Verdana" w:hAnsi="Verdana"/>
        </w:rPr>
        <w:t xml:space="preserve"> </w:t>
      </w:r>
      <w:r w:rsidRPr="005E0B1F">
        <w:rPr>
          <w:rFonts w:ascii="Verdana" w:hAnsi="Verdana"/>
        </w:rPr>
        <w:t xml:space="preserve">te lezen dat schending van de geheimhoudingsplicht </w:t>
      </w:r>
      <w:r w:rsidR="006503FE">
        <w:rPr>
          <w:rFonts w:ascii="Verdana" w:hAnsi="Verdana"/>
        </w:rPr>
        <w:t xml:space="preserve">tevens </w:t>
      </w:r>
      <w:r w:rsidRPr="005E0B1F">
        <w:rPr>
          <w:rFonts w:ascii="Verdana" w:hAnsi="Verdana"/>
        </w:rPr>
        <w:t>een klachtdelict is</w:t>
      </w:r>
      <w:r w:rsidRPr="005E0B1F">
        <w:rPr>
          <w:rStyle w:val="Voetnootmarkering"/>
          <w:rFonts w:ascii="Verdana" w:hAnsi="Verdana"/>
        </w:rPr>
        <w:footnoteReference w:id="61"/>
      </w:r>
      <w:r w:rsidRPr="005E0B1F">
        <w:rPr>
          <w:rFonts w:ascii="Verdana" w:hAnsi="Verdana"/>
        </w:rPr>
        <w:t>. Er moet dus aangifte gedaan worden, ander</w:t>
      </w:r>
      <w:r w:rsidR="006A5708">
        <w:rPr>
          <w:rFonts w:ascii="Verdana" w:hAnsi="Verdana"/>
        </w:rPr>
        <w:t>s zal</w:t>
      </w:r>
      <w:r w:rsidRPr="005E0B1F">
        <w:rPr>
          <w:rFonts w:ascii="Verdana" w:hAnsi="Verdana"/>
        </w:rPr>
        <w:t xml:space="preserve"> niet tot vervolging </w:t>
      </w:r>
      <w:r w:rsidR="004E5FD7" w:rsidRPr="005E0B1F">
        <w:rPr>
          <w:rFonts w:ascii="Verdana" w:hAnsi="Verdana"/>
        </w:rPr>
        <w:t>worden over</w:t>
      </w:r>
      <w:r w:rsidRPr="005E0B1F">
        <w:rPr>
          <w:rFonts w:ascii="Verdana" w:hAnsi="Verdana"/>
        </w:rPr>
        <w:t xml:space="preserve">gegaan. </w:t>
      </w:r>
    </w:p>
    <w:p w:rsidR="00D3692F" w:rsidRDefault="00D3692F" w:rsidP="0092501F">
      <w:pPr>
        <w:spacing w:after="0" w:line="22" w:lineRule="atLeast"/>
        <w:rPr>
          <w:rFonts w:ascii="Verdana" w:hAnsi="Verdana"/>
          <w:sz w:val="24"/>
        </w:rPr>
      </w:pPr>
    </w:p>
    <w:p w:rsidR="00C6304B" w:rsidRPr="00960FD3" w:rsidRDefault="00960FD3" w:rsidP="0092501F">
      <w:pPr>
        <w:pStyle w:val="Kop2"/>
        <w:spacing w:before="0" w:line="22" w:lineRule="atLeast"/>
        <w:rPr>
          <w:rFonts w:ascii="Verdana" w:hAnsi="Verdana"/>
        </w:rPr>
      </w:pPr>
      <w:bookmarkStart w:id="32" w:name="_Toc444376681"/>
      <w:bookmarkStart w:id="33" w:name="_Toc451894998"/>
      <w:r>
        <w:rPr>
          <w:rFonts w:ascii="Verdana" w:hAnsi="Verdana"/>
        </w:rPr>
        <w:lastRenderedPageBreak/>
        <w:t>4</w:t>
      </w:r>
      <w:r w:rsidR="00694E2C">
        <w:rPr>
          <w:rFonts w:ascii="Verdana" w:hAnsi="Verdana"/>
        </w:rPr>
        <w:t>.3</w:t>
      </w:r>
      <w:r w:rsidR="00C6304B" w:rsidRPr="00960FD3">
        <w:rPr>
          <w:rFonts w:ascii="Verdana" w:hAnsi="Verdana"/>
        </w:rPr>
        <w:t xml:space="preserve"> Vormen van het verschoningsrecht</w:t>
      </w:r>
      <w:bookmarkEnd w:id="32"/>
      <w:bookmarkEnd w:id="33"/>
    </w:p>
    <w:p w:rsidR="00C6304B" w:rsidRPr="005E0B1F" w:rsidRDefault="000F2BA4" w:rsidP="0092501F">
      <w:pPr>
        <w:spacing w:after="0" w:line="22" w:lineRule="atLeast"/>
        <w:jc w:val="both"/>
        <w:rPr>
          <w:rFonts w:ascii="Verdana" w:hAnsi="Verdana"/>
        </w:rPr>
      </w:pPr>
      <w:r>
        <w:rPr>
          <w:rFonts w:ascii="Verdana" w:hAnsi="Verdana"/>
        </w:rPr>
        <w:t xml:space="preserve">Hiervoor </w:t>
      </w:r>
      <w:r w:rsidR="00BD7F88">
        <w:rPr>
          <w:rFonts w:ascii="Verdana" w:hAnsi="Verdana"/>
        </w:rPr>
        <w:t>is</w:t>
      </w:r>
      <w:r>
        <w:rPr>
          <w:rFonts w:ascii="Verdana" w:hAnsi="Verdana"/>
        </w:rPr>
        <w:t xml:space="preserve"> reeds</w:t>
      </w:r>
      <w:r w:rsidR="00C6304B" w:rsidRPr="005E0B1F">
        <w:rPr>
          <w:rFonts w:ascii="Verdana" w:hAnsi="Verdana"/>
        </w:rPr>
        <w:t xml:space="preserve"> een aantal keer het verschoningsrecht van beroepsbeoefenaren aangehaald. Dit verschoningsrecht is terug te vinden in artikel 218 Sv. </w:t>
      </w:r>
      <w:r>
        <w:rPr>
          <w:rFonts w:ascii="Verdana" w:hAnsi="Verdana"/>
        </w:rPr>
        <w:t>Hierin</w:t>
      </w:r>
      <w:r w:rsidR="00C6304B" w:rsidRPr="005E0B1F">
        <w:rPr>
          <w:rFonts w:ascii="Verdana" w:hAnsi="Verdana"/>
        </w:rPr>
        <w:t xml:space="preserve"> is te lezen dat de beroepsbeoefenaar zich kan verschonen van het geven van getuigenissen of het beantwoorden van be</w:t>
      </w:r>
      <w:r w:rsidR="001F5BAD">
        <w:rPr>
          <w:rFonts w:ascii="Verdana" w:hAnsi="Verdana"/>
        </w:rPr>
        <w:t>paalde vragen uit hoofde van zijn stand, beroep of ambt dat hem</w:t>
      </w:r>
      <w:r w:rsidR="00C6304B" w:rsidRPr="005E0B1F">
        <w:rPr>
          <w:rFonts w:ascii="Verdana" w:hAnsi="Verdana"/>
        </w:rPr>
        <w:t xml:space="preserve"> tot geheimhouding verplicht</w:t>
      </w:r>
      <w:r w:rsidR="006D5D9D" w:rsidRPr="005E0B1F">
        <w:rPr>
          <w:rFonts w:ascii="Verdana" w:hAnsi="Verdana"/>
        </w:rPr>
        <w:t xml:space="preserve"> (het subject van het verschoningsrecht</w:t>
      </w:r>
      <w:r w:rsidR="006D5D9D" w:rsidRPr="005E0B1F">
        <w:rPr>
          <w:rStyle w:val="Voetnootmarkering"/>
          <w:rFonts w:ascii="Verdana" w:hAnsi="Verdana"/>
        </w:rPr>
        <w:footnoteReference w:id="62"/>
      </w:r>
      <w:r w:rsidR="006D5D9D" w:rsidRPr="005E0B1F">
        <w:rPr>
          <w:rFonts w:ascii="Verdana" w:hAnsi="Verdana"/>
        </w:rPr>
        <w:t>)</w:t>
      </w:r>
      <w:r w:rsidR="00C6304B" w:rsidRPr="005E0B1F">
        <w:rPr>
          <w:rFonts w:ascii="Verdana" w:hAnsi="Verdana"/>
        </w:rPr>
        <w:t>, maar alleen ‘omtrent hetgeen waarvan de wetenschap aan he</w:t>
      </w:r>
      <w:r w:rsidR="001F5BAD">
        <w:rPr>
          <w:rFonts w:ascii="Verdana" w:hAnsi="Verdana"/>
        </w:rPr>
        <w:t>m</w:t>
      </w:r>
      <w:r w:rsidR="00C6304B" w:rsidRPr="005E0B1F">
        <w:rPr>
          <w:rFonts w:ascii="Verdana" w:hAnsi="Verdana"/>
        </w:rPr>
        <w:t xml:space="preserve"> als zodanig is toevertrouwd’</w:t>
      </w:r>
      <w:r w:rsidR="006D5D9D" w:rsidRPr="005E0B1F">
        <w:rPr>
          <w:rFonts w:ascii="Verdana" w:hAnsi="Verdana"/>
        </w:rPr>
        <w:t xml:space="preserve"> (het object van het verschoningsrecht</w:t>
      </w:r>
      <w:r w:rsidR="006D5D9D" w:rsidRPr="005E0B1F">
        <w:rPr>
          <w:rStyle w:val="Voetnootmarkering"/>
          <w:rFonts w:ascii="Verdana" w:hAnsi="Verdana"/>
        </w:rPr>
        <w:footnoteReference w:id="63"/>
      </w:r>
      <w:r w:rsidR="006D5D9D" w:rsidRPr="005E0B1F">
        <w:rPr>
          <w:rFonts w:ascii="Verdana" w:hAnsi="Verdana"/>
        </w:rPr>
        <w:t>)</w:t>
      </w:r>
      <w:r w:rsidR="002D2E67">
        <w:rPr>
          <w:rFonts w:ascii="Verdana" w:hAnsi="Verdana"/>
        </w:rPr>
        <w:t>. Dit houdt dus in dat</w:t>
      </w:r>
      <w:r w:rsidR="00C6304B" w:rsidRPr="005E0B1F">
        <w:rPr>
          <w:rFonts w:ascii="Verdana" w:hAnsi="Verdana"/>
        </w:rPr>
        <w:t xml:space="preserve"> bijvoorbeeld een advocaat zich alleen op dit verschoningsrecht mag beroepen</w:t>
      </w:r>
      <w:r w:rsidR="00C9581B">
        <w:rPr>
          <w:rFonts w:ascii="Verdana" w:hAnsi="Verdana"/>
        </w:rPr>
        <w:t>,</w:t>
      </w:r>
      <w:r w:rsidR="00C6304B" w:rsidRPr="005E0B1F">
        <w:rPr>
          <w:rFonts w:ascii="Verdana" w:hAnsi="Verdana"/>
        </w:rPr>
        <w:t xml:space="preserve"> indien hij de informatie heeft gekregen i</w:t>
      </w:r>
      <w:r w:rsidR="006D5D9D" w:rsidRPr="005E0B1F">
        <w:rPr>
          <w:rFonts w:ascii="Verdana" w:hAnsi="Verdana"/>
        </w:rPr>
        <w:t xml:space="preserve">n de hoedanigheid van advocaat. </w:t>
      </w:r>
      <w:r w:rsidR="00C6304B" w:rsidRPr="005E0B1F">
        <w:rPr>
          <w:rFonts w:ascii="Verdana" w:hAnsi="Verdana"/>
        </w:rPr>
        <w:t>Informatie die de advocaat in privétijd op een feestje zou vergaren, valt dus niet</w:t>
      </w:r>
      <w:r w:rsidR="002D2E67">
        <w:rPr>
          <w:rFonts w:ascii="Verdana" w:hAnsi="Verdana"/>
        </w:rPr>
        <w:t xml:space="preserve"> onder het verschoningsrecht. Ditzelfde geldt</w:t>
      </w:r>
      <w:r w:rsidR="00C6304B" w:rsidRPr="005E0B1F">
        <w:rPr>
          <w:rFonts w:ascii="Verdana" w:hAnsi="Verdana"/>
        </w:rPr>
        <w:t xml:space="preserve"> ook voor de arts en de </w:t>
      </w:r>
      <w:r w:rsidR="00603E40" w:rsidRPr="005E0B1F">
        <w:rPr>
          <w:rFonts w:ascii="Verdana" w:hAnsi="Verdana"/>
        </w:rPr>
        <w:t>notaris. Het verschoningsrecht d</w:t>
      </w:r>
      <w:r w:rsidR="002D2E67">
        <w:rPr>
          <w:rFonts w:ascii="Verdana" w:hAnsi="Verdana"/>
        </w:rPr>
        <w:t xml:space="preserve">at </w:t>
      </w:r>
      <w:r w:rsidR="001F5BAD">
        <w:rPr>
          <w:rFonts w:ascii="Verdana" w:hAnsi="Verdana"/>
        </w:rPr>
        <w:t xml:space="preserve">wordt </w:t>
      </w:r>
      <w:r w:rsidR="002D2E67">
        <w:rPr>
          <w:rFonts w:ascii="Verdana" w:hAnsi="Verdana"/>
        </w:rPr>
        <w:t>ontleend aan</w:t>
      </w:r>
      <w:r w:rsidR="00C9581B">
        <w:rPr>
          <w:rFonts w:ascii="Verdana" w:hAnsi="Verdana"/>
        </w:rPr>
        <w:t xml:space="preserve"> artikel 218 Sv</w:t>
      </w:r>
      <w:r w:rsidR="00C6304B" w:rsidRPr="005E0B1F">
        <w:rPr>
          <w:rFonts w:ascii="Verdana" w:hAnsi="Verdana"/>
        </w:rPr>
        <w:t xml:space="preserve"> wordt ook wel het professionele verschoningsrecht genoemd. </w:t>
      </w:r>
    </w:p>
    <w:p w:rsidR="00C6304B" w:rsidRPr="005E0B1F" w:rsidRDefault="00C6304B" w:rsidP="0092501F">
      <w:pPr>
        <w:shd w:val="clear" w:color="auto" w:fill="FFFFFF"/>
        <w:spacing w:after="0" w:line="22" w:lineRule="atLeast"/>
        <w:jc w:val="both"/>
        <w:rPr>
          <w:rFonts w:ascii="Verdana" w:hAnsi="Verdana"/>
        </w:rPr>
      </w:pPr>
    </w:p>
    <w:p w:rsidR="00C6304B" w:rsidRPr="005E0B1F" w:rsidRDefault="00C6304B" w:rsidP="0092501F">
      <w:pPr>
        <w:shd w:val="clear" w:color="auto" w:fill="FFFFFF"/>
        <w:spacing w:after="0" w:line="22" w:lineRule="atLeast"/>
        <w:jc w:val="both"/>
        <w:rPr>
          <w:rFonts w:ascii="Verdana" w:hAnsi="Verdana"/>
        </w:rPr>
      </w:pPr>
      <w:r w:rsidRPr="005E0B1F">
        <w:rPr>
          <w:rFonts w:ascii="Verdana" w:hAnsi="Verdana"/>
        </w:rPr>
        <w:t xml:space="preserve">Er geldt niet alleen een verschoningsrecht voor beroepsbeoefenaren. In de artikelen 217 t/m 219b Sv zijn nog meer groepen te vinden die aanspraak kunnen maken op het verschoningsrecht. Deze zal ik dan ook uitwerken, te beginnen bij artikel 217 Sv. In artikel 217 Sv is te </w:t>
      </w:r>
      <w:r w:rsidR="00603E40" w:rsidRPr="005E0B1F">
        <w:rPr>
          <w:rFonts w:ascii="Verdana" w:hAnsi="Verdana"/>
        </w:rPr>
        <w:t xml:space="preserve">lezen </w:t>
      </w:r>
      <w:r w:rsidRPr="005E0B1F">
        <w:rPr>
          <w:rFonts w:ascii="Verdana" w:hAnsi="Verdana"/>
        </w:rPr>
        <w:t>dat bloed- of aanverwanten in de rechte lijn van de verdachte zelf of van medeverdachten</w:t>
      </w:r>
      <w:r w:rsidRPr="005E0B1F">
        <w:rPr>
          <w:rStyle w:val="Voetnootmarkering"/>
          <w:rFonts w:ascii="Verdana" w:hAnsi="Verdana"/>
        </w:rPr>
        <w:footnoteReference w:id="64"/>
      </w:r>
      <w:r w:rsidRPr="005E0B1F">
        <w:rPr>
          <w:rFonts w:ascii="Verdana" w:hAnsi="Verdana"/>
        </w:rPr>
        <w:t>, bloed- en aanverwanten in de zijlijn tot en met de derde graad van de verdachte of medeverdachten</w:t>
      </w:r>
      <w:r w:rsidRPr="005E0B1F">
        <w:rPr>
          <w:rStyle w:val="Voetnootmarkering"/>
          <w:rFonts w:ascii="Verdana" w:hAnsi="Verdana"/>
        </w:rPr>
        <w:footnoteReference w:id="65"/>
      </w:r>
      <w:r w:rsidRPr="005E0B1F">
        <w:rPr>
          <w:rFonts w:ascii="Verdana" w:hAnsi="Verdana"/>
        </w:rPr>
        <w:t xml:space="preserve"> en de echtgenoot of eerdere echtgenoten van dan wel de geregistreerd</w:t>
      </w:r>
      <w:r w:rsidR="00E748C8">
        <w:rPr>
          <w:rFonts w:ascii="Verdana" w:hAnsi="Verdana"/>
        </w:rPr>
        <w:t>e</w:t>
      </w:r>
      <w:r w:rsidRPr="005E0B1F">
        <w:rPr>
          <w:rFonts w:ascii="Verdana" w:hAnsi="Verdana"/>
        </w:rPr>
        <w:t xml:space="preserve"> partner of eerdere geregistreerde partners van de verdachte of medeverdachten</w:t>
      </w:r>
      <w:r w:rsidRPr="005E0B1F">
        <w:rPr>
          <w:rStyle w:val="Voetnootmarkering"/>
          <w:rFonts w:ascii="Verdana" w:hAnsi="Verdana"/>
        </w:rPr>
        <w:footnoteReference w:id="66"/>
      </w:r>
      <w:r w:rsidRPr="005E0B1F">
        <w:rPr>
          <w:rFonts w:ascii="Verdana" w:hAnsi="Verdana"/>
        </w:rPr>
        <w:t xml:space="preserve"> zich kunnen verschonen van het geven van een getuigenis of van het beantwoorden van bepaalde vragen. Dit verschoningsrecht wordt ook wel het verschoningsrecht van verwanten genoemd. </w:t>
      </w:r>
    </w:p>
    <w:p w:rsidR="00C6304B" w:rsidRPr="005E0B1F" w:rsidRDefault="00C6304B" w:rsidP="0092501F">
      <w:pPr>
        <w:shd w:val="clear" w:color="auto" w:fill="FFFFFF"/>
        <w:spacing w:after="0" w:line="22" w:lineRule="atLeast"/>
        <w:jc w:val="both"/>
        <w:rPr>
          <w:rFonts w:ascii="Verdana" w:hAnsi="Verdana"/>
        </w:rPr>
      </w:pPr>
    </w:p>
    <w:p w:rsidR="00C6304B" w:rsidRPr="005E0B1F" w:rsidRDefault="00270B0A" w:rsidP="0092501F">
      <w:pPr>
        <w:shd w:val="clear" w:color="auto" w:fill="FFFFFF"/>
        <w:spacing w:after="0" w:line="22" w:lineRule="atLeast"/>
        <w:jc w:val="both"/>
        <w:rPr>
          <w:rFonts w:ascii="Verdana" w:hAnsi="Verdana"/>
        </w:rPr>
      </w:pPr>
      <w:r>
        <w:rPr>
          <w:rFonts w:ascii="Verdana" w:hAnsi="Verdana"/>
        </w:rPr>
        <w:t>A</w:t>
      </w:r>
      <w:r w:rsidR="00C6304B" w:rsidRPr="005E0B1F">
        <w:rPr>
          <w:rFonts w:ascii="Verdana" w:hAnsi="Verdana"/>
        </w:rPr>
        <w:t>rtikel 219 Sv</w:t>
      </w:r>
      <w:r w:rsidR="00E748C8">
        <w:rPr>
          <w:rFonts w:ascii="Verdana" w:hAnsi="Verdana"/>
        </w:rPr>
        <w:t> </w:t>
      </w:r>
      <w:r w:rsidR="00C6304B" w:rsidRPr="005E0B1F">
        <w:rPr>
          <w:rFonts w:ascii="Verdana" w:hAnsi="Verdana"/>
        </w:rPr>
        <w:t>houdt in dat een getuige zich kan verschonen van het beant</w:t>
      </w:r>
      <w:r>
        <w:rPr>
          <w:rFonts w:ascii="Verdana" w:hAnsi="Verdana"/>
        </w:rPr>
        <w:t>-</w:t>
      </w:r>
      <w:r w:rsidR="00C6304B" w:rsidRPr="005E0B1F">
        <w:rPr>
          <w:rFonts w:ascii="Verdana" w:hAnsi="Verdana"/>
        </w:rPr>
        <w:t>woorden van gestelde vragen indien hij do</w:t>
      </w:r>
      <w:r w:rsidR="00885A68">
        <w:rPr>
          <w:rFonts w:ascii="Verdana" w:hAnsi="Verdana"/>
        </w:rPr>
        <w:t>or het beantwoorden van die vragen</w:t>
      </w:r>
      <w:r w:rsidR="00C6304B" w:rsidRPr="005E0B1F">
        <w:rPr>
          <w:rFonts w:ascii="Verdana" w:hAnsi="Verdana"/>
        </w:rPr>
        <w:t xml:space="preserve"> zichzelf of zijn familie in gevaar zou brengen van een strafrechtelijke veroordeling. Onder familie vallen bloed- of aanverwanten in de rechte lijn of in de zijlijn in de tweede of derde graad of de echtgenoot of eerdere echtgenoten van dan wel de geregistreerd</w:t>
      </w:r>
      <w:r w:rsidR="00E748C8">
        <w:rPr>
          <w:rFonts w:ascii="Verdana" w:hAnsi="Verdana"/>
        </w:rPr>
        <w:t>e</w:t>
      </w:r>
      <w:r w:rsidR="00C6304B" w:rsidRPr="005E0B1F">
        <w:rPr>
          <w:rFonts w:ascii="Verdana" w:hAnsi="Verdana"/>
        </w:rPr>
        <w:t xml:space="preserve"> partner of eerdere geregistreerde partners van de getuige. In deze gevallen mogen getuigen niet afzien van het in het geheel niet afleggen van een getuigenis, zij mogen zich alleen verschonen van het beant</w:t>
      </w:r>
      <w:r w:rsidR="00885A68">
        <w:rPr>
          <w:rFonts w:ascii="Verdana" w:hAnsi="Verdana"/>
        </w:rPr>
        <w:t>woorden van</w:t>
      </w:r>
      <w:r w:rsidR="00C6304B" w:rsidRPr="005E0B1F">
        <w:rPr>
          <w:rFonts w:ascii="Verdana" w:hAnsi="Verdana"/>
        </w:rPr>
        <w:t xml:space="preserve"> bepaalde vragen. Dit verschoningsrecht wordt ook wel aangeduid als het nemo-tenetur verschoningsrecht.</w:t>
      </w:r>
    </w:p>
    <w:p w:rsidR="00C6304B" w:rsidRPr="005E0B1F" w:rsidRDefault="00C6304B" w:rsidP="0092501F">
      <w:pPr>
        <w:shd w:val="clear" w:color="auto" w:fill="FFFFFF"/>
        <w:spacing w:after="0" w:line="22" w:lineRule="atLeast"/>
        <w:jc w:val="both"/>
        <w:rPr>
          <w:rFonts w:ascii="Verdana" w:hAnsi="Verdana"/>
        </w:rPr>
      </w:pPr>
    </w:p>
    <w:p w:rsidR="00C6304B" w:rsidRPr="005E0B1F" w:rsidRDefault="00C6304B" w:rsidP="0092501F">
      <w:pPr>
        <w:shd w:val="clear" w:color="auto" w:fill="FFFFFF"/>
        <w:spacing w:after="0" w:line="22" w:lineRule="atLeast"/>
        <w:jc w:val="both"/>
        <w:rPr>
          <w:rFonts w:ascii="Verdana" w:hAnsi="Verdana"/>
        </w:rPr>
      </w:pPr>
      <w:r w:rsidRPr="005E0B1F">
        <w:rPr>
          <w:rFonts w:ascii="Verdana" w:hAnsi="Verdana"/>
        </w:rPr>
        <w:t xml:space="preserve">Artikel 219a Sv geeft aan degenen die betrokken zijn (geweest) bij het verhoor van een bedreigde getuige zich mogen verschonen van het beantwoorden van bepaalde vragen. Dit is ter voorkoming van het onthullen van de identiteit van de bedreigde getuige. Artikel 219b Sv ziet op gevallen met een afgeschermde getuige. Personen die betrokken zijn (geweest) bij het verhoor van een afgeschermde getuige kunnen zich verschonen van het beantwoorden van bepaalde vragen. Met dit verschoningsrecht wordt beoogd dat bepaalde </w:t>
      </w:r>
      <w:r w:rsidRPr="005E0B1F">
        <w:rPr>
          <w:rFonts w:ascii="Verdana" w:hAnsi="Verdana"/>
        </w:rPr>
        <w:lastRenderedPageBreak/>
        <w:t>gege</w:t>
      </w:r>
      <w:r w:rsidR="00270B0A">
        <w:rPr>
          <w:rFonts w:ascii="Verdana" w:hAnsi="Verdana"/>
        </w:rPr>
        <w:t>vens niet openbaar gemaakt mogen</w:t>
      </w:r>
      <w:r w:rsidRPr="005E0B1F">
        <w:rPr>
          <w:rFonts w:ascii="Verdana" w:hAnsi="Verdana"/>
        </w:rPr>
        <w:t xml:space="preserve"> worden in het kader van het verhoor, terwijl het belang van de staatsveiligheid zich daartegen zou verzetten</w:t>
      </w:r>
      <w:r w:rsidRPr="005E0B1F">
        <w:rPr>
          <w:rStyle w:val="Voetnootmarkering"/>
          <w:rFonts w:ascii="Verdana" w:hAnsi="Verdana"/>
        </w:rPr>
        <w:footnoteReference w:id="67"/>
      </w:r>
      <w:r w:rsidRPr="005E0B1F">
        <w:rPr>
          <w:rFonts w:ascii="Verdana" w:hAnsi="Verdana"/>
        </w:rPr>
        <w:t>.</w:t>
      </w:r>
    </w:p>
    <w:p w:rsidR="00C6304B" w:rsidRPr="0045654C" w:rsidRDefault="00C6304B" w:rsidP="0092501F">
      <w:pPr>
        <w:spacing w:after="0" w:line="22" w:lineRule="atLeast"/>
        <w:rPr>
          <w:rFonts w:ascii="Verdana" w:hAnsi="Verdana"/>
        </w:rPr>
      </w:pPr>
    </w:p>
    <w:p w:rsidR="00960FD3" w:rsidRPr="0045654C" w:rsidRDefault="00960FD3" w:rsidP="0092501F">
      <w:pPr>
        <w:spacing w:after="0" w:line="22" w:lineRule="atLeast"/>
        <w:rPr>
          <w:rFonts w:ascii="Verdana" w:hAnsi="Verdana"/>
        </w:rPr>
      </w:pPr>
    </w:p>
    <w:p w:rsidR="00C6304B" w:rsidRPr="00960FD3" w:rsidRDefault="00960FD3" w:rsidP="0092501F">
      <w:pPr>
        <w:pStyle w:val="Kop2"/>
        <w:spacing w:before="0" w:line="22" w:lineRule="atLeast"/>
        <w:rPr>
          <w:rFonts w:ascii="Verdana" w:hAnsi="Verdana"/>
        </w:rPr>
      </w:pPr>
      <w:bookmarkStart w:id="34" w:name="_Toc444376682"/>
      <w:bookmarkStart w:id="35" w:name="_Toc451894999"/>
      <w:r>
        <w:rPr>
          <w:rFonts w:ascii="Verdana" w:hAnsi="Verdana"/>
        </w:rPr>
        <w:t>4</w:t>
      </w:r>
      <w:r w:rsidR="009042DE">
        <w:rPr>
          <w:rFonts w:ascii="Verdana" w:hAnsi="Verdana"/>
        </w:rPr>
        <w:t>.</w:t>
      </w:r>
      <w:r w:rsidR="00694E2C">
        <w:rPr>
          <w:rFonts w:ascii="Verdana" w:hAnsi="Verdana"/>
        </w:rPr>
        <w:t>4</w:t>
      </w:r>
      <w:r w:rsidR="009042DE">
        <w:rPr>
          <w:rFonts w:ascii="Verdana" w:hAnsi="Verdana"/>
        </w:rPr>
        <w:t xml:space="preserve"> Het v</w:t>
      </w:r>
      <w:r w:rsidR="00C6304B" w:rsidRPr="00960FD3">
        <w:rPr>
          <w:rFonts w:ascii="Verdana" w:hAnsi="Verdana"/>
        </w:rPr>
        <w:t>erschoningsrecht</w:t>
      </w:r>
      <w:r w:rsidR="004E0154">
        <w:rPr>
          <w:rFonts w:ascii="Verdana" w:hAnsi="Verdana"/>
        </w:rPr>
        <w:t>:</w:t>
      </w:r>
      <w:r w:rsidR="00C6304B" w:rsidRPr="00960FD3">
        <w:rPr>
          <w:rFonts w:ascii="Verdana" w:hAnsi="Verdana"/>
        </w:rPr>
        <w:t xml:space="preserve"> niet absoluut</w:t>
      </w:r>
      <w:bookmarkEnd w:id="34"/>
      <w:bookmarkEnd w:id="35"/>
    </w:p>
    <w:p w:rsidR="00C6304B" w:rsidRDefault="00C6304B" w:rsidP="0092501F">
      <w:pPr>
        <w:spacing w:after="0" w:line="22" w:lineRule="atLeast"/>
        <w:jc w:val="both"/>
        <w:rPr>
          <w:rFonts w:ascii="Verdana" w:hAnsi="Verdana"/>
        </w:rPr>
      </w:pPr>
      <w:r w:rsidRPr="005E0B1F">
        <w:rPr>
          <w:rFonts w:ascii="Verdana" w:hAnsi="Verdana"/>
        </w:rPr>
        <w:t xml:space="preserve">Het verschoningsrecht is niet absoluut. Hiervoor </w:t>
      </w:r>
      <w:r w:rsidR="00BD7F88">
        <w:rPr>
          <w:rFonts w:ascii="Verdana" w:hAnsi="Verdana"/>
        </w:rPr>
        <w:t>zijn de</w:t>
      </w:r>
      <w:r w:rsidRPr="005E0B1F">
        <w:rPr>
          <w:rFonts w:ascii="Verdana" w:hAnsi="Verdana"/>
        </w:rPr>
        <w:t xml:space="preserve"> verschillende vormen van het verschoningsrecht weer</w:t>
      </w:r>
      <w:r w:rsidR="00BD7F88">
        <w:rPr>
          <w:rFonts w:ascii="Verdana" w:hAnsi="Verdana"/>
        </w:rPr>
        <w:t>gegeven</w:t>
      </w:r>
      <w:r w:rsidRPr="005E0B1F">
        <w:rPr>
          <w:rFonts w:ascii="Verdana" w:hAnsi="Verdana"/>
        </w:rPr>
        <w:t xml:space="preserve">. Maar bij deze verschillende vormen zitten ook weer verschillende gradaties van het verschoningsrecht. Voor het verschoningsrecht voor verwanten en </w:t>
      </w:r>
      <w:r w:rsidR="00270B0A">
        <w:rPr>
          <w:rFonts w:ascii="Verdana" w:hAnsi="Verdana"/>
        </w:rPr>
        <w:t xml:space="preserve">voor </w:t>
      </w:r>
      <w:r w:rsidRPr="005E0B1F">
        <w:rPr>
          <w:rFonts w:ascii="Verdana" w:hAnsi="Verdana"/>
        </w:rPr>
        <w:t xml:space="preserve">het professionele verschoningsrecht geldt het verschoningsrecht ‘in volle omvang’. </w:t>
      </w:r>
      <w:r w:rsidR="00270B0A">
        <w:rPr>
          <w:rFonts w:ascii="Verdana" w:hAnsi="Verdana"/>
        </w:rPr>
        <w:t>‘</w:t>
      </w:r>
      <w:r w:rsidRPr="005E0B1F">
        <w:rPr>
          <w:rFonts w:ascii="Verdana" w:hAnsi="Verdana"/>
        </w:rPr>
        <w:t>In volle omvang</w:t>
      </w:r>
      <w:r w:rsidR="00270B0A">
        <w:rPr>
          <w:rFonts w:ascii="Verdana" w:hAnsi="Verdana"/>
        </w:rPr>
        <w:t>’</w:t>
      </w:r>
      <w:r w:rsidRPr="005E0B1F">
        <w:rPr>
          <w:rFonts w:ascii="Verdana" w:hAnsi="Verdana"/>
        </w:rPr>
        <w:t xml:space="preserve"> houdt in dat deze verschoningsgerechtigde</w:t>
      </w:r>
      <w:r w:rsidR="00E748C8">
        <w:rPr>
          <w:rFonts w:ascii="Verdana" w:hAnsi="Verdana"/>
        </w:rPr>
        <w:t>n</w:t>
      </w:r>
      <w:r w:rsidRPr="005E0B1F">
        <w:rPr>
          <w:rFonts w:ascii="Verdana" w:hAnsi="Verdana"/>
        </w:rPr>
        <w:t xml:space="preserve"> zowel mogen afzien van het beantwoorden van bepaalde vragen alsook van een getuigenis in het geheel. Voor het vers</w:t>
      </w:r>
      <w:r w:rsidR="00E2600A">
        <w:rPr>
          <w:rFonts w:ascii="Verdana" w:hAnsi="Verdana"/>
        </w:rPr>
        <w:t>choningsrecht dat wordt ontleend</w:t>
      </w:r>
      <w:r w:rsidR="00270B0A">
        <w:rPr>
          <w:rFonts w:ascii="Verdana" w:hAnsi="Verdana"/>
        </w:rPr>
        <w:t xml:space="preserve"> aan</w:t>
      </w:r>
      <w:r w:rsidRPr="005E0B1F">
        <w:rPr>
          <w:rFonts w:ascii="Verdana" w:hAnsi="Verdana"/>
        </w:rPr>
        <w:t xml:space="preserve"> de artikelen 219 t/m 219b Sv geldt een beperkt verschoningsrecht. Zij mogen zich alleen verschonen van het beantwoorden van bepaalde vragen, zij mogen dus niet afzien van het geven van een getuigenis.</w:t>
      </w:r>
    </w:p>
    <w:p w:rsidR="00E748C8" w:rsidRDefault="00E748C8" w:rsidP="0092501F">
      <w:pPr>
        <w:spacing w:after="0" w:line="22" w:lineRule="atLeast"/>
        <w:jc w:val="both"/>
        <w:rPr>
          <w:rFonts w:ascii="Verdana" w:hAnsi="Verdana"/>
        </w:rPr>
      </w:pPr>
    </w:p>
    <w:p w:rsidR="00270B0A" w:rsidRDefault="00E748C8" w:rsidP="0092501F">
      <w:pPr>
        <w:spacing w:after="0" w:line="22" w:lineRule="atLeast"/>
        <w:jc w:val="both"/>
        <w:rPr>
          <w:rFonts w:ascii="Verdana" w:hAnsi="Verdana"/>
        </w:rPr>
      </w:pPr>
      <w:r>
        <w:rPr>
          <w:rFonts w:ascii="Verdana" w:hAnsi="Verdana"/>
        </w:rPr>
        <w:t xml:space="preserve">Verder zijn er nog andere mogelijkheden mogelijk waarop het verschoningsrecht doorbroken kan worden. </w:t>
      </w:r>
      <w:r w:rsidR="00C6304B" w:rsidRPr="005E0B1F">
        <w:rPr>
          <w:rFonts w:ascii="Verdana" w:hAnsi="Verdana"/>
        </w:rPr>
        <w:t>Ten eerste is dit het geval bij een wettelijke verplichting. Denk hierbij aan de notaris die een meldingsplicht heeft op grond van de WWFT of de arts die melding moet maken van een niet-natuurlijke dood of een calamiteit in de zorg. In deze gevallen moet</w:t>
      </w:r>
      <w:r w:rsidR="00603E40" w:rsidRPr="005E0B1F">
        <w:rPr>
          <w:rFonts w:ascii="Verdana" w:hAnsi="Verdana"/>
        </w:rPr>
        <w:t>en</w:t>
      </w:r>
      <w:r w:rsidR="00C6304B" w:rsidRPr="005E0B1F">
        <w:rPr>
          <w:rFonts w:ascii="Verdana" w:hAnsi="Verdana"/>
        </w:rPr>
        <w:t xml:space="preserve"> het beroepsgeheim en </w:t>
      </w:r>
      <w:r w:rsidR="00603E40" w:rsidRPr="005E0B1F">
        <w:rPr>
          <w:rFonts w:ascii="Verdana" w:hAnsi="Verdana"/>
        </w:rPr>
        <w:t xml:space="preserve">het </w:t>
      </w:r>
      <w:r w:rsidR="00C6304B" w:rsidRPr="005E0B1F">
        <w:rPr>
          <w:rFonts w:ascii="Verdana" w:hAnsi="Verdana"/>
        </w:rPr>
        <w:t xml:space="preserve">verschoningsrecht wijken voor een groter maatschappelijk belang. </w:t>
      </w:r>
      <w:r w:rsidR="00F46F46" w:rsidRPr="005E0B1F">
        <w:rPr>
          <w:rFonts w:ascii="Verdana" w:hAnsi="Verdana"/>
        </w:rPr>
        <w:t xml:space="preserve">Het doorbreken van het verschoningsrecht is in dit geval een verplichting van de beroepsbeoefenaar. Verder zijn er nog een aantal andere mogelijkheden waarop het verschoningsrecht doorbroken </w:t>
      </w:r>
      <w:r w:rsidR="00F46F46" w:rsidRPr="00270B0A">
        <w:rPr>
          <w:rFonts w:ascii="Verdana" w:hAnsi="Verdana"/>
        </w:rPr>
        <w:t>kán</w:t>
      </w:r>
      <w:r w:rsidR="00F46F46" w:rsidRPr="005E0B1F">
        <w:rPr>
          <w:rFonts w:ascii="Verdana" w:hAnsi="Verdana"/>
        </w:rPr>
        <w:t xml:space="preserve"> (niet moet!) worden, namelijk door middel van toestemming van de cliënt/patiënt, in geval van een noodtoestand en in geval van een zwaarwegend belang. </w:t>
      </w:r>
    </w:p>
    <w:p w:rsidR="00270B0A" w:rsidRDefault="00270B0A" w:rsidP="0092501F">
      <w:pPr>
        <w:spacing w:after="0" w:line="22" w:lineRule="atLeast"/>
        <w:jc w:val="both"/>
        <w:rPr>
          <w:rFonts w:ascii="Verdana" w:hAnsi="Verdana"/>
        </w:rPr>
      </w:pPr>
    </w:p>
    <w:p w:rsidR="00270B0A" w:rsidRDefault="00F46F46" w:rsidP="0092501F">
      <w:pPr>
        <w:spacing w:after="0" w:line="22" w:lineRule="atLeast"/>
        <w:jc w:val="both"/>
        <w:rPr>
          <w:rFonts w:ascii="Verdana" w:hAnsi="Verdana"/>
        </w:rPr>
      </w:pPr>
      <w:r w:rsidRPr="005E0B1F">
        <w:rPr>
          <w:rFonts w:ascii="Verdana" w:hAnsi="Verdana"/>
        </w:rPr>
        <w:t>Ten eerste de mogelijkheid dat de cliënt/patiënt toestemming geeft om het beroepsgeheim of verschoningsrecht te doorbreken. In deze situatie behoudt de beroepsbeoefenaar de professionele verantwoordelijkheid om zelf een beslissing te nemen omtrent het doorbreken van zijn beroepsgeheim of verschoningsrecht. Ten tweede de situatie dat er sprake is van een noodtoestand. Deze no</w:t>
      </w:r>
      <w:r w:rsidR="00603E40" w:rsidRPr="005E0B1F">
        <w:rPr>
          <w:rFonts w:ascii="Verdana" w:hAnsi="Verdana"/>
        </w:rPr>
        <w:t>odtoestand kan vergeleken</w:t>
      </w:r>
      <w:r w:rsidRPr="005E0B1F">
        <w:rPr>
          <w:rFonts w:ascii="Verdana" w:hAnsi="Verdana"/>
        </w:rPr>
        <w:t xml:space="preserve"> worden met een beroep op overmacht als bedoeld in artikel 40 Sr. Van een noodtoestand is sprake wanneer er een ernstig gevaar dreigt dat zonder het doorbreken van het beroepsgeheim of verschoningsrecht niet kan worden afgewend; het gaat dus om een toekomstig gevaar. Twee klassieke voorbeelden hiervan zijn vermoeden van kindermishandeling</w:t>
      </w:r>
      <w:r w:rsidRPr="005E0B1F">
        <w:rPr>
          <w:rStyle w:val="Voetnootmarkering"/>
          <w:rFonts w:ascii="Verdana" w:hAnsi="Verdana"/>
        </w:rPr>
        <w:footnoteReference w:id="68"/>
      </w:r>
      <w:r w:rsidRPr="005E0B1F">
        <w:rPr>
          <w:rFonts w:ascii="Verdana" w:hAnsi="Verdana"/>
        </w:rPr>
        <w:t xml:space="preserve"> en de dronken motorrijder die na behandeling van zijn verwondingen, veroorzaakt door een val, weer op zijn motor stapt</w:t>
      </w:r>
      <w:r w:rsidRPr="005E0B1F">
        <w:rPr>
          <w:rStyle w:val="Voetnootmarkering"/>
          <w:rFonts w:ascii="Verdana" w:hAnsi="Verdana"/>
        </w:rPr>
        <w:footnoteReference w:id="69"/>
      </w:r>
      <w:r w:rsidRPr="005E0B1F">
        <w:rPr>
          <w:rFonts w:ascii="Verdana" w:hAnsi="Verdana"/>
        </w:rPr>
        <w:t xml:space="preserve">. In de medische wereld wordt deze noodtoestand ook wel aangeduid als het conflict van plichten; de hulpverlener wordt geconfronteerd met een (morele) plicht die tegenstrijdig is met zijn plicht tot geheimhouding. Bij kindermishandeling wordt doorgaans de meldcode kindermishandeling gevolgd; deze meldcode </w:t>
      </w:r>
      <w:r w:rsidR="005F3974" w:rsidRPr="005E0B1F">
        <w:rPr>
          <w:rFonts w:ascii="Verdana" w:hAnsi="Verdana"/>
        </w:rPr>
        <w:t xml:space="preserve">heeft iets minder zware stappen die gevolgd moeten worden </w:t>
      </w:r>
      <w:r w:rsidRPr="005E0B1F">
        <w:rPr>
          <w:rFonts w:ascii="Verdana" w:hAnsi="Verdana"/>
        </w:rPr>
        <w:t xml:space="preserve">dan de stappen die gevolgd moeten worden bij een conflict van plichten. </w:t>
      </w:r>
    </w:p>
    <w:p w:rsidR="00270B0A" w:rsidRDefault="00270B0A" w:rsidP="0092501F">
      <w:pPr>
        <w:spacing w:after="0" w:line="22" w:lineRule="atLeast"/>
        <w:jc w:val="both"/>
        <w:rPr>
          <w:rFonts w:ascii="Verdana" w:hAnsi="Verdana"/>
        </w:rPr>
      </w:pPr>
    </w:p>
    <w:p w:rsidR="00C6304B" w:rsidRPr="005E0B1F" w:rsidRDefault="00270B0A" w:rsidP="0092501F">
      <w:pPr>
        <w:spacing w:after="0" w:line="22" w:lineRule="atLeast"/>
        <w:jc w:val="both"/>
        <w:rPr>
          <w:rFonts w:ascii="Verdana" w:hAnsi="Verdana"/>
        </w:rPr>
      </w:pPr>
      <w:r>
        <w:rPr>
          <w:rFonts w:ascii="Verdana" w:hAnsi="Verdana"/>
        </w:rPr>
        <w:lastRenderedPageBreak/>
        <w:t>Tot slot is er</w:t>
      </w:r>
      <w:r w:rsidR="00F46F46" w:rsidRPr="005E0B1F">
        <w:rPr>
          <w:rFonts w:ascii="Verdana" w:hAnsi="Verdana"/>
        </w:rPr>
        <w:t xml:space="preserve"> nog het zwaarwegend belang. Bij het zwaarwegend belang is er net als bij de noodtoestand sprake van twee belangen die moeten worden afgewogen. Echter, bij een zwaarwegend belang is er </w:t>
      </w:r>
      <w:r w:rsidR="00603E40" w:rsidRPr="005E0B1F">
        <w:rPr>
          <w:rFonts w:ascii="Verdana" w:hAnsi="Verdana"/>
        </w:rPr>
        <w:t>geen</w:t>
      </w:r>
      <w:r w:rsidR="00F46F46" w:rsidRPr="005E0B1F">
        <w:rPr>
          <w:rFonts w:ascii="Verdana" w:hAnsi="Verdana"/>
        </w:rPr>
        <w:t xml:space="preserve"> sprake van een dreigend gevaar zoals dat het geval is bij de noodtoestand. Verder oordeelt doorgaans de rechter of er sprake is van een zwaarwegend belang, waar de beroepsbeoefenaar dat zelf bepaalt bij een noodtoestand</w:t>
      </w:r>
      <w:r w:rsidR="00F46F46" w:rsidRPr="005E0B1F">
        <w:rPr>
          <w:rStyle w:val="Voetnootmarkering"/>
          <w:rFonts w:ascii="Verdana" w:hAnsi="Verdana"/>
        </w:rPr>
        <w:footnoteReference w:id="70"/>
      </w:r>
      <w:r w:rsidR="00F46F46" w:rsidRPr="005E0B1F">
        <w:rPr>
          <w:rFonts w:ascii="Verdana" w:hAnsi="Verdana"/>
        </w:rPr>
        <w:t xml:space="preserve">. </w:t>
      </w:r>
    </w:p>
    <w:p w:rsidR="00F46F46" w:rsidRPr="0045654C" w:rsidRDefault="00F46F46" w:rsidP="0092501F">
      <w:pPr>
        <w:spacing w:after="0" w:line="22" w:lineRule="atLeast"/>
        <w:rPr>
          <w:rFonts w:ascii="Verdana" w:hAnsi="Verdana"/>
        </w:rPr>
      </w:pPr>
    </w:p>
    <w:p w:rsidR="00960FD3" w:rsidRPr="0045654C" w:rsidRDefault="00960FD3" w:rsidP="0092501F">
      <w:pPr>
        <w:spacing w:after="0" w:line="22" w:lineRule="atLeast"/>
        <w:rPr>
          <w:rFonts w:ascii="Verdana" w:hAnsi="Verdana"/>
        </w:rPr>
      </w:pPr>
    </w:p>
    <w:p w:rsidR="00C6304B" w:rsidRPr="002354E9" w:rsidRDefault="00960FD3" w:rsidP="0092501F">
      <w:pPr>
        <w:pStyle w:val="Kop2"/>
        <w:spacing w:before="0" w:line="22" w:lineRule="atLeast"/>
        <w:rPr>
          <w:rFonts w:ascii="Verdana" w:hAnsi="Verdana"/>
        </w:rPr>
      </w:pPr>
      <w:bookmarkStart w:id="36" w:name="_Toc444376683"/>
      <w:bookmarkStart w:id="37" w:name="_Toc451895000"/>
      <w:r w:rsidRPr="002354E9">
        <w:rPr>
          <w:rFonts w:ascii="Verdana" w:hAnsi="Verdana"/>
        </w:rPr>
        <w:t>4</w:t>
      </w:r>
      <w:r w:rsidR="00C6304B" w:rsidRPr="002354E9">
        <w:rPr>
          <w:rFonts w:ascii="Verdana" w:hAnsi="Verdana"/>
        </w:rPr>
        <w:t>.</w:t>
      </w:r>
      <w:r w:rsidR="00694E2C" w:rsidRPr="002354E9">
        <w:rPr>
          <w:rFonts w:ascii="Verdana" w:hAnsi="Verdana"/>
        </w:rPr>
        <w:t>5</w:t>
      </w:r>
      <w:r w:rsidR="00C6304B" w:rsidRPr="002354E9">
        <w:rPr>
          <w:rFonts w:ascii="Verdana" w:hAnsi="Verdana"/>
        </w:rPr>
        <w:t xml:space="preserve"> Afgeleid</w:t>
      </w:r>
      <w:r w:rsidR="00E04739" w:rsidRPr="002354E9">
        <w:rPr>
          <w:rFonts w:ascii="Verdana" w:hAnsi="Verdana"/>
        </w:rPr>
        <w:t>-</w:t>
      </w:r>
      <w:r w:rsidR="00C6304B" w:rsidRPr="002354E9">
        <w:rPr>
          <w:rFonts w:ascii="Verdana" w:hAnsi="Verdana"/>
        </w:rPr>
        <w:t xml:space="preserve"> en gedeeld verschoningsrecht</w:t>
      </w:r>
      <w:bookmarkEnd w:id="36"/>
      <w:bookmarkEnd w:id="37"/>
    </w:p>
    <w:p w:rsidR="00C6304B" w:rsidRPr="002354E9" w:rsidRDefault="00C6304B" w:rsidP="0092501F">
      <w:pPr>
        <w:spacing w:after="0" w:line="22" w:lineRule="atLeast"/>
        <w:jc w:val="both"/>
        <w:rPr>
          <w:rFonts w:ascii="Verdana" w:hAnsi="Verdana"/>
          <w:strike/>
        </w:rPr>
      </w:pPr>
      <w:r w:rsidRPr="002354E9">
        <w:rPr>
          <w:rFonts w:ascii="Verdana" w:hAnsi="Verdana"/>
        </w:rPr>
        <w:t>Niet alleen de beroepsbeoefenaar die onder artikel 218 Sv v</w:t>
      </w:r>
      <w:r w:rsidR="00270B0A" w:rsidRPr="002354E9">
        <w:rPr>
          <w:rFonts w:ascii="Verdana" w:hAnsi="Verdana"/>
        </w:rPr>
        <w:t>alt heeft een verschoningsrecht.</w:t>
      </w:r>
      <w:r w:rsidR="00932421">
        <w:rPr>
          <w:rFonts w:ascii="Verdana" w:hAnsi="Verdana"/>
        </w:rPr>
        <w:t> </w:t>
      </w:r>
      <w:r w:rsidR="00270B0A" w:rsidRPr="002354E9">
        <w:rPr>
          <w:rFonts w:ascii="Verdana" w:hAnsi="Verdana"/>
        </w:rPr>
        <w:t>E</w:t>
      </w:r>
      <w:r w:rsidRPr="002354E9">
        <w:rPr>
          <w:rFonts w:ascii="Verdana" w:hAnsi="Verdana"/>
        </w:rPr>
        <w:t>r kan ook sprake zijn van</w:t>
      </w:r>
      <w:r w:rsidR="00270B0A" w:rsidRPr="002354E9">
        <w:rPr>
          <w:rFonts w:ascii="Verdana" w:hAnsi="Verdana"/>
        </w:rPr>
        <w:t xml:space="preserve"> een afgeleid verschoningsrecht voor anderen.</w:t>
      </w:r>
      <w:r w:rsidRPr="002354E9">
        <w:rPr>
          <w:rFonts w:ascii="Verdana" w:hAnsi="Verdana"/>
        </w:rPr>
        <w:t xml:space="preserve"> Een arts, notaris of advocaat heeft vaak personeel onder zich</w:t>
      </w:r>
      <w:r w:rsidR="007031D6">
        <w:rPr>
          <w:rFonts w:ascii="Verdana" w:hAnsi="Verdana"/>
        </w:rPr>
        <w:t>. In grote lijnen zal di</w:t>
      </w:r>
      <w:r w:rsidRPr="002354E9">
        <w:rPr>
          <w:rFonts w:ascii="Verdana" w:hAnsi="Verdana"/>
        </w:rPr>
        <w:t xml:space="preserve">t personeel net zoveel van een zaak afweten als de arts, notaris of </w:t>
      </w:r>
      <w:r w:rsidR="00932421">
        <w:rPr>
          <w:rFonts w:ascii="Verdana" w:hAnsi="Verdana"/>
        </w:rPr>
        <w:t>advocaat zelf. Het zou</w:t>
      </w:r>
      <w:r w:rsidRPr="002354E9">
        <w:rPr>
          <w:rFonts w:ascii="Verdana" w:hAnsi="Verdana"/>
        </w:rPr>
        <w:t xml:space="preserve"> raar zijn als de arts, notaris of advocaat zich kan/moet beroepen of het verschoningsrecht, maar hun personeel vervolgens vrijuit moet praten. Om deze reden is het afgeleide verschoningsrecht ontstaan</w:t>
      </w:r>
      <w:r w:rsidRPr="002354E9">
        <w:rPr>
          <w:rStyle w:val="Voetnootmarkering"/>
          <w:rFonts w:ascii="Verdana" w:hAnsi="Verdana"/>
        </w:rPr>
        <w:footnoteReference w:id="71"/>
      </w:r>
      <w:r w:rsidRPr="002354E9">
        <w:rPr>
          <w:rFonts w:ascii="Verdana" w:hAnsi="Verdana"/>
        </w:rPr>
        <w:t xml:space="preserve">. </w:t>
      </w:r>
    </w:p>
    <w:p w:rsidR="00C6304B" w:rsidRPr="002354E9" w:rsidRDefault="00C6304B" w:rsidP="0092501F">
      <w:pPr>
        <w:spacing w:after="0" w:line="22" w:lineRule="atLeast"/>
        <w:jc w:val="both"/>
        <w:rPr>
          <w:rFonts w:ascii="Verdana" w:hAnsi="Verdana"/>
        </w:rPr>
      </w:pPr>
    </w:p>
    <w:p w:rsidR="00C6304B" w:rsidRPr="002354E9" w:rsidRDefault="00270B0A" w:rsidP="0092501F">
      <w:pPr>
        <w:spacing w:after="0" w:line="22" w:lineRule="atLeast"/>
        <w:jc w:val="both"/>
        <w:rPr>
          <w:rFonts w:ascii="Verdana" w:hAnsi="Verdana"/>
        </w:rPr>
      </w:pPr>
      <w:r w:rsidRPr="002354E9">
        <w:rPr>
          <w:rFonts w:ascii="Verdana" w:hAnsi="Verdana"/>
        </w:rPr>
        <w:t>Tevens bestaat het</w:t>
      </w:r>
      <w:r w:rsidR="00C6304B" w:rsidRPr="002354E9">
        <w:rPr>
          <w:rFonts w:ascii="Verdana" w:hAnsi="Verdana"/>
        </w:rPr>
        <w:t xml:space="preserve"> gedeelde verschoningsrecht</w:t>
      </w:r>
      <w:r w:rsidR="002354E9">
        <w:rPr>
          <w:rStyle w:val="Voetnootmarkering"/>
          <w:rFonts w:ascii="Verdana" w:hAnsi="Verdana"/>
        </w:rPr>
        <w:footnoteReference w:id="72"/>
      </w:r>
      <w:r w:rsidR="00C6304B" w:rsidRPr="002354E9">
        <w:rPr>
          <w:rFonts w:ascii="Verdana" w:hAnsi="Verdana"/>
        </w:rPr>
        <w:t xml:space="preserve">. Dit </w:t>
      </w:r>
      <w:r w:rsidRPr="002354E9">
        <w:rPr>
          <w:rFonts w:ascii="Verdana" w:hAnsi="Verdana"/>
        </w:rPr>
        <w:t xml:space="preserve">verschoningsrecht </w:t>
      </w:r>
      <w:r w:rsidR="00C6304B" w:rsidRPr="002354E9">
        <w:rPr>
          <w:rFonts w:ascii="Verdana" w:hAnsi="Verdana"/>
        </w:rPr>
        <w:t>ziet op de situatie dat de verschoningsgerechtigde beroepsbeoefenaar iemand anders om assistentie, hulp of bijstand moet vragen. Het gaat hier om een incidentele situatie waarbij informatie zal moeten worden verschaft die onder het ver</w:t>
      </w:r>
      <w:r w:rsidR="00A4362A">
        <w:rPr>
          <w:rFonts w:ascii="Verdana" w:hAnsi="Verdana"/>
        </w:rPr>
        <w:t>-</w:t>
      </w:r>
      <w:r w:rsidR="00C6304B" w:rsidRPr="002354E9">
        <w:rPr>
          <w:rFonts w:ascii="Verdana" w:hAnsi="Verdana"/>
        </w:rPr>
        <w:t>schoningsrecht valt</w:t>
      </w:r>
      <w:r w:rsidR="00A4362A" w:rsidRPr="002354E9">
        <w:rPr>
          <w:rStyle w:val="Voetnootmarkering"/>
          <w:rFonts w:ascii="Verdana" w:hAnsi="Verdana"/>
        </w:rPr>
        <w:footnoteReference w:id="73"/>
      </w:r>
      <w:r w:rsidR="00C6304B" w:rsidRPr="002354E9">
        <w:rPr>
          <w:rFonts w:ascii="Verdana" w:hAnsi="Verdana"/>
        </w:rPr>
        <w:t xml:space="preserve">. In een dergelijk geval kan diegene die om assistentie, hulp of bijstand wordt gevraagd, zich beroepen op het gedeelde verschoningsrecht. De informatiewisseling moet dan wel plaatsvinden in de uitoefening van de werkzaamheden van de verschoningsgerechtigde beroepsbeoefenaar. </w:t>
      </w:r>
    </w:p>
    <w:p w:rsidR="00C6304B" w:rsidRPr="002354E9" w:rsidRDefault="00C6304B" w:rsidP="0092501F">
      <w:pPr>
        <w:spacing w:after="0" w:line="22" w:lineRule="atLeast"/>
        <w:jc w:val="both"/>
        <w:rPr>
          <w:rFonts w:ascii="Verdana" w:hAnsi="Verdana"/>
        </w:rPr>
      </w:pPr>
    </w:p>
    <w:p w:rsidR="00C6304B" w:rsidRPr="005E0B1F" w:rsidRDefault="00C6304B" w:rsidP="0092501F">
      <w:pPr>
        <w:spacing w:after="0" w:line="22" w:lineRule="atLeast"/>
        <w:jc w:val="both"/>
        <w:rPr>
          <w:rFonts w:ascii="Verdana" w:hAnsi="Verdana"/>
        </w:rPr>
      </w:pPr>
      <w:r w:rsidRPr="002354E9">
        <w:rPr>
          <w:rFonts w:ascii="Verdana" w:hAnsi="Verdana"/>
        </w:rPr>
        <w:t>Het verschil tussen een afgeleid- en gedeeld verschoningsrecht is van groot belang. Bij het afgeleide verschoningsrecht is het zo dat de beslissing van de verschoningsgerechtigde beroepsbeoefenaar gevolgd moet worden door degene die onder het afgeleide verschonings</w:t>
      </w:r>
      <w:r w:rsidR="00932421">
        <w:rPr>
          <w:rFonts w:ascii="Verdana" w:hAnsi="Verdana"/>
        </w:rPr>
        <w:t>recht valt. Dus in het geval wanneer</w:t>
      </w:r>
      <w:r w:rsidRPr="002354E9">
        <w:rPr>
          <w:rFonts w:ascii="Verdana" w:hAnsi="Verdana"/>
        </w:rPr>
        <w:t xml:space="preserve"> de verschoningsgerechtigde beroepsbeoefenaar zich niet beroept op zijn ver</w:t>
      </w:r>
      <w:r w:rsidR="00932421">
        <w:rPr>
          <w:rFonts w:ascii="Verdana" w:hAnsi="Verdana"/>
        </w:rPr>
        <w:t>-</w:t>
      </w:r>
      <w:r w:rsidRPr="002354E9">
        <w:rPr>
          <w:rFonts w:ascii="Verdana" w:hAnsi="Verdana"/>
        </w:rPr>
        <w:t xml:space="preserve">schoningsrecht, kan de afgeleide verschoningsgerechtigde dit </w:t>
      </w:r>
      <w:r w:rsidR="005B5500" w:rsidRPr="002354E9">
        <w:rPr>
          <w:rFonts w:ascii="Verdana" w:hAnsi="Verdana"/>
        </w:rPr>
        <w:t xml:space="preserve">derhalve </w:t>
      </w:r>
      <w:r w:rsidRPr="002354E9">
        <w:rPr>
          <w:rFonts w:ascii="Verdana" w:hAnsi="Verdana"/>
        </w:rPr>
        <w:t>ook niet doen</w:t>
      </w:r>
      <w:r w:rsidR="00A4362A" w:rsidRPr="002354E9">
        <w:rPr>
          <w:rStyle w:val="Voetnootmarkering"/>
          <w:rFonts w:ascii="Verdana" w:hAnsi="Verdana"/>
        </w:rPr>
        <w:footnoteReference w:id="74"/>
      </w:r>
      <w:r w:rsidRPr="002354E9">
        <w:rPr>
          <w:rFonts w:ascii="Verdana" w:hAnsi="Verdana"/>
        </w:rPr>
        <w:t>. Bij het gedeeld verschoningsrecht is dat anders. Zowel de verschonings</w:t>
      </w:r>
      <w:r w:rsidR="00932421">
        <w:rPr>
          <w:rFonts w:ascii="Verdana" w:hAnsi="Verdana"/>
        </w:rPr>
        <w:t>-</w:t>
      </w:r>
      <w:r w:rsidRPr="002354E9">
        <w:rPr>
          <w:rFonts w:ascii="Verdana" w:hAnsi="Verdana"/>
        </w:rPr>
        <w:t>gerechtigde beroepsbeoefenaar alsook de gedeeld verschoningsgerechtigde mogen zelf beslissen of zij zich beroepen op hun verschoningsrecht, hun beslissing kan dus afwijkend zijn van elkaar</w:t>
      </w:r>
      <w:r w:rsidR="00A4362A">
        <w:rPr>
          <w:rStyle w:val="Voetnootmarkering"/>
          <w:rFonts w:ascii="Verdana" w:hAnsi="Verdana"/>
        </w:rPr>
        <w:footnoteReference w:id="75"/>
      </w:r>
      <w:r w:rsidRPr="002354E9">
        <w:rPr>
          <w:rFonts w:ascii="Verdana" w:hAnsi="Verdana"/>
        </w:rPr>
        <w:t>.</w:t>
      </w:r>
    </w:p>
    <w:p w:rsidR="00A26C76" w:rsidRPr="0045654C" w:rsidRDefault="00A26C76" w:rsidP="0092501F">
      <w:pPr>
        <w:spacing w:after="0" w:line="22" w:lineRule="atLeast"/>
        <w:rPr>
          <w:rFonts w:ascii="Verdana" w:hAnsi="Verdana"/>
          <w:highlight w:val="yellow"/>
        </w:rPr>
      </w:pPr>
    </w:p>
    <w:p w:rsidR="000168EC" w:rsidRPr="0045654C" w:rsidRDefault="000168EC" w:rsidP="0092501F">
      <w:pPr>
        <w:spacing w:after="0" w:line="22" w:lineRule="atLeast"/>
        <w:rPr>
          <w:rFonts w:ascii="Verdana" w:hAnsi="Verdana"/>
        </w:rPr>
      </w:pPr>
    </w:p>
    <w:p w:rsidR="0095693E" w:rsidRPr="00A14C9C" w:rsidRDefault="00694E2C" w:rsidP="0092501F">
      <w:pPr>
        <w:pStyle w:val="Kop2"/>
        <w:spacing w:before="0" w:line="22" w:lineRule="atLeast"/>
        <w:rPr>
          <w:rFonts w:ascii="Verdana" w:hAnsi="Verdana"/>
        </w:rPr>
      </w:pPr>
      <w:bookmarkStart w:id="38" w:name="_Toc451895001"/>
      <w:r>
        <w:rPr>
          <w:rFonts w:ascii="Verdana" w:hAnsi="Verdana"/>
        </w:rPr>
        <w:t>4.6</w:t>
      </w:r>
      <w:r w:rsidR="0095693E" w:rsidRPr="00A14C9C">
        <w:rPr>
          <w:rFonts w:ascii="Verdana" w:hAnsi="Verdana"/>
        </w:rPr>
        <w:t xml:space="preserve"> De aangifte</w:t>
      </w:r>
      <w:r w:rsidR="0095693E">
        <w:rPr>
          <w:rFonts w:ascii="Verdana" w:hAnsi="Verdana"/>
        </w:rPr>
        <w:t>- en meldingsplicht</w:t>
      </w:r>
      <w:bookmarkEnd w:id="38"/>
    </w:p>
    <w:p w:rsidR="0095693E" w:rsidRPr="00922237" w:rsidRDefault="0095693E" w:rsidP="0092501F">
      <w:pPr>
        <w:spacing w:after="0" w:line="22" w:lineRule="atLeast"/>
        <w:jc w:val="both"/>
        <w:rPr>
          <w:rFonts w:ascii="Verdana" w:hAnsi="Verdana"/>
        </w:rPr>
      </w:pPr>
      <w:r w:rsidRPr="00922237">
        <w:rPr>
          <w:rFonts w:ascii="Verdana" w:hAnsi="Verdana"/>
        </w:rPr>
        <w:t xml:space="preserve">Iedere burger heeft op grond van artikel 161 Sv het recht tot het doen van aangifte in geval van een strafbaar feit. Maar in geval van sommige ernstig strafbare feiten bestaat er </w:t>
      </w:r>
      <w:r w:rsidR="005B5500">
        <w:rPr>
          <w:rFonts w:ascii="Verdana" w:hAnsi="Verdana"/>
        </w:rPr>
        <w:t>e</w:t>
      </w:r>
      <w:r w:rsidRPr="00922237">
        <w:rPr>
          <w:rFonts w:ascii="Verdana" w:hAnsi="Verdana"/>
        </w:rPr>
        <w:t>en aangifteplicht op grond van artikel 160 Sv. De burger is dus verplicht aangifte te doen</w:t>
      </w:r>
      <w:r w:rsidR="005B5500">
        <w:rPr>
          <w:rFonts w:ascii="Verdana" w:hAnsi="Verdana"/>
        </w:rPr>
        <w:t>, indien hij</w:t>
      </w:r>
      <w:r w:rsidRPr="00922237">
        <w:rPr>
          <w:rFonts w:ascii="Verdana" w:hAnsi="Verdana"/>
        </w:rPr>
        <w:t xml:space="preserve"> bekend is met het strafbare f</w:t>
      </w:r>
      <w:r w:rsidR="007031D6">
        <w:rPr>
          <w:rFonts w:ascii="Verdana" w:hAnsi="Verdana"/>
        </w:rPr>
        <w:t>eit. Dit kan zich voordoen in</w:t>
      </w:r>
      <w:r w:rsidR="005E57B0">
        <w:rPr>
          <w:rFonts w:ascii="Verdana" w:hAnsi="Verdana"/>
        </w:rPr>
        <w:t xml:space="preserve"> situaties wanneer</w:t>
      </w:r>
      <w:r w:rsidRPr="00922237">
        <w:rPr>
          <w:rFonts w:ascii="Verdana" w:hAnsi="Verdana"/>
        </w:rPr>
        <w:t xml:space="preserve"> er sprake is van een misdrijf dat </w:t>
      </w:r>
      <w:r w:rsidRPr="00922237">
        <w:rPr>
          <w:rFonts w:ascii="Verdana" w:hAnsi="Verdana"/>
        </w:rPr>
        <w:lastRenderedPageBreak/>
        <w:t xml:space="preserve">zich tegen de veiligheid van de Staat en tegen de Koninklijke waardigheid richt, misdrijven aangaande de veiligheid van personen voor zover daarbij levensgevaar ontstaat, misdrijven tegen het leven, bij mensenroof en bij verkrachting. Verschoningsgerechtigden zijn </w:t>
      </w:r>
      <w:r w:rsidR="00045700" w:rsidRPr="00922237">
        <w:rPr>
          <w:rFonts w:ascii="Verdana" w:hAnsi="Verdana"/>
        </w:rPr>
        <w:t xml:space="preserve">vrijgesteld van het doen van </w:t>
      </w:r>
      <w:r w:rsidRPr="00922237">
        <w:rPr>
          <w:rFonts w:ascii="Verdana" w:hAnsi="Verdana"/>
        </w:rPr>
        <w:t xml:space="preserve">aangifte ingeval van een aangifteplicht op grond van lid 2 van artikel 160 Sv.  </w:t>
      </w:r>
      <w:r w:rsidR="00E16986">
        <w:rPr>
          <w:rFonts w:ascii="Verdana" w:hAnsi="Verdana"/>
        </w:rPr>
        <w:t>V</w:t>
      </w:r>
      <w:r w:rsidRPr="00922237">
        <w:rPr>
          <w:rFonts w:ascii="Verdana" w:hAnsi="Verdana"/>
        </w:rPr>
        <w:t>oor burgers</w:t>
      </w:r>
      <w:r w:rsidR="005B5500">
        <w:rPr>
          <w:rFonts w:ascii="Verdana" w:hAnsi="Verdana"/>
        </w:rPr>
        <w:t xml:space="preserve"> geldt</w:t>
      </w:r>
      <w:r w:rsidR="00E16986">
        <w:rPr>
          <w:rFonts w:ascii="Verdana" w:hAnsi="Verdana"/>
        </w:rPr>
        <w:t xml:space="preserve"> ook</w:t>
      </w:r>
      <w:r w:rsidRPr="00922237">
        <w:rPr>
          <w:rFonts w:ascii="Verdana" w:hAnsi="Verdana"/>
        </w:rPr>
        <w:t xml:space="preserve"> in een tweetal gevallen een meldingsplicht. Ten eerste geldt de meldingsplicht op basis van artikel 135</w:t>
      </w:r>
      <w:r w:rsidR="005B5500">
        <w:rPr>
          <w:rFonts w:ascii="Verdana" w:hAnsi="Verdana"/>
        </w:rPr>
        <w:t xml:space="preserve"> Sr</w:t>
      </w:r>
      <w:r w:rsidRPr="00922237">
        <w:rPr>
          <w:rFonts w:ascii="Verdana" w:hAnsi="Verdana"/>
        </w:rPr>
        <w:t>, daarin is namelijk het niet doen van een melding strafbaar gesteld. Deze meldingsplicht geldt voor een</w:t>
      </w:r>
      <w:r w:rsidR="005E57B0">
        <w:rPr>
          <w:rFonts w:ascii="Verdana" w:hAnsi="Verdana"/>
        </w:rPr>
        <w:t> </w:t>
      </w:r>
      <w:r w:rsidRPr="00922237">
        <w:rPr>
          <w:rFonts w:ascii="Verdana" w:hAnsi="Verdana"/>
        </w:rPr>
        <w:t>ieder die op de hoogte is van samenspanning tot een misdrijf als beschreven in de artikel</w:t>
      </w:r>
      <w:r w:rsidR="005E57B0">
        <w:rPr>
          <w:rFonts w:ascii="Verdana" w:hAnsi="Verdana"/>
        </w:rPr>
        <w:t>en</w:t>
      </w:r>
      <w:r w:rsidRPr="00922237">
        <w:rPr>
          <w:rFonts w:ascii="Verdana" w:hAnsi="Verdana"/>
        </w:rPr>
        <w:t xml:space="preserve"> 92</w:t>
      </w:r>
      <w:r w:rsidR="005E57B0">
        <w:rPr>
          <w:rFonts w:ascii="Verdana" w:hAnsi="Verdana"/>
        </w:rPr>
        <w:t xml:space="preserve"> t/m </w:t>
      </w:r>
      <w:r w:rsidRPr="00922237">
        <w:rPr>
          <w:rFonts w:ascii="Verdana" w:hAnsi="Verdana"/>
        </w:rPr>
        <w:t>95a Sr (misdrijven tegen de veiligheid van de Staat), artikel 102 Sr (hulpverlening aan de vijand) en artikel 121 Sr (geweld tegen de Staten-Generaal)</w:t>
      </w:r>
      <w:r w:rsidRPr="00922237">
        <w:rPr>
          <w:rStyle w:val="Voetnootmarkering"/>
          <w:rFonts w:ascii="Verdana" w:hAnsi="Verdana"/>
        </w:rPr>
        <w:footnoteReference w:id="76"/>
      </w:r>
      <w:r w:rsidRPr="00922237">
        <w:rPr>
          <w:rFonts w:ascii="Verdana" w:hAnsi="Verdana"/>
        </w:rPr>
        <w:t>. Door middel van deze meldingsplicht zou het misdrijf kunnen worden vo</w:t>
      </w:r>
      <w:r w:rsidR="005C0C3A">
        <w:rPr>
          <w:rFonts w:ascii="Verdana" w:hAnsi="Verdana"/>
        </w:rPr>
        <w:t>orkomen. Ten tweede geldt een</w:t>
      </w:r>
      <w:r w:rsidRPr="00922237">
        <w:rPr>
          <w:rFonts w:ascii="Verdana" w:hAnsi="Verdana"/>
        </w:rPr>
        <w:t xml:space="preserve"> meldingsplicht op grond van artikel 1</w:t>
      </w:r>
      <w:r w:rsidR="005C0C3A">
        <w:rPr>
          <w:rFonts w:ascii="Verdana" w:hAnsi="Verdana"/>
        </w:rPr>
        <w:t>36 Sr, daarin is tevens het nalaten van het</w:t>
      </w:r>
      <w:r w:rsidRPr="00922237">
        <w:rPr>
          <w:rFonts w:ascii="Verdana" w:hAnsi="Verdana"/>
        </w:rPr>
        <w:t xml:space="preserve"> doen van een melding strafbaar gesteld. Hierbij gaat het om een</w:t>
      </w:r>
      <w:r w:rsidR="005E57B0">
        <w:rPr>
          <w:rFonts w:ascii="Verdana" w:hAnsi="Verdana"/>
        </w:rPr>
        <w:t> </w:t>
      </w:r>
      <w:r w:rsidRPr="00922237">
        <w:rPr>
          <w:rFonts w:ascii="Verdana" w:hAnsi="Verdana"/>
        </w:rPr>
        <w:t>ieder die op de hoogte is van een voorgenomen misdrijf</w:t>
      </w:r>
      <w:r w:rsidR="005E57B0">
        <w:rPr>
          <w:rFonts w:ascii="Verdana" w:hAnsi="Verdana"/>
        </w:rPr>
        <w:t xml:space="preserve"> als bedoeld in de artikelen 92 t/m </w:t>
      </w:r>
      <w:r w:rsidRPr="00922237">
        <w:rPr>
          <w:rFonts w:ascii="Verdana" w:hAnsi="Verdana"/>
        </w:rPr>
        <w:t>110 Sr (misdrijven tegen de veiligheid van de Staat), desertie in tijden van oorlog, militair verraad, moord, mensenroof, verkrachting en misdrijven als bedoeld in Titel VII Sr (misdrijven tegen de veiligheid van personen en goederen)</w:t>
      </w:r>
      <w:r w:rsidRPr="00922237">
        <w:rPr>
          <w:rStyle w:val="Voetnootmarkering"/>
          <w:rFonts w:ascii="Verdana" w:hAnsi="Verdana"/>
        </w:rPr>
        <w:footnoteReference w:id="77"/>
      </w:r>
      <w:r w:rsidRPr="00922237">
        <w:rPr>
          <w:rFonts w:ascii="Verdana" w:hAnsi="Verdana"/>
        </w:rPr>
        <w:t xml:space="preserve">. Ook deze meldingsplicht is bedoeld ter voorkoming van het misdrijf. Deze twee voornoemde meldingsplichten gelden niet voor verschoningsgerechtigden op grond van artikel 137 Sr.  </w:t>
      </w:r>
    </w:p>
    <w:p w:rsidR="0095693E" w:rsidRPr="00922237" w:rsidRDefault="0095693E" w:rsidP="0092501F">
      <w:pPr>
        <w:spacing w:after="0" w:line="22" w:lineRule="atLeast"/>
        <w:jc w:val="both"/>
        <w:rPr>
          <w:rFonts w:ascii="Verdana" w:hAnsi="Verdana"/>
        </w:rPr>
      </w:pPr>
    </w:p>
    <w:p w:rsidR="0095693E" w:rsidRPr="00922237" w:rsidRDefault="0095693E" w:rsidP="0092501F">
      <w:pPr>
        <w:spacing w:after="0" w:line="22" w:lineRule="atLeast"/>
        <w:jc w:val="both"/>
        <w:rPr>
          <w:rFonts w:ascii="Verdana" w:hAnsi="Verdana"/>
        </w:rPr>
      </w:pPr>
      <w:r w:rsidRPr="00922237">
        <w:rPr>
          <w:rFonts w:ascii="Verdana" w:hAnsi="Verdana"/>
        </w:rPr>
        <w:t>Naast voornoemde algemene aangifte- en meldplichten uit het Wetboek van Strafrecht, zijn er ook nog bijzondere aangifte- en meldplichten uit bijzondere wetten. Denk bijvoorbeeld aan de meldplic</w:t>
      </w:r>
      <w:r w:rsidR="00E16986">
        <w:rPr>
          <w:rFonts w:ascii="Verdana" w:hAnsi="Verdana"/>
        </w:rPr>
        <w:t>ht voor artsen bij euthanasie, de meldplicht</w:t>
      </w:r>
      <w:r w:rsidRPr="00922237">
        <w:rPr>
          <w:rFonts w:ascii="Verdana" w:hAnsi="Verdana"/>
        </w:rPr>
        <w:t xml:space="preserve"> bij fouten en calamiteiten in zorginstellingen en de meldplicht bij ongebruikelijke transacties bij notarissen. Deze aangifte- en meldplichten zijn specifiek gericht op de arts en de notaris, zij kunnen zich hier dan ook niet van verschonen. </w:t>
      </w:r>
    </w:p>
    <w:p w:rsidR="0095693E" w:rsidRPr="0045654C" w:rsidRDefault="0095693E" w:rsidP="0092501F">
      <w:pPr>
        <w:spacing w:after="0" w:line="22" w:lineRule="atLeast"/>
        <w:rPr>
          <w:rFonts w:ascii="Verdana" w:hAnsi="Verdana"/>
        </w:rPr>
      </w:pPr>
    </w:p>
    <w:p w:rsidR="0095693E" w:rsidRPr="0045654C" w:rsidRDefault="0095693E" w:rsidP="0092501F">
      <w:pPr>
        <w:spacing w:after="0" w:line="22" w:lineRule="atLeast"/>
        <w:rPr>
          <w:rFonts w:ascii="Verdana" w:hAnsi="Verdana"/>
        </w:rPr>
      </w:pPr>
    </w:p>
    <w:p w:rsidR="0095693E" w:rsidRPr="00960FD3" w:rsidRDefault="0095693E" w:rsidP="0092501F">
      <w:pPr>
        <w:pStyle w:val="Kop2"/>
        <w:spacing w:before="0" w:line="22" w:lineRule="atLeast"/>
        <w:rPr>
          <w:rFonts w:ascii="Verdana" w:hAnsi="Verdana"/>
        </w:rPr>
      </w:pPr>
      <w:bookmarkStart w:id="39" w:name="_Toc451895002"/>
      <w:r>
        <w:rPr>
          <w:rFonts w:ascii="Verdana" w:hAnsi="Verdana"/>
        </w:rPr>
        <w:t>4</w:t>
      </w:r>
      <w:r w:rsidRPr="00960FD3">
        <w:rPr>
          <w:rFonts w:ascii="Verdana" w:hAnsi="Verdana"/>
        </w:rPr>
        <w:t>.</w:t>
      </w:r>
      <w:r w:rsidR="00694E2C">
        <w:rPr>
          <w:rFonts w:ascii="Verdana" w:hAnsi="Verdana"/>
        </w:rPr>
        <w:t>7</w:t>
      </w:r>
      <w:r w:rsidRPr="00960FD3">
        <w:rPr>
          <w:rFonts w:ascii="Verdana" w:hAnsi="Verdana"/>
        </w:rPr>
        <w:t xml:space="preserve"> De getuigenverklaring</w:t>
      </w:r>
      <w:bookmarkEnd w:id="39"/>
    </w:p>
    <w:p w:rsidR="0095693E" w:rsidRPr="00922237" w:rsidRDefault="0095693E" w:rsidP="0092501F">
      <w:pPr>
        <w:spacing w:after="0" w:line="22" w:lineRule="atLeast"/>
        <w:jc w:val="both"/>
        <w:rPr>
          <w:rFonts w:ascii="Verdana" w:hAnsi="Verdana"/>
        </w:rPr>
      </w:pPr>
      <w:r w:rsidRPr="00922237">
        <w:rPr>
          <w:rFonts w:ascii="Verdana" w:hAnsi="Verdana"/>
        </w:rPr>
        <w:t>Een getuige in een strafzaak heeft niet alleen rechten, maar ook plichten. De eerste plicht staat in artikel 213 Sv geregeld. Daarin staat dat een getuige verplicht is om te verschijnen. Dit geldt onverkort indien de getuige een verschoningsgerechtigde is. Indien een getuige (meermaals) niet verschijnt, kan er een bevel tot medebrenging worden uitgevaardigd</w:t>
      </w:r>
      <w:r w:rsidRPr="00922237">
        <w:rPr>
          <w:rStyle w:val="Voetnootmarkering"/>
          <w:rFonts w:ascii="Verdana" w:hAnsi="Verdana"/>
        </w:rPr>
        <w:footnoteReference w:id="78"/>
      </w:r>
      <w:r w:rsidRPr="00922237">
        <w:rPr>
          <w:rFonts w:ascii="Verdana" w:hAnsi="Verdana"/>
        </w:rPr>
        <w:t xml:space="preserve">. Wanneer de getuige is verschenen, heeft deze ook een plicht tot antwoorden. Van deze plicht kan hij alleen worden ontslagen indien hij het beantwoorden van de vraag weigert op grond van een wettige grond; oftewel de verschoningsgronden geregeld in de artikelen 217 t/m 219b Sv. Indien de getuige om een andere reden weigert, kan deze </w:t>
      </w:r>
      <w:r w:rsidR="007428A8">
        <w:rPr>
          <w:rFonts w:ascii="Verdana" w:hAnsi="Verdana"/>
        </w:rPr>
        <w:t xml:space="preserve">worden </w:t>
      </w:r>
      <w:r w:rsidRPr="00922237">
        <w:rPr>
          <w:rFonts w:ascii="Verdana" w:hAnsi="Verdana"/>
        </w:rPr>
        <w:t>gegijzeld indien dit in het belang is van de strafzaak</w:t>
      </w:r>
      <w:r w:rsidRPr="00922237">
        <w:rPr>
          <w:rStyle w:val="Voetnootmarkering"/>
          <w:rFonts w:ascii="Verdana" w:hAnsi="Verdana"/>
        </w:rPr>
        <w:footnoteReference w:id="79"/>
      </w:r>
      <w:r w:rsidRPr="00922237">
        <w:rPr>
          <w:rFonts w:ascii="Verdana" w:hAnsi="Verdana"/>
        </w:rPr>
        <w:t>. De laatste plicht van de getuige is om de gehele waarheid e</w:t>
      </w:r>
      <w:r w:rsidR="007428A8">
        <w:rPr>
          <w:rFonts w:ascii="Verdana" w:hAnsi="Verdana"/>
        </w:rPr>
        <w:t>n niets dan de waarheid te verklaren</w:t>
      </w:r>
      <w:r w:rsidRPr="00922237">
        <w:rPr>
          <w:rFonts w:ascii="Verdana" w:hAnsi="Verdana"/>
        </w:rPr>
        <w:t xml:space="preserve"> ingevolge artikel 215 Sv. Indien getwijfeld wordt over de echtheid van de verklaring, kan worden overgegaan tot het beëdigen van de getuige</w:t>
      </w:r>
      <w:r w:rsidRPr="00922237">
        <w:rPr>
          <w:rStyle w:val="Voetnootmarkering"/>
          <w:rFonts w:ascii="Verdana" w:hAnsi="Verdana"/>
        </w:rPr>
        <w:footnoteReference w:id="80"/>
      </w:r>
      <w:r w:rsidRPr="00922237">
        <w:rPr>
          <w:rFonts w:ascii="Verdana" w:hAnsi="Verdana"/>
        </w:rPr>
        <w:t xml:space="preserve">. Deze </w:t>
      </w:r>
      <w:r w:rsidR="005C0C3A">
        <w:rPr>
          <w:rFonts w:ascii="Verdana" w:hAnsi="Verdana"/>
        </w:rPr>
        <w:t xml:space="preserve">getuige </w:t>
      </w:r>
      <w:r w:rsidRPr="00922237">
        <w:rPr>
          <w:rFonts w:ascii="Verdana" w:hAnsi="Verdana"/>
        </w:rPr>
        <w:t xml:space="preserve">moet dan een eed of belofte afleggen dat hij de gehele waarheid en niets dan de waarheid zal zeggen. Wanneer de getuige weigert de gevorderde eed of </w:t>
      </w:r>
      <w:r w:rsidRPr="00922237">
        <w:rPr>
          <w:rFonts w:ascii="Verdana" w:hAnsi="Verdana"/>
        </w:rPr>
        <w:lastRenderedPageBreak/>
        <w:t xml:space="preserve">belofte af te leggen, kan deze wederom gegijzeld worden op grond van artikel 221 lid 1 Sv. </w:t>
      </w:r>
    </w:p>
    <w:p w:rsidR="0095693E" w:rsidRPr="00922237" w:rsidRDefault="0095693E" w:rsidP="0092501F">
      <w:pPr>
        <w:spacing w:after="0" w:line="22" w:lineRule="atLeast"/>
        <w:jc w:val="both"/>
        <w:rPr>
          <w:rFonts w:ascii="Verdana" w:hAnsi="Verdana"/>
        </w:rPr>
      </w:pPr>
    </w:p>
    <w:p w:rsidR="0095693E" w:rsidRPr="00922237" w:rsidRDefault="0095693E" w:rsidP="0092501F">
      <w:pPr>
        <w:spacing w:after="0" w:line="22" w:lineRule="atLeast"/>
        <w:jc w:val="both"/>
        <w:rPr>
          <w:rFonts w:ascii="Verdana" w:hAnsi="Verdana"/>
        </w:rPr>
      </w:pPr>
      <w:r w:rsidRPr="00922237">
        <w:rPr>
          <w:rFonts w:ascii="Verdana" w:hAnsi="Verdana"/>
        </w:rPr>
        <w:t xml:space="preserve">Zoals </w:t>
      </w:r>
      <w:r w:rsidR="00543381">
        <w:rPr>
          <w:rFonts w:ascii="Verdana" w:hAnsi="Verdana"/>
        </w:rPr>
        <w:t>reeds hiervoor aangegeven</w:t>
      </w:r>
      <w:r w:rsidRPr="00922237">
        <w:rPr>
          <w:rFonts w:ascii="Verdana" w:hAnsi="Verdana"/>
        </w:rPr>
        <w:t>, heeft een getuige ook rechten. Deze rechten bestaan voornamelijk uit het recht op verschoning, geregeld in de</w:t>
      </w:r>
      <w:r w:rsidR="00543381">
        <w:rPr>
          <w:rFonts w:ascii="Verdana" w:hAnsi="Verdana"/>
        </w:rPr>
        <w:t xml:space="preserve"> artikelen 217 t/m 219b Sv die hiervoor zijn</w:t>
      </w:r>
      <w:r w:rsidRPr="00922237">
        <w:rPr>
          <w:rFonts w:ascii="Verdana" w:hAnsi="Verdana"/>
        </w:rPr>
        <w:t xml:space="preserve"> uitgewerkt. </w:t>
      </w:r>
    </w:p>
    <w:p w:rsidR="0095693E" w:rsidRPr="0045654C" w:rsidRDefault="0095693E" w:rsidP="0092501F">
      <w:pPr>
        <w:spacing w:after="0" w:line="22" w:lineRule="atLeast"/>
        <w:rPr>
          <w:rFonts w:ascii="Verdana" w:hAnsi="Verdana"/>
        </w:rPr>
      </w:pPr>
    </w:p>
    <w:p w:rsidR="0010271E" w:rsidRPr="0045654C" w:rsidRDefault="0010271E" w:rsidP="0092501F">
      <w:pPr>
        <w:spacing w:after="0" w:line="22" w:lineRule="atLeast"/>
        <w:rPr>
          <w:rFonts w:ascii="Verdana" w:hAnsi="Verdana"/>
        </w:rPr>
      </w:pPr>
    </w:p>
    <w:p w:rsidR="0095693E" w:rsidRPr="001007FD" w:rsidRDefault="0095693E" w:rsidP="0092501F">
      <w:pPr>
        <w:pStyle w:val="Kop2"/>
        <w:spacing w:before="0" w:line="22" w:lineRule="atLeast"/>
        <w:rPr>
          <w:rFonts w:ascii="Verdana" w:hAnsi="Verdana"/>
        </w:rPr>
      </w:pPr>
      <w:bookmarkStart w:id="40" w:name="_Toc451895003"/>
      <w:r w:rsidRPr="001007FD">
        <w:rPr>
          <w:rFonts w:ascii="Verdana" w:hAnsi="Verdana"/>
        </w:rPr>
        <w:t>4.</w:t>
      </w:r>
      <w:r w:rsidR="00694E2C">
        <w:rPr>
          <w:rFonts w:ascii="Verdana" w:hAnsi="Verdana"/>
        </w:rPr>
        <w:t>8</w:t>
      </w:r>
      <w:r w:rsidRPr="001007FD">
        <w:rPr>
          <w:rFonts w:ascii="Verdana" w:hAnsi="Verdana"/>
        </w:rPr>
        <w:t xml:space="preserve"> De verschoningsgerechtigde als verdachte</w:t>
      </w:r>
      <w:bookmarkEnd w:id="40"/>
    </w:p>
    <w:p w:rsidR="0095693E" w:rsidRPr="00922237" w:rsidRDefault="0095693E" w:rsidP="0092501F">
      <w:pPr>
        <w:spacing w:after="0" w:line="22" w:lineRule="atLeast"/>
        <w:jc w:val="both"/>
        <w:rPr>
          <w:rFonts w:ascii="Verdana" w:hAnsi="Verdana"/>
        </w:rPr>
      </w:pPr>
      <w:r w:rsidRPr="00922237">
        <w:rPr>
          <w:rFonts w:ascii="Verdana" w:hAnsi="Verdana"/>
        </w:rPr>
        <w:t>Wanneer de verschoningsgerechtigde beroepsbeoefenaar zelf verdacht wo</w:t>
      </w:r>
      <w:r w:rsidR="00E00196" w:rsidRPr="00922237">
        <w:rPr>
          <w:rFonts w:ascii="Verdana" w:hAnsi="Verdana"/>
        </w:rPr>
        <w:t>rdt van een strafbaar feit, dient te</w:t>
      </w:r>
      <w:r w:rsidRPr="00922237">
        <w:rPr>
          <w:rFonts w:ascii="Verdana" w:hAnsi="Verdana"/>
        </w:rPr>
        <w:t xml:space="preserve"> worden gekeken of de informatie die verkregen moet worden</w:t>
      </w:r>
      <w:r w:rsidR="005E57B0">
        <w:rPr>
          <w:rFonts w:ascii="Verdana" w:hAnsi="Verdana"/>
        </w:rPr>
        <w:t xml:space="preserve"> al dan niet</w:t>
      </w:r>
      <w:r w:rsidRPr="00922237">
        <w:rPr>
          <w:rFonts w:ascii="Verdana" w:hAnsi="Verdana"/>
        </w:rPr>
        <w:t xml:space="preserve"> valt onder het verschoningsrecht. Informatie die is verkregen in de hoedanigheid van arts, notaris of advocaat val</w:t>
      </w:r>
      <w:r w:rsidR="00E00196" w:rsidRPr="00922237">
        <w:rPr>
          <w:rFonts w:ascii="Verdana" w:hAnsi="Verdana"/>
        </w:rPr>
        <w:t>t</w:t>
      </w:r>
      <w:r w:rsidRPr="00922237">
        <w:rPr>
          <w:rFonts w:ascii="Verdana" w:hAnsi="Verdana"/>
        </w:rPr>
        <w:t xml:space="preserve"> onder het verschonings</w:t>
      </w:r>
      <w:r w:rsidR="00A943DD">
        <w:rPr>
          <w:rFonts w:ascii="Verdana" w:hAnsi="Verdana"/>
        </w:rPr>
        <w:t>-</w:t>
      </w:r>
      <w:r w:rsidRPr="00922237">
        <w:rPr>
          <w:rFonts w:ascii="Verdana" w:hAnsi="Verdana"/>
        </w:rPr>
        <w:t>recht, overige informatie niet</w:t>
      </w:r>
      <w:r w:rsidRPr="00922237">
        <w:rPr>
          <w:rStyle w:val="Voetnootmarkering"/>
          <w:rFonts w:ascii="Verdana" w:hAnsi="Verdana"/>
        </w:rPr>
        <w:footnoteReference w:id="81"/>
      </w:r>
      <w:r w:rsidRPr="00922237">
        <w:rPr>
          <w:rFonts w:ascii="Verdana" w:hAnsi="Verdana"/>
        </w:rPr>
        <w:t>. De beroepsbeoefenaar kan zich dus, ondanks de verdenking, beroepen op zijn verschoningsrecht. Hie</w:t>
      </w:r>
      <w:r w:rsidR="00E00196" w:rsidRPr="00922237">
        <w:rPr>
          <w:rFonts w:ascii="Verdana" w:hAnsi="Verdana"/>
        </w:rPr>
        <w:t>rop is wel een uitzon</w:t>
      </w:r>
      <w:r w:rsidR="00A943DD">
        <w:rPr>
          <w:rFonts w:ascii="Verdana" w:hAnsi="Verdana"/>
        </w:rPr>
        <w:t>-</w:t>
      </w:r>
      <w:r w:rsidR="00E00196" w:rsidRPr="00922237">
        <w:rPr>
          <w:rFonts w:ascii="Verdana" w:hAnsi="Verdana"/>
        </w:rPr>
        <w:t>dering:</w:t>
      </w:r>
      <w:r w:rsidR="008D4CE9">
        <w:rPr>
          <w:rFonts w:ascii="Verdana" w:hAnsi="Verdana"/>
        </w:rPr>
        <w:t> </w:t>
      </w:r>
      <w:r w:rsidR="00E00196" w:rsidRPr="00922237">
        <w:rPr>
          <w:rFonts w:ascii="Verdana" w:hAnsi="Verdana"/>
        </w:rPr>
        <w:t>ten eerste moet er</w:t>
      </w:r>
      <w:r w:rsidRPr="00922237">
        <w:rPr>
          <w:rFonts w:ascii="Verdana" w:hAnsi="Verdana"/>
        </w:rPr>
        <w:t xml:space="preserve"> sprake zijn van een zware verdenking (ernstige bezwaren, als bedoeld in artikel 167 Sv)</w:t>
      </w:r>
      <w:r w:rsidRPr="00922237">
        <w:rPr>
          <w:rStyle w:val="Voetnootmarkering"/>
          <w:rFonts w:ascii="Verdana" w:hAnsi="Verdana"/>
        </w:rPr>
        <w:footnoteReference w:id="82"/>
      </w:r>
      <w:r w:rsidR="00847051">
        <w:rPr>
          <w:rFonts w:ascii="Verdana" w:hAnsi="Verdana"/>
        </w:rPr>
        <w:t xml:space="preserve"> en daarnaast moet het</w:t>
      </w:r>
      <w:r w:rsidR="00E00196" w:rsidRPr="00922237">
        <w:rPr>
          <w:rFonts w:ascii="Verdana" w:hAnsi="Verdana"/>
        </w:rPr>
        <w:t xml:space="preserve"> ook</w:t>
      </w:r>
      <w:r w:rsidRPr="00922237">
        <w:rPr>
          <w:rFonts w:ascii="Verdana" w:hAnsi="Verdana"/>
        </w:rPr>
        <w:t xml:space="preserve"> gaan om een ernstig strafbaar fe</w:t>
      </w:r>
      <w:r w:rsidR="00394A31" w:rsidRPr="00922237">
        <w:rPr>
          <w:rFonts w:ascii="Verdana" w:hAnsi="Verdana"/>
        </w:rPr>
        <w:t>it. Is dat het geval, dan zal een</w:t>
      </w:r>
      <w:r w:rsidRPr="00922237">
        <w:rPr>
          <w:rFonts w:ascii="Verdana" w:hAnsi="Verdana"/>
        </w:rPr>
        <w:t xml:space="preserve"> beroep op het verschoningsrecht niet opgaan</w:t>
      </w:r>
      <w:r w:rsidRPr="00922237">
        <w:rPr>
          <w:rStyle w:val="Voetnootmarkering"/>
          <w:rFonts w:ascii="Verdana" w:hAnsi="Verdana"/>
        </w:rPr>
        <w:footnoteReference w:id="83"/>
      </w:r>
      <w:r w:rsidRPr="00922237">
        <w:rPr>
          <w:rFonts w:ascii="Verdana" w:hAnsi="Verdana"/>
        </w:rPr>
        <w:t xml:space="preserve">. </w:t>
      </w:r>
    </w:p>
    <w:p w:rsidR="0095693E" w:rsidRPr="0045654C" w:rsidRDefault="0095693E" w:rsidP="0092501F">
      <w:pPr>
        <w:spacing w:after="0" w:line="22" w:lineRule="atLeast"/>
        <w:rPr>
          <w:rFonts w:ascii="Verdana" w:hAnsi="Verdana"/>
          <w:szCs w:val="24"/>
        </w:rPr>
      </w:pPr>
    </w:p>
    <w:p w:rsidR="0095693E" w:rsidRPr="0045654C" w:rsidRDefault="0095693E" w:rsidP="0092501F">
      <w:pPr>
        <w:spacing w:after="0" w:line="22" w:lineRule="atLeast"/>
        <w:rPr>
          <w:rFonts w:ascii="Verdana" w:hAnsi="Verdana"/>
          <w:szCs w:val="24"/>
        </w:rPr>
      </w:pPr>
    </w:p>
    <w:p w:rsidR="0095693E" w:rsidRPr="00F21FA0" w:rsidRDefault="00694E2C" w:rsidP="0092501F">
      <w:pPr>
        <w:pStyle w:val="Kop2"/>
        <w:spacing w:before="0" w:line="22" w:lineRule="atLeast"/>
        <w:rPr>
          <w:rFonts w:ascii="Verdana" w:hAnsi="Verdana"/>
        </w:rPr>
      </w:pPr>
      <w:bookmarkStart w:id="41" w:name="_Toc451895004"/>
      <w:r>
        <w:rPr>
          <w:rFonts w:ascii="Verdana" w:hAnsi="Verdana"/>
        </w:rPr>
        <w:t>4.9</w:t>
      </w:r>
      <w:r w:rsidR="0095693E" w:rsidRPr="00F21FA0">
        <w:rPr>
          <w:rFonts w:ascii="Verdana" w:hAnsi="Verdana"/>
        </w:rPr>
        <w:t xml:space="preserve"> Binnentreden</w:t>
      </w:r>
      <w:bookmarkEnd w:id="41"/>
    </w:p>
    <w:p w:rsidR="0095693E" w:rsidRPr="00922237" w:rsidRDefault="0095693E" w:rsidP="0092501F">
      <w:pPr>
        <w:spacing w:after="0" w:line="22" w:lineRule="atLeast"/>
        <w:jc w:val="both"/>
        <w:rPr>
          <w:rFonts w:ascii="Verdana" w:hAnsi="Verdana"/>
        </w:rPr>
      </w:pPr>
      <w:r w:rsidRPr="00922237">
        <w:rPr>
          <w:rFonts w:ascii="Verdana" w:hAnsi="Verdana"/>
        </w:rPr>
        <w:t>De bevoegdheid tot binnentreden in het kader van de opsporing van strafbare feiten verschilt per (gedeelte van een) gebouw. Er zijn gebouwen die geheel publiekelijk toegankelijk zijn, gebouwen die gedeeltelijk publiekelijk toegankelijk zijn en gebouwen die in het geheel niet toegankelijk zijn voor publiek. D</w:t>
      </w:r>
      <w:r w:rsidR="00847051">
        <w:rPr>
          <w:rFonts w:ascii="Verdana" w:hAnsi="Verdana"/>
        </w:rPr>
        <w:t xml:space="preserve">e kantonrechter </w:t>
      </w:r>
      <w:r w:rsidR="00544DC0">
        <w:rPr>
          <w:rFonts w:ascii="Verdana" w:hAnsi="Verdana"/>
        </w:rPr>
        <w:t xml:space="preserve">te Nijmegen </w:t>
      </w:r>
      <w:r w:rsidR="00847051">
        <w:rPr>
          <w:rFonts w:ascii="Verdana" w:hAnsi="Verdana"/>
        </w:rPr>
        <w:t>heeft in</w:t>
      </w:r>
      <w:r w:rsidR="00544DC0">
        <w:rPr>
          <w:rFonts w:ascii="Verdana" w:hAnsi="Verdana"/>
        </w:rPr>
        <w:t xml:space="preserve"> januari</w:t>
      </w:r>
      <w:r w:rsidR="00FD5E56">
        <w:rPr>
          <w:rFonts w:ascii="Verdana" w:hAnsi="Verdana"/>
        </w:rPr>
        <w:t xml:space="preserve"> 1969 </w:t>
      </w:r>
      <w:r w:rsidR="00544DC0">
        <w:rPr>
          <w:rFonts w:ascii="Verdana" w:hAnsi="Verdana"/>
        </w:rPr>
        <w:t>de term ‘</w:t>
      </w:r>
      <w:r w:rsidRPr="00922237">
        <w:rPr>
          <w:rFonts w:ascii="Verdana" w:hAnsi="Verdana"/>
        </w:rPr>
        <w:t>publiek toegankelijk</w:t>
      </w:r>
      <w:r w:rsidR="00544DC0">
        <w:rPr>
          <w:rFonts w:ascii="Verdana" w:hAnsi="Verdana"/>
        </w:rPr>
        <w:t>’</w:t>
      </w:r>
      <w:r w:rsidR="00847051">
        <w:rPr>
          <w:rFonts w:ascii="Verdana" w:hAnsi="Verdana"/>
        </w:rPr>
        <w:t xml:space="preserve"> als volgt ingevuld</w:t>
      </w:r>
      <w:r w:rsidRPr="00922237">
        <w:rPr>
          <w:rFonts w:ascii="Verdana" w:hAnsi="Verdana"/>
        </w:rPr>
        <w:t>: een ruimte die vrij toegankelijk is voor een</w:t>
      </w:r>
      <w:r w:rsidR="005E57B0">
        <w:rPr>
          <w:rFonts w:ascii="Verdana" w:hAnsi="Verdana"/>
        </w:rPr>
        <w:t> </w:t>
      </w:r>
      <w:r w:rsidRPr="00922237">
        <w:rPr>
          <w:rFonts w:ascii="Verdana" w:hAnsi="Verdana"/>
        </w:rPr>
        <w:t>ieder zonder dat er een bepaalde selectie op het binnentredend publiek wordt toegepast</w:t>
      </w:r>
      <w:r w:rsidRPr="00922237">
        <w:rPr>
          <w:rStyle w:val="Voetnootmarkering"/>
          <w:rFonts w:ascii="Verdana" w:hAnsi="Verdana"/>
        </w:rPr>
        <w:footnoteReference w:id="84"/>
      </w:r>
      <w:r w:rsidRPr="00922237">
        <w:rPr>
          <w:rFonts w:ascii="Verdana" w:hAnsi="Verdana"/>
        </w:rPr>
        <w:t xml:space="preserve">. Wanneer een gebouw geheel of gedeeltelijk publiekelijk niet toegankelijk is, moet worden gekeken of er sprake is van een woning in de zin van het Wetboek van Strafvordering of de Awbi. </w:t>
      </w:r>
    </w:p>
    <w:p w:rsidR="00114E8D" w:rsidRPr="00922237" w:rsidRDefault="00114E8D" w:rsidP="0092501F">
      <w:pPr>
        <w:spacing w:after="0" w:line="22" w:lineRule="atLeast"/>
        <w:jc w:val="both"/>
        <w:rPr>
          <w:rFonts w:ascii="Verdana" w:hAnsi="Verdana"/>
        </w:rPr>
      </w:pPr>
    </w:p>
    <w:p w:rsidR="00114E8D" w:rsidRPr="00922237" w:rsidRDefault="00114E8D" w:rsidP="0092501F">
      <w:pPr>
        <w:spacing w:after="0" w:line="22" w:lineRule="atLeast"/>
        <w:jc w:val="both"/>
        <w:rPr>
          <w:rFonts w:ascii="Verdana" w:hAnsi="Verdana"/>
        </w:rPr>
      </w:pPr>
      <w:r w:rsidRPr="00922237">
        <w:rPr>
          <w:rFonts w:ascii="Verdana" w:hAnsi="Verdana"/>
        </w:rPr>
        <w:t>De entree van een adv</w:t>
      </w:r>
      <w:r w:rsidR="00E00196" w:rsidRPr="00922237">
        <w:rPr>
          <w:rFonts w:ascii="Verdana" w:hAnsi="Verdana"/>
        </w:rPr>
        <w:t>ocaten- of notariskantoor,</w:t>
      </w:r>
      <w:r w:rsidRPr="00922237">
        <w:rPr>
          <w:rFonts w:ascii="Verdana" w:hAnsi="Verdana"/>
        </w:rPr>
        <w:t xml:space="preserve"> huisartsenpraktijk of de hal van een ziekenhuis zijn</w:t>
      </w:r>
      <w:r w:rsidR="00544DC0">
        <w:rPr>
          <w:rFonts w:ascii="Verdana" w:hAnsi="Verdana"/>
        </w:rPr>
        <w:t xml:space="preserve"> voor</w:t>
      </w:r>
      <w:r w:rsidRPr="00922237">
        <w:rPr>
          <w:rFonts w:ascii="Verdana" w:hAnsi="Verdana"/>
        </w:rPr>
        <w:t xml:space="preserve"> publiek toegankelijke ruimten</w:t>
      </w:r>
      <w:r w:rsidRPr="00922237">
        <w:rPr>
          <w:rStyle w:val="Voetnootmarkering"/>
          <w:rFonts w:ascii="Verdana" w:hAnsi="Verdana"/>
        </w:rPr>
        <w:footnoteReference w:id="85"/>
      </w:r>
      <w:r w:rsidR="00847051">
        <w:rPr>
          <w:rFonts w:ascii="Verdana" w:hAnsi="Verdana"/>
        </w:rPr>
        <w:t>. Di</w:t>
      </w:r>
      <w:r w:rsidRPr="00922237">
        <w:rPr>
          <w:rFonts w:ascii="Verdana" w:hAnsi="Verdana"/>
        </w:rPr>
        <w:t>t betekent dus dat deze ruimten ook voor een opsporingsambtenaar</w:t>
      </w:r>
      <w:r w:rsidR="00293E68" w:rsidRPr="00922237">
        <w:rPr>
          <w:rFonts w:ascii="Verdana" w:hAnsi="Verdana"/>
        </w:rPr>
        <w:t xml:space="preserve"> vrij toegankelijk zijn; de Awbi is </w:t>
      </w:r>
      <w:r w:rsidR="00544DC0">
        <w:rPr>
          <w:rFonts w:ascii="Verdana" w:hAnsi="Verdana"/>
        </w:rPr>
        <w:t xml:space="preserve">derhalve </w:t>
      </w:r>
      <w:r w:rsidR="00293E68" w:rsidRPr="00922237">
        <w:rPr>
          <w:rFonts w:ascii="Verdana" w:hAnsi="Verdana"/>
        </w:rPr>
        <w:t>niet van toepassing.</w:t>
      </w:r>
    </w:p>
    <w:p w:rsidR="004A5875" w:rsidRPr="00922237" w:rsidRDefault="004A5875" w:rsidP="0092501F">
      <w:pPr>
        <w:spacing w:after="0" w:line="22" w:lineRule="atLeast"/>
        <w:jc w:val="both"/>
        <w:rPr>
          <w:rFonts w:ascii="Verdana" w:hAnsi="Verdana"/>
        </w:rPr>
      </w:pPr>
    </w:p>
    <w:p w:rsidR="004A5875" w:rsidRPr="00922237" w:rsidRDefault="004D664E" w:rsidP="0092501F">
      <w:pPr>
        <w:spacing w:after="0" w:line="22" w:lineRule="atLeast"/>
        <w:jc w:val="both"/>
        <w:rPr>
          <w:rFonts w:ascii="Verdana" w:hAnsi="Verdana"/>
        </w:rPr>
      </w:pPr>
      <w:r w:rsidRPr="00922237">
        <w:rPr>
          <w:rFonts w:ascii="Verdana" w:hAnsi="Verdana"/>
        </w:rPr>
        <w:t>De woning van een verschoningsgerechtigde, het kantoor van de verschonings</w:t>
      </w:r>
      <w:r w:rsidR="00CC2ADD">
        <w:rPr>
          <w:rFonts w:ascii="Verdana" w:hAnsi="Verdana"/>
        </w:rPr>
        <w:t>-</w:t>
      </w:r>
      <w:r w:rsidR="005E57B0">
        <w:rPr>
          <w:rFonts w:ascii="Verdana" w:hAnsi="Verdana"/>
        </w:rPr>
        <w:t>gerechtigde dat</w:t>
      </w:r>
      <w:r w:rsidRPr="00922237">
        <w:rPr>
          <w:rFonts w:ascii="Verdana" w:hAnsi="Verdana"/>
        </w:rPr>
        <w:t xml:space="preserve"> in verbinding staat met zijn woning of een kamer waarin een arts slaapt tijdens zijn dienst zijn ruimten die als woning kunnen worden aangeduid en zodoende dus bescherming genieten van de Awbi. </w:t>
      </w:r>
      <w:r w:rsidR="004157FD" w:rsidRPr="00922237">
        <w:rPr>
          <w:rFonts w:ascii="Verdana" w:hAnsi="Verdana"/>
        </w:rPr>
        <w:t>Voor het binnen</w:t>
      </w:r>
      <w:r w:rsidR="00E00196" w:rsidRPr="00922237">
        <w:rPr>
          <w:rFonts w:ascii="Verdana" w:hAnsi="Verdana"/>
        </w:rPr>
        <w:t>treden van deze ‘woningen’ is toestemming van de ‘bewoner’</w:t>
      </w:r>
      <w:r w:rsidR="004157FD" w:rsidRPr="00922237">
        <w:rPr>
          <w:rFonts w:ascii="Verdana" w:hAnsi="Verdana"/>
        </w:rPr>
        <w:t xml:space="preserve"> of een machtiging op grond van artikel 2 Awbi</w:t>
      </w:r>
      <w:r w:rsidR="00E00196" w:rsidRPr="00922237">
        <w:rPr>
          <w:rFonts w:ascii="Verdana" w:hAnsi="Verdana"/>
        </w:rPr>
        <w:t xml:space="preserve"> nodig</w:t>
      </w:r>
      <w:r w:rsidR="004157FD" w:rsidRPr="00922237">
        <w:rPr>
          <w:rFonts w:ascii="Verdana" w:hAnsi="Verdana"/>
        </w:rPr>
        <w:t xml:space="preserve">. Deze machtiging kan worden afgegeven door de advocaat-generaal </w:t>
      </w:r>
      <w:r w:rsidR="006A6FBF">
        <w:rPr>
          <w:rFonts w:ascii="Verdana" w:hAnsi="Verdana"/>
        </w:rPr>
        <w:t>bij het ressortsparket</w:t>
      </w:r>
      <w:r w:rsidR="005A256C">
        <w:rPr>
          <w:rFonts w:ascii="Verdana" w:hAnsi="Verdana"/>
        </w:rPr>
        <w:t xml:space="preserve"> of de (hulp-)Officier van J</w:t>
      </w:r>
      <w:r w:rsidR="004157FD" w:rsidRPr="00922237">
        <w:rPr>
          <w:rFonts w:ascii="Verdana" w:hAnsi="Verdana"/>
        </w:rPr>
        <w:t>ustitie</w:t>
      </w:r>
      <w:r w:rsidR="004157FD" w:rsidRPr="00922237">
        <w:rPr>
          <w:rStyle w:val="Voetnootmarkering"/>
          <w:rFonts w:ascii="Verdana" w:hAnsi="Verdana"/>
        </w:rPr>
        <w:footnoteReference w:id="86"/>
      </w:r>
      <w:r w:rsidR="004157FD" w:rsidRPr="00922237">
        <w:rPr>
          <w:rFonts w:ascii="Verdana" w:hAnsi="Verdana"/>
        </w:rPr>
        <w:t xml:space="preserve">. </w:t>
      </w:r>
      <w:r w:rsidR="00802314" w:rsidRPr="00922237">
        <w:rPr>
          <w:rFonts w:ascii="Verdana" w:hAnsi="Verdana"/>
        </w:rPr>
        <w:t xml:space="preserve">Met </w:t>
      </w:r>
      <w:r w:rsidR="00802314" w:rsidRPr="00922237">
        <w:rPr>
          <w:rFonts w:ascii="Verdana" w:hAnsi="Verdana"/>
        </w:rPr>
        <w:lastRenderedPageBreak/>
        <w:t>de machtiging mag de opsporingsambtenaar zich toegang en doorgang tot de woning verschaffen. Kasten mogen niet worden geopend</w:t>
      </w:r>
      <w:r w:rsidR="00802314" w:rsidRPr="00922237">
        <w:rPr>
          <w:rStyle w:val="Voetnootmarkering"/>
          <w:rFonts w:ascii="Verdana" w:hAnsi="Verdana"/>
        </w:rPr>
        <w:footnoteReference w:id="87"/>
      </w:r>
      <w:r w:rsidR="00802314" w:rsidRPr="00922237">
        <w:rPr>
          <w:rFonts w:ascii="Verdana" w:hAnsi="Verdana"/>
        </w:rPr>
        <w:t>, d</w:t>
      </w:r>
      <w:r w:rsidR="005463F3">
        <w:rPr>
          <w:rFonts w:ascii="Verdana" w:hAnsi="Verdana"/>
        </w:rPr>
        <w:t>i</w:t>
      </w:r>
      <w:r w:rsidR="00802314" w:rsidRPr="00922237">
        <w:rPr>
          <w:rFonts w:ascii="Verdana" w:hAnsi="Verdana"/>
        </w:rPr>
        <w:t xml:space="preserve">t wordt namelijk aangemerkt als een doorzoeking. </w:t>
      </w:r>
    </w:p>
    <w:p w:rsidR="004777CF" w:rsidRPr="00922237" w:rsidRDefault="004777CF" w:rsidP="0092501F">
      <w:pPr>
        <w:spacing w:after="0" w:line="22" w:lineRule="atLeast"/>
        <w:jc w:val="both"/>
        <w:rPr>
          <w:rFonts w:ascii="Verdana" w:hAnsi="Verdana"/>
        </w:rPr>
      </w:pPr>
    </w:p>
    <w:p w:rsidR="004777CF" w:rsidRPr="00922237" w:rsidRDefault="004777CF" w:rsidP="0092501F">
      <w:pPr>
        <w:spacing w:after="0" w:line="22" w:lineRule="atLeast"/>
        <w:jc w:val="both"/>
        <w:rPr>
          <w:rFonts w:ascii="Verdana" w:hAnsi="Verdana"/>
        </w:rPr>
      </w:pPr>
      <w:r w:rsidRPr="00922237">
        <w:rPr>
          <w:rFonts w:ascii="Verdana" w:hAnsi="Verdana"/>
        </w:rPr>
        <w:t>In het kantoor van de verschoningsgerechtigde is het verschoningsrecht vrijwel altijd in het geding. Het kantoor van de verschoningsgerechtigde beroepsbe</w:t>
      </w:r>
      <w:r w:rsidR="00922237">
        <w:rPr>
          <w:rFonts w:ascii="Verdana" w:hAnsi="Verdana"/>
        </w:rPr>
        <w:t>-</w:t>
      </w:r>
      <w:r w:rsidRPr="00922237">
        <w:rPr>
          <w:rFonts w:ascii="Verdana" w:hAnsi="Verdana"/>
        </w:rPr>
        <w:t xml:space="preserve">oefenaar geniet </w:t>
      </w:r>
      <w:r w:rsidR="00E00196" w:rsidRPr="00922237">
        <w:rPr>
          <w:rFonts w:ascii="Verdana" w:hAnsi="Verdana"/>
        </w:rPr>
        <w:t xml:space="preserve">echter </w:t>
      </w:r>
      <w:r w:rsidRPr="00922237">
        <w:rPr>
          <w:rFonts w:ascii="Verdana" w:hAnsi="Verdana"/>
        </w:rPr>
        <w:t>geen bescherming van de Awbi. Binnentreden van het kantoor is mogelijk zonder toestemming van de verschoningsgerechtigde beroepsbeoefenaar en zonder machtiging, mits dit met een redelijk doel geschiedt</w:t>
      </w:r>
      <w:r w:rsidRPr="00922237">
        <w:rPr>
          <w:rStyle w:val="Voetnootmarkering"/>
          <w:rFonts w:ascii="Verdana" w:hAnsi="Verdana"/>
        </w:rPr>
        <w:footnoteReference w:id="88"/>
      </w:r>
      <w:r w:rsidRPr="00922237">
        <w:rPr>
          <w:rFonts w:ascii="Verdana" w:hAnsi="Verdana"/>
        </w:rPr>
        <w:t xml:space="preserve">. </w:t>
      </w:r>
    </w:p>
    <w:p w:rsidR="00F9116C" w:rsidRPr="0045654C" w:rsidRDefault="00F9116C" w:rsidP="0092501F">
      <w:pPr>
        <w:spacing w:after="0" w:line="22" w:lineRule="atLeast"/>
        <w:rPr>
          <w:rFonts w:ascii="Verdana" w:hAnsi="Verdana"/>
        </w:rPr>
      </w:pPr>
    </w:p>
    <w:p w:rsidR="00BA653D" w:rsidRPr="0045654C" w:rsidRDefault="00BA653D" w:rsidP="0092501F">
      <w:pPr>
        <w:spacing w:after="0" w:line="22" w:lineRule="atLeast"/>
        <w:rPr>
          <w:rFonts w:ascii="Verdana" w:hAnsi="Verdana"/>
        </w:rPr>
      </w:pPr>
    </w:p>
    <w:p w:rsidR="0095693E" w:rsidRPr="00266135" w:rsidRDefault="0095693E" w:rsidP="0092501F">
      <w:pPr>
        <w:pStyle w:val="Kop2"/>
        <w:spacing w:before="0" w:line="22" w:lineRule="atLeast"/>
        <w:rPr>
          <w:rFonts w:ascii="Verdana" w:hAnsi="Verdana"/>
        </w:rPr>
      </w:pPr>
      <w:bookmarkStart w:id="42" w:name="_Toc451895005"/>
      <w:r w:rsidRPr="00266135">
        <w:rPr>
          <w:rFonts w:ascii="Verdana" w:hAnsi="Verdana"/>
        </w:rPr>
        <w:t>4.</w:t>
      </w:r>
      <w:r w:rsidR="00694E2C">
        <w:rPr>
          <w:rFonts w:ascii="Verdana" w:hAnsi="Verdana"/>
        </w:rPr>
        <w:t>10</w:t>
      </w:r>
      <w:r>
        <w:rPr>
          <w:rFonts w:ascii="Verdana" w:hAnsi="Verdana"/>
        </w:rPr>
        <w:t xml:space="preserve"> Doorzoeking en i</w:t>
      </w:r>
      <w:r w:rsidRPr="00266135">
        <w:rPr>
          <w:rFonts w:ascii="Verdana" w:hAnsi="Verdana"/>
        </w:rPr>
        <w:t>nbeslagname</w:t>
      </w:r>
      <w:bookmarkEnd w:id="42"/>
    </w:p>
    <w:p w:rsidR="0095693E" w:rsidRPr="00922237" w:rsidRDefault="0095693E" w:rsidP="0092501F">
      <w:pPr>
        <w:spacing w:after="0" w:line="22" w:lineRule="atLeast"/>
        <w:jc w:val="both"/>
        <w:rPr>
          <w:rFonts w:ascii="Verdana" w:hAnsi="Verdana"/>
        </w:rPr>
      </w:pPr>
      <w:r w:rsidRPr="00922237">
        <w:rPr>
          <w:rFonts w:ascii="Verdana" w:hAnsi="Verdana"/>
        </w:rPr>
        <w:t>Een doorzoeking ter inbeslagname bij verschoningsgerechtigden geschiedt door de rechter-commissaris</w:t>
      </w:r>
      <w:r w:rsidRPr="00922237">
        <w:rPr>
          <w:rStyle w:val="Voetnootmarkering"/>
          <w:rFonts w:ascii="Verdana" w:hAnsi="Verdana"/>
        </w:rPr>
        <w:footnoteReference w:id="89"/>
      </w:r>
      <w:r w:rsidRPr="00922237">
        <w:rPr>
          <w:rFonts w:ascii="Verdana" w:hAnsi="Verdana"/>
        </w:rPr>
        <w:t>. Wanneer de rechter-commissaris e</w:t>
      </w:r>
      <w:r w:rsidR="00350FA6">
        <w:rPr>
          <w:rFonts w:ascii="Verdana" w:hAnsi="Verdana"/>
        </w:rPr>
        <w:t>en machtiging tot doorzoeking heeft</w:t>
      </w:r>
      <w:r w:rsidRPr="00922237">
        <w:rPr>
          <w:rFonts w:ascii="Verdana" w:hAnsi="Verdana"/>
        </w:rPr>
        <w:t xml:space="preserve"> afgegeven, is een machtiging tot binnentreden niet meer nodig</w:t>
      </w:r>
      <w:r w:rsidRPr="00922237">
        <w:rPr>
          <w:rStyle w:val="Voetnootmarkering"/>
          <w:rFonts w:ascii="Verdana" w:hAnsi="Verdana"/>
        </w:rPr>
        <w:footnoteReference w:id="90"/>
      </w:r>
      <w:r w:rsidRPr="00922237">
        <w:rPr>
          <w:rFonts w:ascii="Verdana" w:hAnsi="Verdana"/>
        </w:rPr>
        <w:t>. In artikel 98 lid 2 Sv is de doorzoeking bij verschoningsgerechtigde beroepsbeoefenaren geregeld</w:t>
      </w:r>
      <w:r w:rsidR="005463F3">
        <w:rPr>
          <w:rFonts w:ascii="Verdana" w:hAnsi="Verdana"/>
        </w:rPr>
        <w:t> met daarin</w:t>
      </w:r>
      <w:r w:rsidR="00FD5E56">
        <w:rPr>
          <w:rFonts w:ascii="Verdana" w:hAnsi="Verdana"/>
        </w:rPr>
        <w:t xml:space="preserve"> </w:t>
      </w:r>
      <w:r w:rsidR="00350FA6">
        <w:rPr>
          <w:rFonts w:ascii="Verdana" w:hAnsi="Verdana"/>
        </w:rPr>
        <w:t>twee mogelijkheden:</w:t>
      </w:r>
      <w:r w:rsidRPr="00922237">
        <w:rPr>
          <w:rFonts w:ascii="Verdana" w:hAnsi="Verdana"/>
        </w:rPr>
        <w:t xml:space="preserve"> 1) de verscho</w:t>
      </w:r>
      <w:r w:rsidR="005463F3">
        <w:rPr>
          <w:rFonts w:ascii="Verdana" w:hAnsi="Verdana"/>
        </w:rPr>
        <w:t>-</w:t>
      </w:r>
      <w:r w:rsidRPr="00922237">
        <w:rPr>
          <w:rFonts w:ascii="Verdana" w:hAnsi="Verdana"/>
        </w:rPr>
        <w:t>ningsgerechtigde beroepsbeoefenaar geeft toestemming of 2) de verschonings</w:t>
      </w:r>
      <w:r w:rsidR="005463F3">
        <w:rPr>
          <w:rFonts w:ascii="Verdana" w:hAnsi="Verdana"/>
        </w:rPr>
        <w:t>-</w:t>
      </w:r>
      <w:r w:rsidR="00350FA6">
        <w:rPr>
          <w:rFonts w:ascii="Verdana" w:hAnsi="Verdana"/>
        </w:rPr>
        <w:t>g</w:t>
      </w:r>
      <w:r w:rsidRPr="00922237">
        <w:rPr>
          <w:rFonts w:ascii="Verdana" w:hAnsi="Verdana"/>
        </w:rPr>
        <w:t>erechtigde beroepsbeoefenaar geeft geen toestemming. In geval van</w:t>
      </w:r>
      <w:r w:rsidR="003366D6">
        <w:rPr>
          <w:rFonts w:ascii="Verdana" w:hAnsi="Verdana"/>
        </w:rPr>
        <w:t xml:space="preserve"> de eerste situatie i</w:t>
      </w:r>
      <w:r w:rsidRPr="00922237">
        <w:rPr>
          <w:rFonts w:ascii="Verdana" w:hAnsi="Verdana"/>
        </w:rPr>
        <w:t>s er niet veel aan de hand, de doorzoeking</w:t>
      </w:r>
      <w:r w:rsidR="005463F3">
        <w:rPr>
          <w:rFonts w:ascii="Verdana" w:hAnsi="Verdana"/>
        </w:rPr>
        <w:t xml:space="preserve"> mag in dat geval gewoon plaats</w:t>
      </w:r>
      <w:r w:rsidRPr="00922237">
        <w:rPr>
          <w:rFonts w:ascii="Verdana" w:hAnsi="Verdana"/>
        </w:rPr>
        <w:t xml:space="preserve">vinden. </w:t>
      </w:r>
      <w:r w:rsidR="003366D6">
        <w:rPr>
          <w:rFonts w:ascii="Verdana" w:hAnsi="Verdana"/>
        </w:rPr>
        <w:t>De tweede s</w:t>
      </w:r>
      <w:r w:rsidRPr="00922237">
        <w:rPr>
          <w:rFonts w:ascii="Verdana" w:hAnsi="Verdana"/>
        </w:rPr>
        <w:t>ituatie is anders. Indien de verschoningsgerechtigde beroepsbeoefenaar geen toestemming geeft, mag de doorzoeking slechts plaatsvinden indien; 1) het stands-, beroeps- of ambtsgeheim niet wordt geschonden én 2) er alleen wordt gezocht naar brieven en geschriften die voorwerp zijn van het strafbare feit (corpora delicti) of deze tot het begaan van het strafbare feit hebben gediend (instrumenta delicti). Doorzoeking bij een verschoningsgerechtigde beroepsbeoefenaar is dus mogelijk, maar alleen onder bepaalde voorwaarden. Als aan</w:t>
      </w:r>
      <w:r w:rsidR="0063687A">
        <w:rPr>
          <w:rFonts w:ascii="Verdana" w:hAnsi="Verdana"/>
        </w:rPr>
        <w:t>vulling op de termen corpora- et</w:t>
      </w:r>
      <w:r w:rsidR="00FD5E56">
        <w:rPr>
          <w:rFonts w:ascii="Verdana" w:hAnsi="Verdana"/>
        </w:rPr>
        <w:t xml:space="preserve"> </w:t>
      </w:r>
      <w:r w:rsidRPr="00922237">
        <w:rPr>
          <w:rFonts w:ascii="Verdana" w:hAnsi="Verdana"/>
        </w:rPr>
        <w:t>instrume</w:t>
      </w:r>
      <w:r w:rsidR="003366D6">
        <w:rPr>
          <w:rFonts w:ascii="Verdana" w:hAnsi="Verdana"/>
        </w:rPr>
        <w:t>n</w:t>
      </w:r>
      <w:r w:rsidRPr="00922237">
        <w:rPr>
          <w:rFonts w:ascii="Verdana" w:hAnsi="Verdana"/>
        </w:rPr>
        <w:t>ta delicti; door de Hoge Raad is bepaald dat deze termen niet extensief mogen worden geïnterpreteerd. Om iets te kunnen kwalificeren als corpora- of instrumenta delicti, moet het gaan om stukken die een zelfstandige betekenis hebben gehad bij het strafbare feit</w:t>
      </w:r>
      <w:r w:rsidRPr="00922237">
        <w:rPr>
          <w:rStyle w:val="Voetnootmarkering"/>
          <w:rFonts w:ascii="Verdana" w:hAnsi="Verdana"/>
        </w:rPr>
        <w:footnoteReference w:id="91"/>
      </w:r>
      <w:r w:rsidRPr="00922237">
        <w:rPr>
          <w:rFonts w:ascii="Verdana" w:hAnsi="Verdana"/>
        </w:rPr>
        <w:t>. Onvoldoende is dat het stuk kan dienen als bewijs voor het strafbare feit.</w:t>
      </w:r>
    </w:p>
    <w:p w:rsidR="000A04FC" w:rsidRDefault="000A04FC" w:rsidP="0092501F">
      <w:pPr>
        <w:spacing w:after="0" w:line="22" w:lineRule="atLeast"/>
        <w:jc w:val="both"/>
        <w:rPr>
          <w:rFonts w:ascii="Verdana" w:hAnsi="Verdana"/>
          <w:color w:val="333333"/>
          <w:sz w:val="19"/>
          <w:szCs w:val="19"/>
        </w:rPr>
      </w:pPr>
    </w:p>
    <w:p w:rsidR="0095693E" w:rsidRPr="00922237" w:rsidRDefault="0095693E" w:rsidP="0092501F">
      <w:pPr>
        <w:spacing w:after="0" w:line="22" w:lineRule="atLeast"/>
        <w:jc w:val="both"/>
        <w:rPr>
          <w:rFonts w:ascii="Verdana" w:hAnsi="Verdana"/>
        </w:rPr>
      </w:pPr>
      <w:r w:rsidRPr="00922237">
        <w:rPr>
          <w:rFonts w:ascii="Verdana" w:hAnsi="Verdana"/>
        </w:rPr>
        <w:t>Vervolgens de inbeslagname. Inbeslagname is ingevolge artikel 94 Sv alleen mogelijk bij voorwerpen die</w:t>
      </w:r>
      <w:r w:rsidR="00D3761A">
        <w:rPr>
          <w:rFonts w:ascii="Verdana" w:hAnsi="Verdana"/>
        </w:rPr>
        <w:t xml:space="preserve"> de waarheidsvinding</w:t>
      </w:r>
      <w:r w:rsidRPr="00922237">
        <w:rPr>
          <w:rFonts w:ascii="Verdana" w:hAnsi="Verdana"/>
        </w:rPr>
        <w:t xml:space="preserve"> kunnen dienen, het zoge</w:t>
      </w:r>
      <w:r w:rsidR="00D3761A">
        <w:rPr>
          <w:rFonts w:ascii="Verdana" w:hAnsi="Verdana"/>
        </w:rPr>
        <w:t>-</w:t>
      </w:r>
      <w:r w:rsidRPr="00922237">
        <w:rPr>
          <w:rFonts w:ascii="Verdana" w:hAnsi="Verdana"/>
        </w:rPr>
        <w:t>naamde opsporingsbelang, of om wederrechtelijk verkregen voordeel aan te tonen. Om de voorwerpen in beslag te nemen, wordt een bevel tot inbeslagname afgegeven op grond van artikel 96a lid 1 Sv</w:t>
      </w:r>
      <w:r w:rsidR="00E00196" w:rsidRPr="00922237">
        <w:rPr>
          <w:rFonts w:ascii="Verdana" w:hAnsi="Verdana"/>
        </w:rPr>
        <w:t>.</w:t>
      </w:r>
      <w:r w:rsidR="00473F49">
        <w:rPr>
          <w:rFonts w:ascii="Verdana" w:hAnsi="Verdana"/>
        </w:rPr>
        <w:t> </w:t>
      </w:r>
      <w:r w:rsidR="00E00196" w:rsidRPr="00922237">
        <w:rPr>
          <w:rFonts w:ascii="Verdana" w:hAnsi="Verdana"/>
        </w:rPr>
        <w:t>Wanneer een dergelijk bevel</w:t>
      </w:r>
      <w:r w:rsidR="0014219F" w:rsidRPr="00922237">
        <w:rPr>
          <w:rFonts w:ascii="Verdana" w:hAnsi="Verdana"/>
        </w:rPr>
        <w:t xml:space="preserve"> wordt afgegeven</w:t>
      </w:r>
      <w:r w:rsidR="00E00196" w:rsidRPr="00922237">
        <w:rPr>
          <w:rFonts w:ascii="Verdana" w:hAnsi="Verdana"/>
        </w:rPr>
        <w:t>,</w:t>
      </w:r>
      <w:r w:rsidR="0014219F" w:rsidRPr="00922237">
        <w:rPr>
          <w:rFonts w:ascii="Verdana" w:hAnsi="Verdana"/>
        </w:rPr>
        <w:t xml:space="preserve"> is diegene</w:t>
      </w:r>
      <w:r w:rsidR="003366D6">
        <w:rPr>
          <w:rFonts w:ascii="Verdana" w:hAnsi="Verdana"/>
        </w:rPr>
        <w:t xml:space="preserve"> aan wie het bevel gericht is</w:t>
      </w:r>
      <w:r w:rsidR="0014219F" w:rsidRPr="00922237">
        <w:rPr>
          <w:rFonts w:ascii="Verdana" w:hAnsi="Verdana"/>
        </w:rPr>
        <w:t xml:space="preserve"> verplicht hieraan te voldoen</w:t>
      </w:r>
      <w:r w:rsidRPr="00922237">
        <w:rPr>
          <w:rFonts w:ascii="Verdana" w:hAnsi="Verdana"/>
        </w:rPr>
        <w:t>.</w:t>
      </w:r>
      <w:r w:rsidR="003366D6">
        <w:rPr>
          <w:rFonts w:ascii="Verdana" w:hAnsi="Verdana"/>
        </w:rPr>
        <w:t xml:space="preserve"> Echter, artikel 96a lid 3 onder b Sv</w:t>
      </w:r>
      <w:r w:rsidRPr="00922237">
        <w:rPr>
          <w:rFonts w:ascii="Verdana" w:hAnsi="Verdana"/>
        </w:rPr>
        <w:t xml:space="preserve"> bepaalt dat een bevel c.q. vordering wel mag worden afgegeven aan een verschoningsgerechtigde beroepsbeoefenaar, maar dat deze verschoningsgerechtigde beroepsbeoefenaar niet verplicht is om aan dat bevel c.q. de vordering te voldoen. </w:t>
      </w:r>
      <w:r w:rsidR="00D3761A">
        <w:rPr>
          <w:rFonts w:ascii="Verdana" w:hAnsi="Verdana"/>
        </w:rPr>
        <w:t>Verder is voor de inbeslagname</w:t>
      </w:r>
      <w:r w:rsidRPr="00922237">
        <w:rPr>
          <w:rFonts w:ascii="Verdana" w:hAnsi="Verdana"/>
        </w:rPr>
        <w:t xml:space="preserve"> van brieven en geschriften die vallen onder het beroepsgeheim de toestemming </w:t>
      </w:r>
      <w:r w:rsidRPr="00922237">
        <w:rPr>
          <w:rFonts w:ascii="Verdana" w:hAnsi="Verdana"/>
        </w:rPr>
        <w:lastRenderedPageBreak/>
        <w:t>nodig van de verschoningsgerechtigde beroepsbeoefenaar voor de inbeslagname op grond van artikel 98 lid 1 Sv. Indien de verschoningsgerechtigde beroeps</w:t>
      </w:r>
      <w:r w:rsidR="00FF30EE">
        <w:rPr>
          <w:rFonts w:ascii="Verdana" w:hAnsi="Verdana"/>
        </w:rPr>
        <w:t>-</w:t>
      </w:r>
      <w:r w:rsidRPr="00922237">
        <w:rPr>
          <w:rFonts w:ascii="Verdana" w:hAnsi="Verdana"/>
        </w:rPr>
        <w:t xml:space="preserve">beoefenaar zich op het standpunt stelt dat een voorwerp valt onder </w:t>
      </w:r>
      <w:r w:rsidR="00A05561">
        <w:rPr>
          <w:rFonts w:ascii="Verdana" w:hAnsi="Verdana"/>
        </w:rPr>
        <w:t>zijn verschoningsrecht, dient di</w:t>
      </w:r>
      <w:r w:rsidRPr="00922237">
        <w:rPr>
          <w:rFonts w:ascii="Verdana" w:hAnsi="Verdana"/>
        </w:rPr>
        <w:t>t te worden gerespecteerd, tenzij er gegronde redenen zijn om er van uit te gaan dat dit standpunt onjuist is</w:t>
      </w:r>
      <w:r w:rsidRPr="00922237">
        <w:rPr>
          <w:rStyle w:val="Voetnootmarkering"/>
          <w:rFonts w:ascii="Verdana" w:hAnsi="Verdana"/>
        </w:rPr>
        <w:footnoteReference w:id="92"/>
      </w:r>
      <w:r w:rsidRPr="00922237">
        <w:rPr>
          <w:rFonts w:ascii="Verdana" w:hAnsi="Verdana"/>
        </w:rPr>
        <w:t xml:space="preserve">. </w:t>
      </w:r>
    </w:p>
    <w:p w:rsidR="0095693E" w:rsidRPr="00922237" w:rsidRDefault="0095693E" w:rsidP="0092501F">
      <w:pPr>
        <w:spacing w:after="0" w:line="22" w:lineRule="atLeast"/>
        <w:jc w:val="both"/>
        <w:rPr>
          <w:rFonts w:ascii="Verdana" w:hAnsi="Verdana"/>
        </w:rPr>
      </w:pPr>
    </w:p>
    <w:p w:rsidR="0095693E" w:rsidRPr="00922237" w:rsidRDefault="0095693E" w:rsidP="0092501F">
      <w:pPr>
        <w:spacing w:after="0" w:line="22" w:lineRule="atLeast"/>
        <w:jc w:val="both"/>
        <w:rPr>
          <w:rFonts w:ascii="Verdana" w:hAnsi="Verdana"/>
        </w:rPr>
      </w:pPr>
      <w:r w:rsidRPr="00922237">
        <w:rPr>
          <w:rFonts w:ascii="Verdana" w:hAnsi="Verdana"/>
        </w:rPr>
        <w:t>In beginsel is dus de toestemming nodig van de verschoningsgerechtigde beroepsbeoefenaar voor de inbeslagname van brieven en geschriften. Echter, in geval van zeer uitzonderlijke omstandigheden kan het verschoningsrecht worden doorbroken</w:t>
      </w:r>
      <w:r w:rsidRPr="00922237">
        <w:rPr>
          <w:rStyle w:val="Voetnootmarkering"/>
          <w:rFonts w:ascii="Verdana" w:hAnsi="Verdana"/>
        </w:rPr>
        <w:footnoteReference w:id="93"/>
      </w:r>
      <w:r w:rsidRPr="00922237">
        <w:rPr>
          <w:rFonts w:ascii="Verdana" w:hAnsi="Verdana"/>
        </w:rPr>
        <w:t xml:space="preserve">. Of er sprake is van zeer uitzonderlijke omstandigheden is aan de rechter, daarbij spelen de zes factoren van de Hoge Raad een rol. </w:t>
      </w:r>
    </w:p>
    <w:p w:rsidR="001A2593" w:rsidRPr="0045654C" w:rsidRDefault="001A2593" w:rsidP="0092501F">
      <w:pPr>
        <w:spacing w:after="0" w:line="22" w:lineRule="atLeast"/>
        <w:rPr>
          <w:rFonts w:ascii="Verdana" w:hAnsi="Verdana"/>
        </w:rPr>
      </w:pPr>
    </w:p>
    <w:p w:rsidR="001A2593" w:rsidRPr="0045654C" w:rsidRDefault="001A2593" w:rsidP="0092501F">
      <w:pPr>
        <w:spacing w:after="0" w:line="22" w:lineRule="atLeast"/>
        <w:rPr>
          <w:rFonts w:ascii="Verdana" w:hAnsi="Verdana"/>
        </w:rPr>
      </w:pPr>
    </w:p>
    <w:p w:rsidR="00F749AA" w:rsidRPr="00960FD3" w:rsidRDefault="00960FD3" w:rsidP="0092501F">
      <w:pPr>
        <w:pStyle w:val="Kop2"/>
        <w:spacing w:before="0" w:line="22" w:lineRule="atLeast"/>
        <w:rPr>
          <w:rFonts w:ascii="Verdana" w:hAnsi="Verdana"/>
        </w:rPr>
      </w:pPr>
      <w:bookmarkStart w:id="43" w:name="_Toc451895006"/>
      <w:r>
        <w:rPr>
          <w:rFonts w:ascii="Verdana" w:hAnsi="Verdana"/>
        </w:rPr>
        <w:t>4</w:t>
      </w:r>
      <w:r w:rsidR="00F749AA" w:rsidRPr="00960FD3">
        <w:rPr>
          <w:rFonts w:ascii="Verdana" w:hAnsi="Verdana"/>
        </w:rPr>
        <w:t>.</w:t>
      </w:r>
      <w:r w:rsidR="009042DE">
        <w:rPr>
          <w:rFonts w:ascii="Verdana" w:hAnsi="Verdana"/>
        </w:rPr>
        <w:t>1</w:t>
      </w:r>
      <w:r w:rsidR="00694E2C">
        <w:rPr>
          <w:rFonts w:ascii="Verdana" w:hAnsi="Verdana"/>
        </w:rPr>
        <w:t>1</w:t>
      </w:r>
      <w:r w:rsidR="005C1164">
        <w:rPr>
          <w:rFonts w:ascii="Verdana" w:hAnsi="Verdana"/>
        </w:rPr>
        <w:t> </w:t>
      </w:r>
      <w:r w:rsidR="00DC127E">
        <w:rPr>
          <w:rFonts w:ascii="Verdana" w:hAnsi="Verdana"/>
        </w:rPr>
        <w:t>Samenvattend</w:t>
      </w:r>
      <w:bookmarkEnd w:id="43"/>
    </w:p>
    <w:p w:rsidR="001814D6" w:rsidRPr="00922237" w:rsidRDefault="008E2DD7" w:rsidP="0092501F">
      <w:pPr>
        <w:spacing w:after="0" w:line="22" w:lineRule="atLeast"/>
        <w:jc w:val="both"/>
        <w:rPr>
          <w:rFonts w:ascii="Verdana" w:hAnsi="Verdana"/>
        </w:rPr>
      </w:pPr>
      <w:r w:rsidRPr="00922237">
        <w:rPr>
          <w:rFonts w:ascii="Verdana" w:hAnsi="Verdana"/>
        </w:rPr>
        <w:t>Een geheimhoudingsplichtig</w:t>
      </w:r>
      <w:r w:rsidR="001814D6" w:rsidRPr="00922237">
        <w:rPr>
          <w:rFonts w:ascii="Verdana" w:hAnsi="Verdana"/>
        </w:rPr>
        <w:t>e dient te zwijgen over al hetgeen wat hij te weten is gekomen in de uitoefening van zijn beroep. Schending van de geheimhoudings</w:t>
      </w:r>
      <w:r w:rsidR="00922237">
        <w:rPr>
          <w:rFonts w:ascii="Verdana" w:hAnsi="Verdana"/>
        </w:rPr>
        <w:t>-</w:t>
      </w:r>
      <w:r w:rsidR="001814D6" w:rsidRPr="00922237">
        <w:rPr>
          <w:rFonts w:ascii="Verdana" w:hAnsi="Verdana"/>
        </w:rPr>
        <w:t>plicht</w:t>
      </w:r>
      <w:r w:rsidR="00061CC8" w:rsidRPr="00922237">
        <w:rPr>
          <w:rFonts w:ascii="Verdana" w:hAnsi="Verdana"/>
        </w:rPr>
        <w:t xml:space="preserve"> is een opzet</w:t>
      </w:r>
      <w:r w:rsidR="00EC5148" w:rsidRPr="00922237">
        <w:rPr>
          <w:rFonts w:ascii="Verdana" w:hAnsi="Verdana"/>
        </w:rPr>
        <w:t>-</w:t>
      </w:r>
      <w:r w:rsidR="00061CC8" w:rsidRPr="00922237">
        <w:rPr>
          <w:rFonts w:ascii="Verdana" w:hAnsi="Verdana"/>
        </w:rPr>
        <w:t xml:space="preserve"> en klachtdelict en</w:t>
      </w:r>
      <w:r w:rsidR="001814D6" w:rsidRPr="00922237">
        <w:rPr>
          <w:rFonts w:ascii="Verdana" w:hAnsi="Verdana"/>
        </w:rPr>
        <w:t xml:space="preserve"> kan leiden tot strafrechtelijke- of tucht</w:t>
      </w:r>
      <w:r w:rsidR="00922237">
        <w:rPr>
          <w:rFonts w:ascii="Verdana" w:hAnsi="Verdana"/>
        </w:rPr>
        <w:t>-</w:t>
      </w:r>
      <w:r w:rsidR="001814D6" w:rsidRPr="00922237">
        <w:rPr>
          <w:rFonts w:ascii="Verdana" w:hAnsi="Verdana"/>
        </w:rPr>
        <w:t>rechtelijke sancties. De geheimhoudingsplicht wordt ook gezien als een recht tot geheimhouding voor cliënten/patiënten. Dit recht is echter niet afdwingbaar binnen het notariaat en de a</w:t>
      </w:r>
      <w:r w:rsidR="009B01C9">
        <w:rPr>
          <w:rFonts w:ascii="Verdana" w:hAnsi="Verdana"/>
        </w:rPr>
        <w:t>dvocatuur. Binnen de gezondheidszorg</w:t>
      </w:r>
      <w:r w:rsidR="001814D6" w:rsidRPr="00922237">
        <w:rPr>
          <w:rFonts w:ascii="Verdana" w:hAnsi="Verdana"/>
        </w:rPr>
        <w:t xml:space="preserve"> is dit recht wel afdwingbaar en mag de patiënt ook toestemming verlenen </w:t>
      </w:r>
      <w:r w:rsidR="00D44402" w:rsidRPr="00922237">
        <w:rPr>
          <w:rFonts w:ascii="Verdana" w:hAnsi="Verdana"/>
        </w:rPr>
        <w:t>om de geheim</w:t>
      </w:r>
      <w:r w:rsidR="009B01C9">
        <w:rPr>
          <w:rFonts w:ascii="Verdana" w:hAnsi="Verdana"/>
        </w:rPr>
        <w:t>-</w:t>
      </w:r>
      <w:r w:rsidR="00D44402" w:rsidRPr="00922237">
        <w:rPr>
          <w:rFonts w:ascii="Verdana" w:hAnsi="Verdana"/>
        </w:rPr>
        <w:t>houding te doorbreken</w:t>
      </w:r>
      <w:r w:rsidR="004D6368" w:rsidRPr="00922237">
        <w:rPr>
          <w:rFonts w:ascii="Verdana" w:hAnsi="Verdana"/>
        </w:rPr>
        <w:t>; de hulpverlener houdt echter altijd de verplichting om zelf een afweging te maken.</w:t>
      </w:r>
    </w:p>
    <w:p w:rsidR="00C022A6" w:rsidRPr="00922237" w:rsidRDefault="00C022A6" w:rsidP="0092501F">
      <w:pPr>
        <w:spacing w:after="0" w:line="22" w:lineRule="atLeast"/>
        <w:jc w:val="both"/>
        <w:rPr>
          <w:rFonts w:ascii="Verdana" w:hAnsi="Verdana"/>
        </w:rPr>
      </w:pPr>
    </w:p>
    <w:p w:rsidR="003E3462" w:rsidRPr="00922237" w:rsidRDefault="0047368E" w:rsidP="0092501F">
      <w:pPr>
        <w:spacing w:after="0" w:line="22" w:lineRule="atLeast"/>
        <w:jc w:val="both"/>
        <w:rPr>
          <w:rFonts w:ascii="Verdana" w:hAnsi="Verdana"/>
        </w:rPr>
      </w:pPr>
      <w:r w:rsidRPr="00922237">
        <w:rPr>
          <w:rFonts w:ascii="Verdana" w:hAnsi="Verdana"/>
        </w:rPr>
        <w:t xml:space="preserve">Het professionele verschoningsrecht ex artikel 218 Sv ziet op informatie die verkregen is in de hoedanigheid van beroepsbeoefenaar, dus niet op informatie uit privétijd. Het verwanten verschoningsrecht ex artikel 217 Sv ziet op het kunnen verschonen van bepaalde vragen indien die vragen over familieleden gaan. Het nemo-tenetur verschoningsrecht ex artikel 219 Sv ziet op het niet hoeven meewerken aan een strafrechtelijke veroordeling van de verdachte zelf of diens familieleden. De artikelen 219a en 219b Sv zien op de bescherming van de bedreigde- en afgeschermde getuige. </w:t>
      </w:r>
      <w:r w:rsidR="00CF280B">
        <w:rPr>
          <w:rFonts w:ascii="Verdana" w:hAnsi="Verdana"/>
        </w:rPr>
        <w:t>Voor he</w:t>
      </w:r>
      <w:r w:rsidR="004826B6" w:rsidRPr="00922237">
        <w:rPr>
          <w:rFonts w:ascii="Verdana" w:hAnsi="Verdana"/>
        </w:rPr>
        <w:t>t verwanten- en professionele verschoningsrecht geldt de volle omvang van het verschoningsrecht, voor</w:t>
      </w:r>
      <w:r w:rsidR="002A4356">
        <w:rPr>
          <w:rFonts w:ascii="Verdana" w:hAnsi="Verdana"/>
        </w:rPr>
        <w:t xml:space="preserve"> de artikelen</w:t>
      </w:r>
      <w:r w:rsidR="004826B6" w:rsidRPr="00922237">
        <w:rPr>
          <w:rFonts w:ascii="Verdana" w:hAnsi="Verdana"/>
        </w:rPr>
        <w:t xml:space="preserve"> 219 t/m 219b </w:t>
      </w:r>
      <w:r w:rsidR="00CF280B">
        <w:rPr>
          <w:rFonts w:ascii="Verdana" w:hAnsi="Verdana"/>
        </w:rPr>
        <w:t xml:space="preserve">Sv </w:t>
      </w:r>
      <w:r w:rsidR="004826B6" w:rsidRPr="00922237">
        <w:rPr>
          <w:rFonts w:ascii="Verdana" w:hAnsi="Verdana"/>
        </w:rPr>
        <w:t>geldt een beperkt verschoningsrecht.</w:t>
      </w:r>
      <w:r w:rsidR="003E3462" w:rsidRPr="00922237">
        <w:rPr>
          <w:rFonts w:ascii="Verdana" w:hAnsi="Verdana"/>
        </w:rPr>
        <w:t xml:space="preserve"> Naast de voornoemde rechten van de getuigen, heeft deze ook plichten. Dit is de plicht om te verschijnen en om de waarheid te spreken.</w:t>
      </w:r>
    </w:p>
    <w:p w:rsidR="00AE3217" w:rsidRDefault="00AE3217" w:rsidP="0092501F">
      <w:pPr>
        <w:spacing w:after="0" w:line="22" w:lineRule="atLeast"/>
        <w:jc w:val="both"/>
        <w:rPr>
          <w:rFonts w:ascii="Verdana" w:hAnsi="Verdana"/>
          <w:b/>
          <w:bCs/>
          <w:color w:val="333333"/>
          <w:sz w:val="33"/>
          <w:szCs w:val="33"/>
        </w:rPr>
      </w:pPr>
    </w:p>
    <w:p w:rsidR="004826B6" w:rsidRPr="00922237" w:rsidRDefault="004826B6" w:rsidP="0092501F">
      <w:pPr>
        <w:spacing w:after="0" w:line="22" w:lineRule="atLeast"/>
        <w:jc w:val="both"/>
        <w:rPr>
          <w:rFonts w:ascii="Verdana" w:hAnsi="Verdana"/>
        </w:rPr>
      </w:pPr>
      <w:r w:rsidRPr="00922237">
        <w:rPr>
          <w:rFonts w:ascii="Verdana" w:hAnsi="Verdana"/>
        </w:rPr>
        <w:t>Doorbreking van het verschoningsrecht is mogelijk op basis van een wettelijke verplichting,</w:t>
      </w:r>
      <w:r w:rsidR="002A4356">
        <w:rPr>
          <w:rFonts w:ascii="Verdana" w:hAnsi="Verdana"/>
        </w:rPr>
        <w:t xml:space="preserve"> met</w:t>
      </w:r>
      <w:r w:rsidRPr="00922237">
        <w:rPr>
          <w:rFonts w:ascii="Verdana" w:hAnsi="Verdana"/>
        </w:rPr>
        <w:t xml:space="preserve"> toestemming van de cliënt/patiënt, </w:t>
      </w:r>
      <w:r w:rsidR="002A4356">
        <w:rPr>
          <w:rFonts w:ascii="Verdana" w:hAnsi="Verdana"/>
        </w:rPr>
        <w:t xml:space="preserve">bij </w:t>
      </w:r>
      <w:r w:rsidR="00525EBC" w:rsidRPr="00922237">
        <w:rPr>
          <w:rFonts w:ascii="Verdana" w:hAnsi="Verdana"/>
        </w:rPr>
        <w:t>noodtoestand (ook wel conflict van plichten</w:t>
      </w:r>
      <w:r w:rsidR="003366D6">
        <w:rPr>
          <w:rFonts w:ascii="Verdana" w:hAnsi="Verdana"/>
        </w:rPr>
        <w:t xml:space="preserve"> genoemd</w:t>
      </w:r>
      <w:r w:rsidR="00525EBC" w:rsidRPr="00922237">
        <w:rPr>
          <w:rFonts w:ascii="Verdana" w:hAnsi="Verdana"/>
        </w:rPr>
        <w:t xml:space="preserve"> in de medische wereld, dan wel een meldcode bij kindermishandeling) en bij een zwaarwegend belang. </w:t>
      </w:r>
    </w:p>
    <w:p w:rsidR="00FD3758" w:rsidRPr="00922237" w:rsidRDefault="00FD3758" w:rsidP="0092501F">
      <w:pPr>
        <w:spacing w:after="0" w:line="22" w:lineRule="atLeast"/>
        <w:jc w:val="both"/>
        <w:rPr>
          <w:rFonts w:ascii="Verdana" w:hAnsi="Verdana"/>
        </w:rPr>
      </w:pPr>
    </w:p>
    <w:p w:rsidR="00FD3758" w:rsidRPr="00922237" w:rsidRDefault="00FD3758" w:rsidP="0092501F">
      <w:pPr>
        <w:spacing w:after="0" w:line="22" w:lineRule="atLeast"/>
        <w:jc w:val="both"/>
        <w:rPr>
          <w:rFonts w:ascii="Verdana" w:hAnsi="Verdana"/>
        </w:rPr>
      </w:pPr>
      <w:r w:rsidRPr="00922237">
        <w:rPr>
          <w:rFonts w:ascii="Verdana" w:hAnsi="Verdana"/>
        </w:rPr>
        <w:t>Naast het verschoningsrecht van de beroepsbeoefenaar, kan er een  afgeleid- en gedeeld verschoningsrecht zijn voor mensen waarmee de beroep</w:t>
      </w:r>
      <w:r w:rsidR="00177B23">
        <w:rPr>
          <w:rFonts w:ascii="Verdana" w:hAnsi="Verdana"/>
        </w:rPr>
        <w:t>sbeoefen</w:t>
      </w:r>
      <w:r w:rsidR="00336FDE">
        <w:rPr>
          <w:rFonts w:ascii="Verdana" w:hAnsi="Verdana"/>
        </w:rPr>
        <w:t>aar samenwerkt of die onder hem</w:t>
      </w:r>
      <w:r w:rsidRPr="00922237">
        <w:rPr>
          <w:rFonts w:ascii="Verdana" w:hAnsi="Verdana"/>
        </w:rPr>
        <w:t xml:space="preserve"> werken.</w:t>
      </w:r>
      <w:r w:rsidR="00615634" w:rsidRPr="00922237">
        <w:rPr>
          <w:rFonts w:ascii="Verdana" w:hAnsi="Verdana"/>
        </w:rPr>
        <w:t xml:space="preserve"> Het oordeel van de beroepsbeoefenaar is in het geval van een afgeleid verschoningsrecht leidend, in geval van een gedeeld verschoningsrecht beslissen partijen apart van elkaar. </w:t>
      </w:r>
    </w:p>
    <w:p w:rsidR="009D00CE" w:rsidRPr="00922237" w:rsidRDefault="009D00CE" w:rsidP="0092501F">
      <w:pPr>
        <w:spacing w:after="0" w:line="22" w:lineRule="atLeast"/>
        <w:jc w:val="both"/>
        <w:rPr>
          <w:rFonts w:ascii="Verdana" w:hAnsi="Verdana"/>
        </w:rPr>
      </w:pPr>
    </w:p>
    <w:p w:rsidR="009D00CE" w:rsidRPr="00922237" w:rsidRDefault="00A05561" w:rsidP="0092501F">
      <w:pPr>
        <w:spacing w:after="0" w:line="22" w:lineRule="atLeast"/>
        <w:jc w:val="both"/>
        <w:rPr>
          <w:rFonts w:ascii="Verdana" w:hAnsi="Verdana"/>
        </w:rPr>
      </w:pPr>
      <w:r>
        <w:rPr>
          <w:rFonts w:ascii="Verdana" w:hAnsi="Verdana"/>
        </w:rPr>
        <w:t>Voor burgers bestaan</w:t>
      </w:r>
      <w:r w:rsidR="009D00CE" w:rsidRPr="00922237">
        <w:rPr>
          <w:rFonts w:ascii="Verdana" w:hAnsi="Verdana"/>
        </w:rPr>
        <w:t xml:space="preserve"> een aangifte- en meldplicht indien zij op de hoogte zijn van (het voorbereiden van) bepaalde misdrijven. Deze</w:t>
      </w:r>
      <w:r>
        <w:rPr>
          <w:rFonts w:ascii="Verdana" w:hAnsi="Verdana"/>
        </w:rPr>
        <w:t xml:space="preserve"> aangifte- en meldplicht bestaan</w:t>
      </w:r>
      <w:r w:rsidR="009D00CE" w:rsidRPr="00922237">
        <w:rPr>
          <w:rFonts w:ascii="Verdana" w:hAnsi="Verdana"/>
        </w:rPr>
        <w:t xml:space="preserve"> niet voor beroepsbeoefenaren met een verschoningsrecht. Er bestaa</w:t>
      </w:r>
      <w:r w:rsidR="00336FDE">
        <w:rPr>
          <w:rFonts w:ascii="Verdana" w:hAnsi="Verdana"/>
        </w:rPr>
        <w:t>t</w:t>
      </w:r>
      <w:r w:rsidR="009D00CE" w:rsidRPr="00922237">
        <w:rPr>
          <w:rFonts w:ascii="Verdana" w:hAnsi="Verdana"/>
        </w:rPr>
        <w:t xml:space="preserve"> echter een aantal bijzondere aangifte- en meldplichten op basis van bijzondere wetten die een uitzondering maken op de vrijstelling van </w:t>
      </w:r>
      <w:r w:rsidR="00CC148C" w:rsidRPr="00922237">
        <w:rPr>
          <w:rFonts w:ascii="Verdana" w:hAnsi="Verdana"/>
        </w:rPr>
        <w:t>de verschonings</w:t>
      </w:r>
      <w:r w:rsidR="007E1DFA">
        <w:rPr>
          <w:rFonts w:ascii="Verdana" w:hAnsi="Verdana"/>
        </w:rPr>
        <w:t>-</w:t>
      </w:r>
      <w:r w:rsidR="00CC148C" w:rsidRPr="00922237">
        <w:rPr>
          <w:rFonts w:ascii="Verdana" w:hAnsi="Verdana"/>
        </w:rPr>
        <w:t xml:space="preserve">gerechtigde beroepsbeoefenaar. </w:t>
      </w:r>
    </w:p>
    <w:p w:rsidR="001814D6" w:rsidRPr="00922237" w:rsidRDefault="001814D6" w:rsidP="0092501F">
      <w:pPr>
        <w:spacing w:after="0" w:line="22" w:lineRule="atLeast"/>
        <w:jc w:val="both"/>
        <w:rPr>
          <w:rFonts w:ascii="Verdana" w:hAnsi="Verdana"/>
        </w:rPr>
      </w:pPr>
    </w:p>
    <w:p w:rsidR="001814D6" w:rsidRPr="00922237" w:rsidRDefault="00813692" w:rsidP="0092501F">
      <w:pPr>
        <w:spacing w:after="0" w:line="22" w:lineRule="atLeast"/>
        <w:jc w:val="both"/>
        <w:rPr>
          <w:rFonts w:ascii="Verdana" w:hAnsi="Verdana"/>
        </w:rPr>
      </w:pPr>
      <w:r w:rsidRPr="00922237">
        <w:rPr>
          <w:rFonts w:ascii="Verdana" w:hAnsi="Verdana"/>
        </w:rPr>
        <w:t xml:space="preserve">Wanneer een verschoningsgerechtigde beroepsbeoefenaar zelf verdacht wordt van een strafbaar feit, blijft het verschoningsrecht intact. </w:t>
      </w:r>
      <w:r w:rsidR="00336FDE">
        <w:rPr>
          <w:rFonts w:ascii="Verdana" w:hAnsi="Verdana"/>
        </w:rPr>
        <w:t>Hierop geldt er één uitzondering</w:t>
      </w:r>
      <w:r w:rsidR="00844E99">
        <w:rPr>
          <w:rFonts w:ascii="Verdana" w:hAnsi="Verdana"/>
        </w:rPr>
        <w:t xml:space="preserve">, namelijk wanneer het gaat om </w:t>
      </w:r>
      <w:r w:rsidRPr="00922237">
        <w:rPr>
          <w:rFonts w:ascii="Verdana" w:hAnsi="Verdana"/>
        </w:rPr>
        <w:t>een zware verdenking en om ee</w:t>
      </w:r>
      <w:r w:rsidR="00844E99">
        <w:rPr>
          <w:rFonts w:ascii="Verdana" w:hAnsi="Verdana"/>
        </w:rPr>
        <w:t>n ernstig strafbaar feit: in een dergelijk</w:t>
      </w:r>
      <w:r w:rsidRPr="00922237">
        <w:rPr>
          <w:rFonts w:ascii="Verdana" w:hAnsi="Verdana"/>
        </w:rPr>
        <w:t xml:space="preserve"> geval gaat het beroep op het verschoningsrecht niet op. </w:t>
      </w:r>
    </w:p>
    <w:p w:rsidR="005E3436" w:rsidRPr="00922237" w:rsidRDefault="005E3436" w:rsidP="0092501F">
      <w:pPr>
        <w:spacing w:after="0" w:line="22" w:lineRule="atLeast"/>
        <w:jc w:val="both"/>
        <w:rPr>
          <w:rFonts w:ascii="Verdana" w:hAnsi="Verdana"/>
        </w:rPr>
      </w:pPr>
    </w:p>
    <w:p w:rsidR="005E3436" w:rsidRPr="00922237" w:rsidRDefault="005E3436" w:rsidP="0092501F">
      <w:pPr>
        <w:spacing w:after="0" w:line="22" w:lineRule="atLeast"/>
        <w:jc w:val="both"/>
        <w:rPr>
          <w:rFonts w:ascii="Verdana" w:hAnsi="Verdana"/>
        </w:rPr>
      </w:pPr>
      <w:r w:rsidRPr="00922237">
        <w:rPr>
          <w:rFonts w:ascii="Verdana" w:hAnsi="Verdana"/>
        </w:rPr>
        <w:t>Bij het binnentreden</w:t>
      </w:r>
      <w:r w:rsidR="00844E99">
        <w:rPr>
          <w:rFonts w:ascii="Verdana" w:hAnsi="Verdana"/>
        </w:rPr>
        <w:t xml:space="preserve"> door een opsporingsambtenaar</w:t>
      </w:r>
      <w:r w:rsidR="00A05561">
        <w:rPr>
          <w:rFonts w:ascii="Verdana" w:hAnsi="Verdana"/>
        </w:rPr>
        <w:t xml:space="preserve"> moet er gekeken worden naar wat voor soort gebouw het is</w:t>
      </w:r>
      <w:r w:rsidRPr="00922237">
        <w:rPr>
          <w:rFonts w:ascii="Verdana" w:hAnsi="Verdana"/>
        </w:rPr>
        <w:t xml:space="preserve">. Indien er sprake is van een publiek toegankelijke ruimte, is geen machtiging nodig. Voor binnentreding van de woning van een verschoningsgerechtigde is een machtiging nodig als bedoeld in de Awbi. De kantoorruimte van de verschoningsgerechtigde beroepsbeoefenaar geniet geen bescherming van de Awbi; binnentreden is mogelijk zonder toestemming van de verschoningsgerechtigde beroepsbeoefenaar en zonder machtiging, mits dit met een redelijk doel geschiedt. </w:t>
      </w:r>
    </w:p>
    <w:p w:rsidR="00157118" w:rsidRPr="00922237" w:rsidRDefault="00157118" w:rsidP="0092501F">
      <w:pPr>
        <w:spacing w:after="0" w:line="22" w:lineRule="atLeast"/>
        <w:jc w:val="both"/>
        <w:rPr>
          <w:rFonts w:ascii="Verdana" w:hAnsi="Verdana"/>
        </w:rPr>
      </w:pPr>
    </w:p>
    <w:p w:rsidR="00157118" w:rsidRDefault="00157118" w:rsidP="0092501F">
      <w:pPr>
        <w:spacing w:after="0" w:line="22" w:lineRule="atLeast"/>
        <w:jc w:val="both"/>
        <w:rPr>
          <w:rFonts w:ascii="Verdana" w:hAnsi="Verdana"/>
          <w:sz w:val="24"/>
        </w:rPr>
      </w:pPr>
      <w:r w:rsidRPr="00922237">
        <w:rPr>
          <w:rFonts w:ascii="Verdana" w:hAnsi="Verdana"/>
        </w:rPr>
        <w:t>Voor een doorzoeking ter inbeslagname is een machtiging nodig van de rechter-commissaris. Indien de verschoningsgerechtigde beroepsbeoefenaar toe</w:t>
      </w:r>
      <w:r w:rsidR="00922237">
        <w:rPr>
          <w:rFonts w:ascii="Verdana" w:hAnsi="Verdana"/>
        </w:rPr>
        <w:t>-</w:t>
      </w:r>
      <w:r w:rsidRPr="00922237">
        <w:rPr>
          <w:rFonts w:ascii="Verdana" w:hAnsi="Verdana"/>
        </w:rPr>
        <w:t xml:space="preserve">stemming geeft, mag er </w:t>
      </w:r>
      <w:r w:rsidR="00844E99">
        <w:rPr>
          <w:rFonts w:ascii="Verdana" w:hAnsi="Verdana"/>
        </w:rPr>
        <w:t xml:space="preserve">worden </w:t>
      </w:r>
      <w:r w:rsidRPr="00922237">
        <w:rPr>
          <w:rFonts w:ascii="Verdana" w:hAnsi="Verdana"/>
        </w:rPr>
        <w:t>doorzocht. Indien de verschoningsgerechtigde beroepsbeoefenaar geen toestemming geeft, mag de doorzoeking slecht plaats</w:t>
      </w:r>
      <w:r w:rsidR="00922237">
        <w:rPr>
          <w:rFonts w:ascii="Verdana" w:hAnsi="Verdana"/>
        </w:rPr>
        <w:t>-</w:t>
      </w:r>
      <w:r w:rsidRPr="00922237">
        <w:rPr>
          <w:rFonts w:ascii="Verdana" w:hAnsi="Verdana"/>
        </w:rPr>
        <w:t>vinden indien het stands-, beroeps- of ambtsgeheim niet wordt geschonden en er alleen wordt gezocht naar brieven en geschriften die voorwerp zijn van het strafbare feit (corpora delicti) of deze tot het begaan van het strafbare f</w:t>
      </w:r>
      <w:r w:rsidR="007E1DFA">
        <w:rPr>
          <w:rFonts w:ascii="Verdana" w:hAnsi="Verdana"/>
        </w:rPr>
        <w:t>eit hebben gediend (instrumenta</w:t>
      </w:r>
      <w:r w:rsidR="00A943DD">
        <w:rPr>
          <w:rFonts w:ascii="Verdana" w:hAnsi="Verdana"/>
        </w:rPr>
        <w:t xml:space="preserve"> </w:t>
      </w:r>
      <w:r w:rsidRPr="00922237">
        <w:rPr>
          <w:rFonts w:ascii="Verdana" w:hAnsi="Verdana"/>
        </w:rPr>
        <w:t>delicti).</w:t>
      </w:r>
      <w:r w:rsidR="00844E99">
        <w:rPr>
          <w:rFonts w:ascii="Verdana" w:hAnsi="Verdana"/>
        </w:rPr>
        <w:t> </w:t>
      </w:r>
      <w:r w:rsidR="00953361" w:rsidRPr="00922237">
        <w:rPr>
          <w:rFonts w:ascii="Verdana" w:hAnsi="Verdana"/>
        </w:rPr>
        <w:t>Inbeslagname is slecht</w:t>
      </w:r>
      <w:r w:rsidR="00844E99">
        <w:rPr>
          <w:rFonts w:ascii="Verdana" w:hAnsi="Verdana"/>
        </w:rPr>
        <w:t>s</w:t>
      </w:r>
      <w:r w:rsidR="00953361" w:rsidRPr="00922237">
        <w:rPr>
          <w:rFonts w:ascii="Verdana" w:hAnsi="Verdana"/>
        </w:rPr>
        <w:t xml:space="preserve"> mogelijk bij voorwerpen die </w:t>
      </w:r>
      <w:r w:rsidR="00844E99">
        <w:rPr>
          <w:rFonts w:ascii="Verdana" w:hAnsi="Verdana"/>
        </w:rPr>
        <w:t xml:space="preserve">de waarheidsvinding </w:t>
      </w:r>
      <w:r w:rsidR="00953361" w:rsidRPr="00922237">
        <w:rPr>
          <w:rFonts w:ascii="Verdana" w:hAnsi="Verdana"/>
        </w:rPr>
        <w:t>kunnen dien</w:t>
      </w:r>
      <w:r w:rsidR="00177B23">
        <w:rPr>
          <w:rFonts w:ascii="Verdana" w:hAnsi="Verdana"/>
        </w:rPr>
        <w:t>en</w:t>
      </w:r>
      <w:r w:rsidR="00A943DD">
        <w:rPr>
          <w:rFonts w:ascii="Verdana" w:hAnsi="Verdana"/>
        </w:rPr>
        <w:t xml:space="preserve"> </w:t>
      </w:r>
      <w:r w:rsidR="00953361" w:rsidRPr="00922237">
        <w:rPr>
          <w:rFonts w:ascii="Verdana" w:hAnsi="Verdana"/>
        </w:rPr>
        <w:t xml:space="preserve">of om wederrechtelijk verkregen voordeel aan te tonen. Wanneer een bevel tot inbeslagname wordt afgegeven, is de verschoningsgerechtigde beroepsbeoefenaar niet verplicht hieraan te voldoen. </w:t>
      </w:r>
      <w:r w:rsidR="00A05561">
        <w:rPr>
          <w:rFonts w:ascii="Verdana" w:hAnsi="Verdana"/>
        </w:rPr>
        <w:t>Verder is voor de inbeslagname</w:t>
      </w:r>
      <w:r w:rsidR="00953361" w:rsidRPr="00922237">
        <w:rPr>
          <w:rFonts w:ascii="Verdana" w:hAnsi="Verdana"/>
        </w:rPr>
        <w:t xml:space="preserve"> van brieven en geschriften die vallen onder het beroepsgeheim de toestemming nodig van de verschonings</w:t>
      </w:r>
      <w:r w:rsidR="00844E99">
        <w:rPr>
          <w:rFonts w:ascii="Verdana" w:hAnsi="Verdana"/>
        </w:rPr>
        <w:t>-</w:t>
      </w:r>
      <w:r w:rsidR="00953361" w:rsidRPr="00922237">
        <w:rPr>
          <w:rFonts w:ascii="Verdana" w:hAnsi="Verdana"/>
        </w:rPr>
        <w:t>gerechtigde beroepsbeoefenaar. Alleen in geval van zeer uitzonderlijke omstandigheden kan het verschoningsrecht worden doorbroken.</w:t>
      </w:r>
    </w:p>
    <w:p w:rsidR="00157118" w:rsidRPr="0045654C" w:rsidRDefault="00157118" w:rsidP="0092501F">
      <w:pPr>
        <w:spacing w:after="0" w:line="22" w:lineRule="atLeast"/>
        <w:rPr>
          <w:rFonts w:ascii="Verdana" w:hAnsi="Verdana"/>
        </w:rPr>
      </w:pPr>
    </w:p>
    <w:p w:rsidR="004826B6" w:rsidRPr="0045654C" w:rsidRDefault="004826B6" w:rsidP="0092501F">
      <w:pPr>
        <w:spacing w:after="0" w:line="22" w:lineRule="atLeast"/>
        <w:rPr>
          <w:rFonts w:ascii="Verdana" w:hAnsi="Verdana"/>
        </w:rPr>
      </w:pPr>
    </w:p>
    <w:p w:rsidR="00EC5148" w:rsidRPr="0045654C" w:rsidRDefault="00EC5148" w:rsidP="0092501F">
      <w:pPr>
        <w:shd w:val="clear" w:color="auto" w:fill="FFFFFF"/>
        <w:spacing w:after="0" w:line="22" w:lineRule="atLeast"/>
        <w:rPr>
          <w:rFonts w:ascii="Verdana" w:hAnsi="Verdana"/>
        </w:rPr>
      </w:pPr>
    </w:p>
    <w:p w:rsidR="00EC5148" w:rsidRPr="0045654C" w:rsidRDefault="00EC5148" w:rsidP="0092501F">
      <w:pPr>
        <w:shd w:val="clear" w:color="auto" w:fill="FFFFFF"/>
        <w:spacing w:after="0" w:line="22" w:lineRule="atLeast"/>
        <w:rPr>
          <w:rFonts w:ascii="Verdana" w:hAnsi="Verdana"/>
        </w:rPr>
      </w:pPr>
    </w:p>
    <w:p w:rsidR="00EC5148" w:rsidRPr="0045654C" w:rsidRDefault="00EC5148" w:rsidP="0092501F">
      <w:pPr>
        <w:spacing w:after="0" w:line="22" w:lineRule="atLeast"/>
        <w:rPr>
          <w:rFonts w:ascii="Verdana" w:hAnsi="Verdana"/>
        </w:rPr>
      </w:pPr>
    </w:p>
    <w:p w:rsidR="00960FD3" w:rsidRPr="00540DD8" w:rsidRDefault="00960FD3" w:rsidP="0092501F">
      <w:pPr>
        <w:spacing w:after="0" w:line="22" w:lineRule="atLeast"/>
        <w:rPr>
          <w:rFonts w:ascii="Verdana" w:hAnsi="Verdana"/>
          <w:sz w:val="24"/>
          <w:szCs w:val="24"/>
        </w:rPr>
      </w:pPr>
      <w:r w:rsidRPr="00540DD8">
        <w:rPr>
          <w:rFonts w:ascii="Verdana" w:hAnsi="Verdana"/>
          <w:sz w:val="24"/>
          <w:szCs w:val="24"/>
        </w:rPr>
        <w:br w:type="page"/>
      </w:r>
    </w:p>
    <w:p w:rsidR="00960FD3" w:rsidRDefault="00960FD3" w:rsidP="0092501F">
      <w:pPr>
        <w:pStyle w:val="Kop1"/>
        <w:spacing w:line="22" w:lineRule="atLeast"/>
        <w:rPr>
          <w:rFonts w:ascii="Verdana" w:hAnsi="Verdana"/>
          <w:b/>
          <w:sz w:val="36"/>
        </w:rPr>
      </w:pPr>
      <w:bookmarkStart w:id="44" w:name="_Toc451895007"/>
      <w:r w:rsidRPr="00960FD3">
        <w:rPr>
          <w:rFonts w:ascii="Verdana" w:hAnsi="Verdana"/>
          <w:b/>
          <w:sz w:val="36"/>
        </w:rPr>
        <w:lastRenderedPageBreak/>
        <w:t>5</w:t>
      </w:r>
      <w:r w:rsidR="005908EC" w:rsidRPr="00960FD3">
        <w:rPr>
          <w:rFonts w:ascii="Verdana" w:hAnsi="Verdana"/>
          <w:b/>
          <w:sz w:val="36"/>
        </w:rPr>
        <w:t>.</w:t>
      </w:r>
      <w:r w:rsidRPr="00960FD3">
        <w:rPr>
          <w:rFonts w:ascii="Verdana" w:hAnsi="Verdana"/>
          <w:b/>
          <w:sz w:val="36"/>
        </w:rPr>
        <w:t xml:space="preserve"> Deelvraag 3:</w:t>
      </w:r>
      <w:r w:rsidR="000168EC" w:rsidRPr="00960FD3">
        <w:rPr>
          <w:rFonts w:ascii="Verdana" w:hAnsi="Verdana"/>
          <w:b/>
          <w:sz w:val="36"/>
        </w:rPr>
        <w:t xml:space="preserve"> De </w:t>
      </w:r>
      <w:r w:rsidR="007B0981">
        <w:rPr>
          <w:rFonts w:ascii="Verdana" w:hAnsi="Verdana"/>
          <w:b/>
          <w:sz w:val="36"/>
        </w:rPr>
        <w:t>reeds bekende invulling</w:t>
      </w:r>
      <w:r w:rsidR="000168EC" w:rsidRPr="00960FD3">
        <w:rPr>
          <w:rFonts w:ascii="Verdana" w:hAnsi="Verdana"/>
          <w:b/>
          <w:sz w:val="36"/>
        </w:rPr>
        <w:t xml:space="preserve"> van de zes factoren van de Hoge Raad</w:t>
      </w:r>
      <w:bookmarkEnd w:id="44"/>
    </w:p>
    <w:p w:rsidR="00F14594" w:rsidRPr="00960FD3" w:rsidRDefault="00960FD3" w:rsidP="0092501F">
      <w:pPr>
        <w:pStyle w:val="Kop2"/>
        <w:spacing w:before="0" w:line="22" w:lineRule="atLeast"/>
        <w:rPr>
          <w:rFonts w:ascii="Verdana" w:hAnsi="Verdana"/>
        </w:rPr>
      </w:pPr>
      <w:bookmarkStart w:id="45" w:name="_Toc451895008"/>
      <w:r>
        <w:rPr>
          <w:rFonts w:ascii="Verdana" w:hAnsi="Verdana"/>
        </w:rPr>
        <w:t>5</w:t>
      </w:r>
      <w:r w:rsidR="00F14594" w:rsidRPr="00960FD3">
        <w:rPr>
          <w:rFonts w:ascii="Verdana" w:hAnsi="Verdana"/>
        </w:rPr>
        <w:t>.1 Inleiding</w:t>
      </w:r>
      <w:bookmarkEnd w:id="45"/>
    </w:p>
    <w:p w:rsidR="00E907FF" w:rsidRPr="00922237" w:rsidRDefault="00E907FF" w:rsidP="0092501F">
      <w:pPr>
        <w:spacing w:after="0" w:line="22" w:lineRule="atLeast"/>
        <w:jc w:val="both"/>
        <w:rPr>
          <w:rFonts w:ascii="Verdana" w:hAnsi="Verdana"/>
        </w:rPr>
      </w:pPr>
      <w:r w:rsidRPr="00922237">
        <w:rPr>
          <w:rFonts w:ascii="Verdana" w:hAnsi="Verdana"/>
        </w:rPr>
        <w:t xml:space="preserve">Zoals hiervoor </w:t>
      </w:r>
      <w:r w:rsidR="00A82D00">
        <w:rPr>
          <w:rFonts w:ascii="Verdana" w:hAnsi="Verdana"/>
        </w:rPr>
        <w:t>reeds aan de orde kwam</w:t>
      </w:r>
      <w:r w:rsidRPr="00922237">
        <w:rPr>
          <w:rFonts w:ascii="Verdana" w:hAnsi="Verdana"/>
        </w:rPr>
        <w:t>, heeft de Hoge Raad in</w:t>
      </w:r>
      <w:r w:rsidR="00A82D00">
        <w:rPr>
          <w:rFonts w:ascii="Verdana" w:hAnsi="Verdana"/>
        </w:rPr>
        <w:t xml:space="preserve"> mei</w:t>
      </w:r>
      <w:r w:rsidRPr="00922237">
        <w:rPr>
          <w:rFonts w:ascii="Verdana" w:hAnsi="Verdana"/>
        </w:rPr>
        <w:t xml:space="preserve"> 2008 zes factoren vastgesteld die van belang zijn bij de beoordeling van de rechtmatigheid van het beslag. Deze factoren zijn een handig middel bij de beoordeling of er sprake is van zeer uitzonderlijke omstandigheden. Toen de Hoge Raad deze factoren in 2008 va</w:t>
      </w:r>
      <w:r w:rsidR="00E53F0F">
        <w:rPr>
          <w:rFonts w:ascii="Verdana" w:hAnsi="Verdana"/>
        </w:rPr>
        <w:t>ststelde, kwamen deze niet zomaar</w:t>
      </w:r>
      <w:r w:rsidRPr="00922237">
        <w:rPr>
          <w:rFonts w:ascii="Verdana" w:hAnsi="Verdana"/>
        </w:rPr>
        <w:t xml:space="preserve"> uit de lucht </w:t>
      </w:r>
      <w:r w:rsidR="00E53F0F">
        <w:rPr>
          <w:rFonts w:ascii="Verdana" w:hAnsi="Verdana"/>
        </w:rPr>
        <w:t>vallen. Ook voor die tijd werden</w:t>
      </w:r>
      <w:r w:rsidR="00A05561">
        <w:rPr>
          <w:rFonts w:ascii="Verdana" w:hAnsi="Verdana"/>
        </w:rPr>
        <w:t xml:space="preserve"> een aantal  van</w:t>
      </w:r>
      <w:r w:rsidR="00744A56">
        <w:rPr>
          <w:rFonts w:ascii="Verdana" w:hAnsi="Verdana"/>
        </w:rPr>
        <w:t xml:space="preserve"> </w:t>
      </w:r>
      <w:r w:rsidRPr="00922237">
        <w:rPr>
          <w:rFonts w:ascii="Verdana" w:hAnsi="Verdana"/>
        </w:rPr>
        <w:t>de</w:t>
      </w:r>
      <w:r w:rsidR="00A82D00">
        <w:rPr>
          <w:rFonts w:ascii="Verdana" w:hAnsi="Verdana"/>
        </w:rPr>
        <w:t xml:space="preserve">ze factoren </w:t>
      </w:r>
      <w:r w:rsidRPr="00922237">
        <w:rPr>
          <w:rFonts w:ascii="Verdana" w:hAnsi="Verdana"/>
        </w:rPr>
        <w:t xml:space="preserve">gebruikt bij de beoordeling </w:t>
      </w:r>
      <w:r w:rsidR="00A82D00">
        <w:rPr>
          <w:rFonts w:ascii="Verdana" w:hAnsi="Verdana"/>
        </w:rPr>
        <w:t xml:space="preserve">van de vraag </w:t>
      </w:r>
      <w:r w:rsidRPr="00922237">
        <w:rPr>
          <w:rFonts w:ascii="Verdana" w:hAnsi="Verdana"/>
        </w:rPr>
        <w:t xml:space="preserve">of er sprake was van zeer uitzonderlijke omstandigheden en ook na de </w:t>
      </w:r>
      <w:r w:rsidRPr="00087522">
        <w:rPr>
          <w:rFonts w:ascii="Verdana" w:hAnsi="Verdana"/>
        </w:rPr>
        <w:t>uitspraak van 2008 heeft de</w:t>
      </w:r>
      <w:r w:rsidR="00A82D00" w:rsidRPr="00087522">
        <w:rPr>
          <w:rFonts w:ascii="Verdana" w:hAnsi="Verdana"/>
        </w:rPr>
        <w:t xml:space="preserve"> rechterlijke macht</w:t>
      </w:r>
      <w:r w:rsidRPr="00087522">
        <w:rPr>
          <w:rFonts w:ascii="Verdana" w:hAnsi="Verdana"/>
        </w:rPr>
        <w:t xml:space="preserve"> deze factoren </w:t>
      </w:r>
      <w:r w:rsidR="00A82D00" w:rsidRPr="00087522">
        <w:rPr>
          <w:rFonts w:ascii="Verdana" w:hAnsi="Verdana"/>
        </w:rPr>
        <w:t>verder ingevuld</w:t>
      </w:r>
      <w:r w:rsidRPr="00087522">
        <w:rPr>
          <w:rFonts w:ascii="Verdana" w:hAnsi="Verdana"/>
        </w:rPr>
        <w:t>. Omdat er dus al één en ander bekend is over deze zes factoren</w:t>
      </w:r>
      <w:r w:rsidR="007804F6" w:rsidRPr="00087522">
        <w:rPr>
          <w:rFonts w:ascii="Verdana" w:hAnsi="Verdana"/>
        </w:rPr>
        <w:t xml:space="preserve"> vanuit de jurisprudentie </w:t>
      </w:r>
      <w:r w:rsidR="00087522" w:rsidRPr="00087522">
        <w:rPr>
          <w:rFonts w:ascii="Verdana" w:hAnsi="Verdana"/>
        </w:rPr>
        <w:t>en uit wetenschappelijke artikelen</w:t>
      </w:r>
      <w:r w:rsidRPr="00087522">
        <w:rPr>
          <w:rFonts w:ascii="Verdana" w:hAnsi="Verdana"/>
        </w:rPr>
        <w:t xml:space="preserve">, wil ik </w:t>
      </w:r>
      <w:r w:rsidR="007804F6" w:rsidRPr="00087522">
        <w:rPr>
          <w:rFonts w:ascii="Verdana" w:hAnsi="Verdana"/>
        </w:rPr>
        <w:t xml:space="preserve">eerst </w:t>
      </w:r>
      <w:r w:rsidRPr="00087522">
        <w:rPr>
          <w:rFonts w:ascii="Verdana" w:hAnsi="Verdana"/>
        </w:rPr>
        <w:t xml:space="preserve">kijken wat er </w:t>
      </w:r>
      <w:r w:rsidR="00A82D00" w:rsidRPr="00087522">
        <w:rPr>
          <w:rFonts w:ascii="Verdana" w:hAnsi="Verdana"/>
        </w:rPr>
        <w:t>reeds</w:t>
      </w:r>
      <w:r w:rsidRPr="00087522">
        <w:rPr>
          <w:rFonts w:ascii="Verdana" w:hAnsi="Verdana"/>
        </w:rPr>
        <w:t xml:space="preserve"> bekend is</w:t>
      </w:r>
      <w:r w:rsidR="00A82D00" w:rsidRPr="00087522">
        <w:rPr>
          <w:rFonts w:ascii="Verdana" w:hAnsi="Verdana"/>
        </w:rPr>
        <w:t>,</w:t>
      </w:r>
      <w:r w:rsidR="007D7621">
        <w:rPr>
          <w:rFonts w:ascii="Verdana" w:hAnsi="Verdana"/>
        </w:rPr>
        <w:t xml:space="preserve"> </w:t>
      </w:r>
      <w:r w:rsidR="00F47A89">
        <w:rPr>
          <w:rFonts w:ascii="Verdana" w:hAnsi="Verdana"/>
        </w:rPr>
        <w:t xml:space="preserve">alvorens naar de toetsing van de zes factoren van de eerstelijns rechters te kijken. </w:t>
      </w:r>
      <w:r w:rsidR="0089538A" w:rsidRPr="00922237">
        <w:rPr>
          <w:rFonts w:ascii="Verdana" w:hAnsi="Verdana"/>
        </w:rPr>
        <w:t>De verdere invu</w:t>
      </w:r>
      <w:r w:rsidR="00F47A89">
        <w:rPr>
          <w:rFonts w:ascii="Verdana" w:hAnsi="Verdana"/>
        </w:rPr>
        <w:t>lling van de zes factoren die uit de jurisprudentie naar voren komt</w:t>
      </w:r>
      <w:r w:rsidR="0089538A" w:rsidRPr="00922237">
        <w:rPr>
          <w:rFonts w:ascii="Verdana" w:hAnsi="Verdana"/>
        </w:rPr>
        <w:t xml:space="preserve">, kan </w:t>
      </w:r>
      <w:r w:rsidR="00F47A89">
        <w:rPr>
          <w:rFonts w:ascii="Verdana" w:hAnsi="Verdana"/>
        </w:rPr>
        <w:t>dan</w:t>
      </w:r>
      <w:r w:rsidR="0089538A" w:rsidRPr="00922237">
        <w:rPr>
          <w:rFonts w:ascii="Verdana" w:hAnsi="Verdana"/>
        </w:rPr>
        <w:t xml:space="preserve"> ook weer </w:t>
      </w:r>
      <w:r w:rsidR="00F47A89">
        <w:rPr>
          <w:rFonts w:ascii="Verdana" w:hAnsi="Verdana"/>
        </w:rPr>
        <w:t>worden meegenomen</w:t>
      </w:r>
      <w:r w:rsidR="0089538A" w:rsidRPr="00922237">
        <w:rPr>
          <w:rFonts w:ascii="Verdana" w:hAnsi="Verdana"/>
        </w:rPr>
        <w:t xml:space="preserve"> bij de toetsing van de uitspraken van de eerstelijns rechters. Om deze reden zal ik dan ook hieronder per factor wee</w:t>
      </w:r>
      <w:r w:rsidR="00A5382F">
        <w:rPr>
          <w:rFonts w:ascii="Verdana" w:hAnsi="Verdana"/>
        </w:rPr>
        <w:t>rgeven wat er over die factor reeds</w:t>
      </w:r>
      <w:r w:rsidR="0089538A" w:rsidRPr="00922237">
        <w:rPr>
          <w:rFonts w:ascii="Verdana" w:hAnsi="Verdana"/>
        </w:rPr>
        <w:t xml:space="preserve"> bekend is. </w:t>
      </w:r>
    </w:p>
    <w:p w:rsidR="00226F1B" w:rsidRPr="0045654C" w:rsidRDefault="00226F1B" w:rsidP="0092501F">
      <w:pPr>
        <w:spacing w:after="0" w:line="22" w:lineRule="atLeast"/>
        <w:rPr>
          <w:rFonts w:ascii="Verdana" w:hAnsi="Verdana"/>
        </w:rPr>
      </w:pPr>
    </w:p>
    <w:p w:rsidR="00960FD3" w:rsidRPr="0045654C" w:rsidRDefault="00960FD3" w:rsidP="0092501F">
      <w:pPr>
        <w:spacing w:after="0" w:line="22" w:lineRule="atLeast"/>
        <w:rPr>
          <w:rFonts w:ascii="Verdana" w:hAnsi="Verdana"/>
        </w:rPr>
      </w:pPr>
    </w:p>
    <w:p w:rsidR="00AD274F" w:rsidRPr="00960FD3" w:rsidRDefault="00960FD3" w:rsidP="0092501F">
      <w:pPr>
        <w:pStyle w:val="Kop2"/>
        <w:spacing w:before="0" w:line="22" w:lineRule="atLeast"/>
        <w:rPr>
          <w:rFonts w:ascii="Verdana" w:hAnsi="Verdana"/>
        </w:rPr>
      </w:pPr>
      <w:bookmarkStart w:id="46" w:name="_Toc451895009"/>
      <w:r>
        <w:rPr>
          <w:rFonts w:ascii="Verdana" w:hAnsi="Verdana"/>
        </w:rPr>
        <w:t>5</w:t>
      </w:r>
      <w:r w:rsidR="00F14594" w:rsidRPr="00960FD3">
        <w:rPr>
          <w:rFonts w:ascii="Verdana" w:hAnsi="Verdana"/>
        </w:rPr>
        <w:t>.2</w:t>
      </w:r>
      <w:r w:rsidR="00226F1B" w:rsidRPr="00960FD3">
        <w:rPr>
          <w:rFonts w:ascii="Verdana" w:hAnsi="Verdana"/>
        </w:rPr>
        <w:t xml:space="preserve"> De aard, omvang en context van de gevraagde gegevens</w:t>
      </w:r>
      <w:bookmarkEnd w:id="46"/>
    </w:p>
    <w:p w:rsidR="00226F1B" w:rsidRPr="00922237" w:rsidRDefault="003B6C7F" w:rsidP="0092501F">
      <w:pPr>
        <w:spacing w:after="0" w:line="22" w:lineRule="atLeast"/>
        <w:jc w:val="both"/>
        <w:rPr>
          <w:rFonts w:ascii="Verdana" w:hAnsi="Verdana"/>
        </w:rPr>
      </w:pPr>
      <w:r w:rsidRPr="00922237">
        <w:rPr>
          <w:rFonts w:ascii="Verdana" w:hAnsi="Verdana"/>
        </w:rPr>
        <w:t>In de jurisprudentie worden de criteria aard, omvang en context van de gegevens wel besproken, maar de invloed van deze factor is onduidelijk op de uiteindelijk</w:t>
      </w:r>
      <w:r w:rsidR="00A82D00">
        <w:rPr>
          <w:rFonts w:ascii="Verdana" w:hAnsi="Verdana"/>
        </w:rPr>
        <w:t>e beslissing van de rechter. B</w:t>
      </w:r>
      <w:r w:rsidRPr="00922237">
        <w:rPr>
          <w:rFonts w:ascii="Verdana" w:hAnsi="Verdana"/>
        </w:rPr>
        <w:t xml:space="preserve">ijvoorbeeld </w:t>
      </w:r>
      <w:r w:rsidR="00A82D00">
        <w:rPr>
          <w:rFonts w:ascii="Verdana" w:hAnsi="Verdana"/>
        </w:rPr>
        <w:t xml:space="preserve">in het arrest dat bekend werd onder </w:t>
      </w:r>
      <w:r w:rsidRPr="00922237">
        <w:rPr>
          <w:rFonts w:ascii="Verdana" w:hAnsi="Verdana"/>
        </w:rPr>
        <w:t>de</w:t>
      </w:r>
      <w:r w:rsidR="00A82D00">
        <w:rPr>
          <w:rFonts w:ascii="Verdana" w:hAnsi="Verdana"/>
        </w:rPr>
        <w:t xml:space="preserve"> naam ‘Savanna’</w:t>
      </w:r>
      <w:r w:rsidR="00C235B5" w:rsidRPr="00922237">
        <w:rPr>
          <w:rStyle w:val="Voetnootmarkering"/>
          <w:rFonts w:ascii="Verdana" w:hAnsi="Verdana"/>
        </w:rPr>
        <w:footnoteReference w:id="94"/>
      </w:r>
      <w:r w:rsidRPr="00922237">
        <w:rPr>
          <w:rFonts w:ascii="Verdana" w:hAnsi="Verdana"/>
        </w:rPr>
        <w:t xml:space="preserve"> vermeldt de Hoge Raad dat de aard en de omvang van de gevorderde gegevens in aanmerking moeten worden genomen, maar dat is ook het</w:t>
      </w:r>
      <w:r w:rsidR="003C1385">
        <w:rPr>
          <w:rFonts w:ascii="Verdana" w:hAnsi="Verdana"/>
        </w:rPr>
        <w:t xml:space="preserve"> enige wat h</w:t>
      </w:r>
      <w:r w:rsidR="005639CB" w:rsidRPr="00922237">
        <w:rPr>
          <w:rFonts w:ascii="Verdana" w:hAnsi="Verdana"/>
        </w:rPr>
        <w:t>ij hierover vermeld</w:t>
      </w:r>
      <w:r w:rsidR="00A82D00">
        <w:rPr>
          <w:rFonts w:ascii="Verdana" w:hAnsi="Verdana"/>
        </w:rPr>
        <w:t>t</w:t>
      </w:r>
      <w:r w:rsidR="008C51E0" w:rsidRPr="00922237">
        <w:rPr>
          <w:rFonts w:ascii="Verdana" w:hAnsi="Verdana"/>
        </w:rPr>
        <w:t>. In een zaak van het LUMC vermelde de rechtbank</w:t>
      </w:r>
      <w:r w:rsidR="006724A0" w:rsidRPr="00922237">
        <w:rPr>
          <w:rStyle w:val="Voetnootmarkering"/>
          <w:rFonts w:ascii="Verdana" w:hAnsi="Verdana"/>
        </w:rPr>
        <w:footnoteReference w:id="95"/>
      </w:r>
      <w:r w:rsidR="008C51E0" w:rsidRPr="00922237">
        <w:rPr>
          <w:rFonts w:ascii="Verdana" w:hAnsi="Verdana"/>
        </w:rPr>
        <w:t xml:space="preserve"> expliciet dat het om medische gegevens ging die privacygevoelig waren en het een grote hoeveelheid betrof. Vervolgens stond dit bij de behandeling van </w:t>
      </w:r>
      <w:r w:rsidR="007870F3" w:rsidRPr="00922237">
        <w:rPr>
          <w:rFonts w:ascii="Verdana" w:hAnsi="Verdana"/>
        </w:rPr>
        <w:t xml:space="preserve">het beroep in </w:t>
      </w:r>
      <w:r w:rsidR="008C51E0" w:rsidRPr="00922237">
        <w:rPr>
          <w:rFonts w:ascii="Verdana" w:hAnsi="Verdana"/>
        </w:rPr>
        <w:t>cassatie niet meer ter discussie</w:t>
      </w:r>
      <w:r w:rsidR="008C51E0" w:rsidRPr="00922237">
        <w:rPr>
          <w:rStyle w:val="Voetnootmarkering"/>
          <w:rFonts w:ascii="Verdana" w:hAnsi="Verdana"/>
        </w:rPr>
        <w:footnoteReference w:id="96"/>
      </w:r>
      <w:r w:rsidR="008C51E0" w:rsidRPr="00922237">
        <w:rPr>
          <w:rFonts w:ascii="Verdana" w:hAnsi="Verdana"/>
        </w:rPr>
        <w:t xml:space="preserve">. </w:t>
      </w:r>
    </w:p>
    <w:p w:rsidR="008C51E0" w:rsidRDefault="008C51E0" w:rsidP="0092501F">
      <w:pPr>
        <w:spacing w:after="0" w:line="22" w:lineRule="atLeast"/>
        <w:rPr>
          <w:rFonts w:ascii="Verdana" w:hAnsi="Verdana"/>
          <w:sz w:val="24"/>
        </w:rPr>
      </w:pPr>
    </w:p>
    <w:p w:rsidR="003451AF" w:rsidRPr="00226F1B" w:rsidRDefault="003451AF" w:rsidP="0092501F">
      <w:pPr>
        <w:spacing w:after="0" w:line="22" w:lineRule="atLeast"/>
        <w:rPr>
          <w:rFonts w:ascii="Verdana" w:hAnsi="Verdana"/>
          <w:sz w:val="24"/>
        </w:rPr>
      </w:pPr>
    </w:p>
    <w:p w:rsidR="00226F1B" w:rsidRPr="00960FD3" w:rsidRDefault="00960FD3" w:rsidP="0092501F">
      <w:pPr>
        <w:pStyle w:val="Kop2"/>
        <w:spacing w:before="0" w:line="22" w:lineRule="atLeast"/>
        <w:rPr>
          <w:rFonts w:ascii="Verdana" w:hAnsi="Verdana"/>
        </w:rPr>
      </w:pPr>
      <w:bookmarkStart w:id="47" w:name="_Toc451895010"/>
      <w:r>
        <w:rPr>
          <w:rFonts w:ascii="Verdana" w:hAnsi="Verdana"/>
        </w:rPr>
        <w:t>5</w:t>
      </w:r>
      <w:r w:rsidR="00226F1B" w:rsidRPr="00960FD3">
        <w:rPr>
          <w:rFonts w:ascii="Verdana" w:hAnsi="Verdana"/>
        </w:rPr>
        <w:t>.</w:t>
      </w:r>
      <w:r w:rsidR="00F14594" w:rsidRPr="00960FD3">
        <w:rPr>
          <w:rFonts w:ascii="Verdana" w:hAnsi="Verdana"/>
        </w:rPr>
        <w:t>3</w:t>
      </w:r>
      <w:r w:rsidR="00226F1B" w:rsidRPr="00960FD3">
        <w:rPr>
          <w:rFonts w:ascii="Verdana" w:hAnsi="Verdana"/>
        </w:rPr>
        <w:t xml:space="preserve"> Het belang en de ernst van de strafzaak</w:t>
      </w:r>
      <w:bookmarkEnd w:id="47"/>
    </w:p>
    <w:p w:rsidR="00A5740E" w:rsidRPr="00922237" w:rsidRDefault="00F61043" w:rsidP="0092501F">
      <w:pPr>
        <w:spacing w:after="0" w:line="22" w:lineRule="atLeast"/>
        <w:jc w:val="both"/>
        <w:rPr>
          <w:rFonts w:ascii="Verdana" w:hAnsi="Verdana"/>
        </w:rPr>
      </w:pPr>
      <w:r w:rsidRPr="00922237">
        <w:rPr>
          <w:rFonts w:ascii="Verdana" w:hAnsi="Verdana"/>
        </w:rPr>
        <w:t xml:space="preserve">Het criterium </w:t>
      </w:r>
      <w:r w:rsidR="00A5740E" w:rsidRPr="00922237">
        <w:rPr>
          <w:rFonts w:ascii="Verdana" w:hAnsi="Verdana"/>
        </w:rPr>
        <w:t>‘</w:t>
      </w:r>
      <w:r w:rsidRPr="00922237">
        <w:rPr>
          <w:rFonts w:ascii="Verdana" w:hAnsi="Verdana"/>
        </w:rPr>
        <w:t>belang en ernst van de strafzaak</w:t>
      </w:r>
      <w:r w:rsidR="00A5740E" w:rsidRPr="00922237">
        <w:rPr>
          <w:rFonts w:ascii="Verdana" w:hAnsi="Verdana"/>
        </w:rPr>
        <w:t>’</w:t>
      </w:r>
      <w:r w:rsidR="00AE3217">
        <w:rPr>
          <w:rFonts w:ascii="Verdana" w:hAnsi="Verdana"/>
        </w:rPr>
        <w:t> </w:t>
      </w:r>
      <w:r w:rsidR="007B2459" w:rsidRPr="00922237">
        <w:rPr>
          <w:rFonts w:ascii="Verdana" w:hAnsi="Verdana"/>
        </w:rPr>
        <w:t>lijkt steeds ruimer geïnter</w:t>
      </w:r>
      <w:r w:rsidR="00DA2C29">
        <w:rPr>
          <w:rFonts w:ascii="Verdana" w:hAnsi="Verdana"/>
        </w:rPr>
        <w:t>-</w:t>
      </w:r>
      <w:r w:rsidR="007B2459" w:rsidRPr="00922237">
        <w:rPr>
          <w:rFonts w:ascii="Verdana" w:hAnsi="Verdana"/>
        </w:rPr>
        <w:t>preteerd te worden</w:t>
      </w:r>
      <w:r w:rsidR="00A5740E" w:rsidRPr="00922237">
        <w:rPr>
          <w:rFonts w:ascii="Verdana" w:hAnsi="Verdana"/>
        </w:rPr>
        <w:t xml:space="preserve"> door de Hoge Raad</w:t>
      </w:r>
      <w:r w:rsidR="00EE0736">
        <w:rPr>
          <w:rStyle w:val="Voetnootmarkering"/>
          <w:rFonts w:ascii="Verdana" w:hAnsi="Verdana"/>
        </w:rPr>
        <w:footnoteReference w:id="97"/>
      </w:r>
      <w:r w:rsidR="007B2459" w:rsidRPr="00922237">
        <w:rPr>
          <w:rFonts w:ascii="Verdana" w:hAnsi="Verdana"/>
        </w:rPr>
        <w:t xml:space="preserve">. De Hoge Raad acht </w:t>
      </w:r>
      <w:r w:rsidR="00A82D00">
        <w:rPr>
          <w:rFonts w:ascii="Verdana" w:hAnsi="Verdana"/>
        </w:rPr>
        <w:t xml:space="preserve">het </w:t>
      </w:r>
      <w:r w:rsidR="00A5740E" w:rsidRPr="00922237">
        <w:rPr>
          <w:rFonts w:ascii="Verdana" w:hAnsi="Verdana"/>
        </w:rPr>
        <w:t xml:space="preserve">onder andere </w:t>
      </w:r>
      <w:r w:rsidR="007B2459" w:rsidRPr="00922237">
        <w:rPr>
          <w:rFonts w:ascii="Verdana" w:hAnsi="Verdana"/>
        </w:rPr>
        <w:t xml:space="preserve">ernstig genoeg </w:t>
      </w:r>
      <w:r w:rsidR="00E53F0F">
        <w:rPr>
          <w:rFonts w:ascii="Verdana" w:hAnsi="Verdana"/>
        </w:rPr>
        <w:t xml:space="preserve">bij </w:t>
      </w:r>
      <w:r w:rsidR="007B2459" w:rsidRPr="00922237">
        <w:rPr>
          <w:rFonts w:ascii="Verdana" w:hAnsi="Verdana"/>
        </w:rPr>
        <w:t>verdenking van seksueel misbruik van een kind (Curium</w:t>
      </w:r>
      <w:r w:rsidR="00C25AA6" w:rsidRPr="00922237">
        <w:rPr>
          <w:rStyle w:val="Voetnootmarkering"/>
          <w:rFonts w:ascii="Verdana" w:hAnsi="Verdana"/>
        </w:rPr>
        <w:footnoteReference w:id="98"/>
      </w:r>
      <w:r w:rsidR="007B2459" w:rsidRPr="00922237">
        <w:rPr>
          <w:rFonts w:ascii="Verdana" w:hAnsi="Verdana"/>
        </w:rPr>
        <w:t xml:space="preserve"> en </w:t>
      </w:r>
      <w:r w:rsidR="00D67550">
        <w:rPr>
          <w:rFonts w:ascii="Verdana" w:hAnsi="Verdana"/>
        </w:rPr>
        <w:t>een</w:t>
      </w:r>
      <w:r w:rsidR="000F2238">
        <w:rPr>
          <w:rFonts w:ascii="Verdana" w:hAnsi="Verdana"/>
        </w:rPr>
        <w:t xml:space="preserve"> rechtszaak tegen een</w:t>
      </w:r>
      <w:r w:rsidR="007B2459" w:rsidRPr="00922237">
        <w:rPr>
          <w:rFonts w:ascii="Verdana" w:hAnsi="Verdana"/>
        </w:rPr>
        <w:t xml:space="preserve"> jeugdpsychologische instelling</w:t>
      </w:r>
      <w:r w:rsidR="0077692A" w:rsidRPr="00922237">
        <w:rPr>
          <w:rStyle w:val="Voetnootmarkering"/>
          <w:rFonts w:ascii="Verdana" w:hAnsi="Verdana"/>
        </w:rPr>
        <w:footnoteReference w:id="99"/>
      </w:r>
      <w:r w:rsidR="007B2459" w:rsidRPr="00922237">
        <w:rPr>
          <w:rFonts w:ascii="Verdana" w:hAnsi="Verdana"/>
        </w:rPr>
        <w:t xml:space="preserve">), een verdenking van betrokkenheid bij het overlijden van </w:t>
      </w:r>
      <w:r w:rsidR="00C235B5" w:rsidRPr="00922237">
        <w:rPr>
          <w:rFonts w:ascii="Verdana" w:hAnsi="Verdana"/>
        </w:rPr>
        <w:t>een minderjarige (Savanna</w:t>
      </w:r>
      <w:r w:rsidR="00C235B5" w:rsidRPr="00922237">
        <w:rPr>
          <w:rStyle w:val="Voetnootmarkering"/>
          <w:rFonts w:ascii="Verdana" w:hAnsi="Verdana"/>
        </w:rPr>
        <w:footnoteReference w:id="100"/>
      </w:r>
      <w:r w:rsidR="00542469" w:rsidRPr="00922237">
        <w:rPr>
          <w:rFonts w:ascii="Verdana" w:hAnsi="Verdana"/>
        </w:rPr>
        <w:t>, LUMC</w:t>
      </w:r>
      <w:r w:rsidR="001115BB" w:rsidRPr="00922237">
        <w:rPr>
          <w:rStyle w:val="Voetnootmarkering"/>
          <w:rFonts w:ascii="Verdana" w:hAnsi="Verdana"/>
        </w:rPr>
        <w:footnoteReference w:id="101"/>
      </w:r>
      <w:r w:rsidR="00542469" w:rsidRPr="00922237">
        <w:rPr>
          <w:rFonts w:ascii="Verdana" w:hAnsi="Verdana"/>
        </w:rPr>
        <w:t xml:space="preserve"> en</w:t>
      </w:r>
      <w:r w:rsidR="007B2459" w:rsidRPr="00922237">
        <w:rPr>
          <w:rFonts w:ascii="Verdana" w:hAnsi="Verdana"/>
        </w:rPr>
        <w:t xml:space="preserve"> HAP Utrecht</w:t>
      </w:r>
      <w:r w:rsidR="001115BB" w:rsidRPr="00922237">
        <w:rPr>
          <w:rStyle w:val="Voetnootmarkering"/>
          <w:rFonts w:ascii="Verdana" w:hAnsi="Verdana"/>
        </w:rPr>
        <w:footnoteReference w:id="102"/>
      </w:r>
      <w:r w:rsidR="007B2459" w:rsidRPr="00922237">
        <w:rPr>
          <w:rFonts w:ascii="Verdana" w:hAnsi="Verdana"/>
        </w:rPr>
        <w:t>) en een verdenking of vermoeden van overlijden door een medische fout (Erasmus MC</w:t>
      </w:r>
      <w:r w:rsidR="00AC3A27" w:rsidRPr="00922237">
        <w:rPr>
          <w:rStyle w:val="Voetnootmarkering"/>
          <w:rFonts w:ascii="Verdana" w:hAnsi="Verdana"/>
        </w:rPr>
        <w:footnoteReference w:id="103"/>
      </w:r>
      <w:r w:rsidR="00A5740E" w:rsidRPr="00922237">
        <w:rPr>
          <w:rFonts w:ascii="Verdana" w:hAnsi="Verdana"/>
        </w:rPr>
        <w:t xml:space="preserve"> en </w:t>
      </w:r>
      <w:r w:rsidR="007B2459" w:rsidRPr="00922237">
        <w:rPr>
          <w:rFonts w:ascii="Verdana" w:hAnsi="Verdana"/>
        </w:rPr>
        <w:t>verpleeghuis Maastricht</w:t>
      </w:r>
      <w:r w:rsidR="00E8213E" w:rsidRPr="00922237">
        <w:rPr>
          <w:rStyle w:val="Voetnootmarkering"/>
          <w:rFonts w:ascii="Verdana" w:hAnsi="Verdana"/>
        </w:rPr>
        <w:footnoteReference w:id="104"/>
      </w:r>
      <w:r w:rsidR="007B2459" w:rsidRPr="00922237">
        <w:rPr>
          <w:rFonts w:ascii="Verdana" w:hAnsi="Verdana"/>
        </w:rPr>
        <w:t xml:space="preserve">). </w:t>
      </w:r>
      <w:r w:rsidR="005639CB" w:rsidRPr="00922237">
        <w:rPr>
          <w:rFonts w:ascii="Verdana" w:hAnsi="Verdana"/>
        </w:rPr>
        <w:t>Dhr. p</w:t>
      </w:r>
      <w:r w:rsidR="00A5740E" w:rsidRPr="00922237">
        <w:rPr>
          <w:rFonts w:ascii="Verdana" w:hAnsi="Verdana"/>
        </w:rPr>
        <w:t>rof. dr. Legemaate</w:t>
      </w:r>
      <w:r w:rsidR="00AE3217">
        <w:rPr>
          <w:rFonts w:ascii="Verdana" w:hAnsi="Verdana"/>
        </w:rPr>
        <w:t> </w:t>
      </w:r>
      <w:r w:rsidR="00A5740E" w:rsidRPr="00922237">
        <w:rPr>
          <w:rFonts w:ascii="Verdana" w:hAnsi="Verdana"/>
        </w:rPr>
        <w:t xml:space="preserve">heeft </w:t>
      </w:r>
      <w:r w:rsidR="000967EE">
        <w:rPr>
          <w:rFonts w:ascii="Verdana" w:hAnsi="Verdana"/>
        </w:rPr>
        <w:t xml:space="preserve">in de noot </w:t>
      </w:r>
      <w:r w:rsidR="00A5740E" w:rsidRPr="00922237">
        <w:rPr>
          <w:rFonts w:ascii="Verdana" w:hAnsi="Verdana"/>
        </w:rPr>
        <w:t xml:space="preserve">zijn kritiek geuit op de uitspraak van de Hoge Raad </w:t>
      </w:r>
      <w:r w:rsidR="00A5740E" w:rsidRPr="00922237">
        <w:rPr>
          <w:rFonts w:ascii="Verdana" w:hAnsi="Verdana"/>
        </w:rPr>
        <w:lastRenderedPageBreak/>
        <w:t xml:space="preserve">in het arrest ‘verpleeghuis Maastricht’. Hierin werden zeer uitzonderlijke omstandigheden aangenomen vanwege een overlijdensgeval. Dit zou er toe </w:t>
      </w:r>
      <w:r w:rsidR="00A5382F">
        <w:rPr>
          <w:rFonts w:ascii="Verdana" w:hAnsi="Verdana"/>
        </w:rPr>
        <w:t>kunnen leiden dat in bijna alle</w:t>
      </w:r>
      <w:r w:rsidR="00A5740E" w:rsidRPr="00922237">
        <w:rPr>
          <w:rFonts w:ascii="Verdana" w:hAnsi="Verdana"/>
        </w:rPr>
        <w:t xml:space="preserve"> overlijdenszaken in de zorg</w:t>
      </w:r>
      <w:r w:rsidR="00A5382F">
        <w:rPr>
          <w:rFonts w:ascii="Verdana" w:hAnsi="Verdana"/>
        </w:rPr>
        <w:t>,</w:t>
      </w:r>
      <w:r w:rsidR="00A5740E" w:rsidRPr="00922237">
        <w:rPr>
          <w:rFonts w:ascii="Verdana" w:hAnsi="Verdana"/>
        </w:rPr>
        <w:t xml:space="preserve"> sprake is van zeer uitzonderlijke omstandigheden. Indien d</w:t>
      </w:r>
      <w:r w:rsidR="00A5382F">
        <w:rPr>
          <w:rFonts w:ascii="Verdana" w:hAnsi="Verdana"/>
        </w:rPr>
        <w:t>i</w:t>
      </w:r>
      <w:r w:rsidR="00A5740E" w:rsidRPr="00922237">
        <w:rPr>
          <w:rFonts w:ascii="Verdana" w:hAnsi="Verdana"/>
        </w:rPr>
        <w:t>t het geval is, is er</w:t>
      </w:r>
      <w:r w:rsidR="00DF226E">
        <w:rPr>
          <w:rFonts w:ascii="Verdana" w:hAnsi="Verdana"/>
        </w:rPr>
        <w:t xml:space="preserve"> derhalve</w:t>
      </w:r>
      <w:r w:rsidR="00A5740E" w:rsidRPr="00922237">
        <w:rPr>
          <w:rFonts w:ascii="Verdana" w:hAnsi="Verdana"/>
        </w:rPr>
        <w:t xml:space="preserve"> geen sprake meer van een uitzonderlijk geval.</w:t>
      </w:r>
    </w:p>
    <w:p w:rsidR="00A5740E" w:rsidRPr="0045654C" w:rsidRDefault="00A5740E" w:rsidP="0092501F">
      <w:pPr>
        <w:spacing w:after="0" w:line="22" w:lineRule="atLeast"/>
        <w:rPr>
          <w:rFonts w:ascii="Verdana" w:hAnsi="Verdana"/>
        </w:rPr>
      </w:pPr>
    </w:p>
    <w:p w:rsidR="00447308" w:rsidRPr="0045654C" w:rsidRDefault="00447308" w:rsidP="0092501F">
      <w:pPr>
        <w:spacing w:after="0" w:line="22" w:lineRule="atLeast"/>
        <w:rPr>
          <w:rFonts w:ascii="Verdana" w:hAnsi="Verdana"/>
        </w:rPr>
      </w:pPr>
    </w:p>
    <w:p w:rsidR="00226F1B" w:rsidRPr="00960FD3" w:rsidRDefault="00960FD3" w:rsidP="0092501F">
      <w:pPr>
        <w:pStyle w:val="Kop2"/>
        <w:spacing w:before="0" w:line="22" w:lineRule="atLeast"/>
        <w:rPr>
          <w:rFonts w:ascii="Verdana" w:hAnsi="Verdana"/>
        </w:rPr>
      </w:pPr>
      <w:bookmarkStart w:id="48" w:name="_Toc451895011"/>
      <w:r>
        <w:rPr>
          <w:rFonts w:ascii="Verdana" w:hAnsi="Verdana"/>
        </w:rPr>
        <w:t>5</w:t>
      </w:r>
      <w:r w:rsidR="00226F1B" w:rsidRPr="00960FD3">
        <w:rPr>
          <w:rFonts w:ascii="Verdana" w:hAnsi="Verdana"/>
        </w:rPr>
        <w:t>.</w:t>
      </w:r>
      <w:r>
        <w:rPr>
          <w:rFonts w:ascii="Verdana" w:hAnsi="Verdana"/>
        </w:rPr>
        <w:t>4</w:t>
      </w:r>
      <w:r w:rsidR="00226F1B" w:rsidRPr="00960FD3">
        <w:rPr>
          <w:rFonts w:ascii="Verdana" w:hAnsi="Verdana"/>
        </w:rPr>
        <w:t xml:space="preserve"> De eventuele toestemming van de belanghebbende</w:t>
      </w:r>
      <w:bookmarkEnd w:id="48"/>
    </w:p>
    <w:p w:rsidR="0008514F" w:rsidRPr="00922237" w:rsidRDefault="00226F1B" w:rsidP="0092501F">
      <w:pPr>
        <w:spacing w:after="0" w:line="22" w:lineRule="atLeast"/>
        <w:jc w:val="both"/>
        <w:rPr>
          <w:rFonts w:ascii="Verdana" w:hAnsi="Verdana"/>
        </w:rPr>
      </w:pPr>
      <w:r w:rsidRPr="00922237">
        <w:rPr>
          <w:rFonts w:ascii="Verdana" w:hAnsi="Verdana"/>
        </w:rPr>
        <w:t>Het woord ‘belanghebbende’ is een breed begrip</w:t>
      </w:r>
      <w:r w:rsidR="0008514F" w:rsidRPr="00922237">
        <w:rPr>
          <w:rFonts w:ascii="Verdana" w:hAnsi="Verdana"/>
        </w:rPr>
        <w:t xml:space="preserve">. In veel wetten, </w:t>
      </w:r>
      <w:r w:rsidR="009E4289" w:rsidRPr="00922237">
        <w:rPr>
          <w:rFonts w:ascii="Verdana" w:hAnsi="Verdana"/>
        </w:rPr>
        <w:t>zoals bijvoorbeeld de Algemene wet bestuursrecht</w:t>
      </w:r>
      <w:r w:rsidR="0008514F" w:rsidRPr="00922237">
        <w:rPr>
          <w:rFonts w:ascii="Verdana" w:hAnsi="Verdana"/>
        </w:rPr>
        <w:t>, komt het begrip voor, maar in iedere wet wordt weer een andere uitleg gegeven aan het begrip belang</w:t>
      </w:r>
      <w:r w:rsidR="00A05561">
        <w:rPr>
          <w:rFonts w:ascii="Verdana" w:hAnsi="Verdana"/>
        </w:rPr>
        <w:t>-</w:t>
      </w:r>
      <w:r w:rsidR="0008514F" w:rsidRPr="00922237">
        <w:rPr>
          <w:rFonts w:ascii="Verdana" w:hAnsi="Verdana"/>
        </w:rPr>
        <w:t xml:space="preserve">hebbende. </w:t>
      </w:r>
      <w:r w:rsidR="009E4289" w:rsidRPr="00922237">
        <w:rPr>
          <w:rFonts w:ascii="Verdana" w:hAnsi="Verdana"/>
        </w:rPr>
        <w:t xml:space="preserve">De vraag is dan ook wie de Hoge Raad binnen deze factor heeft bedoeld met belanghebbende. </w:t>
      </w:r>
      <w:r w:rsidR="00DF226E">
        <w:rPr>
          <w:rFonts w:ascii="Verdana" w:hAnsi="Verdana"/>
        </w:rPr>
        <w:t>In het algemeen geldt dat iemand een belang</w:t>
      </w:r>
      <w:r w:rsidR="00A05561">
        <w:rPr>
          <w:rFonts w:ascii="Verdana" w:hAnsi="Verdana"/>
        </w:rPr>
        <w:t>-</w:t>
      </w:r>
      <w:r w:rsidR="00DF226E">
        <w:rPr>
          <w:rFonts w:ascii="Verdana" w:hAnsi="Verdana"/>
        </w:rPr>
        <w:t xml:space="preserve">hebbende is, wanneer deze mogelijk belanghebbende bij de kwestie betrokken is en </w:t>
      </w:r>
      <w:r w:rsidR="0008514F" w:rsidRPr="00922237">
        <w:rPr>
          <w:rFonts w:ascii="Verdana" w:hAnsi="Verdana"/>
        </w:rPr>
        <w:t xml:space="preserve">daarbij enig (rechtstreeks) belang heeft. </w:t>
      </w:r>
      <w:r w:rsidR="009E4289" w:rsidRPr="00922237">
        <w:rPr>
          <w:rFonts w:ascii="Verdana" w:hAnsi="Verdana"/>
        </w:rPr>
        <w:t xml:space="preserve">Maar heeft de Hoge Raad het ook zo breed willen trekken? </w:t>
      </w:r>
    </w:p>
    <w:p w:rsidR="00BE7BC8" w:rsidRPr="00922237" w:rsidRDefault="00BE7BC8" w:rsidP="0092501F">
      <w:pPr>
        <w:spacing w:after="0" w:line="22" w:lineRule="atLeast"/>
        <w:jc w:val="both"/>
        <w:rPr>
          <w:rFonts w:ascii="Verdana" w:hAnsi="Verdana"/>
        </w:rPr>
      </w:pPr>
    </w:p>
    <w:p w:rsidR="00BE7BC8" w:rsidRPr="00922237" w:rsidRDefault="00BE7BC8" w:rsidP="0092501F">
      <w:pPr>
        <w:spacing w:after="0" w:line="22" w:lineRule="atLeast"/>
        <w:jc w:val="both"/>
        <w:rPr>
          <w:rFonts w:ascii="Verdana" w:hAnsi="Verdana"/>
        </w:rPr>
      </w:pPr>
      <w:r w:rsidRPr="00922237">
        <w:rPr>
          <w:rFonts w:ascii="Verdana" w:hAnsi="Verdana"/>
        </w:rPr>
        <w:t xml:space="preserve">Als belanghebbende binnen een beklagprocedure ex artikel 552a Sv </w:t>
      </w:r>
      <w:r w:rsidR="00DF226E">
        <w:rPr>
          <w:rFonts w:ascii="Verdana" w:hAnsi="Verdana"/>
        </w:rPr>
        <w:t xml:space="preserve">kan </w:t>
      </w:r>
      <w:r w:rsidRPr="00922237">
        <w:rPr>
          <w:rFonts w:ascii="Verdana" w:hAnsi="Verdana"/>
        </w:rPr>
        <w:t>aan twee groepen personen</w:t>
      </w:r>
      <w:r w:rsidR="00DF226E">
        <w:rPr>
          <w:rFonts w:ascii="Verdana" w:hAnsi="Verdana"/>
        </w:rPr>
        <w:t xml:space="preserve"> worden gedacht. Ten eerste de verschonings</w:t>
      </w:r>
      <w:r w:rsidRPr="00922237">
        <w:rPr>
          <w:rFonts w:ascii="Verdana" w:hAnsi="Verdana"/>
        </w:rPr>
        <w:t>gerechtigde beroepsbeoefenaar. Deze heeft er namelijk belang bij dat zijn beroepsgeheim en versc</w:t>
      </w:r>
      <w:r w:rsidR="00A5382F">
        <w:rPr>
          <w:rFonts w:ascii="Verdana" w:hAnsi="Verdana"/>
        </w:rPr>
        <w:t xml:space="preserve">honingsrecht </w:t>
      </w:r>
      <w:r w:rsidR="00A02F89">
        <w:rPr>
          <w:rFonts w:ascii="Verdana" w:hAnsi="Verdana"/>
        </w:rPr>
        <w:t xml:space="preserve">worden </w:t>
      </w:r>
      <w:r w:rsidR="00A5382F">
        <w:rPr>
          <w:rFonts w:ascii="Verdana" w:hAnsi="Verdana"/>
        </w:rPr>
        <w:t xml:space="preserve">gerespecteerd </w:t>
      </w:r>
      <w:r w:rsidRPr="00922237">
        <w:rPr>
          <w:rFonts w:ascii="Verdana" w:hAnsi="Verdana"/>
        </w:rPr>
        <w:t xml:space="preserve">en dat de </w:t>
      </w:r>
      <w:r w:rsidR="00A5382F">
        <w:rPr>
          <w:rFonts w:ascii="Verdana" w:hAnsi="Verdana"/>
        </w:rPr>
        <w:t>gegevens</w:t>
      </w:r>
      <w:r w:rsidRPr="00922237">
        <w:rPr>
          <w:rFonts w:ascii="Verdana" w:hAnsi="Verdana"/>
        </w:rPr>
        <w:t xml:space="preserve"> worden terug</w:t>
      </w:r>
      <w:r w:rsidR="00922237">
        <w:rPr>
          <w:rFonts w:ascii="Verdana" w:hAnsi="Verdana"/>
        </w:rPr>
        <w:t>-</w:t>
      </w:r>
      <w:r w:rsidRPr="00922237">
        <w:rPr>
          <w:rFonts w:ascii="Verdana" w:hAnsi="Verdana"/>
        </w:rPr>
        <w:t>gegeven aan hem. De tweede groep belanghebbende</w:t>
      </w:r>
      <w:r w:rsidR="00A05561">
        <w:rPr>
          <w:rFonts w:ascii="Verdana" w:hAnsi="Verdana"/>
        </w:rPr>
        <w:t>n</w:t>
      </w:r>
      <w:r w:rsidRPr="00922237">
        <w:rPr>
          <w:rFonts w:ascii="Verdana" w:hAnsi="Verdana"/>
        </w:rPr>
        <w:t xml:space="preserve"> zouden de cliënten en patiënten kunnen zijn. Wanneer er bijvoorbeeld bij een arts medische dossiers in beslag worden genomen, zou het in het belang van de patiënt kunnen zijn dat deze alsnog worden teruggegeven omdat hij wil dat zijn privacy gerespecteerd wordt. </w:t>
      </w:r>
      <w:r w:rsidR="00006247" w:rsidRPr="00922237">
        <w:rPr>
          <w:rFonts w:ascii="Verdana" w:hAnsi="Verdana"/>
        </w:rPr>
        <w:t xml:space="preserve">Maar wanneer een </w:t>
      </w:r>
      <w:r w:rsidR="00CD1DB3">
        <w:rPr>
          <w:rFonts w:ascii="Verdana" w:hAnsi="Verdana"/>
        </w:rPr>
        <w:t>cliënt/</w:t>
      </w:r>
      <w:r w:rsidR="00CD1DB3" w:rsidRPr="00922237">
        <w:rPr>
          <w:rFonts w:ascii="Verdana" w:hAnsi="Verdana"/>
        </w:rPr>
        <w:t>patiënt</w:t>
      </w:r>
      <w:r w:rsidR="00A02F89">
        <w:rPr>
          <w:rFonts w:ascii="Verdana" w:hAnsi="Verdana"/>
        </w:rPr>
        <w:t xml:space="preserve"> </w:t>
      </w:r>
      <w:r w:rsidR="00006247" w:rsidRPr="00922237">
        <w:rPr>
          <w:rFonts w:ascii="Verdana" w:hAnsi="Verdana"/>
        </w:rPr>
        <w:t xml:space="preserve">minderjarig is, zouden ook de ouders als belanghebbenden gezien kunnen worden. </w:t>
      </w:r>
    </w:p>
    <w:p w:rsidR="00BE7BC8" w:rsidRPr="00922237" w:rsidRDefault="00BE7BC8" w:rsidP="0092501F">
      <w:pPr>
        <w:spacing w:after="0" w:line="22" w:lineRule="atLeast"/>
        <w:jc w:val="both"/>
        <w:rPr>
          <w:rFonts w:ascii="Verdana" w:hAnsi="Verdana"/>
        </w:rPr>
      </w:pPr>
    </w:p>
    <w:p w:rsidR="007B2459" w:rsidRPr="00922237" w:rsidRDefault="00BE7BC8" w:rsidP="0092501F">
      <w:pPr>
        <w:spacing w:after="0" w:line="22" w:lineRule="atLeast"/>
        <w:jc w:val="both"/>
        <w:rPr>
          <w:rFonts w:ascii="Verdana" w:hAnsi="Verdana"/>
        </w:rPr>
      </w:pPr>
      <w:r w:rsidRPr="00922237">
        <w:rPr>
          <w:rFonts w:ascii="Verdana" w:hAnsi="Verdana"/>
        </w:rPr>
        <w:t>De laatste groep, oft</w:t>
      </w:r>
      <w:r w:rsidR="00A94013" w:rsidRPr="00922237">
        <w:rPr>
          <w:rFonts w:ascii="Verdana" w:hAnsi="Verdana"/>
        </w:rPr>
        <w:t>e</w:t>
      </w:r>
      <w:r w:rsidRPr="00922237">
        <w:rPr>
          <w:rFonts w:ascii="Verdana" w:hAnsi="Verdana"/>
        </w:rPr>
        <w:t>wel de cliënten/patiënten</w:t>
      </w:r>
      <w:r w:rsidR="00006247" w:rsidRPr="00922237">
        <w:rPr>
          <w:rFonts w:ascii="Verdana" w:hAnsi="Verdana"/>
        </w:rPr>
        <w:t xml:space="preserve"> (dan wel hun vertegen</w:t>
      </w:r>
      <w:r w:rsidR="00922237">
        <w:rPr>
          <w:rFonts w:ascii="Verdana" w:hAnsi="Verdana"/>
        </w:rPr>
        <w:t>-</w:t>
      </w:r>
      <w:r w:rsidR="00006247" w:rsidRPr="00922237">
        <w:rPr>
          <w:rFonts w:ascii="Verdana" w:hAnsi="Verdana"/>
        </w:rPr>
        <w:t>woordigers)</w:t>
      </w:r>
      <w:r w:rsidRPr="00922237">
        <w:rPr>
          <w:rFonts w:ascii="Verdana" w:hAnsi="Verdana"/>
        </w:rPr>
        <w:t>, heeft de Hoge Raad niet bedoeld als belanghebbende. De Hoge Raad heeft binnen deze factor enkel de verschoningsgerechtigde beroeps</w:t>
      </w:r>
      <w:r w:rsidR="004969E7">
        <w:rPr>
          <w:rFonts w:ascii="Verdana" w:hAnsi="Verdana"/>
        </w:rPr>
        <w:t>-</w:t>
      </w:r>
      <w:r w:rsidRPr="00922237">
        <w:rPr>
          <w:rFonts w:ascii="Verdana" w:hAnsi="Verdana"/>
        </w:rPr>
        <w:t>beoefenaar zelf aangemerkt als belanghebbende</w:t>
      </w:r>
      <w:r w:rsidR="005059EA" w:rsidRPr="00922237">
        <w:rPr>
          <w:rStyle w:val="Voetnootmarkering"/>
          <w:rFonts w:ascii="Verdana" w:hAnsi="Verdana"/>
        </w:rPr>
        <w:footnoteReference w:id="105"/>
      </w:r>
      <w:r w:rsidR="005059EA" w:rsidRPr="00922237">
        <w:rPr>
          <w:rFonts w:ascii="Verdana" w:hAnsi="Verdana"/>
        </w:rPr>
        <w:t xml:space="preserve">. </w:t>
      </w:r>
      <w:r w:rsidR="007B2459" w:rsidRPr="00922237">
        <w:rPr>
          <w:rFonts w:ascii="Verdana" w:hAnsi="Verdana"/>
        </w:rPr>
        <w:t>Dit lijkt ook in lijn te zijn met de zogenaamde Savanna-zaak uit 2006</w:t>
      </w:r>
      <w:r w:rsidR="00F1137D" w:rsidRPr="00922237">
        <w:rPr>
          <w:rStyle w:val="Voetnootmarkering"/>
          <w:rFonts w:ascii="Verdana" w:hAnsi="Verdana"/>
        </w:rPr>
        <w:footnoteReference w:id="106"/>
      </w:r>
      <w:r w:rsidR="007B2459" w:rsidRPr="00922237">
        <w:rPr>
          <w:rFonts w:ascii="Verdana" w:hAnsi="Verdana"/>
        </w:rPr>
        <w:t xml:space="preserve">. </w:t>
      </w:r>
      <w:r w:rsidR="00F1137D" w:rsidRPr="00922237">
        <w:rPr>
          <w:rFonts w:ascii="Verdana" w:hAnsi="Verdana"/>
        </w:rPr>
        <w:t>In d</w:t>
      </w:r>
      <w:r w:rsidR="00A5382F">
        <w:rPr>
          <w:rFonts w:ascii="Verdana" w:hAnsi="Verdana"/>
        </w:rPr>
        <w:t>ie zaak ging het om een meisje d</w:t>
      </w:r>
      <w:r w:rsidR="00F1137D" w:rsidRPr="00922237">
        <w:rPr>
          <w:rFonts w:ascii="Verdana" w:hAnsi="Verdana"/>
        </w:rPr>
        <w:t xml:space="preserve">at op driejarige leeftijd om het leven kwam en waarbij de gezinsvoogd werd beschuldigd </w:t>
      </w:r>
      <w:r w:rsidR="00A05561">
        <w:rPr>
          <w:rFonts w:ascii="Verdana" w:hAnsi="Verdana"/>
        </w:rPr>
        <w:t>van dood door schuld. Ook in deze</w:t>
      </w:r>
      <w:r w:rsidR="00F1137D" w:rsidRPr="00922237">
        <w:rPr>
          <w:rFonts w:ascii="Verdana" w:hAnsi="Verdana"/>
        </w:rPr>
        <w:t xml:space="preserve"> zaak waren medische gegevens in beslag genomen. Hoewel zowel de gezinsvoogd als de moeder van Savanna toestemming gaven voor het gebruik van de medische dossiers door Justitie, werd hieraan geen aandacht besteed door zowel de rechtbank als de Hoge Raad. </w:t>
      </w:r>
    </w:p>
    <w:p w:rsidR="00BE63A0" w:rsidRPr="00BE63A0" w:rsidRDefault="00BE63A0" w:rsidP="0092501F">
      <w:pPr>
        <w:spacing w:after="0" w:line="22" w:lineRule="atLeast"/>
        <w:jc w:val="both"/>
        <w:rPr>
          <w:rFonts w:ascii="Verdana" w:hAnsi="Verdana"/>
        </w:rPr>
      </w:pPr>
    </w:p>
    <w:p w:rsidR="00F7289F" w:rsidRPr="00922237" w:rsidRDefault="00F7289F" w:rsidP="0092501F">
      <w:pPr>
        <w:spacing w:after="0" w:line="22" w:lineRule="atLeast"/>
        <w:jc w:val="both"/>
        <w:rPr>
          <w:rFonts w:ascii="Verdana" w:hAnsi="Verdana"/>
        </w:rPr>
      </w:pPr>
      <w:r w:rsidRPr="00922237">
        <w:rPr>
          <w:rFonts w:ascii="Verdana" w:hAnsi="Verdana"/>
        </w:rPr>
        <w:t xml:space="preserve">In eerste instantie </w:t>
      </w:r>
      <w:r w:rsidR="00A5382F">
        <w:rPr>
          <w:rFonts w:ascii="Verdana" w:hAnsi="Verdana"/>
        </w:rPr>
        <w:t>lijkt het</w:t>
      </w:r>
      <w:r w:rsidR="00DF226E">
        <w:rPr>
          <w:rFonts w:ascii="Verdana" w:hAnsi="Verdana"/>
        </w:rPr>
        <w:t xml:space="preserve"> wellicht opmerkelijk</w:t>
      </w:r>
      <w:r w:rsidR="00A5382F">
        <w:rPr>
          <w:rFonts w:ascii="Verdana" w:hAnsi="Verdana"/>
        </w:rPr>
        <w:t xml:space="preserve"> dat wanneer</w:t>
      </w:r>
      <w:r w:rsidRPr="00922237">
        <w:rPr>
          <w:rFonts w:ascii="Verdana" w:hAnsi="Verdana"/>
        </w:rPr>
        <w:t xml:space="preserve"> een patiënt, of in het geval van de Savanna-zaak haar wettelijke vertegenwoordiger, toestemming geeft voor in</w:t>
      </w:r>
      <w:r w:rsidR="00A05561">
        <w:rPr>
          <w:rFonts w:ascii="Verdana" w:hAnsi="Verdana"/>
        </w:rPr>
        <w:t>zage in het medische dossier,</w:t>
      </w:r>
      <w:r w:rsidRPr="00922237">
        <w:rPr>
          <w:rFonts w:ascii="Verdana" w:hAnsi="Verdana"/>
        </w:rPr>
        <w:t xml:space="preserve"> de verschoningsgerechtigde beroepsbeoefenaar dat </w:t>
      </w:r>
      <w:r w:rsidR="00A05561">
        <w:rPr>
          <w:rFonts w:ascii="Verdana" w:hAnsi="Verdana"/>
        </w:rPr>
        <w:t xml:space="preserve">dan alsnog weigert te doen en </w:t>
      </w:r>
      <w:r w:rsidRPr="00922237">
        <w:rPr>
          <w:rFonts w:ascii="Verdana" w:hAnsi="Verdana"/>
        </w:rPr>
        <w:t>de rechter daar in mee gaat. Maar als we nog even terug kijken naar welk belang he</w:t>
      </w:r>
      <w:r w:rsidR="00A05561">
        <w:rPr>
          <w:rFonts w:ascii="Verdana" w:hAnsi="Verdana"/>
        </w:rPr>
        <w:t>t beroepsgeheim dient, dan is di</w:t>
      </w:r>
      <w:r w:rsidRPr="00922237">
        <w:rPr>
          <w:rFonts w:ascii="Verdana" w:hAnsi="Verdana"/>
        </w:rPr>
        <w:t>t zowel een individueel- als een collectie</w:t>
      </w:r>
      <w:r w:rsidR="00DF226E">
        <w:rPr>
          <w:rFonts w:ascii="Verdana" w:hAnsi="Verdana"/>
        </w:rPr>
        <w:t>f belang. Wanneer de patiënt</w:t>
      </w:r>
      <w:r w:rsidRPr="00922237">
        <w:rPr>
          <w:rFonts w:ascii="Verdana" w:hAnsi="Verdana"/>
        </w:rPr>
        <w:t xml:space="preserve"> toestemming geeft voor inzage in zijn medisch dossier, staat het individuele belang niet meer in de weg voor openheid van zake. Echter, het collectieve belang blijft altijd naast het individuel</w:t>
      </w:r>
      <w:r w:rsidR="002E0B6C">
        <w:rPr>
          <w:rFonts w:ascii="Verdana" w:hAnsi="Verdana"/>
        </w:rPr>
        <w:t xml:space="preserve">e belang bestaan. Wanneer er </w:t>
      </w:r>
      <w:r w:rsidRPr="00922237">
        <w:rPr>
          <w:rFonts w:ascii="Verdana" w:hAnsi="Verdana"/>
        </w:rPr>
        <w:t>ondanks de toestemming van de patiënt</w:t>
      </w:r>
      <w:r w:rsidR="002E0B6C">
        <w:rPr>
          <w:rFonts w:ascii="Verdana" w:hAnsi="Verdana"/>
        </w:rPr>
        <w:t>,</w:t>
      </w:r>
      <w:r w:rsidRPr="00922237">
        <w:rPr>
          <w:rFonts w:ascii="Verdana" w:hAnsi="Verdana"/>
        </w:rPr>
        <w:t xml:space="preserve"> toch disproportionele schade kan </w:t>
      </w:r>
      <w:r w:rsidRPr="00922237">
        <w:rPr>
          <w:rFonts w:ascii="Verdana" w:hAnsi="Verdana"/>
        </w:rPr>
        <w:lastRenderedPageBreak/>
        <w:t>worden berokkend aan het collect</w:t>
      </w:r>
      <w:r w:rsidR="002E0B6C">
        <w:rPr>
          <w:rFonts w:ascii="Verdana" w:hAnsi="Verdana"/>
        </w:rPr>
        <w:t>ieve belang zal</w:t>
      </w:r>
      <w:r w:rsidRPr="00922237">
        <w:rPr>
          <w:rFonts w:ascii="Verdana" w:hAnsi="Verdana"/>
        </w:rPr>
        <w:t xml:space="preserve"> zich dus de situatie kunnen voordoen dat het verschoningsrecht niet doorbroken wordt; dit ter bevordering van de toegankelijkheid van de zorg (en in het geval van een advocaat of notaris de toegankelijkheid van de rechtshulp). Juist omdat het beroepsgeheim en versc</w:t>
      </w:r>
      <w:r w:rsidR="002E0B6C">
        <w:rPr>
          <w:rFonts w:ascii="Verdana" w:hAnsi="Verdana"/>
        </w:rPr>
        <w:t>honingsrecht twee belangen dienen</w:t>
      </w:r>
      <w:r w:rsidRPr="00922237">
        <w:rPr>
          <w:rFonts w:ascii="Verdana" w:hAnsi="Verdana"/>
        </w:rPr>
        <w:t xml:space="preserve">, is het aan de beroepsbeoefenaar om te beoordelen of hij zijn beroepsgeheim en verschoningsrecht wil doorbreken; alleen hij kan </w:t>
      </w:r>
      <w:r w:rsidR="0046564F" w:rsidRPr="00922237">
        <w:rPr>
          <w:rFonts w:ascii="Verdana" w:hAnsi="Verdana"/>
        </w:rPr>
        <w:t xml:space="preserve">zowel het individuele- als ook het collectieve belang onafhankelijk inschatten. </w:t>
      </w:r>
    </w:p>
    <w:p w:rsidR="00226F1B" w:rsidRPr="0045654C" w:rsidRDefault="00226F1B" w:rsidP="0092501F">
      <w:pPr>
        <w:spacing w:after="0" w:line="22" w:lineRule="atLeast"/>
        <w:rPr>
          <w:rFonts w:ascii="Verdana" w:hAnsi="Verdana"/>
        </w:rPr>
      </w:pPr>
    </w:p>
    <w:p w:rsidR="004576AD" w:rsidRPr="0045654C" w:rsidRDefault="004576AD" w:rsidP="0092501F">
      <w:pPr>
        <w:spacing w:after="0" w:line="22" w:lineRule="atLeast"/>
        <w:rPr>
          <w:rFonts w:ascii="Verdana" w:hAnsi="Verdana"/>
        </w:rPr>
      </w:pPr>
    </w:p>
    <w:p w:rsidR="00226F1B" w:rsidRPr="00960FD3" w:rsidRDefault="00960FD3" w:rsidP="0092501F">
      <w:pPr>
        <w:pStyle w:val="Kop2"/>
        <w:spacing w:before="0" w:line="22" w:lineRule="atLeast"/>
        <w:rPr>
          <w:rFonts w:ascii="Verdana" w:hAnsi="Verdana"/>
        </w:rPr>
      </w:pPr>
      <w:bookmarkStart w:id="49" w:name="_Toc451895012"/>
      <w:r>
        <w:rPr>
          <w:rFonts w:ascii="Verdana" w:hAnsi="Verdana"/>
        </w:rPr>
        <w:t>5</w:t>
      </w:r>
      <w:r w:rsidR="00226F1B" w:rsidRPr="00960FD3">
        <w:rPr>
          <w:rFonts w:ascii="Verdana" w:hAnsi="Verdana"/>
        </w:rPr>
        <w:t>.</w:t>
      </w:r>
      <w:r>
        <w:rPr>
          <w:rFonts w:ascii="Verdana" w:hAnsi="Verdana"/>
        </w:rPr>
        <w:t>5</w:t>
      </w:r>
      <w:r w:rsidR="00226F1B" w:rsidRPr="00960FD3">
        <w:rPr>
          <w:rFonts w:ascii="Verdana" w:hAnsi="Verdana"/>
        </w:rPr>
        <w:t xml:space="preserve"> De eventuele verdenking tegen de verschonings</w:t>
      </w:r>
      <w:r w:rsidR="00B02BA8">
        <w:rPr>
          <w:rFonts w:ascii="Verdana" w:hAnsi="Verdana"/>
        </w:rPr>
        <w:t>-</w:t>
      </w:r>
      <w:r w:rsidR="00226F1B" w:rsidRPr="00960FD3">
        <w:rPr>
          <w:rFonts w:ascii="Verdana" w:hAnsi="Verdana"/>
        </w:rPr>
        <w:t>gerechtigde</w:t>
      </w:r>
      <w:bookmarkEnd w:id="49"/>
    </w:p>
    <w:p w:rsidR="00631EEB" w:rsidRPr="00922237" w:rsidRDefault="00631EEB" w:rsidP="0092501F">
      <w:pPr>
        <w:spacing w:after="0" w:line="22" w:lineRule="atLeast"/>
        <w:jc w:val="both"/>
        <w:rPr>
          <w:rFonts w:ascii="Verdana" w:hAnsi="Verdana"/>
        </w:rPr>
      </w:pPr>
      <w:r w:rsidRPr="00922237">
        <w:rPr>
          <w:rFonts w:ascii="Verdana" w:hAnsi="Verdana"/>
        </w:rPr>
        <w:t>De enkele omstandigheid dat een verschoningsgerechtigde beroepsbeoefenaar als verdachte is aangemerkt, is niet voldoende voor het aannemen van zeer uitzonderlijke omstandighede</w:t>
      </w:r>
      <w:r w:rsidR="00BA68C6">
        <w:rPr>
          <w:rFonts w:ascii="Verdana" w:hAnsi="Verdana"/>
        </w:rPr>
        <w:t>n</w:t>
      </w:r>
      <w:r w:rsidR="008C6937" w:rsidRPr="00922237">
        <w:rPr>
          <w:rStyle w:val="Voetnootmarkering"/>
          <w:rFonts w:ascii="Verdana" w:hAnsi="Verdana"/>
        </w:rPr>
        <w:footnoteReference w:id="107"/>
      </w:r>
      <w:r w:rsidR="00BA68C6">
        <w:rPr>
          <w:rFonts w:ascii="Verdana" w:hAnsi="Verdana"/>
        </w:rPr>
        <w:t>. Echter, dit</w:t>
      </w:r>
      <w:r w:rsidRPr="00922237">
        <w:rPr>
          <w:rFonts w:ascii="Verdana" w:hAnsi="Verdana"/>
        </w:rPr>
        <w:t xml:space="preserve"> kan </w:t>
      </w:r>
      <w:r w:rsidR="008C6937">
        <w:rPr>
          <w:rFonts w:ascii="Verdana" w:hAnsi="Verdana"/>
        </w:rPr>
        <w:t xml:space="preserve">veranderen </w:t>
      </w:r>
      <w:r w:rsidRPr="00922237">
        <w:rPr>
          <w:rFonts w:ascii="Verdana" w:hAnsi="Verdana"/>
        </w:rPr>
        <w:t>wanneer het om een verdenking gaat van een zeer ernstig strafbaar feit. De stevigheid van de verdenking speelt hierbij geen rol</w:t>
      </w:r>
      <w:r w:rsidR="00747D06" w:rsidRPr="00922237">
        <w:rPr>
          <w:rStyle w:val="Voetnootmarkering"/>
          <w:rFonts w:ascii="Verdana" w:hAnsi="Verdana"/>
        </w:rPr>
        <w:footnoteReference w:id="108"/>
      </w:r>
      <w:r w:rsidRPr="00922237">
        <w:rPr>
          <w:rFonts w:ascii="Verdana" w:hAnsi="Verdana"/>
        </w:rPr>
        <w:t xml:space="preserve">. </w:t>
      </w:r>
    </w:p>
    <w:p w:rsidR="00631EEB" w:rsidRPr="00922237" w:rsidRDefault="00631EEB" w:rsidP="0092501F">
      <w:pPr>
        <w:spacing w:after="0" w:line="22" w:lineRule="atLeast"/>
        <w:jc w:val="both"/>
        <w:rPr>
          <w:rFonts w:ascii="Verdana" w:hAnsi="Verdana"/>
        </w:rPr>
      </w:pPr>
    </w:p>
    <w:p w:rsidR="00631EEB" w:rsidRPr="00922237" w:rsidRDefault="00631EEB" w:rsidP="0092501F">
      <w:pPr>
        <w:spacing w:after="0" w:line="22" w:lineRule="atLeast"/>
        <w:jc w:val="both"/>
        <w:rPr>
          <w:rFonts w:ascii="Verdana" w:hAnsi="Verdana"/>
        </w:rPr>
      </w:pPr>
      <w:r w:rsidRPr="00922237">
        <w:rPr>
          <w:rFonts w:ascii="Verdana" w:hAnsi="Verdana"/>
        </w:rPr>
        <w:t>Ook in de gevallen waarin de verschoningsgerechtigde beroepsbeoefenaar zelf (nog) geen verdachte is, kan er sprake zijn van zeer uitzonderlijke omstandig</w:t>
      </w:r>
      <w:r w:rsidR="00922237">
        <w:rPr>
          <w:rFonts w:ascii="Verdana" w:hAnsi="Verdana"/>
        </w:rPr>
        <w:t>-</w:t>
      </w:r>
      <w:r w:rsidRPr="00922237">
        <w:rPr>
          <w:rFonts w:ascii="Verdana" w:hAnsi="Verdana"/>
        </w:rPr>
        <w:t>heden waaronder het verschoningsrecht doorbroken mag worden</w:t>
      </w:r>
      <w:r w:rsidRPr="00922237">
        <w:rPr>
          <w:rStyle w:val="Voetnootmarkering"/>
          <w:rFonts w:ascii="Verdana" w:hAnsi="Verdana"/>
        </w:rPr>
        <w:footnoteReference w:id="109"/>
      </w:r>
      <w:r w:rsidRPr="00922237">
        <w:rPr>
          <w:rFonts w:ascii="Verdana" w:hAnsi="Verdana"/>
        </w:rPr>
        <w:t xml:space="preserve">. </w:t>
      </w:r>
    </w:p>
    <w:p w:rsidR="00DA6682" w:rsidRPr="00922237" w:rsidRDefault="00DA6682" w:rsidP="0092501F">
      <w:pPr>
        <w:spacing w:after="0" w:line="22" w:lineRule="atLeast"/>
        <w:jc w:val="both"/>
        <w:rPr>
          <w:rFonts w:ascii="Verdana" w:hAnsi="Verdana"/>
        </w:rPr>
      </w:pPr>
    </w:p>
    <w:p w:rsidR="00DA6682" w:rsidRPr="00922237" w:rsidRDefault="00DA6682" w:rsidP="0092501F">
      <w:pPr>
        <w:spacing w:after="0" w:line="22" w:lineRule="atLeast"/>
        <w:jc w:val="both"/>
        <w:rPr>
          <w:rFonts w:ascii="Verdana" w:hAnsi="Verdana"/>
        </w:rPr>
      </w:pPr>
      <w:r w:rsidRPr="00922237">
        <w:rPr>
          <w:rFonts w:ascii="Verdana" w:hAnsi="Verdana"/>
        </w:rPr>
        <w:t>In het geval waarin er reëel risico aanwezig is voor een ernstig (gewelds-) delict, dat voorkomen kan worden door</w:t>
      </w:r>
      <w:r w:rsidR="001A1BCB">
        <w:rPr>
          <w:rFonts w:ascii="Verdana" w:hAnsi="Verdana"/>
        </w:rPr>
        <w:t xml:space="preserve"> het</w:t>
      </w:r>
      <w:r w:rsidRPr="00922237">
        <w:rPr>
          <w:rFonts w:ascii="Verdana" w:hAnsi="Verdana"/>
        </w:rPr>
        <w:t xml:space="preserve"> openbaar maken van informatie door de verschoningsgerechtigde beroepsbeoefenaar, worden ook zeer uitzonderlijke omstandigheden aangenomen</w:t>
      </w:r>
      <w:r w:rsidRPr="00922237">
        <w:rPr>
          <w:rStyle w:val="Voetnootmarkering"/>
          <w:rFonts w:ascii="Verdana" w:hAnsi="Verdana"/>
        </w:rPr>
        <w:footnoteReference w:id="110"/>
      </w:r>
      <w:r w:rsidRPr="00922237">
        <w:rPr>
          <w:rFonts w:ascii="Verdana" w:hAnsi="Verdana"/>
        </w:rPr>
        <w:t xml:space="preserve">. </w:t>
      </w:r>
    </w:p>
    <w:p w:rsidR="00631EEB" w:rsidRPr="00922237" w:rsidRDefault="00631EEB" w:rsidP="0092501F">
      <w:pPr>
        <w:spacing w:after="0" w:line="22" w:lineRule="atLeast"/>
        <w:jc w:val="both"/>
        <w:rPr>
          <w:rFonts w:ascii="Verdana" w:hAnsi="Verdana"/>
        </w:rPr>
      </w:pPr>
    </w:p>
    <w:p w:rsidR="00D00A51" w:rsidRDefault="00747D06" w:rsidP="0092501F">
      <w:pPr>
        <w:spacing w:after="0" w:line="22" w:lineRule="atLeast"/>
        <w:jc w:val="both"/>
        <w:rPr>
          <w:rFonts w:ascii="Verdana" w:hAnsi="Verdana"/>
        </w:rPr>
      </w:pPr>
      <w:r w:rsidRPr="00922237">
        <w:rPr>
          <w:rFonts w:ascii="Verdana" w:hAnsi="Verdana"/>
        </w:rPr>
        <w:t>De eventuele verdenking tegen de verschoningsgerechtigde beroepsbeoefenaar is dus niet</w:t>
      </w:r>
      <w:r w:rsidR="008C6937">
        <w:rPr>
          <w:rFonts w:ascii="Verdana" w:hAnsi="Verdana"/>
        </w:rPr>
        <w:t xml:space="preserve"> van doorslaggevend belang. Echter,</w:t>
      </w:r>
      <w:r w:rsidRPr="00922237">
        <w:rPr>
          <w:rFonts w:ascii="Verdana" w:hAnsi="Verdana"/>
        </w:rPr>
        <w:t xml:space="preserve"> wanneer er sprake is van een verdenking van een zeer ernstig strafbaar feit, kan dit wel een grote indicatie zijn dat er sprake is van zeer uitzonderlijke omstandigheden. </w:t>
      </w:r>
    </w:p>
    <w:p w:rsidR="004012FF" w:rsidRPr="003C46EB" w:rsidRDefault="004012FF" w:rsidP="0092501F">
      <w:pPr>
        <w:spacing w:after="0" w:line="22" w:lineRule="atLeast"/>
        <w:jc w:val="both"/>
        <w:rPr>
          <w:rFonts w:ascii="Verdana" w:hAnsi="Verdana"/>
        </w:rPr>
      </w:pPr>
    </w:p>
    <w:p w:rsidR="00D00A51" w:rsidRPr="003C46EB" w:rsidRDefault="00D00A51" w:rsidP="0092501F">
      <w:pPr>
        <w:spacing w:after="0" w:line="22" w:lineRule="atLeast"/>
        <w:rPr>
          <w:rFonts w:ascii="Verdana" w:hAnsi="Verdana"/>
        </w:rPr>
      </w:pPr>
    </w:p>
    <w:p w:rsidR="00226F1B" w:rsidRPr="00960FD3" w:rsidRDefault="00960FD3" w:rsidP="0092501F">
      <w:pPr>
        <w:pStyle w:val="Kop2"/>
        <w:spacing w:before="0" w:line="22" w:lineRule="atLeast"/>
        <w:rPr>
          <w:rFonts w:ascii="Verdana" w:hAnsi="Verdana"/>
        </w:rPr>
      </w:pPr>
      <w:bookmarkStart w:id="50" w:name="_Toc451895013"/>
      <w:r>
        <w:rPr>
          <w:rFonts w:ascii="Verdana" w:hAnsi="Verdana"/>
        </w:rPr>
        <w:t>5</w:t>
      </w:r>
      <w:r w:rsidR="00226F1B" w:rsidRPr="00960FD3">
        <w:rPr>
          <w:rFonts w:ascii="Verdana" w:hAnsi="Verdana"/>
        </w:rPr>
        <w:t>.</w:t>
      </w:r>
      <w:r w:rsidR="00F14594" w:rsidRPr="00960FD3">
        <w:rPr>
          <w:rFonts w:ascii="Verdana" w:hAnsi="Verdana"/>
        </w:rPr>
        <w:t>6</w:t>
      </w:r>
      <w:r w:rsidR="00226F1B" w:rsidRPr="00960FD3">
        <w:rPr>
          <w:rFonts w:ascii="Verdana" w:hAnsi="Verdana"/>
        </w:rPr>
        <w:t xml:space="preserve"> De proportionaliteit en subsidiariteit</w:t>
      </w:r>
      <w:bookmarkEnd w:id="50"/>
    </w:p>
    <w:p w:rsidR="00226F1B" w:rsidRDefault="00275FBF" w:rsidP="0092501F">
      <w:pPr>
        <w:spacing w:after="0" w:line="22" w:lineRule="atLeast"/>
        <w:jc w:val="both"/>
        <w:rPr>
          <w:rFonts w:ascii="Verdana" w:hAnsi="Verdana"/>
        </w:rPr>
      </w:pPr>
      <w:r w:rsidRPr="00922237">
        <w:rPr>
          <w:rFonts w:ascii="Verdana" w:hAnsi="Verdana"/>
        </w:rPr>
        <w:t>De proportionaliteit en de subsidiariteit lijken een grote rol te spelen in de beslissing of er wel of geen sprake is van zeer uitzonderlijke omstandigheden. Het niet voldoe</w:t>
      </w:r>
      <w:r w:rsidR="005016D6" w:rsidRPr="00922237">
        <w:rPr>
          <w:rFonts w:ascii="Verdana" w:hAnsi="Verdana"/>
        </w:rPr>
        <w:t>n aan de criteria proportionaliteit en subsidiariteit, heeft</w:t>
      </w:r>
      <w:r w:rsidRPr="00922237">
        <w:rPr>
          <w:rFonts w:ascii="Verdana" w:hAnsi="Verdana"/>
        </w:rPr>
        <w:t xml:space="preserve"> er  in</w:t>
      </w:r>
      <w:r w:rsidR="005016D6" w:rsidRPr="00922237">
        <w:rPr>
          <w:rFonts w:ascii="Verdana" w:hAnsi="Verdana"/>
        </w:rPr>
        <w:t xml:space="preserve"> een aantal rechtszaken </w:t>
      </w:r>
      <w:r w:rsidRPr="00922237">
        <w:rPr>
          <w:rFonts w:ascii="Verdana" w:hAnsi="Verdana"/>
        </w:rPr>
        <w:t xml:space="preserve">toe </w:t>
      </w:r>
      <w:r w:rsidR="005016D6" w:rsidRPr="00922237">
        <w:rPr>
          <w:rFonts w:ascii="Verdana" w:hAnsi="Verdana"/>
        </w:rPr>
        <w:t>geleid dat er geen sprake was van zeer uitzonderlijke omstandigheden. Met name het subsidiariteitsbe</w:t>
      </w:r>
      <w:r w:rsidR="0069045B" w:rsidRPr="00922237">
        <w:rPr>
          <w:rFonts w:ascii="Verdana" w:hAnsi="Verdana"/>
        </w:rPr>
        <w:t>ginsel speelde een grote rol; oftewel</w:t>
      </w:r>
      <w:r w:rsidR="005016D6" w:rsidRPr="00922237">
        <w:rPr>
          <w:rFonts w:ascii="Verdana" w:hAnsi="Verdana"/>
        </w:rPr>
        <w:t xml:space="preserve"> de vraag of alle opsporingsmogelijkheden al waren uitgeput.</w:t>
      </w:r>
      <w:r w:rsidR="00CC548A" w:rsidRPr="00922237">
        <w:rPr>
          <w:rFonts w:ascii="Verdana" w:hAnsi="Verdana"/>
        </w:rPr>
        <w:t xml:space="preserve"> Wanneer er nog andere opsporingsmanieren mogelijk zijn, zal de rechter het verschonings</w:t>
      </w:r>
      <w:r w:rsidR="00922237">
        <w:rPr>
          <w:rFonts w:ascii="Verdana" w:hAnsi="Verdana"/>
        </w:rPr>
        <w:t>-</w:t>
      </w:r>
      <w:r w:rsidR="00CC548A" w:rsidRPr="00922237">
        <w:rPr>
          <w:rFonts w:ascii="Verdana" w:hAnsi="Verdana"/>
        </w:rPr>
        <w:t xml:space="preserve">recht van de beroepsbeoefenaar </w:t>
      </w:r>
      <w:r w:rsidR="00B62791" w:rsidRPr="00922237">
        <w:rPr>
          <w:rFonts w:ascii="Verdana" w:hAnsi="Verdana"/>
        </w:rPr>
        <w:t xml:space="preserve">hoogstwaarschijnlijk </w:t>
      </w:r>
      <w:r w:rsidR="00CC548A" w:rsidRPr="00922237">
        <w:rPr>
          <w:rFonts w:ascii="Verdana" w:hAnsi="Verdana"/>
        </w:rPr>
        <w:t>niet doorbreken en de zeer uitzonderlijke omstandigheden dus niet aannemen.</w:t>
      </w:r>
      <w:r w:rsidR="00B62791" w:rsidRPr="00922237">
        <w:rPr>
          <w:rFonts w:ascii="Verdana" w:hAnsi="Verdana"/>
        </w:rPr>
        <w:t xml:space="preserve"> Door het niet voldoen aan het subsidiariteit</w:t>
      </w:r>
      <w:r w:rsidR="00E53F0F">
        <w:rPr>
          <w:rFonts w:ascii="Verdana" w:hAnsi="Verdana"/>
        </w:rPr>
        <w:t xml:space="preserve">sbeginsel werd </w:t>
      </w:r>
      <w:r w:rsidR="00B62791" w:rsidRPr="00922237">
        <w:rPr>
          <w:rFonts w:ascii="Verdana" w:hAnsi="Verdana"/>
        </w:rPr>
        <w:t xml:space="preserve">bijvoorbeeld </w:t>
      </w:r>
      <w:r w:rsidR="00E53F0F">
        <w:rPr>
          <w:rFonts w:ascii="Verdana" w:hAnsi="Verdana"/>
        </w:rPr>
        <w:t xml:space="preserve">in </w:t>
      </w:r>
      <w:r w:rsidR="00B62791" w:rsidRPr="00922237">
        <w:rPr>
          <w:rFonts w:ascii="Verdana" w:hAnsi="Verdana"/>
        </w:rPr>
        <w:t>de</w:t>
      </w:r>
      <w:r w:rsidR="00AE3217">
        <w:rPr>
          <w:rFonts w:ascii="Verdana" w:hAnsi="Verdana"/>
        </w:rPr>
        <w:t> </w:t>
      </w:r>
      <w:r w:rsidR="005016D6" w:rsidRPr="00922237">
        <w:rPr>
          <w:rFonts w:ascii="Verdana" w:hAnsi="Verdana"/>
        </w:rPr>
        <w:t>Savanna-zaak</w:t>
      </w:r>
      <w:r w:rsidR="00C235B5" w:rsidRPr="00922237">
        <w:rPr>
          <w:rStyle w:val="Voetnootmarkering"/>
          <w:rFonts w:ascii="Verdana" w:hAnsi="Verdana"/>
        </w:rPr>
        <w:footnoteReference w:id="111"/>
      </w:r>
      <w:r w:rsidR="005016D6" w:rsidRPr="00922237">
        <w:rPr>
          <w:rFonts w:ascii="Verdana" w:hAnsi="Verdana"/>
        </w:rPr>
        <w:t xml:space="preserve"> en de LUMC-</w:t>
      </w:r>
      <w:r w:rsidR="005016D6" w:rsidRPr="00922237">
        <w:rPr>
          <w:rFonts w:ascii="Verdana" w:hAnsi="Verdana"/>
        </w:rPr>
        <w:lastRenderedPageBreak/>
        <w:t>zaak</w:t>
      </w:r>
      <w:r w:rsidR="00B345DF" w:rsidRPr="00922237">
        <w:rPr>
          <w:rStyle w:val="Voetnootmarkering"/>
          <w:rFonts w:ascii="Verdana" w:hAnsi="Verdana"/>
        </w:rPr>
        <w:footnoteReference w:id="112"/>
      </w:r>
      <w:r w:rsidR="00B62791" w:rsidRPr="00922237">
        <w:rPr>
          <w:rFonts w:ascii="Verdana" w:hAnsi="Verdana"/>
        </w:rPr>
        <w:t xml:space="preserve"> het beklag gegrond verklaard en daarmee de inbeslagname onrechtmatig</w:t>
      </w:r>
      <w:r w:rsidR="007A0A80">
        <w:rPr>
          <w:rFonts w:ascii="Verdana" w:hAnsi="Verdana"/>
        </w:rPr>
        <w:t xml:space="preserve"> beoordeeld</w:t>
      </w:r>
      <w:r w:rsidR="00B62791" w:rsidRPr="00922237">
        <w:rPr>
          <w:rFonts w:ascii="Verdana" w:hAnsi="Verdana"/>
        </w:rPr>
        <w:t xml:space="preserve">. </w:t>
      </w:r>
    </w:p>
    <w:p w:rsidR="007C1B3D" w:rsidRDefault="007C1B3D" w:rsidP="0092501F">
      <w:pPr>
        <w:spacing w:after="0" w:line="22" w:lineRule="atLeast"/>
        <w:jc w:val="both"/>
        <w:rPr>
          <w:rFonts w:ascii="Verdana" w:hAnsi="Verdana"/>
        </w:rPr>
      </w:pPr>
    </w:p>
    <w:p w:rsidR="007C1B3D" w:rsidRPr="00922237" w:rsidRDefault="007C1B3D" w:rsidP="0092501F">
      <w:pPr>
        <w:spacing w:after="0" w:line="22" w:lineRule="atLeast"/>
        <w:jc w:val="both"/>
        <w:rPr>
          <w:rFonts w:ascii="Verdana" w:hAnsi="Verdana"/>
        </w:rPr>
      </w:pPr>
    </w:p>
    <w:p w:rsidR="00226F1B" w:rsidRPr="00960FD3" w:rsidRDefault="00960FD3" w:rsidP="0092501F">
      <w:pPr>
        <w:pStyle w:val="Kop2"/>
        <w:spacing w:before="0" w:line="22" w:lineRule="atLeast"/>
        <w:rPr>
          <w:rFonts w:ascii="Verdana" w:hAnsi="Verdana"/>
        </w:rPr>
      </w:pPr>
      <w:bookmarkStart w:id="51" w:name="_Toc451895014"/>
      <w:r>
        <w:rPr>
          <w:rFonts w:ascii="Verdana" w:hAnsi="Verdana"/>
        </w:rPr>
        <w:t>5</w:t>
      </w:r>
      <w:r w:rsidR="00226F1B" w:rsidRPr="00960FD3">
        <w:rPr>
          <w:rFonts w:ascii="Verdana" w:hAnsi="Verdana"/>
        </w:rPr>
        <w:t>.</w:t>
      </w:r>
      <w:r w:rsidR="00F14594" w:rsidRPr="00960FD3">
        <w:rPr>
          <w:rFonts w:ascii="Verdana" w:hAnsi="Verdana"/>
        </w:rPr>
        <w:t>7</w:t>
      </w:r>
      <w:r w:rsidR="00226F1B" w:rsidRPr="00960FD3">
        <w:rPr>
          <w:rFonts w:ascii="Verdana" w:hAnsi="Verdana"/>
        </w:rPr>
        <w:t xml:space="preserve"> Het belang van de gevorderde gegevens</w:t>
      </w:r>
      <w:bookmarkEnd w:id="51"/>
    </w:p>
    <w:p w:rsidR="008531F0" w:rsidRPr="00922237" w:rsidRDefault="008531F0" w:rsidP="0092501F">
      <w:pPr>
        <w:spacing w:after="0" w:line="22" w:lineRule="atLeast"/>
        <w:jc w:val="both"/>
        <w:rPr>
          <w:rFonts w:ascii="Verdana" w:hAnsi="Verdana"/>
        </w:rPr>
      </w:pPr>
      <w:r w:rsidRPr="00922237">
        <w:rPr>
          <w:rFonts w:ascii="Verdana" w:hAnsi="Verdana"/>
        </w:rPr>
        <w:t>Het belang van de gevorderde ge</w:t>
      </w:r>
      <w:r w:rsidR="007A0A80">
        <w:rPr>
          <w:rFonts w:ascii="Verdana" w:hAnsi="Verdana"/>
        </w:rPr>
        <w:t>gevens is een lastige factor. Di</w:t>
      </w:r>
      <w:r w:rsidRPr="00922237">
        <w:rPr>
          <w:rFonts w:ascii="Verdana" w:hAnsi="Verdana"/>
        </w:rPr>
        <w:t>t komt omdat het Openbaar Ministerie en de rechtbank geen inzage hebben in de inhoud van de gevorderde gegevens aangezien deze in een verzegelde en gesloten envelop in de kluis van het Kabinet rechter-commissaris ligt. In h</w:t>
      </w:r>
      <w:r w:rsidR="007A0A80">
        <w:rPr>
          <w:rFonts w:ascii="Verdana" w:hAnsi="Verdana"/>
        </w:rPr>
        <w:t>et bestuursrecht bestaat</w:t>
      </w:r>
      <w:r w:rsidRPr="00922237">
        <w:rPr>
          <w:rFonts w:ascii="Verdana" w:hAnsi="Verdana"/>
        </w:rPr>
        <w:t xml:space="preserve"> artikel 8:29 Alg</w:t>
      </w:r>
      <w:r w:rsidR="00E53F0F">
        <w:rPr>
          <w:rFonts w:ascii="Verdana" w:hAnsi="Verdana"/>
        </w:rPr>
        <w:t>emene wet bestuursrecht, waarmee</w:t>
      </w:r>
      <w:r w:rsidRPr="00922237">
        <w:rPr>
          <w:rFonts w:ascii="Verdana" w:hAnsi="Verdana"/>
        </w:rPr>
        <w:t xml:space="preserve"> stukken ter inzage aan de recht</w:t>
      </w:r>
      <w:r w:rsidR="007A0A80">
        <w:rPr>
          <w:rFonts w:ascii="Verdana" w:hAnsi="Verdana"/>
        </w:rPr>
        <w:t>er kunnen worden aangeboden. Een dergelijk artikel ontbreekt</w:t>
      </w:r>
      <w:r w:rsidRPr="00922237">
        <w:rPr>
          <w:rFonts w:ascii="Verdana" w:hAnsi="Verdana"/>
        </w:rPr>
        <w:t xml:space="preserve"> helaas bi</w:t>
      </w:r>
      <w:r w:rsidR="007A0A80">
        <w:rPr>
          <w:rFonts w:ascii="Verdana" w:hAnsi="Verdana"/>
        </w:rPr>
        <w:t>nnen het strafrecht. Er moet derhalve</w:t>
      </w:r>
      <w:r w:rsidRPr="00922237">
        <w:rPr>
          <w:rFonts w:ascii="Verdana" w:hAnsi="Verdana"/>
        </w:rPr>
        <w:t xml:space="preserve"> getoetst worden of de stukken van cruciaa</w:t>
      </w:r>
      <w:r w:rsidR="0063687A">
        <w:rPr>
          <w:rFonts w:ascii="Verdana" w:hAnsi="Verdana"/>
        </w:rPr>
        <w:t>l belang zijn bij de waarheids</w:t>
      </w:r>
      <w:r w:rsidRPr="00922237">
        <w:rPr>
          <w:rFonts w:ascii="Verdana" w:hAnsi="Verdana"/>
        </w:rPr>
        <w:t>vinding, maar de stukken kunnen op geen enkele wijze inhoudelijk getoetst worden.</w:t>
      </w:r>
    </w:p>
    <w:p w:rsidR="008531F0" w:rsidRPr="00922237" w:rsidRDefault="008531F0" w:rsidP="0092501F">
      <w:pPr>
        <w:spacing w:after="0" w:line="22" w:lineRule="atLeast"/>
        <w:jc w:val="both"/>
        <w:rPr>
          <w:rFonts w:ascii="Verdana" w:hAnsi="Verdana"/>
        </w:rPr>
      </w:pPr>
    </w:p>
    <w:p w:rsidR="008531F0" w:rsidRPr="00922237" w:rsidRDefault="007A0A80" w:rsidP="0092501F">
      <w:pPr>
        <w:spacing w:after="0" w:line="22" w:lineRule="atLeast"/>
        <w:jc w:val="both"/>
        <w:rPr>
          <w:rFonts w:ascii="Verdana" w:hAnsi="Verdana"/>
        </w:rPr>
      </w:pPr>
      <w:r>
        <w:rPr>
          <w:rFonts w:ascii="Verdana" w:hAnsi="Verdana"/>
        </w:rPr>
        <w:t>T</w:t>
      </w:r>
      <w:r w:rsidR="008531F0" w:rsidRPr="00922237">
        <w:rPr>
          <w:rFonts w:ascii="Verdana" w:hAnsi="Verdana"/>
        </w:rPr>
        <w:t>evens</w:t>
      </w:r>
      <w:r>
        <w:rPr>
          <w:rFonts w:ascii="Verdana" w:hAnsi="Verdana"/>
        </w:rPr>
        <w:t xml:space="preserve"> ontbreekt</w:t>
      </w:r>
      <w:r w:rsidR="008531F0" w:rsidRPr="00922237">
        <w:rPr>
          <w:rFonts w:ascii="Verdana" w:hAnsi="Verdana"/>
        </w:rPr>
        <w:t xml:space="preserve"> een terugkoppeling. Doordat een terugkoppeling mist, blijft het onbekend wat de consequenties zijn van het gegrond dan wel ongegrond ver</w:t>
      </w:r>
      <w:r w:rsidR="004969E7">
        <w:rPr>
          <w:rFonts w:ascii="Verdana" w:hAnsi="Verdana"/>
        </w:rPr>
        <w:t>-</w:t>
      </w:r>
      <w:r w:rsidR="008531F0" w:rsidRPr="00922237">
        <w:rPr>
          <w:rFonts w:ascii="Verdana" w:hAnsi="Verdana"/>
        </w:rPr>
        <w:t>klaren van een beklagschrift. Deze terugkoppeling zou echter wel zeer belangrijk kunnen zijn voor toekoms</w:t>
      </w:r>
      <w:r w:rsidR="002E0B6C">
        <w:rPr>
          <w:rFonts w:ascii="Verdana" w:hAnsi="Verdana"/>
        </w:rPr>
        <w:t>tige zaken omdat zodoende bekend</w:t>
      </w:r>
      <w:r w:rsidR="008531F0" w:rsidRPr="00922237">
        <w:rPr>
          <w:rFonts w:ascii="Verdana" w:hAnsi="Verdana"/>
        </w:rPr>
        <w:t xml:space="preserve"> wordt wat het behouden of juist doorbreken van het verschoningsrecht voor consequenties heeft gehad in de strafzaak</w:t>
      </w:r>
      <w:r w:rsidR="008531F0" w:rsidRPr="00922237">
        <w:rPr>
          <w:rStyle w:val="Voetnootmarkering"/>
          <w:rFonts w:ascii="Verdana" w:hAnsi="Verdana"/>
        </w:rPr>
        <w:footnoteReference w:id="113"/>
      </w:r>
      <w:r w:rsidR="008531F0" w:rsidRPr="00922237">
        <w:rPr>
          <w:rFonts w:ascii="Verdana" w:hAnsi="Verdana"/>
        </w:rPr>
        <w:t xml:space="preserve">. </w:t>
      </w:r>
    </w:p>
    <w:p w:rsidR="008531F0" w:rsidRPr="0045654C" w:rsidRDefault="008531F0" w:rsidP="0092501F">
      <w:pPr>
        <w:spacing w:after="0" w:line="22" w:lineRule="atLeast"/>
        <w:rPr>
          <w:rFonts w:ascii="Verdana" w:hAnsi="Verdana"/>
        </w:rPr>
      </w:pPr>
    </w:p>
    <w:p w:rsidR="00960FD3" w:rsidRPr="0045654C" w:rsidRDefault="00960FD3" w:rsidP="0092501F">
      <w:pPr>
        <w:spacing w:after="0" w:line="22" w:lineRule="atLeast"/>
        <w:rPr>
          <w:rFonts w:ascii="Verdana" w:hAnsi="Verdana"/>
        </w:rPr>
      </w:pPr>
    </w:p>
    <w:p w:rsidR="003451AF" w:rsidRDefault="00960FD3" w:rsidP="0092501F">
      <w:pPr>
        <w:pStyle w:val="Kop2"/>
        <w:spacing w:before="0" w:line="22" w:lineRule="atLeast"/>
        <w:rPr>
          <w:rFonts w:ascii="Verdana" w:hAnsi="Verdana"/>
        </w:rPr>
      </w:pPr>
      <w:bookmarkStart w:id="52" w:name="_Toc451895015"/>
      <w:r>
        <w:rPr>
          <w:rFonts w:ascii="Verdana" w:hAnsi="Verdana"/>
        </w:rPr>
        <w:t>5</w:t>
      </w:r>
      <w:r w:rsidR="00F14594" w:rsidRPr="00960FD3">
        <w:rPr>
          <w:rFonts w:ascii="Verdana" w:hAnsi="Verdana"/>
        </w:rPr>
        <w:t>.8</w:t>
      </w:r>
      <w:r w:rsidR="00AE3217">
        <w:rPr>
          <w:rFonts w:ascii="Verdana" w:hAnsi="Verdana"/>
        </w:rPr>
        <w:t> </w:t>
      </w:r>
      <w:r w:rsidR="00DC127E">
        <w:rPr>
          <w:rFonts w:ascii="Verdana" w:hAnsi="Verdana"/>
        </w:rPr>
        <w:t>Samenvattend</w:t>
      </w:r>
      <w:bookmarkEnd w:id="52"/>
    </w:p>
    <w:p w:rsidR="00142ED9" w:rsidRPr="00922237" w:rsidRDefault="00142ED9" w:rsidP="0092501F">
      <w:pPr>
        <w:spacing w:after="0" w:line="22" w:lineRule="atLeast"/>
        <w:jc w:val="both"/>
        <w:rPr>
          <w:rFonts w:ascii="Verdana" w:hAnsi="Verdana"/>
        </w:rPr>
      </w:pPr>
      <w:r w:rsidRPr="00922237">
        <w:rPr>
          <w:rFonts w:ascii="Verdana" w:hAnsi="Verdana"/>
        </w:rPr>
        <w:t>Over de</w:t>
      </w:r>
      <w:r w:rsidR="00A943DD">
        <w:rPr>
          <w:rFonts w:ascii="Verdana" w:hAnsi="Verdana"/>
        </w:rPr>
        <w:t xml:space="preserve"> </w:t>
      </w:r>
      <w:r w:rsidR="007A0A80">
        <w:rPr>
          <w:rFonts w:ascii="Verdana" w:hAnsi="Verdana"/>
        </w:rPr>
        <w:t>factor</w:t>
      </w:r>
      <w:r w:rsidR="00A943DD">
        <w:rPr>
          <w:rFonts w:ascii="Verdana" w:hAnsi="Verdana"/>
        </w:rPr>
        <w:t xml:space="preserve"> </w:t>
      </w:r>
      <w:r w:rsidR="007A0A80">
        <w:rPr>
          <w:rFonts w:ascii="Verdana" w:hAnsi="Verdana"/>
        </w:rPr>
        <w:t>‘</w:t>
      </w:r>
      <w:r w:rsidR="00B14F9C" w:rsidRPr="00922237">
        <w:rPr>
          <w:rFonts w:ascii="Verdana" w:hAnsi="Verdana"/>
        </w:rPr>
        <w:t>aard, omvang en context van de gegevens</w:t>
      </w:r>
      <w:r w:rsidR="007A0A80">
        <w:rPr>
          <w:rFonts w:ascii="Verdana" w:hAnsi="Verdana"/>
        </w:rPr>
        <w:t>’</w:t>
      </w:r>
      <w:r w:rsidR="00B14F9C" w:rsidRPr="00922237">
        <w:rPr>
          <w:rFonts w:ascii="Verdana" w:hAnsi="Verdana"/>
        </w:rPr>
        <w:t xml:space="preserve"> is nog niet veel bekend. Deze factor wordt wel benoemd, maar de uiteindelijke invloed hiervan</w:t>
      </w:r>
      <w:r w:rsidR="007A0A80">
        <w:rPr>
          <w:rFonts w:ascii="Verdana" w:hAnsi="Verdana"/>
        </w:rPr>
        <w:t xml:space="preserve"> op de beslissing</w:t>
      </w:r>
      <w:r w:rsidR="00B14F9C" w:rsidRPr="00922237">
        <w:rPr>
          <w:rFonts w:ascii="Verdana" w:hAnsi="Verdana"/>
        </w:rPr>
        <w:t xml:space="preserve"> is onduidelijk. De factor ‘belang en ernst van de strafzaak’ lijkt steeds ruimer geïnterpreteerd te worden; zo zijn seksueel misbruik van een kind, verdenking van betrokkenheid bij het overlijden van een minderjarige en een verdenking of vermoeden van overlijden door een medische fout voldoende ernstig. </w:t>
      </w:r>
      <w:r w:rsidR="00A41C4F">
        <w:rPr>
          <w:rFonts w:ascii="Verdana" w:hAnsi="Verdana"/>
        </w:rPr>
        <w:t>Met betrekking tot</w:t>
      </w:r>
      <w:r w:rsidR="00EF61B4" w:rsidRPr="00922237">
        <w:rPr>
          <w:rFonts w:ascii="Verdana" w:hAnsi="Verdana"/>
        </w:rPr>
        <w:t xml:space="preserve"> de factor ‘toestemming van de belanghebbende’ heeft de Hoge Raad alleen de verschoningsgerech</w:t>
      </w:r>
      <w:r w:rsidR="00A41C4F">
        <w:rPr>
          <w:rFonts w:ascii="Verdana" w:hAnsi="Verdana"/>
        </w:rPr>
        <w:t xml:space="preserve">tigde beroepsbeoefenaar als belang-hebbende aangemerkt. </w:t>
      </w:r>
    </w:p>
    <w:p w:rsidR="00142ED9" w:rsidRPr="00922237" w:rsidRDefault="00142ED9" w:rsidP="0092501F">
      <w:pPr>
        <w:spacing w:after="0" w:line="22" w:lineRule="atLeast"/>
        <w:jc w:val="both"/>
        <w:rPr>
          <w:rFonts w:ascii="Verdana" w:hAnsi="Verdana"/>
        </w:rPr>
      </w:pPr>
    </w:p>
    <w:p w:rsidR="00142ED9" w:rsidRPr="00922237" w:rsidRDefault="00EF61B4" w:rsidP="0092501F">
      <w:pPr>
        <w:spacing w:after="0" w:line="22" w:lineRule="atLeast"/>
        <w:jc w:val="both"/>
        <w:rPr>
          <w:rFonts w:ascii="Verdana" w:hAnsi="Verdana"/>
        </w:rPr>
      </w:pPr>
      <w:r w:rsidRPr="00922237">
        <w:rPr>
          <w:rFonts w:ascii="Verdana" w:hAnsi="Verdana"/>
        </w:rPr>
        <w:t xml:space="preserve">Een enkele verdenking tegen een verschoningsgerechtigde beroepsbeoefenaar is onvoldoende, het zou dan moeten gaan om een zeer ernstig strafbaar feit. De stevigheid van de verdenking speelt hierbij geen rol. </w:t>
      </w:r>
      <w:r w:rsidR="00142ED9" w:rsidRPr="00922237">
        <w:rPr>
          <w:rFonts w:ascii="Verdana" w:hAnsi="Verdana"/>
        </w:rPr>
        <w:t>Ook in het geval dat de</w:t>
      </w:r>
      <w:r w:rsidRPr="00922237">
        <w:rPr>
          <w:rFonts w:ascii="Verdana" w:hAnsi="Verdana"/>
        </w:rPr>
        <w:t xml:space="preserve"> verschoningsgerechtigde beroepsbeoefenaar (nog) niet als verdachte</w:t>
      </w:r>
      <w:r w:rsidR="00142ED9" w:rsidRPr="00922237">
        <w:rPr>
          <w:rFonts w:ascii="Verdana" w:hAnsi="Verdana"/>
        </w:rPr>
        <w:t xml:space="preserve"> is</w:t>
      </w:r>
      <w:r w:rsidR="00A943DD">
        <w:rPr>
          <w:rFonts w:ascii="Verdana" w:hAnsi="Verdana"/>
        </w:rPr>
        <w:t xml:space="preserve"> </w:t>
      </w:r>
      <w:r w:rsidRPr="00922237">
        <w:rPr>
          <w:rFonts w:ascii="Verdana" w:hAnsi="Verdana"/>
        </w:rPr>
        <w:t>aan</w:t>
      </w:r>
      <w:r w:rsidR="00A943DD">
        <w:rPr>
          <w:rFonts w:ascii="Verdana" w:hAnsi="Verdana"/>
        </w:rPr>
        <w:t>-</w:t>
      </w:r>
      <w:r w:rsidRPr="00922237">
        <w:rPr>
          <w:rFonts w:ascii="Verdana" w:hAnsi="Verdana"/>
        </w:rPr>
        <w:t>gemerkt</w:t>
      </w:r>
      <w:r w:rsidR="00142ED9" w:rsidRPr="00922237">
        <w:rPr>
          <w:rFonts w:ascii="Verdana" w:hAnsi="Verdana"/>
        </w:rPr>
        <w:t>, kan er sprake zijn van</w:t>
      </w:r>
      <w:r w:rsidRPr="00922237">
        <w:rPr>
          <w:rFonts w:ascii="Verdana" w:hAnsi="Verdana"/>
        </w:rPr>
        <w:t xml:space="preserve"> zeer uitzonderlijke</w:t>
      </w:r>
      <w:r w:rsidR="002E0B6C">
        <w:rPr>
          <w:rFonts w:ascii="Verdana" w:hAnsi="Verdana"/>
        </w:rPr>
        <w:t xml:space="preserve"> omstandigheden</w:t>
      </w:r>
      <w:r w:rsidRPr="00922237">
        <w:rPr>
          <w:rFonts w:ascii="Verdana" w:hAnsi="Verdana"/>
        </w:rPr>
        <w:t>. Wanneer er een reëel risico is voor een ernstig (gewelds-)delict dat voorkomen kan worden, kan er sprake zijn van zeer uitzonderlijke omstandigheden.</w:t>
      </w:r>
    </w:p>
    <w:p w:rsidR="00142ED9" w:rsidRPr="00922237" w:rsidRDefault="00142ED9" w:rsidP="0092501F">
      <w:pPr>
        <w:spacing w:after="0" w:line="22" w:lineRule="atLeast"/>
        <w:jc w:val="both"/>
        <w:rPr>
          <w:rFonts w:ascii="Verdana" w:hAnsi="Verdana"/>
        </w:rPr>
      </w:pPr>
    </w:p>
    <w:p w:rsidR="00922237" w:rsidRDefault="00142ED9" w:rsidP="0092501F">
      <w:pPr>
        <w:spacing w:after="0" w:line="22" w:lineRule="atLeast"/>
        <w:jc w:val="both"/>
        <w:rPr>
          <w:rFonts w:ascii="Verdana" w:hAnsi="Verdana"/>
        </w:rPr>
      </w:pPr>
      <w:r w:rsidRPr="00922237">
        <w:rPr>
          <w:rFonts w:ascii="Verdana" w:hAnsi="Verdana"/>
        </w:rPr>
        <w:t>De proportionaliteit en de subsidiariteit spelen een grote rol. Wanneer nog niet alle opsporingsmogelijkheden zijn uitgeput, worden zeer uitzonderlijke omstan</w:t>
      </w:r>
      <w:r w:rsidR="00922237">
        <w:rPr>
          <w:rFonts w:ascii="Verdana" w:hAnsi="Verdana"/>
        </w:rPr>
        <w:t>-</w:t>
      </w:r>
      <w:r w:rsidRPr="00922237">
        <w:rPr>
          <w:rFonts w:ascii="Verdana" w:hAnsi="Verdana"/>
        </w:rPr>
        <w:t xml:space="preserve">digheden doorgaans niet aangenomen. </w:t>
      </w:r>
      <w:r w:rsidR="007C1B3D">
        <w:rPr>
          <w:rFonts w:ascii="Verdana" w:hAnsi="Verdana"/>
        </w:rPr>
        <w:t>Ten slotte is h</w:t>
      </w:r>
      <w:r w:rsidRPr="00922237">
        <w:rPr>
          <w:rFonts w:ascii="Verdana" w:hAnsi="Verdana"/>
        </w:rPr>
        <w:t>et belan</w:t>
      </w:r>
      <w:r w:rsidR="007C1B3D">
        <w:rPr>
          <w:rFonts w:ascii="Verdana" w:hAnsi="Verdana"/>
        </w:rPr>
        <w:t xml:space="preserve">g van de gevorderde gegevens </w:t>
      </w:r>
      <w:r w:rsidRPr="00922237">
        <w:rPr>
          <w:rFonts w:ascii="Verdana" w:hAnsi="Verdana"/>
        </w:rPr>
        <w:t>lastig in te schatten omdat het O</w:t>
      </w:r>
      <w:r w:rsidR="001B7514">
        <w:rPr>
          <w:rFonts w:ascii="Verdana" w:hAnsi="Verdana"/>
        </w:rPr>
        <w:t xml:space="preserve">penbaar </w:t>
      </w:r>
      <w:r w:rsidRPr="00922237">
        <w:rPr>
          <w:rFonts w:ascii="Verdana" w:hAnsi="Verdana"/>
        </w:rPr>
        <w:t>M</w:t>
      </w:r>
      <w:r w:rsidR="001B7514">
        <w:rPr>
          <w:rFonts w:ascii="Verdana" w:hAnsi="Verdana"/>
        </w:rPr>
        <w:t>inisterie</w:t>
      </w:r>
      <w:r w:rsidRPr="00922237">
        <w:rPr>
          <w:rFonts w:ascii="Verdana" w:hAnsi="Verdana"/>
        </w:rPr>
        <w:t xml:space="preserve"> en de rechtbank geen inzage hebben in de inhoud van de gevorderde gegevens. </w:t>
      </w:r>
      <w:r w:rsidR="00922237">
        <w:rPr>
          <w:rFonts w:ascii="Verdana" w:hAnsi="Verdana"/>
        </w:rPr>
        <w:br w:type="page"/>
      </w:r>
    </w:p>
    <w:p w:rsidR="004576AD" w:rsidRPr="00071282" w:rsidRDefault="00960FD3" w:rsidP="0092501F">
      <w:pPr>
        <w:pStyle w:val="Kop1"/>
        <w:spacing w:before="0" w:line="22" w:lineRule="atLeast"/>
        <w:rPr>
          <w:rFonts w:ascii="Verdana" w:hAnsi="Verdana"/>
          <w:b/>
          <w:sz w:val="36"/>
        </w:rPr>
      </w:pPr>
      <w:bookmarkStart w:id="53" w:name="_Toc451895016"/>
      <w:r>
        <w:rPr>
          <w:rFonts w:ascii="Verdana" w:hAnsi="Verdana"/>
          <w:b/>
          <w:sz w:val="36"/>
        </w:rPr>
        <w:lastRenderedPageBreak/>
        <w:t>6</w:t>
      </w:r>
      <w:r w:rsidR="00AD274F" w:rsidRPr="00AD274F">
        <w:rPr>
          <w:rFonts w:ascii="Verdana" w:hAnsi="Verdana"/>
          <w:b/>
          <w:sz w:val="36"/>
        </w:rPr>
        <w:t xml:space="preserve">. </w:t>
      </w:r>
      <w:r w:rsidR="001B3E03">
        <w:rPr>
          <w:rFonts w:ascii="Verdana" w:hAnsi="Verdana"/>
          <w:b/>
          <w:sz w:val="36"/>
        </w:rPr>
        <w:t>Resultaten</w:t>
      </w:r>
      <w:r w:rsidR="008C0956">
        <w:rPr>
          <w:rFonts w:ascii="Verdana" w:hAnsi="Verdana"/>
          <w:b/>
          <w:sz w:val="36"/>
        </w:rPr>
        <w:t xml:space="preserve"> uit </w:t>
      </w:r>
      <w:r w:rsidR="00FC5599">
        <w:rPr>
          <w:rFonts w:ascii="Verdana" w:hAnsi="Verdana"/>
          <w:b/>
          <w:sz w:val="36"/>
        </w:rPr>
        <w:t xml:space="preserve">de </w:t>
      </w:r>
      <w:r w:rsidR="008C0956">
        <w:rPr>
          <w:rFonts w:ascii="Verdana" w:hAnsi="Verdana"/>
          <w:b/>
          <w:sz w:val="36"/>
        </w:rPr>
        <w:t>analyse</w:t>
      </w:r>
      <w:bookmarkEnd w:id="53"/>
    </w:p>
    <w:p w:rsidR="00C673AE" w:rsidRPr="00C673AE" w:rsidRDefault="00C673AE" w:rsidP="0092501F">
      <w:pPr>
        <w:pStyle w:val="Kop2"/>
        <w:spacing w:before="0" w:line="22" w:lineRule="atLeast"/>
        <w:rPr>
          <w:rFonts w:ascii="Verdana" w:hAnsi="Verdana"/>
        </w:rPr>
      </w:pPr>
      <w:bookmarkStart w:id="54" w:name="_Toc451895017"/>
      <w:r w:rsidRPr="00C673AE">
        <w:rPr>
          <w:rFonts w:ascii="Verdana" w:hAnsi="Verdana"/>
        </w:rPr>
        <w:t>6.1 Inleiding</w:t>
      </w:r>
      <w:bookmarkEnd w:id="54"/>
    </w:p>
    <w:p w:rsidR="00C662C2" w:rsidRDefault="00930CAF" w:rsidP="0092501F">
      <w:pPr>
        <w:spacing w:after="0" w:line="22" w:lineRule="atLeast"/>
        <w:jc w:val="both"/>
        <w:rPr>
          <w:rFonts w:ascii="Verdana" w:hAnsi="Verdana"/>
        </w:rPr>
      </w:pPr>
      <w:r w:rsidRPr="003A751E">
        <w:rPr>
          <w:rFonts w:ascii="Verdana" w:hAnsi="Verdana"/>
        </w:rPr>
        <w:t xml:space="preserve">Nu wat meer bekend is over de invulling van de zes factoren van de Hoge Raad, </w:t>
      </w:r>
      <w:r w:rsidR="00C662C2">
        <w:rPr>
          <w:rFonts w:ascii="Verdana" w:hAnsi="Verdana"/>
        </w:rPr>
        <w:t>kan gekeken worden hoe de toetsing van de rechtmatigheid van de inbeslag</w:t>
      </w:r>
      <w:r w:rsidR="00A77176">
        <w:rPr>
          <w:rFonts w:ascii="Verdana" w:hAnsi="Verdana"/>
        </w:rPr>
        <w:t>-</w:t>
      </w:r>
      <w:r w:rsidR="00C662C2">
        <w:rPr>
          <w:rFonts w:ascii="Verdana" w:hAnsi="Verdana"/>
        </w:rPr>
        <w:t xml:space="preserve">name in de praktijk uitwerkt. Dit kan worden bekeken aan de hand van een analyse van uitspraken van eerstelijns rechters. Deze analyse is als bijlage (bijlage 1) toegevoegd. In totaal zijn 34 uitspraken uit de periode januari 2010 tot en met april 2016 meegenomen in de analyse. Hieronder zal ik de resultaten uit de analyse weergeven. </w:t>
      </w:r>
    </w:p>
    <w:p w:rsidR="00C673AE" w:rsidRPr="0045654C" w:rsidRDefault="00C673AE" w:rsidP="0092501F">
      <w:pPr>
        <w:spacing w:after="0" w:line="22" w:lineRule="atLeast"/>
        <w:rPr>
          <w:rFonts w:ascii="Verdana" w:hAnsi="Verdana"/>
          <w:szCs w:val="24"/>
        </w:rPr>
      </w:pPr>
    </w:p>
    <w:p w:rsidR="00C673AE" w:rsidRPr="0045654C" w:rsidRDefault="00C673AE" w:rsidP="0092501F">
      <w:pPr>
        <w:spacing w:after="0" w:line="22" w:lineRule="atLeast"/>
        <w:rPr>
          <w:rFonts w:ascii="Verdana" w:hAnsi="Verdana"/>
          <w:szCs w:val="24"/>
        </w:rPr>
      </w:pPr>
    </w:p>
    <w:p w:rsidR="00E16D80" w:rsidRPr="00E16D80" w:rsidRDefault="00960FD3" w:rsidP="0092501F">
      <w:pPr>
        <w:pStyle w:val="Kop2"/>
        <w:spacing w:before="0" w:line="22" w:lineRule="atLeast"/>
        <w:rPr>
          <w:rFonts w:ascii="Verdana" w:hAnsi="Verdana"/>
        </w:rPr>
      </w:pPr>
      <w:bookmarkStart w:id="55" w:name="_Toc451895018"/>
      <w:r>
        <w:rPr>
          <w:rFonts w:ascii="Verdana" w:hAnsi="Verdana"/>
        </w:rPr>
        <w:t>6</w:t>
      </w:r>
      <w:r w:rsidR="00C673AE">
        <w:rPr>
          <w:rFonts w:ascii="Verdana" w:hAnsi="Verdana"/>
        </w:rPr>
        <w:t>.2</w:t>
      </w:r>
      <w:r w:rsidR="00E16D80" w:rsidRPr="00E16D80">
        <w:rPr>
          <w:rFonts w:ascii="Verdana" w:hAnsi="Verdana"/>
        </w:rPr>
        <w:t xml:space="preserve"> De aard, omvang en context van de gevraagde gegevens</w:t>
      </w:r>
      <w:bookmarkEnd w:id="55"/>
    </w:p>
    <w:p w:rsidR="007F063C" w:rsidRPr="00360DE1" w:rsidRDefault="007F063C" w:rsidP="0092501F">
      <w:pPr>
        <w:spacing w:after="0" w:line="22" w:lineRule="atLeast"/>
        <w:jc w:val="both"/>
        <w:rPr>
          <w:rFonts w:ascii="Verdana" w:hAnsi="Verdana"/>
        </w:rPr>
      </w:pPr>
      <w:r w:rsidRPr="000B0A6A">
        <w:rPr>
          <w:rFonts w:ascii="Verdana" w:hAnsi="Verdana"/>
        </w:rPr>
        <w:t xml:space="preserve">De </w:t>
      </w:r>
      <w:r w:rsidRPr="00360DE1">
        <w:rPr>
          <w:rFonts w:ascii="Verdana" w:hAnsi="Verdana"/>
        </w:rPr>
        <w:t>factor ‘aard, omvang en context van de gevraagde gegevens’ werd bij alle 34 uitspraken benoemd. In een aantal uitspraken bleef dit en</w:t>
      </w:r>
      <w:r w:rsidR="00D65307" w:rsidRPr="00360DE1">
        <w:rPr>
          <w:rFonts w:ascii="Verdana" w:hAnsi="Verdana"/>
        </w:rPr>
        <w:t>kel bij de vermelding van de in beslag</w:t>
      </w:r>
      <w:r w:rsidRPr="00360DE1">
        <w:rPr>
          <w:rFonts w:ascii="Verdana" w:hAnsi="Verdana"/>
        </w:rPr>
        <w:t>genomen gegevens. Er waren echter ook uitspraken waarin er meer uitweiding</w:t>
      </w:r>
      <w:r w:rsidR="00D65307" w:rsidRPr="00360DE1">
        <w:rPr>
          <w:rFonts w:ascii="Verdana" w:hAnsi="Verdana"/>
        </w:rPr>
        <w:t xml:space="preserve"> werd gegeven over de in beslag</w:t>
      </w:r>
      <w:r w:rsidRPr="00360DE1">
        <w:rPr>
          <w:rFonts w:ascii="Verdana" w:hAnsi="Verdana"/>
        </w:rPr>
        <w:t>genomen gegevens, deze zal ik hieronder bespreken.</w:t>
      </w:r>
    </w:p>
    <w:p w:rsidR="007F063C" w:rsidRPr="00360DE1" w:rsidRDefault="007F063C" w:rsidP="0092501F">
      <w:pPr>
        <w:spacing w:after="0" w:line="22" w:lineRule="atLeast"/>
        <w:jc w:val="both"/>
        <w:rPr>
          <w:rFonts w:ascii="Verdana" w:hAnsi="Verdana"/>
        </w:rPr>
      </w:pPr>
    </w:p>
    <w:p w:rsidR="001717BD" w:rsidRPr="000B0A6A" w:rsidRDefault="007F063C" w:rsidP="0092501F">
      <w:pPr>
        <w:spacing w:after="0" w:line="22" w:lineRule="atLeast"/>
        <w:jc w:val="both"/>
        <w:rPr>
          <w:rFonts w:ascii="Verdana" w:hAnsi="Verdana"/>
        </w:rPr>
      </w:pPr>
      <w:r w:rsidRPr="00360DE1">
        <w:rPr>
          <w:rFonts w:ascii="Verdana" w:hAnsi="Verdana"/>
        </w:rPr>
        <w:t>De aard en de context van de gegevens werd in een groot aantal rechtszaken nader toegelicht</w:t>
      </w:r>
      <w:r w:rsidRPr="00360DE1">
        <w:rPr>
          <w:rStyle w:val="Voetnootmarkering"/>
          <w:rFonts w:ascii="Verdana" w:hAnsi="Verdana"/>
        </w:rPr>
        <w:footnoteReference w:id="114"/>
      </w:r>
      <w:r w:rsidRPr="00360DE1">
        <w:rPr>
          <w:rFonts w:ascii="Verdana" w:hAnsi="Verdana"/>
        </w:rPr>
        <w:t>. Wanneer deze nader werden toegelicht, zag de toelichting voornamelijk op het</w:t>
      </w:r>
      <w:r w:rsidRPr="000B0A6A">
        <w:rPr>
          <w:rFonts w:ascii="Verdana" w:hAnsi="Verdana"/>
        </w:rPr>
        <w:t xml:space="preserve"> categoriseren van de gegevens. De gegevens werden in vier categorieën geplaatst: </w:t>
      </w:r>
      <w:r w:rsidR="00101C32" w:rsidRPr="000B0A6A">
        <w:rPr>
          <w:rFonts w:ascii="Verdana" w:hAnsi="Verdana"/>
        </w:rPr>
        <w:t xml:space="preserve">1) </w:t>
      </w:r>
      <w:r w:rsidRPr="000B0A6A">
        <w:rPr>
          <w:rFonts w:ascii="Verdana" w:hAnsi="Verdana"/>
        </w:rPr>
        <w:t xml:space="preserve">verschoningsgerechtigde gegevens, </w:t>
      </w:r>
      <w:r w:rsidR="00101C32" w:rsidRPr="000B0A6A">
        <w:rPr>
          <w:rFonts w:ascii="Verdana" w:hAnsi="Verdana"/>
        </w:rPr>
        <w:t>2) niet verschonings</w:t>
      </w:r>
      <w:r w:rsidRPr="000B0A6A">
        <w:rPr>
          <w:rFonts w:ascii="Verdana" w:hAnsi="Verdana"/>
        </w:rPr>
        <w:t xml:space="preserve">gerechtigde gegevens, </w:t>
      </w:r>
      <w:r w:rsidR="00101C32" w:rsidRPr="000B0A6A">
        <w:rPr>
          <w:rFonts w:ascii="Verdana" w:hAnsi="Verdana"/>
        </w:rPr>
        <w:t xml:space="preserve">3) </w:t>
      </w:r>
      <w:r w:rsidRPr="000B0A6A">
        <w:rPr>
          <w:rFonts w:ascii="Verdana" w:hAnsi="Verdana"/>
        </w:rPr>
        <w:t>co</w:t>
      </w:r>
      <w:r w:rsidR="005029D8" w:rsidRPr="000B0A6A">
        <w:rPr>
          <w:rFonts w:ascii="Verdana" w:hAnsi="Verdana"/>
        </w:rPr>
        <w:t>rpora- et instrumenta delicti</w:t>
      </w:r>
      <w:r w:rsidR="00101C32" w:rsidRPr="000B0A6A">
        <w:rPr>
          <w:rFonts w:ascii="Verdana" w:hAnsi="Verdana"/>
        </w:rPr>
        <w:t xml:space="preserve"> en 4)</w:t>
      </w:r>
      <w:r w:rsidRPr="000B0A6A">
        <w:rPr>
          <w:rFonts w:ascii="Verdana" w:hAnsi="Verdana"/>
        </w:rPr>
        <w:t xml:space="preserve"> gee</w:t>
      </w:r>
      <w:r w:rsidR="0063687A">
        <w:rPr>
          <w:rFonts w:ascii="Verdana" w:hAnsi="Verdana"/>
        </w:rPr>
        <w:t>n corpora- et instrumenta delicti</w:t>
      </w:r>
      <w:r w:rsidRPr="000B0A6A">
        <w:rPr>
          <w:rFonts w:ascii="Verdana" w:hAnsi="Verdana"/>
        </w:rPr>
        <w:t xml:space="preserve">. </w:t>
      </w:r>
      <w:r w:rsidR="001717BD" w:rsidRPr="000B0A6A">
        <w:rPr>
          <w:rFonts w:ascii="Verdana" w:hAnsi="Verdana"/>
        </w:rPr>
        <w:t xml:space="preserve">Niet in alle uitspraken werd even duidelijk waarom de rechter de gegevens in een bepaalde categorie had geplaatst. </w:t>
      </w:r>
      <w:r w:rsidR="00E64748" w:rsidRPr="000B0A6A">
        <w:rPr>
          <w:rFonts w:ascii="Verdana" w:hAnsi="Verdana"/>
        </w:rPr>
        <w:t xml:space="preserve">In een </w:t>
      </w:r>
      <w:r w:rsidR="00846400" w:rsidRPr="000B0A6A">
        <w:rPr>
          <w:rFonts w:ascii="Verdana" w:hAnsi="Verdana"/>
        </w:rPr>
        <w:t xml:space="preserve">aantal uitspraken werd er </w:t>
      </w:r>
      <w:r w:rsidR="00A370A3" w:rsidRPr="000B0A6A">
        <w:rPr>
          <w:rFonts w:ascii="Verdana" w:hAnsi="Verdana"/>
        </w:rPr>
        <w:t xml:space="preserve">echter </w:t>
      </w:r>
      <w:r w:rsidR="00E64748" w:rsidRPr="000B0A6A">
        <w:rPr>
          <w:rFonts w:ascii="Verdana" w:hAnsi="Verdana"/>
        </w:rPr>
        <w:t xml:space="preserve">wel </w:t>
      </w:r>
      <w:r w:rsidR="00846400" w:rsidRPr="000B0A6A">
        <w:rPr>
          <w:rFonts w:ascii="Verdana" w:hAnsi="Verdana"/>
        </w:rPr>
        <w:t xml:space="preserve">gemotiveerd toegelicht waarom de gegevens in één van de categorieën </w:t>
      </w:r>
      <w:r w:rsidR="00A370A3" w:rsidRPr="000B0A6A">
        <w:rPr>
          <w:rFonts w:ascii="Verdana" w:hAnsi="Verdana"/>
        </w:rPr>
        <w:t>werd</w:t>
      </w:r>
      <w:r w:rsidR="00846400" w:rsidRPr="000B0A6A">
        <w:rPr>
          <w:rFonts w:ascii="Verdana" w:hAnsi="Verdana"/>
        </w:rPr>
        <w:t xml:space="preserve"> geplaats</w:t>
      </w:r>
      <w:r w:rsidR="00261F4D">
        <w:rPr>
          <w:rFonts w:ascii="Verdana" w:hAnsi="Verdana"/>
        </w:rPr>
        <w:t>t</w:t>
      </w:r>
      <w:r w:rsidR="00B50AF5" w:rsidRPr="000B0A6A">
        <w:rPr>
          <w:rStyle w:val="Voetnootmarkering"/>
          <w:rFonts w:ascii="Verdana" w:hAnsi="Verdana"/>
        </w:rPr>
        <w:footnoteReference w:id="115"/>
      </w:r>
      <w:r w:rsidR="00846400" w:rsidRPr="000B0A6A">
        <w:rPr>
          <w:rFonts w:ascii="Verdana" w:hAnsi="Verdana"/>
        </w:rPr>
        <w:t xml:space="preserve">. </w:t>
      </w:r>
    </w:p>
    <w:p w:rsidR="005029D8" w:rsidRPr="000B0A6A" w:rsidRDefault="005029D8" w:rsidP="0092501F">
      <w:pPr>
        <w:spacing w:after="0" w:line="22" w:lineRule="atLeast"/>
        <w:jc w:val="both"/>
        <w:rPr>
          <w:rFonts w:ascii="Verdana" w:hAnsi="Verdana"/>
        </w:rPr>
      </w:pPr>
    </w:p>
    <w:p w:rsidR="005029D8" w:rsidRPr="000B0A6A" w:rsidRDefault="005029D8" w:rsidP="0092501F">
      <w:pPr>
        <w:spacing w:after="0" w:line="22" w:lineRule="atLeast"/>
        <w:jc w:val="both"/>
        <w:rPr>
          <w:rFonts w:ascii="Verdana" w:hAnsi="Verdana"/>
        </w:rPr>
      </w:pPr>
      <w:r w:rsidRPr="000B0A6A">
        <w:rPr>
          <w:rFonts w:ascii="Verdana" w:hAnsi="Verdana"/>
        </w:rPr>
        <w:t xml:space="preserve">Door te beoordelen om wat voor soort gegevens het gaat, </w:t>
      </w:r>
      <w:r w:rsidR="00AC7CC5">
        <w:rPr>
          <w:rFonts w:ascii="Verdana" w:hAnsi="Verdana"/>
        </w:rPr>
        <w:t>kan worden be</w:t>
      </w:r>
      <w:r w:rsidR="00D65307">
        <w:rPr>
          <w:rFonts w:ascii="Verdana" w:hAnsi="Verdana"/>
        </w:rPr>
        <w:t>paald of er überhaupt wel een verschoningsrecht doorbroken moet worden bij een inbeslagname.</w:t>
      </w:r>
      <w:r w:rsidR="00AC7CC5">
        <w:rPr>
          <w:rFonts w:ascii="Verdana" w:hAnsi="Verdana"/>
        </w:rPr>
        <w:t xml:space="preserve"> G</w:t>
      </w:r>
      <w:r w:rsidRPr="000B0A6A">
        <w:rPr>
          <w:rFonts w:ascii="Verdana" w:hAnsi="Verdana"/>
        </w:rPr>
        <w:t>egevens die aan te merken zijn als corpora- et instrumenta delicti of gegevens die niet onder het verschoningsrecht vallen</w:t>
      </w:r>
      <w:r w:rsidR="00380C58">
        <w:rPr>
          <w:rFonts w:ascii="Verdana" w:hAnsi="Verdana"/>
        </w:rPr>
        <w:t>,</w:t>
      </w:r>
      <w:r w:rsidR="00D65307">
        <w:rPr>
          <w:rFonts w:ascii="Verdana" w:hAnsi="Verdana"/>
        </w:rPr>
        <w:t xml:space="preserve"> </w:t>
      </w:r>
      <w:r w:rsidR="00AC7CC5">
        <w:rPr>
          <w:rFonts w:ascii="Verdana" w:hAnsi="Verdana"/>
        </w:rPr>
        <w:t>zijn nam</w:t>
      </w:r>
      <w:r w:rsidR="00D65307">
        <w:rPr>
          <w:rFonts w:ascii="Verdana" w:hAnsi="Verdana"/>
        </w:rPr>
        <w:t xml:space="preserve">elijk geen </w:t>
      </w:r>
      <w:r w:rsidR="00E126AC">
        <w:rPr>
          <w:rFonts w:ascii="Verdana" w:hAnsi="Verdana"/>
        </w:rPr>
        <w:t>gegevens die onder het verschoningsrecht vallen</w:t>
      </w:r>
      <w:r w:rsidR="00AC7CC5">
        <w:rPr>
          <w:rFonts w:ascii="Verdana" w:hAnsi="Verdana"/>
        </w:rPr>
        <w:t xml:space="preserve"> en de inbeslagname </w:t>
      </w:r>
      <w:r w:rsidR="00380C58">
        <w:rPr>
          <w:rFonts w:ascii="Verdana" w:hAnsi="Verdana"/>
        </w:rPr>
        <w:t xml:space="preserve">daarvan </w:t>
      </w:r>
      <w:r w:rsidR="00AC7CC5">
        <w:rPr>
          <w:rFonts w:ascii="Verdana" w:hAnsi="Verdana"/>
        </w:rPr>
        <w:t>zal dan ook rechtmatig worden beoordeeld</w:t>
      </w:r>
      <w:r w:rsidRPr="000B0A6A">
        <w:rPr>
          <w:rStyle w:val="Voetnootmarkering"/>
          <w:rFonts w:ascii="Verdana" w:hAnsi="Verdana"/>
        </w:rPr>
        <w:footnoteReference w:id="116"/>
      </w:r>
      <w:r w:rsidRPr="000B0A6A">
        <w:rPr>
          <w:rFonts w:ascii="Verdana" w:hAnsi="Verdana"/>
        </w:rPr>
        <w:t xml:space="preserve">. </w:t>
      </w:r>
      <w:r w:rsidR="008547BA" w:rsidRPr="000B0A6A">
        <w:rPr>
          <w:rFonts w:ascii="Verdana" w:hAnsi="Verdana"/>
        </w:rPr>
        <w:t xml:space="preserve">Voor gegevens die </w:t>
      </w:r>
      <w:r w:rsidR="007F60D2">
        <w:rPr>
          <w:rFonts w:ascii="Verdana" w:hAnsi="Verdana"/>
        </w:rPr>
        <w:t xml:space="preserve">wel </w:t>
      </w:r>
      <w:r w:rsidR="008547BA" w:rsidRPr="000B0A6A">
        <w:rPr>
          <w:rFonts w:ascii="Verdana" w:hAnsi="Verdana"/>
        </w:rPr>
        <w:t>onder het verschoningsrecht v</w:t>
      </w:r>
      <w:r w:rsidR="00A943DD">
        <w:rPr>
          <w:rFonts w:ascii="Verdana" w:hAnsi="Verdana"/>
        </w:rPr>
        <w:t>allen en geen corpora- et instru</w:t>
      </w:r>
      <w:r w:rsidR="008547BA" w:rsidRPr="000B0A6A">
        <w:rPr>
          <w:rFonts w:ascii="Verdana" w:hAnsi="Verdana"/>
        </w:rPr>
        <w:t>menta delicti zijn,</w:t>
      </w:r>
      <w:r w:rsidR="007F60D2">
        <w:rPr>
          <w:rFonts w:ascii="Verdana" w:hAnsi="Verdana"/>
        </w:rPr>
        <w:t xml:space="preserve"> </w:t>
      </w:r>
      <w:r w:rsidR="007F60D2">
        <w:rPr>
          <w:rFonts w:ascii="Verdana" w:hAnsi="Verdana"/>
        </w:rPr>
        <w:lastRenderedPageBreak/>
        <w:t>is dit minder zwart-</w:t>
      </w:r>
      <w:r w:rsidR="008547BA" w:rsidRPr="000B0A6A">
        <w:rPr>
          <w:rFonts w:ascii="Verdana" w:hAnsi="Verdana"/>
        </w:rPr>
        <w:t xml:space="preserve">wit te stellen. Bij dit soort gegevens moet namelijk gekeken worden of er sprake is van zeer uitzonderlijke omstandigheden waaronder het verschoningsrecht doorbroken mag worden en dit wordt beoordeeld aan de hand van de overige factoren. </w:t>
      </w:r>
    </w:p>
    <w:p w:rsidR="001671C9" w:rsidRPr="000B0A6A" w:rsidRDefault="001671C9" w:rsidP="0092501F">
      <w:pPr>
        <w:spacing w:after="0" w:line="22" w:lineRule="atLeast"/>
        <w:jc w:val="both"/>
        <w:rPr>
          <w:rFonts w:ascii="Verdana" w:hAnsi="Verdana"/>
        </w:rPr>
      </w:pPr>
    </w:p>
    <w:p w:rsidR="00971680" w:rsidRPr="00C662C2" w:rsidRDefault="008A3E19" w:rsidP="0092501F">
      <w:pPr>
        <w:spacing w:after="0" w:line="22" w:lineRule="atLeast"/>
        <w:jc w:val="both"/>
        <w:rPr>
          <w:rFonts w:ascii="Verdana" w:hAnsi="Verdana"/>
        </w:rPr>
      </w:pPr>
      <w:r w:rsidRPr="000B0A6A">
        <w:rPr>
          <w:rFonts w:ascii="Verdana" w:hAnsi="Verdana"/>
        </w:rPr>
        <w:t>Ook d</w:t>
      </w:r>
      <w:r w:rsidR="00971680" w:rsidRPr="000B0A6A">
        <w:rPr>
          <w:rFonts w:ascii="Verdana" w:hAnsi="Verdana"/>
        </w:rPr>
        <w:t>e omvang van de gegevens werd in een aantal van de geanalyseerde uit</w:t>
      </w:r>
      <w:r w:rsidRPr="000B0A6A">
        <w:rPr>
          <w:rFonts w:ascii="Verdana" w:hAnsi="Verdana"/>
        </w:rPr>
        <w:t>-</w:t>
      </w:r>
      <w:r w:rsidR="00971680" w:rsidRPr="000B0A6A">
        <w:rPr>
          <w:rFonts w:ascii="Verdana" w:hAnsi="Verdana"/>
        </w:rPr>
        <w:t>spraken benoemd</w:t>
      </w:r>
      <w:r w:rsidR="00971680" w:rsidRPr="000B0A6A">
        <w:rPr>
          <w:rStyle w:val="Voetnootmarkering"/>
          <w:rFonts w:ascii="Verdana" w:hAnsi="Verdana"/>
        </w:rPr>
        <w:footnoteReference w:id="117"/>
      </w:r>
      <w:r w:rsidR="00971680" w:rsidRPr="000B0A6A">
        <w:rPr>
          <w:rFonts w:ascii="Verdana" w:hAnsi="Verdana"/>
        </w:rPr>
        <w:t>. In de overige uitspraken werd wel in algemene bewoording vermeld wat voor gegevens er in beslag waren genomen, maar niet de hoeveel</w:t>
      </w:r>
      <w:r w:rsidR="007A2F05" w:rsidRPr="000B0A6A">
        <w:rPr>
          <w:rFonts w:ascii="Verdana" w:hAnsi="Verdana"/>
        </w:rPr>
        <w:t>-</w:t>
      </w:r>
      <w:r w:rsidR="001671C9" w:rsidRPr="000B0A6A">
        <w:rPr>
          <w:rFonts w:ascii="Verdana" w:hAnsi="Verdana"/>
        </w:rPr>
        <w:t xml:space="preserve">heden daarvan. De invloed van de omvang van de gegevens wordt besproken bij de proportionaliteit. Bij de proportionaliteit wordt </w:t>
      </w:r>
      <w:r w:rsidR="00261F4D">
        <w:rPr>
          <w:rFonts w:ascii="Verdana" w:hAnsi="Verdana"/>
        </w:rPr>
        <w:t>namelijk gekeken of er sprake wa</w:t>
      </w:r>
      <w:r w:rsidR="001671C9" w:rsidRPr="000B0A6A">
        <w:rPr>
          <w:rFonts w:ascii="Verdana" w:hAnsi="Verdana"/>
        </w:rPr>
        <w:t xml:space="preserve">s van een al dan niet te ruime </w:t>
      </w:r>
      <w:r w:rsidR="001671C9" w:rsidRPr="00C662C2">
        <w:rPr>
          <w:rFonts w:ascii="Verdana" w:hAnsi="Verdana"/>
        </w:rPr>
        <w:t>vordering.</w:t>
      </w:r>
      <w:r w:rsidR="007F60D2" w:rsidRPr="00C662C2">
        <w:rPr>
          <w:rFonts w:ascii="Verdana" w:hAnsi="Verdana"/>
        </w:rPr>
        <w:t> </w:t>
      </w:r>
      <w:r w:rsidR="00D00E08" w:rsidRPr="00C662C2">
        <w:rPr>
          <w:rFonts w:ascii="Verdana" w:hAnsi="Verdana"/>
        </w:rPr>
        <w:t>De factor ‘aard, omvang en context van de gevraagde gegevens’ heeft dus ten aanzien van de omvang geen invloed op de uiteindelijke beslissing</w:t>
      </w:r>
      <w:r w:rsidR="007F60D2" w:rsidRPr="00C662C2">
        <w:rPr>
          <w:rFonts w:ascii="Verdana" w:hAnsi="Verdana"/>
        </w:rPr>
        <w:t xml:space="preserve"> van de eerstelijns rechters</w:t>
      </w:r>
      <w:r w:rsidR="00D00E08" w:rsidRPr="00C662C2">
        <w:rPr>
          <w:rFonts w:ascii="Verdana" w:hAnsi="Verdana"/>
        </w:rPr>
        <w:t>.</w:t>
      </w:r>
    </w:p>
    <w:p w:rsidR="00631862" w:rsidRDefault="00631862" w:rsidP="0092501F">
      <w:pPr>
        <w:spacing w:after="0" w:line="22" w:lineRule="atLeast"/>
        <w:jc w:val="both"/>
        <w:rPr>
          <w:rFonts w:ascii="Verdana" w:hAnsi="Verdana"/>
        </w:rPr>
      </w:pPr>
    </w:p>
    <w:p w:rsidR="00631862" w:rsidRPr="00922237" w:rsidRDefault="00631862" w:rsidP="0092501F">
      <w:pPr>
        <w:spacing w:after="0" w:line="22" w:lineRule="atLeast"/>
        <w:jc w:val="both"/>
        <w:rPr>
          <w:rFonts w:ascii="Verdana" w:hAnsi="Verdana"/>
        </w:rPr>
      </w:pPr>
    </w:p>
    <w:p w:rsidR="00E16D80" w:rsidRPr="00E16D80" w:rsidRDefault="00631862" w:rsidP="0092501F">
      <w:pPr>
        <w:pStyle w:val="Kop2"/>
        <w:spacing w:before="0" w:line="22" w:lineRule="atLeast"/>
        <w:rPr>
          <w:rFonts w:ascii="Verdana" w:hAnsi="Verdana"/>
        </w:rPr>
      </w:pPr>
      <w:bookmarkStart w:id="56" w:name="_Toc451895019"/>
      <w:r>
        <w:rPr>
          <w:rFonts w:ascii="Verdana" w:hAnsi="Verdana"/>
        </w:rPr>
        <w:t>6</w:t>
      </w:r>
      <w:r w:rsidR="00C673AE">
        <w:rPr>
          <w:rFonts w:ascii="Verdana" w:hAnsi="Verdana"/>
        </w:rPr>
        <w:t>.3</w:t>
      </w:r>
      <w:r w:rsidR="00E16D80" w:rsidRPr="00E16D80">
        <w:rPr>
          <w:rFonts w:ascii="Verdana" w:hAnsi="Verdana"/>
        </w:rPr>
        <w:t xml:space="preserve"> Het belang en de ernst van de strafzaak</w:t>
      </w:r>
      <w:bookmarkEnd w:id="56"/>
    </w:p>
    <w:p w:rsidR="002A41B4" w:rsidRPr="000B0A6A" w:rsidRDefault="002A41B4" w:rsidP="0092501F">
      <w:pPr>
        <w:spacing w:after="0" w:line="22" w:lineRule="atLeast"/>
        <w:jc w:val="both"/>
        <w:rPr>
          <w:rFonts w:ascii="Verdana" w:hAnsi="Verdana"/>
        </w:rPr>
      </w:pPr>
      <w:r w:rsidRPr="000B0A6A">
        <w:rPr>
          <w:rFonts w:ascii="Verdana" w:hAnsi="Verdana"/>
        </w:rPr>
        <w:t xml:space="preserve">In </w:t>
      </w:r>
      <w:r w:rsidR="00CC0CD3" w:rsidRPr="000B0A6A">
        <w:rPr>
          <w:rFonts w:ascii="Verdana" w:hAnsi="Verdana"/>
        </w:rPr>
        <w:t xml:space="preserve">31 van de 34 geanalyseerde uitspraken </w:t>
      </w:r>
      <w:r w:rsidRPr="000B0A6A">
        <w:rPr>
          <w:rFonts w:ascii="Verdana" w:hAnsi="Verdana"/>
        </w:rPr>
        <w:t xml:space="preserve">werd het belang en de ernst van de strafzaak benoemd. Er waren </w:t>
      </w:r>
      <w:r w:rsidR="00CC0CD3" w:rsidRPr="000B0A6A">
        <w:rPr>
          <w:rFonts w:ascii="Verdana" w:hAnsi="Verdana"/>
        </w:rPr>
        <w:t>dus maar drie uitzonderingsgevallen waarin dit niet gebeurde</w:t>
      </w:r>
      <w:r w:rsidRPr="000B0A6A">
        <w:rPr>
          <w:rStyle w:val="Voetnootmarkering"/>
          <w:rFonts w:ascii="Verdana" w:hAnsi="Verdana"/>
        </w:rPr>
        <w:footnoteReference w:id="118"/>
      </w:r>
      <w:r w:rsidRPr="000B0A6A">
        <w:rPr>
          <w:rFonts w:ascii="Verdana" w:hAnsi="Verdana"/>
        </w:rPr>
        <w:t xml:space="preserve">. </w:t>
      </w:r>
    </w:p>
    <w:p w:rsidR="00506AE2" w:rsidRPr="000B0A6A" w:rsidRDefault="00506AE2" w:rsidP="0092501F">
      <w:pPr>
        <w:spacing w:after="0" w:line="22" w:lineRule="atLeast"/>
        <w:jc w:val="both"/>
        <w:rPr>
          <w:rFonts w:ascii="Verdana" w:hAnsi="Verdana"/>
        </w:rPr>
      </w:pPr>
    </w:p>
    <w:p w:rsidR="0060000F" w:rsidRDefault="00506AE2" w:rsidP="0092501F">
      <w:pPr>
        <w:spacing w:after="0" w:line="22" w:lineRule="atLeast"/>
        <w:jc w:val="both"/>
        <w:rPr>
          <w:rFonts w:ascii="Verdana" w:hAnsi="Verdana"/>
        </w:rPr>
      </w:pPr>
      <w:r w:rsidRPr="000B0A6A">
        <w:rPr>
          <w:rFonts w:ascii="Verdana" w:hAnsi="Verdana"/>
        </w:rPr>
        <w:t xml:space="preserve">Hoewel </w:t>
      </w:r>
      <w:r w:rsidR="00CC0CD3" w:rsidRPr="000B0A6A">
        <w:rPr>
          <w:rFonts w:ascii="Verdana" w:hAnsi="Verdana"/>
        </w:rPr>
        <w:t xml:space="preserve">dus </w:t>
      </w:r>
      <w:r w:rsidRPr="000B0A6A">
        <w:rPr>
          <w:rFonts w:ascii="Verdana" w:hAnsi="Verdana"/>
        </w:rPr>
        <w:t xml:space="preserve">in </w:t>
      </w:r>
      <w:r w:rsidR="0060000F" w:rsidRPr="000B0A6A">
        <w:rPr>
          <w:rFonts w:ascii="Verdana" w:hAnsi="Verdana"/>
        </w:rPr>
        <w:t>bijna al</w:t>
      </w:r>
      <w:r w:rsidRPr="000B0A6A">
        <w:rPr>
          <w:rFonts w:ascii="Verdana" w:hAnsi="Verdana"/>
        </w:rPr>
        <w:t xml:space="preserve"> de uitspraken het belang en de ernst van de strafzaak wel benoemd werd</w:t>
      </w:r>
      <w:r w:rsidR="00E53F0F">
        <w:rPr>
          <w:rFonts w:ascii="Verdana" w:hAnsi="Verdana"/>
        </w:rPr>
        <w:t>en</w:t>
      </w:r>
      <w:r w:rsidRPr="000B0A6A">
        <w:rPr>
          <w:rFonts w:ascii="Verdana" w:hAnsi="Verdana"/>
        </w:rPr>
        <w:t>, werd</w:t>
      </w:r>
      <w:r w:rsidR="00E53F0F">
        <w:rPr>
          <w:rFonts w:ascii="Verdana" w:hAnsi="Verdana"/>
        </w:rPr>
        <w:t xml:space="preserve"> hieraan</w:t>
      </w:r>
      <w:r w:rsidRPr="000B0A6A">
        <w:rPr>
          <w:rFonts w:ascii="Verdana" w:hAnsi="Verdana"/>
        </w:rPr>
        <w:t xml:space="preserve"> maar in</w:t>
      </w:r>
      <w:r w:rsidR="002D0C45" w:rsidRPr="000B0A6A">
        <w:rPr>
          <w:rFonts w:ascii="Verdana" w:hAnsi="Verdana"/>
        </w:rPr>
        <w:t xml:space="preserve"> 15</w:t>
      </w:r>
      <w:r w:rsidRPr="000B0A6A">
        <w:rPr>
          <w:rFonts w:ascii="Verdana" w:hAnsi="Verdana"/>
        </w:rPr>
        <w:t xml:space="preserve"> van de</w:t>
      </w:r>
      <w:r w:rsidR="002D0C45" w:rsidRPr="000B0A6A">
        <w:rPr>
          <w:rFonts w:ascii="Verdana" w:hAnsi="Verdana"/>
        </w:rPr>
        <w:t xml:space="preserve"> 3</w:t>
      </w:r>
      <w:r w:rsidR="00CC0CD3" w:rsidRPr="000B0A6A">
        <w:rPr>
          <w:rFonts w:ascii="Verdana" w:hAnsi="Verdana"/>
        </w:rPr>
        <w:t>1</w:t>
      </w:r>
      <w:r w:rsidRPr="000B0A6A">
        <w:rPr>
          <w:rFonts w:ascii="Verdana" w:hAnsi="Verdana"/>
        </w:rPr>
        <w:t xml:space="preserve"> uitspraken een na</w:t>
      </w:r>
      <w:r w:rsidR="00E53F0F">
        <w:rPr>
          <w:rFonts w:ascii="Verdana" w:hAnsi="Verdana"/>
        </w:rPr>
        <w:t>dere toelichting gegeven</w:t>
      </w:r>
      <w:r w:rsidR="00661B81" w:rsidRPr="000B0A6A">
        <w:rPr>
          <w:rStyle w:val="Voetnootmarkering"/>
          <w:rFonts w:ascii="Verdana" w:hAnsi="Verdana"/>
        </w:rPr>
        <w:footnoteReference w:id="119"/>
      </w:r>
      <w:r w:rsidRPr="000B0A6A">
        <w:rPr>
          <w:rFonts w:ascii="Verdana" w:hAnsi="Verdana"/>
        </w:rPr>
        <w:t xml:space="preserve">. </w:t>
      </w:r>
      <w:r w:rsidR="00864C4E" w:rsidRPr="000B0A6A">
        <w:rPr>
          <w:rFonts w:ascii="Verdana" w:hAnsi="Verdana"/>
        </w:rPr>
        <w:t xml:space="preserve">In de uitspraken waarin er meer uitweiding werd gegeven, was de uitweiding in drie categorieën te plaatsen; 1) de ernst van het feit, 2) dat het feit de kern van de werkzaamheden van de beroepsbeoefenaar raakt en dat dit het vertrouwen in de beroepsbeoefenaar kan schaden en 3) welk belang de strafbaarheidstelling van het feit dient te beschermen. </w:t>
      </w:r>
    </w:p>
    <w:p w:rsidR="00216DE5" w:rsidRDefault="00216DE5" w:rsidP="0092501F">
      <w:pPr>
        <w:spacing w:after="0" w:line="22" w:lineRule="atLeast"/>
        <w:jc w:val="both"/>
        <w:rPr>
          <w:rFonts w:ascii="Verdana" w:hAnsi="Verdana"/>
        </w:rPr>
      </w:pPr>
    </w:p>
    <w:p w:rsidR="00216DE5" w:rsidRDefault="00216DE5" w:rsidP="0092501F">
      <w:pPr>
        <w:spacing w:after="0" w:line="22" w:lineRule="atLeast"/>
        <w:jc w:val="both"/>
        <w:rPr>
          <w:rFonts w:ascii="Verdana" w:hAnsi="Verdana"/>
        </w:rPr>
      </w:pPr>
      <w:r>
        <w:rPr>
          <w:rFonts w:ascii="Verdana" w:hAnsi="Verdana"/>
        </w:rPr>
        <w:t>Als ernstig feit werd onder andere gekwalificeerd: witwassen, valsheid in geschrifte oplichting, deelname aan een criminele organisatie, het beïnvloeden van getuigen en hen bewegen tot het doen van en valse verklaring en seksueel misbruik van een minderjarige</w:t>
      </w:r>
      <w:r w:rsidR="00C53EE1">
        <w:rPr>
          <w:rStyle w:val="Voetnootmarkering"/>
          <w:rFonts w:ascii="Verdana" w:hAnsi="Verdana"/>
        </w:rPr>
        <w:footnoteReference w:id="120"/>
      </w:r>
      <w:r>
        <w:rPr>
          <w:rFonts w:ascii="Verdana" w:hAnsi="Verdana"/>
        </w:rPr>
        <w:t xml:space="preserve">. </w:t>
      </w:r>
    </w:p>
    <w:p w:rsidR="00216DE5" w:rsidRDefault="00216DE5" w:rsidP="0092501F">
      <w:pPr>
        <w:spacing w:after="0" w:line="22" w:lineRule="atLeast"/>
        <w:jc w:val="both"/>
        <w:rPr>
          <w:rFonts w:ascii="Verdana" w:hAnsi="Verdana"/>
        </w:rPr>
      </w:pPr>
    </w:p>
    <w:p w:rsidR="00216DE5" w:rsidRPr="00126D20" w:rsidRDefault="00216DE5" w:rsidP="0092501F">
      <w:pPr>
        <w:spacing w:after="0" w:line="22" w:lineRule="atLeast"/>
        <w:jc w:val="both"/>
        <w:rPr>
          <w:rFonts w:ascii="Verdana" w:hAnsi="Verdana"/>
        </w:rPr>
      </w:pPr>
      <w:r w:rsidRPr="00126D20">
        <w:rPr>
          <w:rFonts w:ascii="Verdana" w:hAnsi="Verdana"/>
        </w:rPr>
        <w:lastRenderedPageBreak/>
        <w:t>Onder feiten die de kern van de werkzaamheden van de beroepsbeoefenaar raakten</w:t>
      </w:r>
      <w:r w:rsidR="00261F4D">
        <w:rPr>
          <w:rFonts w:ascii="Verdana" w:hAnsi="Verdana"/>
        </w:rPr>
        <w:t>,</w:t>
      </w:r>
      <w:r w:rsidRPr="00126D20">
        <w:rPr>
          <w:rFonts w:ascii="Verdana" w:hAnsi="Verdana"/>
        </w:rPr>
        <w:t xml:space="preserve"> werden onder andere gekwalificeerd: valsheid in geschrifte (met name ten aanzien van akten), oplichting en witwassen</w:t>
      </w:r>
      <w:r w:rsidR="00E424C2" w:rsidRPr="00126D20">
        <w:rPr>
          <w:rStyle w:val="Voetnootmarkering"/>
          <w:rFonts w:ascii="Verdana" w:hAnsi="Verdana"/>
        </w:rPr>
        <w:footnoteReference w:id="121"/>
      </w:r>
      <w:r w:rsidRPr="00126D20">
        <w:rPr>
          <w:rFonts w:ascii="Verdana" w:hAnsi="Verdana"/>
        </w:rPr>
        <w:t>.</w:t>
      </w:r>
    </w:p>
    <w:p w:rsidR="00216DE5" w:rsidRPr="00087282" w:rsidRDefault="00216DE5" w:rsidP="0092501F">
      <w:pPr>
        <w:spacing w:after="0" w:line="22" w:lineRule="atLeast"/>
        <w:jc w:val="both"/>
        <w:rPr>
          <w:rFonts w:ascii="Verdana" w:hAnsi="Verdana"/>
          <w:highlight w:val="yellow"/>
        </w:rPr>
      </w:pPr>
    </w:p>
    <w:p w:rsidR="00216DE5" w:rsidRDefault="00216DE5" w:rsidP="0092501F">
      <w:pPr>
        <w:spacing w:after="0" w:line="22" w:lineRule="atLeast"/>
        <w:jc w:val="both"/>
        <w:rPr>
          <w:rFonts w:ascii="Verdana" w:hAnsi="Verdana"/>
        </w:rPr>
      </w:pPr>
      <w:r w:rsidRPr="00126D20">
        <w:rPr>
          <w:rFonts w:ascii="Verdana" w:hAnsi="Verdana"/>
        </w:rPr>
        <w:t xml:space="preserve">De waarheidsvinding binnen een </w:t>
      </w:r>
      <w:r w:rsidRPr="00360DE1">
        <w:rPr>
          <w:rFonts w:ascii="Verdana" w:hAnsi="Verdana"/>
        </w:rPr>
        <w:t>procedure werd gekwali</w:t>
      </w:r>
      <w:r w:rsidR="00261F4D" w:rsidRPr="00360DE1">
        <w:rPr>
          <w:rFonts w:ascii="Verdana" w:hAnsi="Verdana"/>
        </w:rPr>
        <w:t>ficeerd als een groot belang dat</w:t>
      </w:r>
      <w:r w:rsidRPr="00360DE1">
        <w:rPr>
          <w:rFonts w:ascii="Verdana" w:hAnsi="Verdana"/>
        </w:rPr>
        <w:t xml:space="preserve"> door een strafbaarheidstelling </w:t>
      </w:r>
      <w:r w:rsidR="00360DE1" w:rsidRPr="00360DE1">
        <w:rPr>
          <w:rFonts w:ascii="Verdana" w:hAnsi="Verdana"/>
        </w:rPr>
        <w:t>beschermd</w:t>
      </w:r>
      <w:r w:rsidRPr="00360DE1">
        <w:rPr>
          <w:rFonts w:ascii="Verdana" w:hAnsi="Verdana"/>
        </w:rPr>
        <w:t xml:space="preserve"> dient</w:t>
      </w:r>
      <w:r w:rsidRPr="00126D20">
        <w:rPr>
          <w:rFonts w:ascii="Verdana" w:hAnsi="Verdana"/>
        </w:rPr>
        <w:t xml:space="preserve"> te worden. Zodoende viel het beïnvloeden van een getuige</w:t>
      </w:r>
      <w:r w:rsidR="00087282" w:rsidRPr="00126D20">
        <w:rPr>
          <w:rFonts w:ascii="Verdana" w:hAnsi="Verdana"/>
        </w:rPr>
        <w:t xml:space="preserve"> en die aanzetten tot het afleggen van een valse verklaring</w:t>
      </w:r>
      <w:r w:rsidRPr="00126D20">
        <w:rPr>
          <w:rFonts w:ascii="Verdana" w:hAnsi="Verdana"/>
        </w:rPr>
        <w:t xml:space="preserve"> hieronder</w:t>
      </w:r>
      <w:r w:rsidR="00126D20" w:rsidRPr="00126D20">
        <w:rPr>
          <w:rStyle w:val="Voetnootmarkering"/>
          <w:rFonts w:ascii="Verdana" w:hAnsi="Verdana"/>
        </w:rPr>
        <w:footnoteReference w:id="122"/>
      </w:r>
      <w:r w:rsidR="00126D20" w:rsidRPr="00126D20">
        <w:rPr>
          <w:rFonts w:ascii="Verdana" w:hAnsi="Verdana"/>
        </w:rPr>
        <w:t>.</w:t>
      </w:r>
    </w:p>
    <w:p w:rsidR="00BC1FDA" w:rsidRDefault="00BC1FDA" w:rsidP="0092501F">
      <w:pPr>
        <w:spacing w:after="0" w:line="22" w:lineRule="atLeast"/>
        <w:jc w:val="both"/>
        <w:rPr>
          <w:rFonts w:ascii="Verdana" w:hAnsi="Verdana"/>
        </w:rPr>
      </w:pPr>
    </w:p>
    <w:p w:rsidR="00380C58" w:rsidRDefault="00BC1FDA" w:rsidP="0092501F">
      <w:pPr>
        <w:spacing w:after="0" w:line="22" w:lineRule="atLeast"/>
        <w:jc w:val="both"/>
        <w:rPr>
          <w:rFonts w:ascii="Verdana" w:hAnsi="Verdana"/>
        </w:rPr>
      </w:pPr>
      <w:r>
        <w:rPr>
          <w:rFonts w:ascii="Verdana" w:hAnsi="Verdana"/>
        </w:rPr>
        <w:t xml:space="preserve">Zowel valsheid in geschrifte, </w:t>
      </w:r>
      <w:r w:rsidR="00E24054">
        <w:rPr>
          <w:rFonts w:ascii="Verdana" w:hAnsi="Verdana"/>
        </w:rPr>
        <w:t>witwassen, oplich</w:t>
      </w:r>
      <w:r w:rsidR="006742DD">
        <w:rPr>
          <w:rFonts w:ascii="Verdana" w:hAnsi="Verdana"/>
        </w:rPr>
        <w:t>ting als het beïnvloeden van een</w:t>
      </w:r>
      <w:r w:rsidR="00E24054">
        <w:rPr>
          <w:rFonts w:ascii="Verdana" w:hAnsi="Verdana"/>
        </w:rPr>
        <w:t xml:space="preserve"> getuige en die aanzetten tot het afleggen van een valse verklaring </w:t>
      </w:r>
      <w:r w:rsidR="005534E4">
        <w:rPr>
          <w:rFonts w:ascii="Verdana" w:hAnsi="Verdana"/>
        </w:rPr>
        <w:t>kwamen</w:t>
      </w:r>
      <w:r w:rsidR="00E24054">
        <w:rPr>
          <w:rFonts w:ascii="Verdana" w:hAnsi="Verdana"/>
        </w:rPr>
        <w:t xml:space="preserve"> in meer dan één categorie voor. </w:t>
      </w:r>
      <w:r w:rsidR="00380C58">
        <w:rPr>
          <w:rFonts w:ascii="Verdana" w:hAnsi="Verdana"/>
        </w:rPr>
        <w:t xml:space="preserve">Bij dit soort feiten zullen zeer uitzonderlijke omstandigheden dan ook vaak worden aangenomen door eerstelijns rechters. </w:t>
      </w:r>
    </w:p>
    <w:p w:rsidR="00380C58" w:rsidRDefault="00380C58" w:rsidP="0092501F">
      <w:pPr>
        <w:spacing w:after="0" w:line="22" w:lineRule="atLeast"/>
        <w:jc w:val="both"/>
        <w:rPr>
          <w:rFonts w:ascii="Verdana" w:hAnsi="Verdana"/>
        </w:rPr>
      </w:pPr>
    </w:p>
    <w:p w:rsidR="00506AE2" w:rsidRPr="000B0A6A" w:rsidRDefault="0077477F" w:rsidP="0092501F">
      <w:pPr>
        <w:spacing w:after="0" w:line="22" w:lineRule="atLeast"/>
        <w:jc w:val="both"/>
        <w:rPr>
          <w:rFonts w:ascii="Verdana" w:hAnsi="Verdana"/>
        </w:rPr>
      </w:pPr>
      <w:r w:rsidRPr="000B0A6A">
        <w:rPr>
          <w:rFonts w:ascii="Verdana" w:hAnsi="Verdana"/>
        </w:rPr>
        <w:t xml:space="preserve">In bijna alle uitspraken waarin meer uitweiding werd gegeven over het belang en de ernst van de strafzaak, werd het </w:t>
      </w:r>
      <w:r w:rsidR="007F60D2">
        <w:rPr>
          <w:rFonts w:ascii="Verdana" w:hAnsi="Verdana"/>
        </w:rPr>
        <w:t xml:space="preserve">doorbreken van het verschoningsrecht rechtmatig geacht. </w:t>
      </w:r>
      <w:r w:rsidR="00104FA3" w:rsidRPr="000B0A6A">
        <w:rPr>
          <w:rFonts w:ascii="Verdana" w:hAnsi="Verdana"/>
        </w:rPr>
        <w:t>Hierop waren twee</w:t>
      </w:r>
      <w:r w:rsidR="0060000F" w:rsidRPr="000B0A6A">
        <w:rPr>
          <w:rFonts w:ascii="Verdana" w:hAnsi="Verdana"/>
        </w:rPr>
        <w:t xml:space="preserve"> uitzonderingen</w:t>
      </w:r>
      <w:r w:rsidR="00104FA3" w:rsidRPr="000B0A6A">
        <w:rPr>
          <w:rStyle w:val="Voetnootmarkering"/>
          <w:rFonts w:ascii="Verdana" w:hAnsi="Verdana"/>
        </w:rPr>
        <w:footnoteReference w:id="123"/>
      </w:r>
      <w:r w:rsidR="0060000F" w:rsidRPr="000B0A6A">
        <w:rPr>
          <w:rFonts w:ascii="Verdana" w:hAnsi="Verdana"/>
        </w:rPr>
        <w:t xml:space="preserve">. </w:t>
      </w:r>
      <w:r w:rsidR="00104FA3" w:rsidRPr="000B0A6A">
        <w:rPr>
          <w:rFonts w:ascii="Verdana" w:hAnsi="Verdana"/>
        </w:rPr>
        <w:t xml:space="preserve">In de uitspraak van rechtbank ’s-Gravenhage werd </w:t>
      </w:r>
      <w:r w:rsidR="007F60D2">
        <w:rPr>
          <w:rFonts w:ascii="Verdana" w:hAnsi="Verdana"/>
        </w:rPr>
        <w:t xml:space="preserve">het </w:t>
      </w:r>
      <w:r w:rsidR="00104FA3" w:rsidRPr="000B0A6A">
        <w:rPr>
          <w:rFonts w:ascii="Verdana" w:hAnsi="Verdana"/>
        </w:rPr>
        <w:t>namelijk onrechtmatig geacht mede omdat de strafbare feiten geen ontwrichtende werk</w:t>
      </w:r>
      <w:r w:rsidR="006B3D41" w:rsidRPr="000B0A6A">
        <w:rPr>
          <w:rFonts w:ascii="Verdana" w:hAnsi="Verdana"/>
        </w:rPr>
        <w:t>ing hadden op het vertrouwen</w:t>
      </w:r>
      <w:r w:rsidR="00AE4E08">
        <w:rPr>
          <w:rFonts w:ascii="Verdana" w:hAnsi="Verdana"/>
        </w:rPr>
        <w:t xml:space="preserve"> van de maatschappij</w:t>
      </w:r>
      <w:r w:rsidR="006B3D41" w:rsidRPr="000B0A6A">
        <w:rPr>
          <w:rFonts w:ascii="Verdana" w:hAnsi="Verdana"/>
        </w:rPr>
        <w:t xml:space="preserve"> in</w:t>
      </w:r>
      <w:r w:rsidR="00104FA3" w:rsidRPr="000B0A6A">
        <w:rPr>
          <w:rFonts w:ascii="Verdana" w:hAnsi="Verdana"/>
        </w:rPr>
        <w:t xml:space="preserve"> een advocaat omdat een advocaat een persoonlijk belang verdedig</w:t>
      </w:r>
      <w:r w:rsidR="00E53F0F">
        <w:rPr>
          <w:rFonts w:ascii="Verdana" w:hAnsi="Verdana"/>
        </w:rPr>
        <w:t>t</w:t>
      </w:r>
      <w:r w:rsidR="00104FA3" w:rsidRPr="000B0A6A">
        <w:rPr>
          <w:rFonts w:ascii="Verdana" w:hAnsi="Verdana"/>
        </w:rPr>
        <w:t xml:space="preserve"> en dus niet onafhankelijk is en daarbij ging het om relatief beperkte feiten in aard, tijd en omvang. In de uitspraak van r</w:t>
      </w:r>
      <w:r w:rsidR="007F60D2">
        <w:rPr>
          <w:rFonts w:ascii="Verdana" w:hAnsi="Verdana"/>
        </w:rPr>
        <w:t>echtbank Utrecht werd het</w:t>
      </w:r>
      <w:r w:rsidR="00104FA3" w:rsidRPr="000B0A6A">
        <w:rPr>
          <w:rFonts w:ascii="Verdana" w:hAnsi="Verdana"/>
        </w:rPr>
        <w:t xml:space="preserve"> onrechtmatig geacht omdat onvoldoende vast stond dat er sprake was van (voorwaardelijk) opzettelijke vervalsing dan wel het doen van onjuiste belastingaangifte. De rechtbank oordeelde dat aannemelijk was dat klagers hooguit onzorgvuldig waren in hun onderzoeksplicht. </w:t>
      </w:r>
    </w:p>
    <w:p w:rsidR="00CC0CD3" w:rsidRDefault="00CC0CD3" w:rsidP="0092501F">
      <w:pPr>
        <w:spacing w:after="0" w:line="22" w:lineRule="atLeast"/>
        <w:jc w:val="both"/>
        <w:rPr>
          <w:rFonts w:ascii="Verdana" w:hAnsi="Verdana"/>
          <w:color w:val="C0504D" w:themeColor="accent2"/>
        </w:rPr>
      </w:pPr>
    </w:p>
    <w:p w:rsidR="00CC0CD3" w:rsidRPr="00C662C2" w:rsidRDefault="00CC0CD3" w:rsidP="0092501F">
      <w:pPr>
        <w:spacing w:after="0" w:line="22" w:lineRule="atLeast"/>
        <w:jc w:val="both"/>
        <w:rPr>
          <w:rFonts w:ascii="Verdana" w:hAnsi="Verdana"/>
        </w:rPr>
      </w:pPr>
      <w:r w:rsidRPr="00C662C2">
        <w:rPr>
          <w:rFonts w:ascii="Verdana" w:hAnsi="Verdana"/>
        </w:rPr>
        <w:t xml:space="preserve">De twee uitzonderingssituaties zien dus op een niet ontwrichtende werking op het vertrouwen in de beroepsbeoefenaar, relatief beperkte feiten en onvoldoende sprake van opzet. De uitzonderingen zijn dus niet te plaatsen in één van de hiervoor genoemde categorieën, het zijn zelfs </w:t>
      </w:r>
      <w:r w:rsidRPr="00D6558D">
        <w:rPr>
          <w:rFonts w:ascii="Verdana" w:hAnsi="Verdana"/>
        </w:rPr>
        <w:t>contradicties</w:t>
      </w:r>
      <w:r w:rsidRPr="00C662C2">
        <w:rPr>
          <w:rFonts w:ascii="Verdana" w:hAnsi="Verdana"/>
        </w:rPr>
        <w:t xml:space="preserve"> van elkaar. Wil een</w:t>
      </w:r>
      <w:r w:rsidR="007F60D2" w:rsidRPr="00C662C2">
        <w:rPr>
          <w:rFonts w:ascii="Verdana" w:hAnsi="Verdana"/>
        </w:rPr>
        <w:t xml:space="preserve"> doorbreking van het verschoningsrecht rechtmatig worden geacht, </w:t>
      </w:r>
      <w:r w:rsidRPr="00C662C2">
        <w:rPr>
          <w:rFonts w:ascii="Verdana" w:hAnsi="Verdana"/>
        </w:rPr>
        <w:t>dient de ernst en het belang van de strafzaak voldoende helder te zijn en moet deze te plaatsen zijn in één van de volgende categorieën: 1) ernstig feit, 2) het feit raakt de kern van de werkzaamheden van de beroepsbeoefenaar en dit kan het vertrouwen in de beroepsbeoefenaar schaden en/of 3) het belang dat de strafbaarheidstelling van het feit dient te beschermen is van groot belang.</w:t>
      </w:r>
    </w:p>
    <w:p w:rsidR="00922237" w:rsidRDefault="00922237" w:rsidP="0092501F">
      <w:pPr>
        <w:spacing w:after="0" w:line="22" w:lineRule="atLeast"/>
        <w:jc w:val="both"/>
        <w:rPr>
          <w:rFonts w:ascii="Verdana" w:hAnsi="Verdana"/>
        </w:rPr>
      </w:pPr>
    </w:p>
    <w:p w:rsidR="00A1071C" w:rsidRDefault="00A1071C" w:rsidP="0092501F">
      <w:pPr>
        <w:spacing w:after="0" w:line="22" w:lineRule="atLeast"/>
        <w:jc w:val="both"/>
        <w:rPr>
          <w:rFonts w:ascii="Verdana" w:hAnsi="Verdana"/>
        </w:rPr>
      </w:pPr>
    </w:p>
    <w:p w:rsidR="00A1071C" w:rsidRDefault="00A1071C" w:rsidP="0092501F">
      <w:pPr>
        <w:spacing w:after="0" w:line="22" w:lineRule="atLeast"/>
        <w:jc w:val="both"/>
        <w:rPr>
          <w:rFonts w:ascii="Verdana" w:hAnsi="Verdana"/>
        </w:rPr>
      </w:pPr>
    </w:p>
    <w:p w:rsidR="00A1071C" w:rsidRDefault="00A1071C" w:rsidP="0092501F">
      <w:pPr>
        <w:spacing w:after="0" w:line="22" w:lineRule="atLeast"/>
        <w:jc w:val="both"/>
        <w:rPr>
          <w:rFonts w:ascii="Verdana" w:hAnsi="Verdana"/>
        </w:rPr>
      </w:pPr>
    </w:p>
    <w:p w:rsidR="00A1071C" w:rsidRDefault="00A1071C" w:rsidP="0092501F">
      <w:pPr>
        <w:spacing w:after="0" w:line="22" w:lineRule="atLeast"/>
        <w:jc w:val="both"/>
        <w:rPr>
          <w:rFonts w:ascii="Verdana" w:hAnsi="Verdana"/>
        </w:rPr>
      </w:pPr>
    </w:p>
    <w:p w:rsidR="00A1071C" w:rsidRDefault="00A1071C" w:rsidP="0092501F">
      <w:pPr>
        <w:spacing w:after="0" w:line="22" w:lineRule="atLeast"/>
        <w:jc w:val="both"/>
        <w:rPr>
          <w:rFonts w:ascii="Verdana" w:hAnsi="Verdana"/>
        </w:rPr>
      </w:pPr>
    </w:p>
    <w:p w:rsidR="00922237" w:rsidRPr="00922237" w:rsidRDefault="00922237" w:rsidP="0092501F">
      <w:pPr>
        <w:spacing w:after="0" w:line="22" w:lineRule="atLeast"/>
        <w:jc w:val="both"/>
        <w:rPr>
          <w:rFonts w:ascii="Verdana" w:hAnsi="Verdana"/>
        </w:rPr>
      </w:pPr>
    </w:p>
    <w:p w:rsidR="00E16D80" w:rsidRPr="00E16D80" w:rsidRDefault="00960FD3" w:rsidP="0092501F">
      <w:pPr>
        <w:pStyle w:val="Kop2"/>
        <w:spacing w:before="0" w:line="22" w:lineRule="atLeast"/>
        <w:rPr>
          <w:rFonts w:ascii="Verdana" w:hAnsi="Verdana"/>
        </w:rPr>
      </w:pPr>
      <w:bookmarkStart w:id="57" w:name="_Toc451895020"/>
      <w:r>
        <w:rPr>
          <w:rFonts w:ascii="Verdana" w:hAnsi="Verdana"/>
        </w:rPr>
        <w:lastRenderedPageBreak/>
        <w:t>6</w:t>
      </w:r>
      <w:r w:rsidR="00C673AE">
        <w:rPr>
          <w:rFonts w:ascii="Verdana" w:hAnsi="Verdana"/>
        </w:rPr>
        <w:t>.4</w:t>
      </w:r>
      <w:r w:rsidR="00E16D80" w:rsidRPr="00E16D80">
        <w:rPr>
          <w:rFonts w:ascii="Verdana" w:hAnsi="Verdana"/>
        </w:rPr>
        <w:t xml:space="preserve"> De eventuele toestemming van de belanghebbende</w:t>
      </w:r>
      <w:bookmarkEnd w:id="57"/>
    </w:p>
    <w:p w:rsidR="00A426AF" w:rsidRPr="000B0A6A" w:rsidRDefault="00E81F2A" w:rsidP="0092501F">
      <w:pPr>
        <w:spacing w:after="0" w:line="22" w:lineRule="atLeast"/>
        <w:jc w:val="both"/>
        <w:rPr>
          <w:rFonts w:ascii="Verdana" w:hAnsi="Verdana"/>
        </w:rPr>
      </w:pPr>
      <w:r w:rsidRPr="000B0A6A">
        <w:rPr>
          <w:rFonts w:ascii="Verdana" w:hAnsi="Verdana"/>
        </w:rPr>
        <w:t>In</w:t>
      </w:r>
      <w:r w:rsidR="00126D20">
        <w:rPr>
          <w:rFonts w:ascii="Verdana" w:hAnsi="Verdana"/>
        </w:rPr>
        <w:t> </w:t>
      </w:r>
      <w:r w:rsidR="00C8723A" w:rsidRPr="000B0A6A">
        <w:rPr>
          <w:rFonts w:ascii="Verdana" w:hAnsi="Verdana"/>
        </w:rPr>
        <w:t>minder dan de helft van de geanalyseerde uitspraken werd expliciet het standpunt van de belanghebbende genoemd, namelijk</w:t>
      </w:r>
      <w:r w:rsidR="008F3474">
        <w:rPr>
          <w:rFonts w:ascii="Verdana" w:hAnsi="Verdana"/>
        </w:rPr>
        <w:t xml:space="preserve"> maar</w:t>
      </w:r>
      <w:r w:rsidR="00C8723A" w:rsidRPr="000B0A6A">
        <w:rPr>
          <w:rFonts w:ascii="Verdana" w:hAnsi="Verdana"/>
        </w:rPr>
        <w:t xml:space="preserve"> in </w:t>
      </w:r>
      <w:r w:rsidR="00637E31" w:rsidRPr="000B0A6A">
        <w:rPr>
          <w:rFonts w:ascii="Verdana" w:hAnsi="Verdana"/>
        </w:rPr>
        <w:t>16</w:t>
      </w:r>
      <w:r w:rsidR="00812FEB" w:rsidRPr="000B0A6A">
        <w:rPr>
          <w:rFonts w:ascii="Verdana" w:hAnsi="Verdana"/>
        </w:rPr>
        <w:t xml:space="preserve"> van de 34</w:t>
      </w:r>
      <w:r w:rsidRPr="000B0A6A">
        <w:rPr>
          <w:rFonts w:ascii="Verdana" w:hAnsi="Verdana"/>
        </w:rPr>
        <w:t xml:space="preserve"> geanalyseerde uitspraken</w:t>
      </w:r>
      <w:r w:rsidRPr="000B0A6A">
        <w:rPr>
          <w:rStyle w:val="Voetnootmarkering"/>
          <w:rFonts w:ascii="Verdana" w:hAnsi="Verdana"/>
        </w:rPr>
        <w:footnoteReference w:id="124"/>
      </w:r>
      <w:r w:rsidR="00A426AF" w:rsidRPr="000B0A6A">
        <w:rPr>
          <w:rFonts w:ascii="Verdana" w:hAnsi="Verdana"/>
        </w:rPr>
        <w:t>.</w:t>
      </w:r>
      <w:r w:rsidR="00DC4CA6" w:rsidRPr="000B0A6A">
        <w:rPr>
          <w:rFonts w:ascii="Verdana" w:hAnsi="Verdana"/>
        </w:rPr>
        <w:t xml:space="preserve"> In die</w:t>
      </w:r>
      <w:r w:rsidR="00E8255D">
        <w:rPr>
          <w:rFonts w:ascii="Verdana" w:hAnsi="Verdana"/>
        </w:rPr>
        <w:t xml:space="preserve"> uitspraken bleef het echter alleen</w:t>
      </w:r>
      <w:r w:rsidR="00DC4CA6" w:rsidRPr="000B0A6A">
        <w:rPr>
          <w:rFonts w:ascii="Verdana" w:hAnsi="Verdana"/>
        </w:rPr>
        <w:t xml:space="preserve"> bij de vermelding van het standpunt van de belanghebbende en bleek niet dat dit enige invloed had op de uiteindelijke uitspraak van de rechter. In één enkel geval </w:t>
      </w:r>
      <w:r w:rsidR="008F3474">
        <w:rPr>
          <w:rFonts w:ascii="Verdana" w:hAnsi="Verdana"/>
        </w:rPr>
        <w:t>was</w:t>
      </w:r>
      <w:r w:rsidR="00DC4CA6" w:rsidRPr="000B0A6A">
        <w:rPr>
          <w:rFonts w:ascii="Verdana" w:hAnsi="Verdana"/>
        </w:rPr>
        <w:t xml:space="preserve"> meer uitweiding gegeven over het standpunt van de belanghebbende. In deze opvallende rechtszaak bij rechtbank ‘s-Gravenhage had de klager</w:t>
      </w:r>
      <w:r w:rsidR="00A426AF" w:rsidRPr="000B0A6A">
        <w:rPr>
          <w:rFonts w:ascii="Verdana" w:hAnsi="Verdana"/>
        </w:rPr>
        <w:t xml:space="preserve"> ten tijde van de doorzoeking ter inbeslagname toestemming gegeven voor de inbeslagname. Op zitting bij de raadkamer gaf klager </w:t>
      </w:r>
      <w:r w:rsidR="00DC4CA6" w:rsidRPr="000B0A6A">
        <w:rPr>
          <w:rFonts w:ascii="Verdana" w:hAnsi="Verdana"/>
        </w:rPr>
        <w:t xml:space="preserve">echter </w:t>
      </w:r>
      <w:r w:rsidR="00A426AF" w:rsidRPr="000B0A6A">
        <w:rPr>
          <w:rFonts w:ascii="Verdana" w:hAnsi="Verdana"/>
        </w:rPr>
        <w:t>aan dat dit geen toestemming was in de zin van artikel 98 Sv. De rechtbank ging hier niet in mee en oordeelde dat er van een verschoningsgerechtigde beroepsbeoefenaar mag worden verwacht dat hij een dergelijke toestemming niet lichtzinnig geeft. Tevens had klager contact gehad met zijn advocaat en ook dat had hem er niet van weerhouden om toestemming te geven, dan wel deze onmiddellijk in te trekken. De rechtbank oordeelde dan ook dat er sprake was van een uitdrukkelijke en ondubbelzinnige wilsverklaring</w:t>
      </w:r>
      <w:r w:rsidR="00A426AF" w:rsidRPr="000B0A6A">
        <w:rPr>
          <w:rStyle w:val="Voetnootmarkering"/>
          <w:rFonts w:ascii="Verdana" w:hAnsi="Verdana"/>
        </w:rPr>
        <w:footnoteReference w:id="125"/>
      </w:r>
      <w:r w:rsidR="00A426AF" w:rsidRPr="000B0A6A">
        <w:rPr>
          <w:rFonts w:ascii="Verdana" w:hAnsi="Verdana"/>
        </w:rPr>
        <w:t xml:space="preserve">. </w:t>
      </w:r>
    </w:p>
    <w:p w:rsidR="00A426AF" w:rsidRPr="000B0A6A" w:rsidRDefault="00A426AF" w:rsidP="0092501F">
      <w:pPr>
        <w:spacing w:after="0" w:line="22" w:lineRule="atLeast"/>
        <w:jc w:val="both"/>
        <w:rPr>
          <w:rFonts w:ascii="Verdana" w:hAnsi="Verdana"/>
        </w:rPr>
      </w:pPr>
    </w:p>
    <w:p w:rsidR="00C979F5" w:rsidRPr="000B0A6A" w:rsidRDefault="00E81F2A" w:rsidP="0092501F">
      <w:pPr>
        <w:spacing w:after="0" w:line="22" w:lineRule="atLeast"/>
        <w:jc w:val="both"/>
        <w:rPr>
          <w:rFonts w:ascii="Verdana" w:hAnsi="Verdana"/>
        </w:rPr>
      </w:pPr>
      <w:r w:rsidRPr="000B0A6A">
        <w:rPr>
          <w:rFonts w:ascii="Verdana" w:hAnsi="Verdana"/>
        </w:rPr>
        <w:t xml:space="preserve">Zoals </w:t>
      </w:r>
      <w:r w:rsidR="00A426AF" w:rsidRPr="000B0A6A">
        <w:rPr>
          <w:rFonts w:ascii="Verdana" w:hAnsi="Verdana"/>
        </w:rPr>
        <w:t>in het hoofdstuk hiervoor b</w:t>
      </w:r>
      <w:r w:rsidRPr="000B0A6A">
        <w:rPr>
          <w:rFonts w:ascii="Verdana" w:hAnsi="Verdana"/>
        </w:rPr>
        <w:t xml:space="preserve">eschreven, is enkel de verschoningsgerechtigde beroepsbeoefenaar een belanghebbende. </w:t>
      </w:r>
      <w:r w:rsidR="003D0A00" w:rsidRPr="000B0A6A">
        <w:rPr>
          <w:rFonts w:ascii="Verdana" w:hAnsi="Verdana"/>
        </w:rPr>
        <w:t>Echter, i</w:t>
      </w:r>
      <w:r w:rsidR="00410279" w:rsidRPr="000B0A6A">
        <w:rPr>
          <w:rFonts w:ascii="Verdana" w:hAnsi="Verdana"/>
        </w:rPr>
        <w:t>n enkele zaken werd er</w:t>
      </w:r>
      <w:r w:rsidR="00A426AF" w:rsidRPr="000B0A6A">
        <w:rPr>
          <w:rFonts w:ascii="Verdana" w:hAnsi="Verdana"/>
        </w:rPr>
        <w:t xml:space="preserve"> ook gekeken naar eventuele toestemming</w:t>
      </w:r>
      <w:r w:rsidR="00410279" w:rsidRPr="000B0A6A">
        <w:rPr>
          <w:rFonts w:ascii="Verdana" w:hAnsi="Verdana"/>
        </w:rPr>
        <w:t xml:space="preserve"> van een ander dan de belanghebbende</w:t>
      </w:r>
      <w:r w:rsidR="00126889" w:rsidRPr="000B0A6A">
        <w:rPr>
          <w:rFonts w:ascii="Verdana" w:hAnsi="Verdana"/>
        </w:rPr>
        <w:t xml:space="preserve">; </w:t>
      </w:r>
      <w:r w:rsidR="003D0A00" w:rsidRPr="000B0A6A">
        <w:rPr>
          <w:rFonts w:ascii="Verdana" w:hAnsi="Verdana"/>
        </w:rPr>
        <w:t xml:space="preserve">namelijk </w:t>
      </w:r>
      <w:r w:rsidR="00126889" w:rsidRPr="000B0A6A">
        <w:rPr>
          <w:rFonts w:ascii="Verdana" w:hAnsi="Verdana"/>
        </w:rPr>
        <w:t xml:space="preserve">die van de </w:t>
      </w:r>
      <w:r w:rsidR="003D0A00" w:rsidRPr="000B0A6A">
        <w:rPr>
          <w:rFonts w:ascii="Verdana" w:hAnsi="Verdana"/>
        </w:rPr>
        <w:t>cliënt/</w:t>
      </w:r>
      <w:r w:rsidR="00126889" w:rsidRPr="000B0A6A">
        <w:rPr>
          <w:rFonts w:ascii="Verdana" w:hAnsi="Verdana"/>
        </w:rPr>
        <w:t>patiënt</w:t>
      </w:r>
      <w:r w:rsidR="00410279" w:rsidRPr="000B0A6A">
        <w:rPr>
          <w:rStyle w:val="Voetnootmarkering"/>
          <w:rFonts w:ascii="Verdana" w:hAnsi="Verdana"/>
        </w:rPr>
        <w:footnoteReference w:id="126"/>
      </w:r>
      <w:r w:rsidR="00410279" w:rsidRPr="000B0A6A">
        <w:rPr>
          <w:rFonts w:ascii="Verdana" w:hAnsi="Verdana"/>
        </w:rPr>
        <w:t>.</w:t>
      </w:r>
      <w:r w:rsidR="00126889" w:rsidRPr="000B0A6A">
        <w:rPr>
          <w:rFonts w:ascii="Verdana" w:hAnsi="Verdana"/>
        </w:rPr>
        <w:t> </w:t>
      </w:r>
      <w:r w:rsidR="00544682" w:rsidRPr="000B0A6A">
        <w:rPr>
          <w:rFonts w:ascii="Verdana" w:hAnsi="Verdana"/>
        </w:rPr>
        <w:t xml:space="preserve">In die gevallen werd </w:t>
      </w:r>
      <w:r w:rsidR="00A426AF" w:rsidRPr="000B0A6A">
        <w:rPr>
          <w:rFonts w:ascii="Verdana" w:hAnsi="Verdana"/>
        </w:rPr>
        <w:t>dat standpunt</w:t>
      </w:r>
      <w:r w:rsidR="00544682" w:rsidRPr="000B0A6A">
        <w:rPr>
          <w:rFonts w:ascii="Verdana" w:hAnsi="Verdana"/>
        </w:rPr>
        <w:t xml:space="preserve"> meestal ook meegenomen in de uiteindelijke beslissing, maar </w:t>
      </w:r>
      <w:r w:rsidR="00126889" w:rsidRPr="000B0A6A">
        <w:rPr>
          <w:rFonts w:ascii="Verdana" w:hAnsi="Verdana"/>
        </w:rPr>
        <w:t xml:space="preserve">de rechtbank volgde het standpunt van diegene niet altijd. </w:t>
      </w:r>
      <w:r w:rsidR="00055657" w:rsidRPr="000B0A6A">
        <w:rPr>
          <w:rFonts w:ascii="Verdana" w:hAnsi="Verdana"/>
        </w:rPr>
        <w:t xml:space="preserve">Zo werd bijvoorbeeld het bezwaar van een patiënt om gegevens te verstrekken terzijde gelegd omdat de patiënt ten tijde </w:t>
      </w:r>
      <w:r w:rsidR="00CA7077">
        <w:rPr>
          <w:rFonts w:ascii="Verdana" w:hAnsi="Verdana"/>
        </w:rPr>
        <w:t xml:space="preserve">het weigeren van het geven van </w:t>
      </w:r>
      <w:r w:rsidR="00055657" w:rsidRPr="000B0A6A">
        <w:rPr>
          <w:rFonts w:ascii="Verdana" w:hAnsi="Verdana"/>
        </w:rPr>
        <w:t>toestemming niet kon weten dat de gegevens nodig zouden zijn in het kader van zijn gewelddadige dood</w:t>
      </w:r>
      <w:r w:rsidR="00AB0849" w:rsidRPr="000B0A6A">
        <w:rPr>
          <w:rStyle w:val="Voetnootmarkering"/>
          <w:rFonts w:ascii="Verdana" w:hAnsi="Verdana"/>
        </w:rPr>
        <w:footnoteReference w:id="127"/>
      </w:r>
      <w:r w:rsidR="00C47EE5" w:rsidRPr="000B0A6A">
        <w:rPr>
          <w:rFonts w:ascii="Verdana" w:hAnsi="Verdana"/>
        </w:rPr>
        <w:t>. I</w:t>
      </w:r>
      <w:r w:rsidR="00055657" w:rsidRPr="000B0A6A">
        <w:rPr>
          <w:rFonts w:ascii="Verdana" w:hAnsi="Verdana"/>
        </w:rPr>
        <w:t>n een andere uitspraak vond de rechtban</w:t>
      </w:r>
      <w:r w:rsidR="00C47EE5" w:rsidRPr="000B0A6A">
        <w:rPr>
          <w:rFonts w:ascii="Verdana" w:hAnsi="Verdana"/>
        </w:rPr>
        <w:t>k het niet doorslaggevend dat aan de</w:t>
      </w:r>
      <w:r w:rsidR="00055657" w:rsidRPr="000B0A6A">
        <w:rPr>
          <w:rFonts w:ascii="Verdana" w:hAnsi="Verdana"/>
        </w:rPr>
        <w:t xml:space="preserve"> patiënten geen toestemming</w:t>
      </w:r>
      <w:r w:rsidR="00C47EE5" w:rsidRPr="000B0A6A">
        <w:rPr>
          <w:rFonts w:ascii="Verdana" w:hAnsi="Verdana"/>
        </w:rPr>
        <w:t xml:space="preserve"> was gevraagd,</w:t>
      </w:r>
      <w:r w:rsidR="00055657" w:rsidRPr="000B0A6A">
        <w:rPr>
          <w:rFonts w:ascii="Verdana" w:hAnsi="Verdana"/>
        </w:rPr>
        <w:t xml:space="preserve"> omd</w:t>
      </w:r>
      <w:r w:rsidR="00C47EE5" w:rsidRPr="000B0A6A">
        <w:rPr>
          <w:rFonts w:ascii="Verdana" w:hAnsi="Verdana"/>
        </w:rPr>
        <w:t>at zij in verband met hun</w:t>
      </w:r>
      <w:r w:rsidR="00055657" w:rsidRPr="000B0A6A">
        <w:rPr>
          <w:rFonts w:ascii="Verdana" w:hAnsi="Verdana"/>
        </w:rPr>
        <w:t xml:space="preserve"> geestestoestand</w:t>
      </w:r>
      <w:r w:rsidR="00C47EE5" w:rsidRPr="000B0A6A">
        <w:rPr>
          <w:rFonts w:ascii="Verdana" w:hAnsi="Verdana"/>
        </w:rPr>
        <w:t xml:space="preserve"> hierin waarschijnlijk geen goed standpunt konden innemen</w:t>
      </w:r>
      <w:r w:rsidR="00AB0849" w:rsidRPr="000B0A6A">
        <w:rPr>
          <w:rStyle w:val="Voetnootmarkering"/>
          <w:rFonts w:ascii="Verdana" w:hAnsi="Verdana"/>
        </w:rPr>
        <w:footnoteReference w:id="128"/>
      </w:r>
      <w:r w:rsidR="00055657" w:rsidRPr="000B0A6A">
        <w:rPr>
          <w:rFonts w:ascii="Verdana" w:hAnsi="Verdana"/>
        </w:rPr>
        <w:t xml:space="preserve">. </w:t>
      </w:r>
      <w:r w:rsidR="008F72BA" w:rsidRPr="000B0A6A">
        <w:rPr>
          <w:rFonts w:ascii="Verdana" w:hAnsi="Verdana"/>
        </w:rPr>
        <w:t>In vier</w:t>
      </w:r>
      <w:r w:rsidR="00CA7077">
        <w:rPr>
          <w:rFonts w:ascii="Verdana" w:hAnsi="Verdana"/>
        </w:rPr>
        <w:t xml:space="preserve"> </w:t>
      </w:r>
      <w:r w:rsidR="00055657" w:rsidRPr="000B0A6A">
        <w:rPr>
          <w:rFonts w:ascii="Verdana" w:hAnsi="Verdana"/>
        </w:rPr>
        <w:t>andere</w:t>
      </w:r>
      <w:r w:rsidR="00CA7077">
        <w:rPr>
          <w:rFonts w:ascii="Verdana" w:hAnsi="Verdana"/>
        </w:rPr>
        <w:t xml:space="preserve"> </w:t>
      </w:r>
      <w:r w:rsidR="00E775AE" w:rsidRPr="000B0A6A">
        <w:rPr>
          <w:rFonts w:ascii="Verdana" w:hAnsi="Verdana"/>
        </w:rPr>
        <w:t>rechts</w:t>
      </w:r>
      <w:r w:rsidR="0067559E" w:rsidRPr="000B0A6A">
        <w:rPr>
          <w:rFonts w:ascii="Verdana" w:hAnsi="Verdana"/>
        </w:rPr>
        <w:t xml:space="preserve">zaken werd het beslag </w:t>
      </w:r>
      <w:r w:rsidR="00055657" w:rsidRPr="000B0A6A">
        <w:rPr>
          <w:rFonts w:ascii="Verdana" w:hAnsi="Verdana"/>
        </w:rPr>
        <w:t xml:space="preserve">wel </w:t>
      </w:r>
      <w:r w:rsidR="0067559E" w:rsidRPr="000B0A6A">
        <w:rPr>
          <w:rFonts w:ascii="Verdana" w:hAnsi="Verdana"/>
        </w:rPr>
        <w:t xml:space="preserve">rechtmatig geacht </w:t>
      </w:r>
      <w:r w:rsidR="008F72BA" w:rsidRPr="000B0A6A">
        <w:rPr>
          <w:rFonts w:ascii="Verdana" w:hAnsi="Verdana"/>
        </w:rPr>
        <w:t xml:space="preserve">(mede) </w:t>
      </w:r>
      <w:r w:rsidR="0067559E" w:rsidRPr="000B0A6A">
        <w:rPr>
          <w:rFonts w:ascii="Verdana" w:hAnsi="Verdana"/>
        </w:rPr>
        <w:t>omdat de patiënten toestemming hadden gegeven om de gegevens te verstrekken aan het O</w:t>
      </w:r>
      <w:r w:rsidR="004C7992">
        <w:rPr>
          <w:rFonts w:ascii="Verdana" w:hAnsi="Verdana"/>
        </w:rPr>
        <w:t xml:space="preserve">penbaar </w:t>
      </w:r>
      <w:r w:rsidR="0067559E" w:rsidRPr="000B0A6A">
        <w:rPr>
          <w:rFonts w:ascii="Verdana" w:hAnsi="Verdana"/>
        </w:rPr>
        <w:t>M</w:t>
      </w:r>
      <w:r w:rsidR="004C7992">
        <w:rPr>
          <w:rFonts w:ascii="Verdana" w:hAnsi="Verdana"/>
        </w:rPr>
        <w:t>inisterie</w:t>
      </w:r>
      <w:r w:rsidR="0067559E" w:rsidRPr="000B0A6A">
        <w:rPr>
          <w:rStyle w:val="Voetnootmarkering"/>
          <w:rFonts w:ascii="Verdana" w:hAnsi="Verdana"/>
        </w:rPr>
        <w:footnoteReference w:id="129"/>
      </w:r>
      <w:r w:rsidR="0067559E" w:rsidRPr="000B0A6A">
        <w:rPr>
          <w:rFonts w:ascii="Verdana" w:hAnsi="Verdana"/>
        </w:rPr>
        <w:t xml:space="preserve">. </w:t>
      </w:r>
    </w:p>
    <w:p w:rsidR="003A6DA4" w:rsidRDefault="003A6DA4" w:rsidP="0092501F">
      <w:pPr>
        <w:spacing w:after="0" w:line="22" w:lineRule="atLeast"/>
        <w:jc w:val="both"/>
        <w:rPr>
          <w:rFonts w:ascii="Verdana" w:hAnsi="Verdana"/>
          <w:color w:val="C0504D" w:themeColor="accent2"/>
        </w:rPr>
      </w:pPr>
    </w:p>
    <w:p w:rsidR="003A6DA4" w:rsidRPr="00C662C2" w:rsidRDefault="003A6DA4" w:rsidP="0092501F">
      <w:pPr>
        <w:spacing w:after="0" w:line="22" w:lineRule="atLeast"/>
        <w:jc w:val="both"/>
        <w:rPr>
          <w:rFonts w:ascii="Verdana" w:hAnsi="Verdana"/>
        </w:rPr>
      </w:pPr>
      <w:r w:rsidRPr="00D6558D">
        <w:rPr>
          <w:rFonts w:ascii="Verdana" w:hAnsi="Verdana"/>
        </w:rPr>
        <w:lastRenderedPageBreak/>
        <w:t xml:space="preserve">In de gevallen waarin de rechters afweken van het standpunt van de cliënt/ patiënt, was er sprake van een goed gemotiveerde reden om dit te doen. Het is namelijk goed in te denken dat iemand die jaren geleden weigerde toestemming te geven voor het verstrekken van gegevens nooit aan de situatie heeft gedacht dat hij ooit door middel van geweld om het leven zou komen.  </w:t>
      </w:r>
      <w:r w:rsidR="009529FF" w:rsidRPr="00D6558D">
        <w:rPr>
          <w:rFonts w:ascii="Verdana" w:hAnsi="Verdana"/>
        </w:rPr>
        <w:t>En ook de situatie waarin het gaat om patiënten die in een zodanige geestestoestand verkeren dat getwijfeld kan worden aan hun beoordelingsmogelijkheden, is het begrijpelijk dat hier geen dusdanig gewicht aan wordt gehangen.</w:t>
      </w:r>
      <w:r w:rsidR="009529FF" w:rsidRPr="00C662C2">
        <w:rPr>
          <w:rFonts w:ascii="Verdana" w:hAnsi="Verdana"/>
        </w:rPr>
        <w:t xml:space="preserve"> </w:t>
      </w:r>
    </w:p>
    <w:p w:rsidR="00922237" w:rsidRPr="00922237" w:rsidRDefault="00922237" w:rsidP="0092501F">
      <w:pPr>
        <w:spacing w:after="0" w:line="22" w:lineRule="atLeast"/>
        <w:jc w:val="both"/>
        <w:rPr>
          <w:rFonts w:ascii="Verdana" w:hAnsi="Verdana"/>
          <w:strike/>
        </w:rPr>
      </w:pPr>
    </w:p>
    <w:p w:rsidR="00E16D80" w:rsidRPr="0045654C" w:rsidRDefault="00E16D80" w:rsidP="0092501F">
      <w:pPr>
        <w:spacing w:after="0" w:line="22" w:lineRule="atLeast"/>
        <w:rPr>
          <w:rFonts w:ascii="Verdana" w:hAnsi="Verdana"/>
        </w:rPr>
      </w:pPr>
    </w:p>
    <w:p w:rsidR="00E16D80" w:rsidRDefault="00960FD3" w:rsidP="0092501F">
      <w:pPr>
        <w:pStyle w:val="Kop2"/>
        <w:spacing w:before="0" w:line="22" w:lineRule="atLeast"/>
        <w:rPr>
          <w:rFonts w:ascii="Verdana" w:hAnsi="Verdana"/>
        </w:rPr>
      </w:pPr>
      <w:bookmarkStart w:id="58" w:name="_Toc451895021"/>
      <w:r w:rsidRPr="00CC7954">
        <w:rPr>
          <w:rFonts w:ascii="Verdana" w:hAnsi="Verdana"/>
        </w:rPr>
        <w:t>6</w:t>
      </w:r>
      <w:r w:rsidR="00C673AE">
        <w:rPr>
          <w:rFonts w:ascii="Verdana" w:hAnsi="Verdana"/>
        </w:rPr>
        <w:t>.5</w:t>
      </w:r>
      <w:r w:rsidR="00E16D80" w:rsidRPr="00CC7954">
        <w:rPr>
          <w:rFonts w:ascii="Verdana" w:hAnsi="Verdana"/>
        </w:rPr>
        <w:t xml:space="preserve"> De eventuele verdenking tegen de verschonings</w:t>
      </w:r>
      <w:r w:rsidR="001F1B0A">
        <w:rPr>
          <w:rFonts w:ascii="Verdana" w:hAnsi="Verdana"/>
        </w:rPr>
        <w:t>-</w:t>
      </w:r>
      <w:r w:rsidR="00E16D80" w:rsidRPr="00CC7954">
        <w:rPr>
          <w:rFonts w:ascii="Verdana" w:hAnsi="Verdana"/>
        </w:rPr>
        <w:t>gerechtigde</w:t>
      </w:r>
      <w:bookmarkEnd w:id="58"/>
    </w:p>
    <w:p w:rsidR="00564BBF" w:rsidRPr="000B0A6A" w:rsidRDefault="00982FB4" w:rsidP="0092501F">
      <w:pPr>
        <w:spacing w:after="0" w:line="22" w:lineRule="atLeast"/>
        <w:jc w:val="both"/>
        <w:rPr>
          <w:rFonts w:ascii="Verdana" w:hAnsi="Verdana"/>
        </w:rPr>
      </w:pPr>
      <w:r w:rsidRPr="000B0A6A">
        <w:rPr>
          <w:rFonts w:ascii="Verdana" w:hAnsi="Verdana"/>
        </w:rPr>
        <w:t>Met uitzondering van vier rechtszaken</w:t>
      </w:r>
      <w:r w:rsidRPr="000B0A6A">
        <w:rPr>
          <w:rStyle w:val="Voetnootmarkering"/>
          <w:rFonts w:ascii="Verdana" w:hAnsi="Verdana"/>
        </w:rPr>
        <w:footnoteReference w:id="130"/>
      </w:r>
      <w:r w:rsidRPr="000B0A6A">
        <w:rPr>
          <w:rFonts w:ascii="Verdana" w:hAnsi="Verdana"/>
        </w:rPr>
        <w:t xml:space="preserve">, werd in alle geanalyseerde uitspraken benoemd tegen wie de verdenking was gerezen. </w:t>
      </w:r>
      <w:r w:rsidR="00E454C6" w:rsidRPr="000B0A6A">
        <w:rPr>
          <w:rFonts w:ascii="Verdana" w:hAnsi="Verdana"/>
        </w:rPr>
        <w:t>D</w:t>
      </w:r>
      <w:r w:rsidR="00DD6229">
        <w:rPr>
          <w:rFonts w:ascii="Verdana" w:hAnsi="Verdana"/>
        </w:rPr>
        <w:t>it ging in bijna alle gevallen om</w:t>
      </w:r>
      <w:r w:rsidR="00E454C6" w:rsidRPr="000B0A6A">
        <w:rPr>
          <w:rFonts w:ascii="Verdana" w:hAnsi="Verdana"/>
        </w:rPr>
        <w:t xml:space="preserve"> een verdenking tegen de beroepsbeoefen</w:t>
      </w:r>
      <w:r w:rsidR="00DD6229">
        <w:rPr>
          <w:rFonts w:ascii="Verdana" w:hAnsi="Verdana"/>
        </w:rPr>
        <w:t>aar zelf of tegen diens cliënt</w:t>
      </w:r>
      <w:r w:rsidR="00E454C6" w:rsidRPr="000B0A6A">
        <w:rPr>
          <w:rFonts w:ascii="Verdana" w:hAnsi="Verdana"/>
        </w:rPr>
        <w:t>/</w:t>
      </w:r>
      <w:r w:rsidR="00DD6229">
        <w:rPr>
          <w:rFonts w:ascii="Verdana" w:hAnsi="Verdana"/>
        </w:rPr>
        <w:t xml:space="preserve"> patiënt</w:t>
      </w:r>
      <w:r w:rsidR="00E454C6" w:rsidRPr="000B0A6A">
        <w:rPr>
          <w:rFonts w:ascii="Verdana" w:hAnsi="Verdana"/>
        </w:rPr>
        <w:t xml:space="preserve">. </w:t>
      </w:r>
      <w:r w:rsidR="000E7FE9" w:rsidRPr="000B0A6A">
        <w:rPr>
          <w:rFonts w:ascii="Verdana" w:hAnsi="Verdana"/>
        </w:rPr>
        <w:t>In één</w:t>
      </w:r>
      <w:r w:rsidR="00E454C6" w:rsidRPr="000B0A6A">
        <w:rPr>
          <w:rFonts w:ascii="Verdana" w:hAnsi="Verdana"/>
        </w:rPr>
        <w:t xml:space="preserve"> enkel geval was er een verdenking tegen een externe partij</w:t>
      </w:r>
      <w:r w:rsidR="000E7FE9" w:rsidRPr="000B0A6A">
        <w:rPr>
          <w:rFonts w:ascii="Verdana" w:hAnsi="Verdana"/>
        </w:rPr>
        <w:t>, namelijk tegen een politieagente die, in strijd met het ambtsgeheim, politie</w:t>
      </w:r>
      <w:r w:rsidR="001D43E5" w:rsidRPr="000B0A6A">
        <w:rPr>
          <w:rFonts w:ascii="Verdana" w:hAnsi="Verdana"/>
        </w:rPr>
        <w:t>-</w:t>
      </w:r>
      <w:r w:rsidR="000E7FE9" w:rsidRPr="000B0A6A">
        <w:rPr>
          <w:rFonts w:ascii="Verdana" w:hAnsi="Verdana"/>
        </w:rPr>
        <w:t xml:space="preserve">gegevens doorspeelde via </w:t>
      </w:r>
      <w:r w:rsidR="000170C9" w:rsidRPr="000B0A6A">
        <w:rPr>
          <w:rFonts w:ascii="Verdana" w:hAnsi="Verdana"/>
        </w:rPr>
        <w:t>onofficiële</w:t>
      </w:r>
      <w:r w:rsidR="000E7FE9" w:rsidRPr="000B0A6A">
        <w:rPr>
          <w:rFonts w:ascii="Verdana" w:hAnsi="Verdana"/>
        </w:rPr>
        <w:t xml:space="preserve"> kanalen en hiervoor </w:t>
      </w:r>
      <w:r w:rsidR="000170C9" w:rsidRPr="000B0A6A">
        <w:rPr>
          <w:rFonts w:ascii="Verdana" w:hAnsi="Verdana"/>
        </w:rPr>
        <w:t xml:space="preserve">kreeg </w:t>
      </w:r>
      <w:r w:rsidR="00BF40D3" w:rsidRPr="000B0A6A">
        <w:rPr>
          <w:rFonts w:ascii="Verdana" w:hAnsi="Verdana"/>
        </w:rPr>
        <w:t>betaald van een</w:t>
      </w:r>
      <w:r w:rsidR="000E7FE9" w:rsidRPr="000B0A6A">
        <w:rPr>
          <w:rFonts w:ascii="Verdana" w:hAnsi="Verdana"/>
        </w:rPr>
        <w:t xml:space="preserve"> advocaat</w:t>
      </w:r>
      <w:r w:rsidR="00E454C6" w:rsidRPr="000B0A6A">
        <w:rPr>
          <w:rStyle w:val="Voetnootmarkering"/>
          <w:rFonts w:ascii="Verdana" w:hAnsi="Verdana"/>
        </w:rPr>
        <w:footnoteReference w:id="131"/>
      </w:r>
      <w:r w:rsidR="000E7FE9" w:rsidRPr="000B0A6A">
        <w:rPr>
          <w:rFonts w:ascii="Verdana" w:hAnsi="Verdana"/>
        </w:rPr>
        <w:t xml:space="preserve">. </w:t>
      </w:r>
    </w:p>
    <w:p w:rsidR="00D96A67" w:rsidRPr="000B0A6A" w:rsidRDefault="00D96A67" w:rsidP="0092501F">
      <w:pPr>
        <w:spacing w:after="0" w:line="22" w:lineRule="atLeast"/>
        <w:jc w:val="both"/>
        <w:rPr>
          <w:rFonts w:ascii="Verdana" w:hAnsi="Verdana"/>
        </w:rPr>
      </w:pPr>
    </w:p>
    <w:p w:rsidR="00D96A67" w:rsidRPr="00F77BC9" w:rsidRDefault="00D96A67" w:rsidP="0092501F">
      <w:pPr>
        <w:spacing w:after="0" w:line="22" w:lineRule="atLeast"/>
        <w:jc w:val="both"/>
        <w:rPr>
          <w:rFonts w:ascii="Verdana" w:hAnsi="Verdana"/>
          <w:color w:val="C0504D" w:themeColor="accent2"/>
        </w:rPr>
      </w:pPr>
      <w:r w:rsidRPr="000B0A6A">
        <w:rPr>
          <w:rFonts w:ascii="Verdana" w:hAnsi="Verdana"/>
        </w:rPr>
        <w:t>Deze factor lijkt van feitelijke aard te zijn. Er wordt namelijk enkel vermeld wie er verdacht wordt. Deze factor kan in sommige gevallen</w:t>
      </w:r>
      <w:r w:rsidR="00780B08" w:rsidRPr="000B0A6A">
        <w:rPr>
          <w:rFonts w:ascii="Verdana" w:hAnsi="Verdana"/>
        </w:rPr>
        <w:t>, met name wanneer het gaat om een verdenking tegen een beroepsbeoefenaar,</w:t>
      </w:r>
      <w:r w:rsidRPr="000B0A6A">
        <w:rPr>
          <w:rFonts w:ascii="Verdana" w:hAnsi="Verdana"/>
        </w:rPr>
        <w:t xml:space="preserve"> wel in samenhang worden gelezen met de factor ‘belang en ernst van de strafzaak’. </w:t>
      </w:r>
      <w:r w:rsidR="00780B08" w:rsidRPr="000B0A6A">
        <w:rPr>
          <w:rFonts w:ascii="Verdana" w:hAnsi="Verdana"/>
        </w:rPr>
        <w:t>In som</w:t>
      </w:r>
      <w:r w:rsidR="00F77BC9" w:rsidRPr="000B0A6A">
        <w:rPr>
          <w:rFonts w:ascii="Verdana" w:hAnsi="Verdana"/>
        </w:rPr>
        <w:t>mige gevallen waarin het</w:t>
      </w:r>
      <w:r w:rsidR="00780B08" w:rsidRPr="000B0A6A">
        <w:rPr>
          <w:rFonts w:ascii="Verdana" w:hAnsi="Verdana"/>
        </w:rPr>
        <w:t xml:space="preserve"> gaat om een verdenking tegen een beroeps</w:t>
      </w:r>
      <w:r w:rsidR="00F77BC9" w:rsidRPr="000B0A6A">
        <w:rPr>
          <w:rFonts w:ascii="Verdana" w:hAnsi="Verdana"/>
        </w:rPr>
        <w:t xml:space="preserve">beoefenaar is </w:t>
      </w:r>
      <w:r w:rsidR="00780B08" w:rsidRPr="000B0A6A">
        <w:rPr>
          <w:rFonts w:ascii="Verdana" w:hAnsi="Verdana"/>
        </w:rPr>
        <w:t>bij d</w:t>
      </w:r>
      <w:r w:rsidR="00F77BC9" w:rsidRPr="000B0A6A">
        <w:rPr>
          <w:rFonts w:ascii="Verdana" w:hAnsi="Verdana"/>
        </w:rPr>
        <w:t>i</w:t>
      </w:r>
      <w:r w:rsidR="00780B08" w:rsidRPr="000B0A6A">
        <w:rPr>
          <w:rFonts w:ascii="Verdana" w:hAnsi="Verdana"/>
        </w:rPr>
        <w:t>e factor</w:t>
      </w:r>
      <w:r w:rsidR="00F77BC9" w:rsidRPr="000B0A6A">
        <w:rPr>
          <w:rFonts w:ascii="Verdana" w:hAnsi="Verdana"/>
        </w:rPr>
        <w:t xml:space="preserve"> namelijk</w:t>
      </w:r>
      <w:r w:rsidR="00780B08" w:rsidRPr="000B0A6A">
        <w:rPr>
          <w:rFonts w:ascii="Verdana" w:hAnsi="Verdana"/>
        </w:rPr>
        <w:t xml:space="preserve"> te lezen </w:t>
      </w:r>
      <w:r w:rsidR="00780B08" w:rsidRPr="00C662C2">
        <w:rPr>
          <w:rFonts w:ascii="Verdana" w:hAnsi="Verdana"/>
        </w:rPr>
        <w:t>dat die verdenking afbreuk zou kunnen doen aan het vertrouwen in die beroepsbeoefenaar</w:t>
      </w:r>
      <w:r w:rsidR="00050729" w:rsidRPr="00C662C2">
        <w:rPr>
          <w:rStyle w:val="Voetnootmarkering"/>
          <w:rFonts w:ascii="Verdana" w:hAnsi="Verdana"/>
        </w:rPr>
        <w:footnoteReference w:id="132"/>
      </w:r>
      <w:r w:rsidR="00780B08" w:rsidRPr="00C662C2">
        <w:rPr>
          <w:rFonts w:ascii="Verdana" w:hAnsi="Verdana"/>
        </w:rPr>
        <w:t>.</w:t>
      </w:r>
      <w:r w:rsidR="00B14932" w:rsidRPr="00C662C2">
        <w:rPr>
          <w:rFonts w:ascii="Verdana" w:hAnsi="Verdana"/>
        </w:rPr>
        <w:t> </w:t>
      </w:r>
      <w:r w:rsidR="00B8435C" w:rsidRPr="00C662C2">
        <w:rPr>
          <w:rFonts w:ascii="Verdana" w:hAnsi="Verdana"/>
        </w:rPr>
        <w:t>Echter, over de invloed van het enkele feit wie er verdacht wordt</w:t>
      </w:r>
      <w:r w:rsidR="00B14932" w:rsidRPr="00C662C2">
        <w:rPr>
          <w:rFonts w:ascii="Verdana" w:hAnsi="Verdana"/>
        </w:rPr>
        <w:t xml:space="preserve"> op de uiteindelijke beslissing van de eerstelijns rechter</w:t>
      </w:r>
      <w:r w:rsidR="00B8435C" w:rsidRPr="00C662C2">
        <w:rPr>
          <w:rFonts w:ascii="Verdana" w:hAnsi="Verdana"/>
        </w:rPr>
        <w:t xml:space="preserve">, kan niet veel </w:t>
      </w:r>
      <w:r w:rsidR="00B14932" w:rsidRPr="00C662C2">
        <w:rPr>
          <w:rFonts w:ascii="Verdana" w:hAnsi="Verdana"/>
        </w:rPr>
        <w:t>worden gezegd</w:t>
      </w:r>
      <w:r w:rsidR="00B8435C" w:rsidRPr="00C662C2">
        <w:rPr>
          <w:rFonts w:ascii="Verdana" w:hAnsi="Verdana"/>
        </w:rPr>
        <w:t>.</w:t>
      </w:r>
    </w:p>
    <w:p w:rsidR="00564BBF" w:rsidRPr="0045654C" w:rsidRDefault="00564BBF" w:rsidP="0092501F">
      <w:pPr>
        <w:spacing w:after="0" w:line="22" w:lineRule="atLeast"/>
        <w:rPr>
          <w:rFonts w:ascii="Verdana" w:hAnsi="Verdana"/>
          <w:szCs w:val="24"/>
        </w:rPr>
      </w:pPr>
    </w:p>
    <w:p w:rsidR="00CC7954" w:rsidRPr="0045654C" w:rsidRDefault="00CC7954" w:rsidP="0092501F">
      <w:pPr>
        <w:spacing w:after="0" w:line="22" w:lineRule="atLeast"/>
        <w:rPr>
          <w:rFonts w:ascii="Verdana" w:hAnsi="Verdana"/>
        </w:rPr>
      </w:pPr>
    </w:p>
    <w:p w:rsidR="00E16D80" w:rsidRPr="00E16D80" w:rsidRDefault="00960FD3" w:rsidP="0092501F">
      <w:pPr>
        <w:pStyle w:val="Kop2"/>
        <w:spacing w:before="0" w:line="22" w:lineRule="atLeast"/>
        <w:rPr>
          <w:rFonts w:ascii="Verdana" w:hAnsi="Verdana"/>
        </w:rPr>
      </w:pPr>
      <w:bookmarkStart w:id="59" w:name="_Toc451895022"/>
      <w:r>
        <w:rPr>
          <w:rFonts w:ascii="Verdana" w:hAnsi="Verdana"/>
        </w:rPr>
        <w:t>6</w:t>
      </w:r>
      <w:r w:rsidR="00E16D80" w:rsidRPr="00E16D80">
        <w:rPr>
          <w:rFonts w:ascii="Verdana" w:hAnsi="Verdana"/>
        </w:rPr>
        <w:t>.</w:t>
      </w:r>
      <w:r w:rsidR="00C673AE">
        <w:rPr>
          <w:rFonts w:ascii="Verdana" w:hAnsi="Verdana"/>
        </w:rPr>
        <w:t>6</w:t>
      </w:r>
      <w:r w:rsidR="00E16D80" w:rsidRPr="00E16D80">
        <w:rPr>
          <w:rFonts w:ascii="Verdana" w:hAnsi="Verdana"/>
        </w:rPr>
        <w:t xml:space="preserve"> De proportionaliteit en subsidiariteit</w:t>
      </w:r>
      <w:bookmarkEnd w:id="59"/>
    </w:p>
    <w:p w:rsidR="004515E5" w:rsidRPr="000B0A6A" w:rsidRDefault="003F0E39" w:rsidP="0092501F">
      <w:pPr>
        <w:spacing w:after="0" w:line="22" w:lineRule="atLeast"/>
        <w:jc w:val="both"/>
        <w:rPr>
          <w:rFonts w:ascii="Verdana" w:hAnsi="Verdana"/>
        </w:rPr>
      </w:pPr>
      <w:r w:rsidRPr="000B0A6A">
        <w:rPr>
          <w:rFonts w:ascii="Verdana" w:hAnsi="Verdana"/>
        </w:rPr>
        <w:t>De proportionaliteit en subsidiariteit werd</w:t>
      </w:r>
      <w:r w:rsidR="00B14932">
        <w:rPr>
          <w:rFonts w:ascii="Verdana" w:hAnsi="Verdana"/>
        </w:rPr>
        <w:t>en</w:t>
      </w:r>
      <w:r w:rsidRPr="000B0A6A">
        <w:rPr>
          <w:rFonts w:ascii="Verdana" w:hAnsi="Verdana"/>
        </w:rPr>
        <w:t xml:space="preserve"> in </w:t>
      </w:r>
      <w:r w:rsidR="004515E5" w:rsidRPr="000B0A6A">
        <w:rPr>
          <w:rFonts w:ascii="Verdana" w:hAnsi="Verdana"/>
        </w:rPr>
        <w:t xml:space="preserve">21 van de 34 </w:t>
      </w:r>
      <w:r w:rsidRPr="000B0A6A">
        <w:rPr>
          <w:rFonts w:ascii="Verdana" w:hAnsi="Verdana"/>
        </w:rPr>
        <w:t>geanalyseerde uitspraken besproken.</w:t>
      </w:r>
      <w:r w:rsidR="006116D2" w:rsidRPr="000B0A6A">
        <w:rPr>
          <w:rFonts w:ascii="Verdana" w:hAnsi="Verdana"/>
        </w:rPr>
        <w:t> </w:t>
      </w:r>
      <w:r w:rsidR="00ED56A9" w:rsidRPr="000B0A6A">
        <w:rPr>
          <w:rFonts w:ascii="Verdana" w:hAnsi="Verdana"/>
        </w:rPr>
        <w:t>Zoals hierna zal blijken, speelden d</w:t>
      </w:r>
      <w:r w:rsidR="004515E5" w:rsidRPr="000B0A6A">
        <w:rPr>
          <w:rFonts w:ascii="Verdana" w:hAnsi="Verdana"/>
        </w:rPr>
        <w:t>e proportionaliteit en subsidiariteit een grote rol in de uiteindelijke</w:t>
      </w:r>
      <w:r w:rsidR="00ED56A9" w:rsidRPr="000B0A6A">
        <w:rPr>
          <w:rFonts w:ascii="Verdana" w:hAnsi="Verdana"/>
        </w:rPr>
        <w:t xml:space="preserve"> beslissing van de rechters.  </w:t>
      </w:r>
    </w:p>
    <w:p w:rsidR="004515E5" w:rsidRPr="000B0A6A" w:rsidRDefault="004515E5" w:rsidP="0092501F">
      <w:pPr>
        <w:spacing w:after="0" w:line="22" w:lineRule="atLeast"/>
        <w:jc w:val="both"/>
        <w:rPr>
          <w:rFonts w:ascii="Verdana" w:hAnsi="Verdana"/>
        </w:rPr>
      </w:pPr>
    </w:p>
    <w:p w:rsidR="00380C58" w:rsidRDefault="00F1095A" w:rsidP="0092501F">
      <w:pPr>
        <w:spacing w:after="0" w:line="22" w:lineRule="atLeast"/>
        <w:jc w:val="both"/>
        <w:rPr>
          <w:rFonts w:ascii="Verdana" w:hAnsi="Verdana"/>
        </w:rPr>
      </w:pPr>
      <w:r w:rsidRPr="000B0A6A">
        <w:rPr>
          <w:rFonts w:ascii="Verdana" w:hAnsi="Verdana"/>
        </w:rPr>
        <w:t>Ten eerste de proportionaliteit. Indien de inbeslagname op een gerichte wijze had plaatsgevonden, achtte</w:t>
      </w:r>
      <w:r w:rsidR="00A56665" w:rsidRPr="000B0A6A">
        <w:rPr>
          <w:rFonts w:ascii="Verdana" w:hAnsi="Verdana"/>
        </w:rPr>
        <w:t>n</w:t>
      </w:r>
      <w:r w:rsidRPr="000B0A6A">
        <w:rPr>
          <w:rFonts w:ascii="Verdana" w:hAnsi="Verdana"/>
        </w:rPr>
        <w:t xml:space="preserve"> de rechters dit proportioneel en werd het</w:t>
      </w:r>
      <w:r w:rsidR="00B14932">
        <w:rPr>
          <w:rFonts w:ascii="Verdana" w:hAnsi="Verdana"/>
        </w:rPr>
        <w:t xml:space="preserve"> doorbreken van het verschoningsrecht</w:t>
      </w:r>
      <w:r w:rsidRPr="000B0A6A">
        <w:rPr>
          <w:rFonts w:ascii="Verdana" w:hAnsi="Verdana"/>
        </w:rPr>
        <w:t xml:space="preserve"> rechtmatig geacht</w:t>
      </w:r>
      <w:r w:rsidRPr="000B0A6A">
        <w:rPr>
          <w:rStyle w:val="Voetnootmarkering"/>
          <w:rFonts w:ascii="Verdana" w:hAnsi="Verdana"/>
        </w:rPr>
        <w:footnoteReference w:id="133"/>
      </w:r>
      <w:r w:rsidRPr="000B0A6A">
        <w:rPr>
          <w:rFonts w:ascii="Verdana" w:hAnsi="Verdana"/>
        </w:rPr>
        <w:t>. Een vordering tot inbeslagname die de beslagene veel werk oplevert</w:t>
      </w:r>
      <w:r w:rsidR="008026E4">
        <w:rPr>
          <w:rFonts w:ascii="Verdana" w:hAnsi="Verdana"/>
        </w:rPr>
        <w:t>,</w:t>
      </w:r>
      <w:r w:rsidRPr="000B0A6A">
        <w:rPr>
          <w:rFonts w:ascii="Verdana" w:hAnsi="Verdana"/>
        </w:rPr>
        <w:t xml:space="preserve"> maakt deze nog niet disproportioneel volgens de rechtbank Oost-Brabant</w:t>
      </w:r>
      <w:r w:rsidRPr="000B0A6A">
        <w:rPr>
          <w:rStyle w:val="Voetnootmarkering"/>
          <w:rFonts w:ascii="Verdana" w:hAnsi="Verdana"/>
        </w:rPr>
        <w:footnoteReference w:id="134"/>
      </w:r>
      <w:r w:rsidRPr="000B0A6A">
        <w:rPr>
          <w:rFonts w:ascii="Verdana" w:hAnsi="Verdana"/>
        </w:rPr>
        <w:t xml:space="preserve">. In de uitspraken waarin </w:t>
      </w:r>
      <w:r w:rsidRPr="000B0A6A">
        <w:rPr>
          <w:rFonts w:ascii="Verdana" w:hAnsi="Verdana"/>
        </w:rPr>
        <w:lastRenderedPageBreak/>
        <w:t>het niet ging om een gerichte inbeslagname, achtte</w:t>
      </w:r>
      <w:r w:rsidR="00A56665" w:rsidRPr="000B0A6A">
        <w:rPr>
          <w:rFonts w:ascii="Verdana" w:hAnsi="Verdana"/>
        </w:rPr>
        <w:t>n</w:t>
      </w:r>
      <w:r w:rsidR="00B14932">
        <w:rPr>
          <w:rFonts w:ascii="Verdana" w:hAnsi="Verdana"/>
        </w:rPr>
        <w:t xml:space="preserve"> de rechters </w:t>
      </w:r>
      <w:r w:rsidR="00380C58">
        <w:rPr>
          <w:rFonts w:ascii="Verdana" w:hAnsi="Verdana"/>
        </w:rPr>
        <w:t>de zeer uitzonderlijke omstandigheden niet aanwezig waardoor het verschoningsrecht niet doorbroken mocht worden</w:t>
      </w:r>
      <w:r w:rsidR="00380C58" w:rsidRPr="000B0A6A">
        <w:rPr>
          <w:rStyle w:val="Voetnootmarkering"/>
          <w:rFonts w:ascii="Verdana" w:hAnsi="Verdana"/>
        </w:rPr>
        <w:footnoteReference w:id="135"/>
      </w:r>
      <w:r w:rsidR="00380C58">
        <w:rPr>
          <w:rFonts w:ascii="Verdana" w:hAnsi="Verdana"/>
        </w:rPr>
        <w:t xml:space="preserve">. </w:t>
      </w:r>
    </w:p>
    <w:p w:rsidR="00F1095A" w:rsidRPr="000B0A6A" w:rsidRDefault="00F1095A" w:rsidP="0092501F">
      <w:pPr>
        <w:spacing w:after="0" w:line="22" w:lineRule="atLeast"/>
        <w:jc w:val="both"/>
        <w:rPr>
          <w:rFonts w:ascii="Verdana" w:hAnsi="Verdana"/>
        </w:rPr>
      </w:pPr>
    </w:p>
    <w:p w:rsidR="00F1095A" w:rsidRPr="000B0A6A" w:rsidRDefault="00F1095A" w:rsidP="0092501F">
      <w:pPr>
        <w:spacing w:after="0" w:line="22" w:lineRule="atLeast"/>
        <w:jc w:val="both"/>
        <w:rPr>
          <w:rFonts w:ascii="Verdana" w:hAnsi="Verdana"/>
        </w:rPr>
      </w:pPr>
      <w:r w:rsidRPr="000B0A6A">
        <w:rPr>
          <w:rFonts w:ascii="Verdana" w:hAnsi="Verdana"/>
        </w:rPr>
        <w:t>Ten aanzien van de subsidiariteit het volgende. In de geanalyseerde uitspraken waarin werd benoemd of werd toegelicht dat er geen ander</w:t>
      </w:r>
      <w:r w:rsidR="00A56665" w:rsidRPr="000B0A6A">
        <w:rPr>
          <w:rFonts w:ascii="Verdana" w:hAnsi="Verdana"/>
        </w:rPr>
        <w:t>, minder ingrijpend middel voor</w:t>
      </w:r>
      <w:r w:rsidRPr="000B0A6A">
        <w:rPr>
          <w:rFonts w:ascii="Verdana" w:hAnsi="Verdana"/>
        </w:rPr>
        <w:t>handen was</w:t>
      </w:r>
      <w:r w:rsidR="00A56665" w:rsidRPr="000B0A6A">
        <w:rPr>
          <w:rFonts w:ascii="Verdana" w:hAnsi="Verdana"/>
        </w:rPr>
        <w:t xml:space="preserve"> om achter de waarheid te komen, achtten de rechters dat het beslag voldeed aan het subsidiariteitsbeginsel en werd</w:t>
      </w:r>
      <w:r w:rsidR="00380C58">
        <w:rPr>
          <w:rFonts w:ascii="Verdana" w:hAnsi="Verdana"/>
        </w:rPr>
        <w:t>en zodoende zeer uitzonderlijke omstandigheden aangenomen</w:t>
      </w:r>
      <w:r w:rsidR="00A56665" w:rsidRPr="000B0A6A">
        <w:rPr>
          <w:rStyle w:val="Voetnootmarkering"/>
          <w:rFonts w:ascii="Verdana" w:hAnsi="Verdana"/>
        </w:rPr>
        <w:footnoteReference w:id="136"/>
      </w:r>
      <w:r w:rsidR="00A56665" w:rsidRPr="000B0A6A">
        <w:rPr>
          <w:rFonts w:ascii="Verdana" w:hAnsi="Verdana"/>
        </w:rPr>
        <w:t xml:space="preserve">. In de uitspraken waarin er wel een ander, minder ingrijpend middel voorhanden was om achter de waarheid te komen, werd dit in strijd met de subsidiariteit geacht en werd het </w:t>
      </w:r>
      <w:r w:rsidR="00B14932">
        <w:rPr>
          <w:rFonts w:ascii="Verdana" w:hAnsi="Verdana"/>
        </w:rPr>
        <w:t>doorbreken van het verschoningsrecht</w:t>
      </w:r>
      <w:r w:rsidR="00A56665" w:rsidRPr="000B0A6A">
        <w:rPr>
          <w:rFonts w:ascii="Verdana" w:hAnsi="Verdana"/>
        </w:rPr>
        <w:t xml:space="preserve"> onrechtmatig geacht</w:t>
      </w:r>
      <w:r w:rsidR="00A56665" w:rsidRPr="000B0A6A">
        <w:rPr>
          <w:rStyle w:val="Voetnootmarkering"/>
          <w:rFonts w:ascii="Verdana" w:hAnsi="Verdana"/>
        </w:rPr>
        <w:footnoteReference w:id="137"/>
      </w:r>
      <w:r w:rsidR="00A56665" w:rsidRPr="000B0A6A">
        <w:rPr>
          <w:rFonts w:ascii="Verdana" w:hAnsi="Verdana"/>
        </w:rPr>
        <w:t>.</w:t>
      </w:r>
    </w:p>
    <w:p w:rsidR="00B07C9F" w:rsidRPr="000B0A6A" w:rsidRDefault="00B07C9F" w:rsidP="0092501F">
      <w:pPr>
        <w:spacing w:after="0" w:line="22" w:lineRule="atLeast"/>
        <w:jc w:val="both"/>
        <w:rPr>
          <w:rFonts w:ascii="Verdana" w:hAnsi="Verdana"/>
        </w:rPr>
      </w:pPr>
    </w:p>
    <w:p w:rsidR="00A56665" w:rsidRPr="000B0A6A" w:rsidRDefault="006C5A39" w:rsidP="0092501F">
      <w:pPr>
        <w:spacing w:after="0" w:line="22" w:lineRule="atLeast"/>
        <w:jc w:val="both"/>
        <w:rPr>
          <w:rFonts w:ascii="Verdana" w:hAnsi="Verdana"/>
        </w:rPr>
      </w:pPr>
      <w:r>
        <w:rPr>
          <w:rFonts w:ascii="Verdana" w:hAnsi="Verdana"/>
        </w:rPr>
        <w:t>Eén uitzonderingsgeval kwam voor</w:t>
      </w:r>
      <w:r w:rsidR="00B07C9F" w:rsidRPr="000B0A6A">
        <w:rPr>
          <w:rFonts w:ascii="Verdana" w:hAnsi="Verdana"/>
        </w:rPr>
        <w:t xml:space="preserve"> in een uitspraak van rechtbank Rotterdam. Hierin oordeelde de rechter dat een deel van de gegevens wellicht op een minder ingrijpende wijze had kunnen worden verkregen, maar verklaarde het beslag desondanks niet onrechtmatig omdat het ging om corpora- et instrumenta delicti die zodoende dus niet onder het verschoningsrecht vielen</w:t>
      </w:r>
      <w:r w:rsidR="00B07C9F" w:rsidRPr="000B0A6A">
        <w:rPr>
          <w:rStyle w:val="Voetnootmarkering"/>
          <w:rFonts w:ascii="Verdana" w:hAnsi="Verdana"/>
        </w:rPr>
        <w:footnoteReference w:id="138"/>
      </w:r>
      <w:r w:rsidR="00B07C9F" w:rsidRPr="000B0A6A">
        <w:rPr>
          <w:rFonts w:ascii="Verdana" w:hAnsi="Verdana"/>
        </w:rPr>
        <w:t xml:space="preserve">. </w:t>
      </w:r>
    </w:p>
    <w:p w:rsidR="00E16D80" w:rsidRDefault="00E16D80" w:rsidP="0092501F">
      <w:pPr>
        <w:spacing w:after="0" w:line="22" w:lineRule="atLeast"/>
        <w:rPr>
          <w:rFonts w:ascii="Verdana" w:hAnsi="Verdana"/>
        </w:rPr>
      </w:pPr>
    </w:p>
    <w:p w:rsidR="00296480" w:rsidRPr="00631862" w:rsidRDefault="00296480" w:rsidP="0092501F">
      <w:pPr>
        <w:spacing w:after="0" w:line="22" w:lineRule="atLeast"/>
        <w:rPr>
          <w:rFonts w:ascii="Verdana" w:hAnsi="Verdana"/>
        </w:rPr>
      </w:pPr>
    </w:p>
    <w:p w:rsidR="00E16D80" w:rsidRPr="00E16D80" w:rsidRDefault="00960FD3" w:rsidP="0092501F">
      <w:pPr>
        <w:pStyle w:val="Kop2"/>
        <w:spacing w:before="0" w:line="22" w:lineRule="atLeast"/>
        <w:rPr>
          <w:rFonts w:ascii="Verdana" w:hAnsi="Verdana"/>
        </w:rPr>
      </w:pPr>
      <w:bookmarkStart w:id="60" w:name="_Toc451895023"/>
      <w:r>
        <w:rPr>
          <w:rFonts w:ascii="Verdana" w:hAnsi="Verdana"/>
        </w:rPr>
        <w:t>6</w:t>
      </w:r>
      <w:r w:rsidR="00C673AE">
        <w:rPr>
          <w:rFonts w:ascii="Verdana" w:hAnsi="Verdana"/>
        </w:rPr>
        <w:t>.7</w:t>
      </w:r>
      <w:r w:rsidR="00E16D80" w:rsidRPr="00E16D80">
        <w:rPr>
          <w:rFonts w:ascii="Verdana" w:hAnsi="Verdana"/>
        </w:rPr>
        <w:t xml:space="preserve"> Het belang van de gevorderde gegevens</w:t>
      </w:r>
      <w:bookmarkEnd w:id="60"/>
    </w:p>
    <w:p w:rsidR="00E16D80" w:rsidRPr="000B0A6A" w:rsidRDefault="00E53F0F" w:rsidP="0092501F">
      <w:pPr>
        <w:spacing w:after="0" w:line="22" w:lineRule="atLeast"/>
        <w:jc w:val="both"/>
        <w:rPr>
          <w:rFonts w:ascii="Verdana" w:hAnsi="Verdana"/>
          <w:color w:val="548DD4" w:themeColor="text2" w:themeTint="99"/>
        </w:rPr>
      </w:pPr>
      <w:r>
        <w:rPr>
          <w:rFonts w:ascii="Verdana" w:hAnsi="Verdana"/>
        </w:rPr>
        <w:t>In slechts</w:t>
      </w:r>
      <w:r w:rsidR="00F15764">
        <w:rPr>
          <w:rFonts w:ascii="Verdana" w:hAnsi="Verdana"/>
        </w:rPr>
        <w:t xml:space="preserve"> </w:t>
      </w:r>
      <w:r>
        <w:rPr>
          <w:rFonts w:ascii="Verdana" w:hAnsi="Verdana"/>
        </w:rPr>
        <w:t>7 van de 34</w:t>
      </w:r>
      <w:r w:rsidR="009143C6" w:rsidRPr="000B0A6A">
        <w:rPr>
          <w:rFonts w:ascii="Verdana" w:hAnsi="Verdana"/>
        </w:rPr>
        <w:t xml:space="preserve"> geanalyseerde uitspraken</w:t>
      </w:r>
      <w:r w:rsidR="009143C6" w:rsidRPr="000B0A6A">
        <w:rPr>
          <w:rStyle w:val="Voetnootmarkering"/>
          <w:rFonts w:ascii="Verdana" w:hAnsi="Verdana"/>
        </w:rPr>
        <w:footnoteReference w:id="139"/>
      </w:r>
      <w:r w:rsidR="009143C6" w:rsidRPr="000B0A6A">
        <w:rPr>
          <w:rFonts w:ascii="Verdana" w:hAnsi="Verdana"/>
        </w:rPr>
        <w:t xml:space="preserve"> werd er niets gezegd over het belang van de gevorderde gegevens. In de uitspraken waarin het belang wel werd benoemd, was het belang in veruit de meeste gevallen de waar</w:t>
      </w:r>
      <w:r w:rsidR="00380C58">
        <w:rPr>
          <w:rFonts w:ascii="Verdana" w:hAnsi="Verdana"/>
        </w:rPr>
        <w:t>-</w:t>
      </w:r>
      <w:r w:rsidR="009143C6" w:rsidRPr="000B0A6A">
        <w:rPr>
          <w:rFonts w:ascii="Verdana" w:hAnsi="Verdana"/>
        </w:rPr>
        <w:t xml:space="preserve">heidsvinding. </w:t>
      </w:r>
      <w:r w:rsidR="005259E2" w:rsidRPr="000B0A6A">
        <w:rPr>
          <w:rFonts w:ascii="Verdana" w:hAnsi="Verdana"/>
        </w:rPr>
        <w:t>In een aantal gevallen</w:t>
      </w:r>
      <w:r w:rsidR="005259E2" w:rsidRPr="000B0A6A">
        <w:rPr>
          <w:rStyle w:val="Voetnootmarkering"/>
          <w:rFonts w:ascii="Verdana" w:hAnsi="Verdana"/>
        </w:rPr>
        <w:footnoteReference w:id="140"/>
      </w:r>
      <w:r w:rsidR="005259E2" w:rsidRPr="000B0A6A">
        <w:rPr>
          <w:rFonts w:ascii="Verdana" w:hAnsi="Verdana"/>
        </w:rPr>
        <w:t xml:space="preserve"> werd ook nadere toelichting gegeven</w:t>
      </w:r>
      <w:r w:rsidR="005858AF" w:rsidRPr="000B0A6A">
        <w:rPr>
          <w:rFonts w:ascii="Verdana" w:hAnsi="Verdana"/>
        </w:rPr>
        <w:t> </w:t>
      </w:r>
      <w:r w:rsidR="009143C6" w:rsidRPr="000B0A6A">
        <w:rPr>
          <w:rFonts w:ascii="Verdana" w:hAnsi="Verdana"/>
        </w:rPr>
        <w:t>aan</w:t>
      </w:r>
      <w:r>
        <w:rPr>
          <w:rFonts w:ascii="Verdana" w:hAnsi="Verdana"/>
        </w:rPr>
        <w:t xml:space="preserve"> hoe of waarom het zou bij</w:t>
      </w:r>
      <w:r w:rsidR="005259E2" w:rsidRPr="000B0A6A">
        <w:rPr>
          <w:rFonts w:ascii="Verdana" w:hAnsi="Verdana"/>
        </w:rPr>
        <w:t xml:space="preserve">dragen aan </w:t>
      </w:r>
      <w:r w:rsidR="005259E2" w:rsidRPr="00C662C2">
        <w:rPr>
          <w:rFonts w:ascii="Verdana" w:hAnsi="Verdana"/>
        </w:rPr>
        <w:t xml:space="preserve">de waarheidsvinding. </w:t>
      </w:r>
      <w:r w:rsidR="00AF7D38" w:rsidRPr="00C662C2">
        <w:rPr>
          <w:rFonts w:ascii="Verdana" w:hAnsi="Verdana"/>
        </w:rPr>
        <w:t>In die gevallen werd het</w:t>
      </w:r>
      <w:r w:rsidR="00380C58" w:rsidRPr="00C662C2">
        <w:rPr>
          <w:rFonts w:ascii="Verdana" w:hAnsi="Verdana"/>
        </w:rPr>
        <w:t xml:space="preserve"> doorbreken van het verschoningsrecht</w:t>
      </w:r>
      <w:r w:rsidR="00AF7D38" w:rsidRPr="00C662C2">
        <w:rPr>
          <w:rFonts w:ascii="Verdana" w:hAnsi="Verdana"/>
        </w:rPr>
        <w:t xml:space="preserve"> ook (mede) daardoor rechtmatig geacht.</w:t>
      </w:r>
      <w:r w:rsidR="00380C58" w:rsidRPr="00C662C2">
        <w:rPr>
          <w:rFonts w:ascii="Verdana" w:hAnsi="Verdana"/>
        </w:rPr>
        <w:t> </w:t>
      </w:r>
      <w:r w:rsidR="00C26071" w:rsidRPr="00C662C2">
        <w:rPr>
          <w:rFonts w:ascii="Verdana" w:hAnsi="Verdana"/>
        </w:rPr>
        <w:t>Het is dus belangrijk om te onderbouwen hoe de gegevens</w:t>
      </w:r>
      <w:r w:rsidR="00380C58" w:rsidRPr="00C662C2">
        <w:rPr>
          <w:rFonts w:ascii="Verdana" w:hAnsi="Verdana"/>
        </w:rPr>
        <w:t xml:space="preserve"> de waarheidsvinding kunnen</w:t>
      </w:r>
      <w:r w:rsidR="00C26071" w:rsidRPr="00C662C2">
        <w:rPr>
          <w:rFonts w:ascii="Verdana" w:hAnsi="Verdana"/>
        </w:rPr>
        <w:t xml:space="preserve"> dienen.</w:t>
      </w:r>
    </w:p>
    <w:p w:rsidR="009143C6" w:rsidRPr="00922237" w:rsidRDefault="009143C6" w:rsidP="0092501F">
      <w:pPr>
        <w:spacing w:after="0" w:line="22" w:lineRule="atLeast"/>
        <w:jc w:val="both"/>
        <w:rPr>
          <w:rFonts w:ascii="Verdana" w:hAnsi="Verdana"/>
        </w:rPr>
      </w:pPr>
    </w:p>
    <w:p w:rsidR="00B37AD2" w:rsidRPr="000B0A6A" w:rsidRDefault="009143C6" w:rsidP="0092501F">
      <w:pPr>
        <w:spacing w:after="0" w:line="22" w:lineRule="atLeast"/>
        <w:jc w:val="both"/>
        <w:rPr>
          <w:rFonts w:ascii="Verdana" w:hAnsi="Verdana"/>
        </w:rPr>
      </w:pPr>
      <w:r w:rsidRPr="000B0A6A">
        <w:rPr>
          <w:rFonts w:ascii="Verdana" w:hAnsi="Verdana"/>
        </w:rPr>
        <w:t>In een uitspraak van rechtbank Overijssel werd het</w:t>
      </w:r>
      <w:r w:rsidR="00380C58">
        <w:rPr>
          <w:rFonts w:ascii="Verdana" w:hAnsi="Verdana"/>
        </w:rPr>
        <w:t xml:space="preserve"> doorbreken van het verschoningsrecht</w:t>
      </w:r>
      <w:r w:rsidRPr="000B0A6A">
        <w:rPr>
          <w:rFonts w:ascii="Verdana" w:hAnsi="Verdana"/>
        </w:rPr>
        <w:t xml:space="preserve"> onrechtmatig geacht omdat </w:t>
      </w:r>
      <w:r w:rsidR="008D5D67" w:rsidRPr="000B0A6A">
        <w:rPr>
          <w:rFonts w:ascii="Verdana" w:hAnsi="Verdana"/>
        </w:rPr>
        <w:t xml:space="preserve">de gegevens niet in het kader van </w:t>
      </w:r>
      <w:r w:rsidR="008D5D67" w:rsidRPr="000B0A6A">
        <w:rPr>
          <w:rFonts w:ascii="Verdana" w:hAnsi="Verdana"/>
        </w:rPr>
        <w:lastRenderedPageBreak/>
        <w:t xml:space="preserve">de waarheidsvinding in beslag waren genomen. De gegevens zouden dienen voor het opmaken van een pro-justitiarapportage door een gedragsdeskundige. De rechtbank oordeelde dat de bijzondere opsporingsbevoegdheden </w:t>
      </w:r>
      <w:r w:rsidR="00402523" w:rsidRPr="000B0A6A">
        <w:rPr>
          <w:rFonts w:ascii="Verdana" w:hAnsi="Verdana"/>
        </w:rPr>
        <w:t>niet</w:t>
      </w:r>
      <w:r w:rsidR="00F15764">
        <w:rPr>
          <w:rFonts w:ascii="Verdana" w:hAnsi="Verdana"/>
        </w:rPr>
        <w:t xml:space="preserve"> zijn bedoeld</w:t>
      </w:r>
      <w:r w:rsidR="00402523" w:rsidRPr="000B0A6A">
        <w:rPr>
          <w:rFonts w:ascii="Verdana" w:hAnsi="Verdana"/>
        </w:rPr>
        <w:t xml:space="preserve"> voor dergelijke gegevens en dat dit geen opsporing</w:t>
      </w:r>
      <w:r w:rsidR="00E00196" w:rsidRPr="000B0A6A">
        <w:rPr>
          <w:rFonts w:ascii="Verdana" w:hAnsi="Verdana"/>
        </w:rPr>
        <w:t xml:space="preserve"> of opsporings</w:t>
      </w:r>
      <w:r w:rsidR="00583445">
        <w:rPr>
          <w:rFonts w:ascii="Verdana" w:hAnsi="Verdana"/>
        </w:rPr>
        <w:t>-</w:t>
      </w:r>
      <w:r w:rsidR="00E00196" w:rsidRPr="000B0A6A">
        <w:rPr>
          <w:rFonts w:ascii="Verdana" w:hAnsi="Verdana"/>
        </w:rPr>
        <w:t>onderzoek</w:t>
      </w:r>
      <w:r w:rsidR="00402523" w:rsidRPr="000B0A6A">
        <w:rPr>
          <w:rFonts w:ascii="Verdana" w:hAnsi="Verdana"/>
        </w:rPr>
        <w:t xml:space="preserve"> betreft zoals bedoeld in artikel 132a Sv</w:t>
      </w:r>
      <w:r w:rsidRPr="000B0A6A">
        <w:rPr>
          <w:rStyle w:val="Voetnootmarkering"/>
          <w:rFonts w:ascii="Verdana" w:hAnsi="Verdana"/>
        </w:rPr>
        <w:footnoteReference w:id="141"/>
      </w:r>
      <w:r w:rsidR="00C434C7" w:rsidRPr="000B0A6A">
        <w:rPr>
          <w:rFonts w:ascii="Verdana" w:hAnsi="Verdana"/>
        </w:rPr>
        <w:t xml:space="preserve">. </w:t>
      </w:r>
      <w:r w:rsidR="008D5D67" w:rsidRPr="000B0A6A">
        <w:rPr>
          <w:rFonts w:ascii="Verdana" w:hAnsi="Verdana"/>
        </w:rPr>
        <w:t xml:space="preserve">In een uitspraak van de rechtbank ’s-Gravenhage </w:t>
      </w:r>
      <w:r w:rsidR="00023719" w:rsidRPr="000B0A6A">
        <w:rPr>
          <w:rFonts w:ascii="Verdana" w:hAnsi="Verdana"/>
        </w:rPr>
        <w:t>werd ruimer</w:t>
      </w:r>
      <w:r w:rsidR="008D5D67" w:rsidRPr="000B0A6A">
        <w:rPr>
          <w:rFonts w:ascii="Verdana" w:hAnsi="Verdana"/>
        </w:rPr>
        <w:t xml:space="preserve"> geoordeeld. De gegevens waren toen, naast de waarheidsvinding, nodig voor de inrichting van de verdediging; de verdachte kreeg de gegevens namelijk niet van de instelling. De rechtbank achtte het </w:t>
      </w:r>
      <w:r w:rsidR="00380C58">
        <w:rPr>
          <w:rFonts w:ascii="Verdana" w:hAnsi="Verdana"/>
        </w:rPr>
        <w:t xml:space="preserve"> doorbreken van het verschoningsrecht r</w:t>
      </w:r>
      <w:r w:rsidR="00AC5610">
        <w:rPr>
          <w:rFonts w:ascii="Verdana" w:hAnsi="Verdana"/>
        </w:rPr>
        <w:t xml:space="preserve">echtmatig omdat de verdediging </w:t>
      </w:r>
      <w:r w:rsidR="008D5D67" w:rsidRPr="000B0A6A">
        <w:rPr>
          <w:rFonts w:ascii="Verdana" w:hAnsi="Verdana"/>
        </w:rPr>
        <w:t>niet alleen hoeft te zien op de waarheidsvinding, maar dat deze zich ook kan richten op vragen in het kader van artikel 350 Sv</w:t>
      </w:r>
      <w:r w:rsidRPr="000B0A6A">
        <w:rPr>
          <w:rStyle w:val="Voetnootmarkering"/>
          <w:rFonts w:ascii="Verdana" w:hAnsi="Verdana"/>
        </w:rPr>
        <w:footnoteReference w:id="142"/>
      </w:r>
      <w:r w:rsidR="001C69AE" w:rsidRPr="000B0A6A">
        <w:rPr>
          <w:rFonts w:ascii="Verdana" w:hAnsi="Verdana"/>
        </w:rPr>
        <w:t>.</w:t>
      </w:r>
    </w:p>
    <w:p w:rsidR="00E16D80" w:rsidRPr="0045654C" w:rsidRDefault="00E16D80" w:rsidP="0092501F">
      <w:pPr>
        <w:spacing w:after="0" w:line="22" w:lineRule="atLeast"/>
        <w:rPr>
          <w:rFonts w:ascii="Verdana" w:hAnsi="Verdana"/>
        </w:rPr>
      </w:pPr>
    </w:p>
    <w:p w:rsidR="00922237" w:rsidRPr="0045654C" w:rsidRDefault="00922237" w:rsidP="0092501F">
      <w:pPr>
        <w:spacing w:after="0" w:line="22" w:lineRule="atLeast"/>
        <w:rPr>
          <w:rFonts w:ascii="Verdana" w:hAnsi="Verdana"/>
        </w:rPr>
      </w:pPr>
    </w:p>
    <w:p w:rsidR="00CC0420" w:rsidRDefault="00C434C7" w:rsidP="0092501F">
      <w:pPr>
        <w:pStyle w:val="Kop2"/>
        <w:spacing w:before="0" w:line="22" w:lineRule="atLeast"/>
        <w:rPr>
          <w:rFonts w:ascii="Verdana" w:hAnsi="Verdana"/>
        </w:rPr>
      </w:pPr>
      <w:bookmarkStart w:id="61" w:name="_Toc451895024"/>
      <w:r>
        <w:rPr>
          <w:rFonts w:ascii="Verdana" w:hAnsi="Verdana"/>
        </w:rPr>
        <w:t xml:space="preserve">6.8 De </w:t>
      </w:r>
      <w:r w:rsidR="00CC0420">
        <w:rPr>
          <w:rFonts w:ascii="Verdana" w:hAnsi="Verdana"/>
        </w:rPr>
        <w:t>restoverwegingen</w:t>
      </w:r>
      <w:bookmarkEnd w:id="61"/>
    </w:p>
    <w:p w:rsidR="00C26071" w:rsidRDefault="000D2C0F" w:rsidP="0092501F">
      <w:pPr>
        <w:spacing w:after="0" w:line="22" w:lineRule="atLeast"/>
        <w:jc w:val="both"/>
        <w:rPr>
          <w:rFonts w:ascii="Verdana" w:hAnsi="Verdana"/>
        </w:rPr>
      </w:pPr>
      <w:r w:rsidRPr="00922237">
        <w:rPr>
          <w:rFonts w:ascii="Verdana" w:hAnsi="Verdana"/>
        </w:rPr>
        <w:t>In bijna de helft van de geanalyseerde uitspraken was er ook sprake van een restoverweging</w:t>
      </w:r>
      <w:r w:rsidR="00134AFE" w:rsidRPr="00922237">
        <w:rPr>
          <w:rStyle w:val="Voetnootmarkering"/>
          <w:rFonts w:ascii="Verdana" w:hAnsi="Verdana"/>
        </w:rPr>
        <w:footnoteReference w:id="143"/>
      </w:r>
      <w:r w:rsidR="006C5A39">
        <w:rPr>
          <w:rFonts w:ascii="Verdana" w:hAnsi="Verdana"/>
        </w:rPr>
        <w:t>. Dit houdt</w:t>
      </w:r>
      <w:r w:rsidRPr="00922237">
        <w:rPr>
          <w:rFonts w:ascii="Verdana" w:hAnsi="Verdana"/>
        </w:rPr>
        <w:t xml:space="preserve"> in dat de rechters ook rekening hielden met een andere factor dan de zes factoren die door de Hoge Raad zijn </w:t>
      </w:r>
      <w:r w:rsidR="005A2C4D">
        <w:rPr>
          <w:rFonts w:ascii="Verdana" w:hAnsi="Verdana"/>
        </w:rPr>
        <w:t>geformuleerd</w:t>
      </w:r>
      <w:r w:rsidRPr="00922237">
        <w:rPr>
          <w:rFonts w:ascii="Verdana" w:hAnsi="Verdana"/>
        </w:rPr>
        <w:t xml:space="preserve">. </w:t>
      </w:r>
      <w:r w:rsidR="00134AFE" w:rsidRPr="00922237">
        <w:rPr>
          <w:rFonts w:ascii="Verdana" w:hAnsi="Verdana"/>
        </w:rPr>
        <w:t>De re</w:t>
      </w:r>
      <w:r w:rsidR="00C26071">
        <w:rPr>
          <w:rFonts w:ascii="Verdana" w:hAnsi="Verdana"/>
        </w:rPr>
        <w:t>stoverwegingen waren zeer divers en hierin is, op één punt na, geen rode draad te vinden. De uitzondering zag op de belangafweging</w:t>
      </w:r>
      <w:r w:rsidR="005B7394">
        <w:rPr>
          <w:rStyle w:val="Voetnootmarkering"/>
          <w:rFonts w:ascii="Verdana" w:hAnsi="Verdana"/>
        </w:rPr>
        <w:footnoteReference w:id="144"/>
      </w:r>
      <w:r w:rsidR="00C26071">
        <w:rPr>
          <w:rFonts w:ascii="Verdana" w:hAnsi="Verdana"/>
        </w:rPr>
        <w:t xml:space="preserve">. </w:t>
      </w:r>
      <w:r w:rsidR="006C5A39">
        <w:rPr>
          <w:rFonts w:ascii="Verdana" w:hAnsi="Verdana"/>
        </w:rPr>
        <w:t> </w:t>
      </w:r>
      <w:r w:rsidR="00C26071">
        <w:rPr>
          <w:rFonts w:ascii="Verdana" w:hAnsi="Verdana"/>
        </w:rPr>
        <w:t>In een aantal van de restoverweging</w:t>
      </w:r>
      <w:r w:rsidR="006C5A39">
        <w:rPr>
          <w:rFonts w:ascii="Verdana" w:hAnsi="Verdana"/>
        </w:rPr>
        <w:t>en</w:t>
      </w:r>
      <w:r w:rsidR="00C26071">
        <w:rPr>
          <w:rFonts w:ascii="Verdana" w:hAnsi="Verdana"/>
        </w:rPr>
        <w:t xml:space="preserve"> werden namelijk belangen aan elkaar afgewogen.</w:t>
      </w:r>
      <w:r w:rsidR="00E53F0F">
        <w:rPr>
          <w:rFonts w:ascii="Verdana" w:hAnsi="Verdana"/>
        </w:rPr>
        <w:t xml:space="preserve"> Zo werd er</w:t>
      </w:r>
      <w:r w:rsidR="005B7394">
        <w:rPr>
          <w:rFonts w:ascii="Verdana" w:hAnsi="Verdana"/>
        </w:rPr>
        <w:t xml:space="preserve"> naar het algemeen maatschappelijk-, individuele- en strafrechte</w:t>
      </w:r>
      <w:r w:rsidR="00E53F0F">
        <w:rPr>
          <w:rFonts w:ascii="Verdana" w:hAnsi="Verdana"/>
        </w:rPr>
        <w:t>lijke belang gekeken om te zien</w:t>
      </w:r>
      <w:r w:rsidR="005B7394">
        <w:rPr>
          <w:rFonts w:ascii="Verdana" w:hAnsi="Verdana"/>
        </w:rPr>
        <w:t xml:space="preserve"> welke belangen al dan niet geschaad </w:t>
      </w:r>
      <w:r w:rsidR="00E53F0F">
        <w:rPr>
          <w:rFonts w:ascii="Verdana" w:hAnsi="Verdana"/>
        </w:rPr>
        <w:t xml:space="preserve">of juist gediend </w:t>
      </w:r>
      <w:r w:rsidR="005B7394">
        <w:rPr>
          <w:rFonts w:ascii="Verdana" w:hAnsi="Verdana"/>
        </w:rPr>
        <w:t>zouden kunnen worden door de inbeslagname.</w:t>
      </w:r>
    </w:p>
    <w:p w:rsidR="00C26071" w:rsidRDefault="00C26071" w:rsidP="0092501F">
      <w:pPr>
        <w:spacing w:after="0" w:line="22" w:lineRule="atLeast"/>
        <w:jc w:val="both"/>
        <w:rPr>
          <w:rFonts w:ascii="Verdana" w:hAnsi="Verdana"/>
        </w:rPr>
      </w:pPr>
    </w:p>
    <w:p w:rsidR="000D2C0F" w:rsidRPr="00922237" w:rsidRDefault="005B7394" w:rsidP="0092501F">
      <w:pPr>
        <w:spacing w:after="0" w:line="22" w:lineRule="atLeast"/>
        <w:jc w:val="both"/>
        <w:rPr>
          <w:rFonts w:ascii="Verdana" w:hAnsi="Verdana"/>
        </w:rPr>
      </w:pPr>
      <w:r>
        <w:rPr>
          <w:rFonts w:ascii="Verdana" w:hAnsi="Verdana"/>
        </w:rPr>
        <w:t>Verder zaten er tussen de restoverwegingen nog twee noemenswaardige overwegingen, die ik hieronder zal</w:t>
      </w:r>
      <w:r w:rsidR="00134AFE" w:rsidRPr="00922237">
        <w:rPr>
          <w:rFonts w:ascii="Verdana" w:hAnsi="Verdana"/>
        </w:rPr>
        <w:t xml:space="preserve"> weergeven.</w:t>
      </w:r>
    </w:p>
    <w:p w:rsidR="001C7AE3" w:rsidRPr="00922237" w:rsidRDefault="001C7AE3" w:rsidP="0092501F">
      <w:pPr>
        <w:spacing w:after="0" w:line="22" w:lineRule="atLeast"/>
        <w:jc w:val="both"/>
        <w:rPr>
          <w:rFonts w:ascii="Verdana" w:hAnsi="Verdana"/>
        </w:rPr>
      </w:pPr>
    </w:p>
    <w:p w:rsidR="00C325EA" w:rsidRPr="00922237" w:rsidRDefault="001C7AE3" w:rsidP="0092501F">
      <w:pPr>
        <w:spacing w:after="0" w:line="22" w:lineRule="atLeast"/>
        <w:jc w:val="both"/>
        <w:rPr>
          <w:rFonts w:ascii="Verdana" w:hAnsi="Verdana"/>
        </w:rPr>
      </w:pPr>
      <w:r w:rsidRPr="00922237">
        <w:rPr>
          <w:rFonts w:ascii="Verdana" w:hAnsi="Verdana"/>
        </w:rPr>
        <w:t xml:space="preserve">In een rechtszaak die speelde bij rechtbank ’s-Gravenhage werd gesteld dat er sprake was van schending van het nemo-tenetur beginsel </w:t>
      </w:r>
      <w:r w:rsidR="00C318D0" w:rsidRPr="00922237">
        <w:rPr>
          <w:rFonts w:ascii="Verdana" w:hAnsi="Verdana"/>
        </w:rPr>
        <w:t>omdat klager gehoude</w:t>
      </w:r>
      <w:r w:rsidR="00AC5610">
        <w:rPr>
          <w:rFonts w:ascii="Verdana" w:hAnsi="Verdana"/>
        </w:rPr>
        <w:t xml:space="preserve">n was mee te werken aan een IGZ </w:t>
      </w:r>
      <w:r w:rsidR="00C318D0" w:rsidRPr="00922237">
        <w:rPr>
          <w:rFonts w:ascii="Verdana" w:hAnsi="Verdana"/>
        </w:rPr>
        <w:t>onderzoek. De rechtbank ging hier niet in mee. In de dossiers stonden namelijk enkel gegevens die betrekking hadden op buiten klager liggende, feitelijke en geobjectiveerde omstandigheden. Tevens was klager op grond van de wet verplicht deze gegevens vast te leggen. Uit het verzoek om mee te werken, bleek ook niet</w:t>
      </w:r>
      <w:r w:rsidR="00E53F0F">
        <w:rPr>
          <w:rFonts w:ascii="Verdana" w:hAnsi="Verdana"/>
        </w:rPr>
        <w:t>s</w:t>
      </w:r>
      <w:r w:rsidR="00C318D0" w:rsidRPr="00922237">
        <w:rPr>
          <w:rFonts w:ascii="Verdana" w:hAnsi="Verdana"/>
        </w:rPr>
        <w:t xml:space="preserve"> van een ontoelaatbare druk om de gegevens te verstrekken. D</w:t>
      </w:r>
      <w:r w:rsidRPr="00922237">
        <w:rPr>
          <w:rFonts w:ascii="Verdana" w:hAnsi="Verdana"/>
        </w:rPr>
        <w:t>aarnaast waren de gegevens</w:t>
      </w:r>
      <w:r w:rsidR="00C318D0" w:rsidRPr="00922237">
        <w:rPr>
          <w:rFonts w:ascii="Verdana" w:hAnsi="Verdana"/>
        </w:rPr>
        <w:t xml:space="preserve"> ook niet direct belastend of aan te merken als een schuldbekentenis. Het beslag werd dan ook rechtmatig geacht</w:t>
      </w:r>
      <w:r w:rsidR="00C318D0" w:rsidRPr="00922237">
        <w:rPr>
          <w:rStyle w:val="Voetnootmarkering"/>
          <w:rFonts w:ascii="Verdana" w:hAnsi="Verdana"/>
        </w:rPr>
        <w:footnoteReference w:id="145"/>
      </w:r>
      <w:r w:rsidR="00C318D0" w:rsidRPr="00922237">
        <w:rPr>
          <w:rFonts w:ascii="Verdana" w:hAnsi="Verdana"/>
        </w:rPr>
        <w:t xml:space="preserve">. </w:t>
      </w:r>
    </w:p>
    <w:p w:rsidR="00C325EA" w:rsidRPr="00922237" w:rsidRDefault="00C325EA" w:rsidP="0092501F">
      <w:pPr>
        <w:spacing w:after="0" w:line="22" w:lineRule="atLeast"/>
        <w:jc w:val="both"/>
        <w:rPr>
          <w:rFonts w:ascii="Verdana" w:hAnsi="Verdana"/>
        </w:rPr>
      </w:pPr>
    </w:p>
    <w:p w:rsidR="00C26071" w:rsidRDefault="00C325EA" w:rsidP="0092501F">
      <w:pPr>
        <w:spacing w:after="0" w:line="22" w:lineRule="atLeast"/>
        <w:jc w:val="both"/>
        <w:rPr>
          <w:rFonts w:ascii="Verdana" w:hAnsi="Verdana"/>
        </w:rPr>
      </w:pPr>
      <w:r w:rsidRPr="00922237">
        <w:rPr>
          <w:rFonts w:ascii="Verdana" w:hAnsi="Verdana"/>
        </w:rPr>
        <w:t xml:space="preserve">In een </w:t>
      </w:r>
      <w:r w:rsidR="001C7AE3" w:rsidRPr="00922237">
        <w:rPr>
          <w:rFonts w:ascii="Verdana" w:hAnsi="Verdana"/>
        </w:rPr>
        <w:t xml:space="preserve">andere </w:t>
      </w:r>
      <w:r w:rsidRPr="00922237">
        <w:rPr>
          <w:rFonts w:ascii="Verdana" w:hAnsi="Verdana"/>
        </w:rPr>
        <w:t xml:space="preserve">uitspraak van rechtbank ’s-Gravenhage werd geoordeeld dat een beroepsbeoefenaar die niet BIG-geregistreerd is, niet kan worden aangemerkt als een klassiek verschoningsgerechtigde en zodoende dus geen aanspraak kan </w:t>
      </w:r>
      <w:r w:rsidRPr="00922237">
        <w:rPr>
          <w:rFonts w:ascii="Verdana" w:hAnsi="Verdana"/>
        </w:rPr>
        <w:lastRenderedPageBreak/>
        <w:t xml:space="preserve">maken op het verschoningsrecht ex artikel 218 Sv. </w:t>
      </w:r>
      <w:r w:rsidR="001C7AE3" w:rsidRPr="00922237">
        <w:rPr>
          <w:rFonts w:ascii="Verdana" w:hAnsi="Verdana"/>
        </w:rPr>
        <w:t xml:space="preserve">De rechtbank kwam tot dit oordeel omdat </w:t>
      </w:r>
      <w:r w:rsidRPr="00922237">
        <w:rPr>
          <w:rFonts w:ascii="Verdana" w:hAnsi="Verdana"/>
        </w:rPr>
        <w:t>op de beroepsbeoefenaar het beroepsgeheim en het tuchtrecht</w:t>
      </w:r>
      <w:r w:rsidR="001C7AE3" w:rsidRPr="00922237">
        <w:rPr>
          <w:rFonts w:ascii="Verdana" w:hAnsi="Verdana"/>
        </w:rPr>
        <w:t xml:space="preserve"> uit de wet</w:t>
      </w:r>
      <w:r w:rsidRPr="00922237">
        <w:rPr>
          <w:rFonts w:ascii="Verdana" w:hAnsi="Verdana"/>
        </w:rPr>
        <w:t xml:space="preserve"> niet van toepassing wa</w:t>
      </w:r>
      <w:r w:rsidR="001C7AE3" w:rsidRPr="00922237">
        <w:rPr>
          <w:rFonts w:ascii="Verdana" w:hAnsi="Verdana"/>
        </w:rPr>
        <w:t>ren</w:t>
      </w:r>
      <w:r w:rsidRPr="00922237">
        <w:rPr>
          <w:rFonts w:ascii="Verdana" w:hAnsi="Verdana"/>
        </w:rPr>
        <w:t>. Het deed er</w:t>
      </w:r>
      <w:r w:rsidR="001C7AE3" w:rsidRPr="00922237">
        <w:rPr>
          <w:rFonts w:ascii="Verdana" w:hAnsi="Verdana"/>
        </w:rPr>
        <w:t xml:space="preserve"> niet aan af dat de beroeps</w:t>
      </w:r>
      <w:r w:rsidR="00AC5610">
        <w:rPr>
          <w:rFonts w:ascii="Verdana" w:hAnsi="Verdana"/>
        </w:rPr>
        <w:t>-</w:t>
      </w:r>
      <w:r w:rsidR="001C7AE3" w:rsidRPr="00922237">
        <w:rPr>
          <w:rFonts w:ascii="Verdana" w:hAnsi="Verdana"/>
        </w:rPr>
        <w:t>beoefenaar wel lid was van het N</w:t>
      </w:r>
      <w:r w:rsidR="00AC5610">
        <w:rPr>
          <w:rFonts w:ascii="Verdana" w:hAnsi="Verdana"/>
        </w:rPr>
        <w:t xml:space="preserve">ederlands </w:t>
      </w:r>
      <w:r w:rsidR="001C7AE3" w:rsidRPr="00922237">
        <w:rPr>
          <w:rFonts w:ascii="Verdana" w:hAnsi="Verdana"/>
        </w:rPr>
        <w:t>I</w:t>
      </w:r>
      <w:r w:rsidR="00AC5610">
        <w:rPr>
          <w:rFonts w:ascii="Verdana" w:hAnsi="Verdana"/>
        </w:rPr>
        <w:t xml:space="preserve">nstituut </w:t>
      </w:r>
      <w:r w:rsidR="001C7AE3" w:rsidRPr="00922237">
        <w:rPr>
          <w:rFonts w:ascii="Verdana" w:hAnsi="Verdana"/>
        </w:rPr>
        <w:t>P</w:t>
      </w:r>
      <w:r w:rsidR="00AC5610">
        <w:rPr>
          <w:rFonts w:ascii="Verdana" w:hAnsi="Verdana"/>
        </w:rPr>
        <w:t>sychologen</w:t>
      </w:r>
      <w:r w:rsidR="001C7AE3" w:rsidRPr="00922237">
        <w:rPr>
          <w:rFonts w:ascii="Verdana" w:hAnsi="Verdana"/>
        </w:rPr>
        <w:t xml:space="preserve">, die een eigen </w:t>
      </w:r>
      <w:r w:rsidRPr="00922237">
        <w:rPr>
          <w:rFonts w:ascii="Verdana" w:hAnsi="Verdana"/>
        </w:rPr>
        <w:t>beroepscode en</w:t>
      </w:r>
      <w:r w:rsidR="008A3E19">
        <w:rPr>
          <w:rFonts w:ascii="Verdana" w:hAnsi="Verdana"/>
        </w:rPr>
        <w:t> </w:t>
      </w:r>
      <w:r w:rsidRPr="00922237">
        <w:rPr>
          <w:rFonts w:ascii="Verdana" w:hAnsi="Verdana"/>
        </w:rPr>
        <w:t>tuchtrecht</w:t>
      </w:r>
      <w:r w:rsidR="001C7AE3" w:rsidRPr="00922237">
        <w:rPr>
          <w:rFonts w:ascii="Verdana" w:hAnsi="Verdana"/>
        </w:rPr>
        <w:t xml:space="preserve"> hadden</w:t>
      </w:r>
      <w:r w:rsidR="00A266E1">
        <w:rPr>
          <w:rFonts w:ascii="Verdana" w:hAnsi="Verdana"/>
        </w:rPr>
        <w:t>. D</w:t>
      </w:r>
      <w:r w:rsidR="001C7AE3" w:rsidRPr="00922237">
        <w:rPr>
          <w:rFonts w:ascii="Verdana" w:hAnsi="Verdana"/>
        </w:rPr>
        <w:t>eze waren namelijk niet wettelijk verankerd</w:t>
      </w:r>
      <w:r w:rsidRPr="00922237">
        <w:rPr>
          <w:rStyle w:val="Voetnootmarkering"/>
          <w:rFonts w:ascii="Verdana" w:hAnsi="Verdana"/>
        </w:rPr>
        <w:footnoteReference w:id="146"/>
      </w:r>
      <w:r w:rsidRPr="00922237">
        <w:rPr>
          <w:rFonts w:ascii="Verdana" w:hAnsi="Verdana"/>
        </w:rPr>
        <w:t xml:space="preserve">. </w:t>
      </w:r>
    </w:p>
    <w:p w:rsidR="00C26071" w:rsidRDefault="00C26071" w:rsidP="0092501F">
      <w:pPr>
        <w:spacing w:after="0" w:line="22" w:lineRule="atLeast"/>
        <w:jc w:val="both"/>
        <w:rPr>
          <w:rFonts w:ascii="Verdana" w:eastAsiaTheme="majorEastAsia" w:hAnsi="Verdana" w:cstheme="majorBidi"/>
          <w:b/>
          <w:color w:val="365F91" w:themeColor="accent1" w:themeShade="BF"/>
          <w:sz w:val="36"/>
          <w:szCs w:val="32"/>
        </w:rPr>
      </w:pPr>
    </w:p>
    <w:p w:rsidR="000256F9" w:rsidRDefault="000256F9" w:rsidP="0092501F">
      <w:pPr>
        <w:spacing w:after="200" w:line="22" w:lineRule="atLeast"/>
        <w:rPr>
          <w:rFonts w:ascii="Verdana" w:eastAsiaTheme="majorEastAsia" w:hAnsi="Verdana" w:cstheme="majorBidi"/>
          <w:b/>
          <w:color w:val="365F91" w:themeColor="accent1" w:themeShade="BF"/>
          <w:sz w:val="36"/>
          <w:szCs w:val="32"/>
        </w:rPr>
      </w:pPr>
      <w:r>
        <w:rPr>
          <w:rFonts w:ascii="Verdana" w:hAnsi="Verdana"/>
          <w:b/>
          <w:sz w:val="36"/>
        </w:rPr>
        <w:br w:type="page"/>
      </w:r>
    </w:p>
    <w:p w:rsidR="00303EB4" w:rsidRDefault="00960FD3" w:rsidP="0092501F">
      <w:pPr>
        <w:pStyle w:val="Kop1"/>
        <w:spacing w:before="0" w:line="22" w:lineRule="atLeast"/>
        <w:rPr>
          <w:rFonts w:ascii="Verdana" w:hAnsi="Verdana"/>
          <w:b/>
          <w:sz w:val="36"/>
        </w:rPr>
      </w:pPr>
      <w:bookmarkStart w:id="62" w:name="_Toc451895025"/>
      <w:r>
        <w:rPr>
          <w:rFonts w:ascii="Verdana" w:hAnsi="Verdana"/>
          <w:b/>
          <w:sz w:val="36"/>
        </w:rPr>
        <w:lastRenderedPageBreak/>
        <w:t>7</w:t>
      </w:r>
      <w:r w:rsidR="00303EB4" w:rsidRPr="00303EB4">
        <w:rPr>
          <w:rFonts w:ascii="Verdana" w:hAnsi="Verdana"/>
          <w:b/>
          <w:sz w:val="36"/>
        </w:rPr>
        <w:t>. Conclusies</w:t>
      </w:r>
      <w:bookmarkEnd w:id="62"/>
    </w:p>
    <w:p w:rsidR="004576AD" w:rsidRPr="00F248F0" w:rsidRDefault="00F248F0" w:rsidP="0092501F">
      <w:pPr>
        <w:pStyle w:val="Kop2"/>
        <w:spacing w:before="0" w:line="22" w:lineRule="atLeast"/>
        <w:rPr>
          <w:rFonts w:ascii="Verdana" w:hAnsi="Verdana"/>
        </w:rPr>
      </w:pPr>
      <w:bookmarkStart w:id="63" w:name="_Toc451895026"/>
      <w:r w:rsidRPr="00F248F0">
        <w:rPr>
          <w:rFonts w:ascii="Verdana" w:hAnsi="Verdana"/>
        </w:rPr>
        <w:t>7.1 Inleiding</w:t>
      </w:r>
      <w:bookmarkEnd w:id="63"/>
    </w:p>
    <w:p w:rsidR="00F248F0" w:rsidRPr="00922237" w:rsidRDefault="00BD7F88" w:rsidP="0092501F">
      <w:pPr>
        <w:spacing w:after="0" w:line="22" w:lineRule="atLeast"/>
        <w:jc w:val="both"/>
        <w:rPr>
          <w:rFonts w:ascii="Verdana" w:hAnsi="Verdana"/>
        </w:rPr>
      </w:pPr>
      <w:r>
        <w:rPr>
          <w:rFonts w:ascii="Verdana" w:hAnsi="Verdana"/>
        </w:rPr>
        <w:t xml:space="preserve">In het hoofdstuk hiervoor zijn de resultaten uit de analyse weergegeven. Uit deze resultaten zijn ook enkele conclusies te trekken. </w:t>
      </w:r>
      <w:r w:rsidR="00631862">
        <w:rPr>
          <w:rFonts w:ascii="Verdana" w:hAnsi="Verdana"/>
        </w:rPr>
        <w:t xml:space="preserve">De conclusies naar aanleiding van de resultaten uit de analyse </w:t>
      </w:r>
      <w:r w:rsidR="00F248F0" w:rsidRPr="00922237">
        <w:rPr>
          <w:rFonts w:ascii="Verdana" w:hAnsi="Verdana"/>
        </w:rPr>
        <w:t>zal ik hieronder uitwerken.</w:t>
      </w:r>
    </w:p>
    <w:p w:rsidR="00F248F0" w:rsidRPr="00922237" w:rsidRDefault="00F248F0" w:rsidP="0092501F">
      <w:pPr>
        <w:spacing w:after="0" w:line="22" w:lineRule="atLeast"/>
        <w:jc w:val="both"/>
        <w:rPr>
          <w:rFonts w:ascii="Verdana" w:hAnsi="Verdana"/>
        </w:rPr>
      </w:pPr>
    </w:p>
    <w:p w:rsidR="00F248F0" w:rsidRPr="00631862" w:rsidRDefault="00F248F0" w:rsidP="0092501F">
      <w:pPr>
        <w:spacing w:after="0" w:line="22" w:lineRule="atLeast"/>
        <w:rPr>
          <w:rFonts w:ascii="Verdana" w:hAnsi="Verdana"/>
          <w:szCs w:val="24"/>
        </w:rPr>
      </w:pPr>
    </w:p>
    <w:p w:rsidR="00270231" w:rsidRPr="00E16D80" w:rsidRDefault="00960FD3" w:rsidP="0092501F">
      <w:pPr>
        <w:pStyle w:val="Kop2"/>
        <w:spacing w:before="0" w:line="22" w:lineRule="atLeast"/>
        <w:rPr>
          <w:rFonts w:ascii="Verdana" w:hAnsi="Verdana"/>
        </w:rPr>
      </w:pPr>
      <w:bookmarkStart w:id="64" w:name="_Toc451895027"/>
      <w:r>
        <w:rPr>
          <w:rFonts w:ascii="Verdana" w:hAnsi="Verdana"/>
        </w:rPr>
        <w:t>7</w:t>
      </w:r>
      <w:r w:rsidR="00270231" w:rsidRPr="00E16D80">
        <w:rPr>
          <w:rFonts w:ascii="Verdana" w:hAnsi="Verdana"/>
        </w:rPr>
        <w:t>.</w:t>
      </w:r>
      <w:r w:rsidR="00F248F0">
        <w:rPr>
          <w:rFonts w:ascii="Verdana" w:hAnsi="Verdana"/>
        </w:rPr>
        <w:t>2</w:t>
      </w:r>
      <w:r w:rsidR="00270231" w:rsidRPr="00E16D80">
        <w:rPr>
          <w:rFonts w:ascii="Verdana" w:hAnsi="Verdana"/>
        </w:rPr>
        <w:t xml:space="preserve"> De aard, omvang en context van de gevraagde gegevens</w:t>
      </w:r>
      <w:bookmarkEnd w:id="64"/>
    </w:p>
    <w:p w:rsidR="008460C5" w:rsidRDefault="008460C5" w:rsidP="008460C5">
      <w:pPr>
        <w:spacing w:after="0" w:line="22" w:lineRule="atLeast"/>
        <w:jc w:val="both"/>
        <w:rPr>
          <w:rFonts w:ascii="Verdana" w:hAnsi="Verdana"/>
        </w:rPr>
      </w:pPr>
      <w:r>
        <w:rPr>
          <w:rFonts w:ascii="Verdana" w:hAnsi="Verdana"/>
        </w:rPr>
        <w:t>Bij een inbeslagname kijkt de rechtbank onder</w:t>
      </w:r>
      <w:r w:rsidR="00084B20">
        <w:rPr>
          <w:rFonts w:ascii="Verdana" w:hAnsi="Verdana"/>
        </w:rPr>
        <w:t xml:space="preserve"> welke van de volgende categorieën</w:t>
      </w:r>
      <w:r>
        <w:rPr>
          <w:rFonts w:ascii="Verdana" w:hAnsi="Verdana"/>
        </w:rPr>
        <w:t xml:space="preserve"> de g</w:t>
      </w:r>
      <w:r w:rsidR="00084B20">
        <w:rPr>
          <w:rFonts w:ascii="Verdana" w:hAnsi="Verdana"/>
        </w:rPr>
        <w:t>egevens kunnen worden geplaatst:</w:t>
      </w:r>
      <w:r>
        <w:rPr>
          <w:rFonts w:ascii="Verdana" w:hAnsi="Verdana"/>
        </w:rPr>
        <w:t xml:space="preserve"> </w:t>
      </w:r>
      <w:r w:rsidRPr="000B0A6A">
        <w:rPr>
          <w:rFonts w:ascii="Verdana" w:hAnsi="Verdana"/>
        </w:rPr>
        <w:t xml:space="preserve">1) verschoningsgerechtigde gegevens, 2) niet verschoningsgerechtigde gegevens, 3) corpora- et instrumenta delicti en 4) geen </w:t>
      </w:r>
      <w:r>
        <w:rPr>
          <w:rFonts w:ascii="Verdana" w:hAnsi="Verdana"/>
        </w:rPr>
        <w:t>corpora- et instrumenta delicti</w:t>
      </w:r>
      <w:r w:rsidRPr="000B0A6A">
        <w:rPr>
          <w:rFonts w:ascii="Verdana" w:hAnsi="Verdana"/>
        </w:rPr>
        <w:t>.</w:t>
      </w:r>
      <w:r>
        <w:rPr>
          <w:rFonts w:ascii="Verdana" w:hAnsi="Verdana"/>
        </w:rPr>
        <w:t> De inbeslagname werd rechtmatig geacht wanneer het gegevens betroffen die niet onder het verschoningsrecht vielen of die aan te merken waren als corpora- et instrumenta delicti</w:t>
      </w:r>
      <w:r w:rsidRPr="000B0A6A">
        <w:rPr>
          <w:rStyle w:val="Voetnootmarkering"/>
          <w:rFonts w:ascii="Verdana" w:hAnsi="Verdana"/>
        </w:rPr>
        <w:footnoteReference w:id="147"/>
      </w:r>
      <w:r w:rsidRPr="000B0A6A">
        <w:rPr>
          <w:rFonts w:ascii="Verdana" w:hAnsi="Verdana"/>
        </w:rPr>
        <w:t xml:space="preserve">. Voor gegevens die </w:t>
      </w:r>
      <w:r>
        <w:rPr>
          <w:rFonts w:ascii="Verdana" w:hAnsi="Verdana"/>
        </w:rPr>
        <w:t xml:space="preserve">wel </w:t>
      </w:r>
      <w:r w:rsidRPr="000B0A6A">
        <w:rPr>
          <w:rFonts w:ascii="Verdana" w:hAnsi="Verdana"/>
        </w:rPr>
        <w:t>onder het verschoningsrecht v</w:t>
      </w:r>
      <w:r>
        <w:rPr>
          <w:rFonts w:ascii="Verdana" w:hAnsi="Verdana"/>
        </w:rPr>
        <w:t>allen en geen corpora- et instru</w:t>
      </w:r>
      <w:r w:rsidRPr="000B0A6A">
        <w:rPr>
          <w:rFonts w:ascii="Verdana" w:hAnsi="Verdana"/>
        </w:rPr>
        <w:t xml:space="preserve">menta delicti zijn, </w:t>
      </w:r>
      <w:r>
        <w:rPr>
          <w:rFonts w:ascii="Verdana" w:hAnsi="Verdana"/>
        </w:rPr>
        <w:t xml:space="preserve">zal er sprake moeten zijn van zeer uitzonderlijke omstandigheden waaronder het verschoningrecht </w:t>
      </w:r>
      <w:r w:rsidR="00084B20">
        <w:rPr>
          <w:rFonts w:ascii="Verdana" w:hAnsi="Verdana"/>
        </w:rPr>
        <w:t>doorbroken kan worden</w:t>
      </w:r>
      <w:r>
        <w:rPr>
          <w:rFonts w:ascii="Verdana" w:hAnsi="Verdana"/>
        </w:rPr>
        <w:t xml:space="preserve">. Dit kan aan de hand van de overige factoren worden bezien. </w:t>
      </w:r>
    </w:p>
    <w:p w:rsidR="002F106B" w:rsidRDefault="002F106B" w:rsidP="0092501F">
      <w:pPr>
        <w:spacing w:after="0" w:line="22" w:lineRule="atLeast"/>
        <w:jc w:val="both"/>
        <w:rPr>
          <w:rFonts w:ascii="Verdana" w:hAnsi="Verdana"/>
        </w:rPr>
      </w:pPr>
    </w:p>
    <w:p w:rsidR="002F106B" w:rsidRDefault="002F106B" w:rsidP="0092501F">
      <w:pPr>
        <w:spacing w:after="0" w:line="22" w:lineRule="atLeast"/>
        <w:jc w:val="both"/>
        <w:rPr>
          <w:rFonts w:ascii="Verdana" w:hAnsi="Verdana"/>
        </w:rPr>
      </w:pPr>
      <w:r>
        <w:rPr>
          <w:rFonts w:ascii="Verdana" w:hAnsi="Verdana"/>
        </w:rPr>
        <w:t>De omvang van de gevraagde gegevens was niet van invloed op de uiteindelijke beslissing van de eerstelijns rechters.</w:t>
      </w:r>
    </w:p>
    <w:p w:rsidR="00270231" w:rsidRDefault="00270231" w:rsidP="0092501F">
      <w:pPr>
        <w:spacing w:after="0" w:line="22" w:lineRule="atLeast"/>
        <w:rPr>
          <w:rFonts w:ascii="Verdana" w:hAnsi="Verdana"/>
        </w:rPr>
      </w:pPr>
    </w:p>
    <w:p w:rsidR="00CD183F" w:rsidRPr="00631862" w:rsidRDefault="00CD183F" w:rsidP="0092501F">
      <w:pPr>
        <w:spacing w:after="0" w:line="22" w:lineRule="atLeast"/>
        <w:rPr>
          <w:rFonts w:ascii="Verdana" w:hAnsi="Verdana"/>
        </w:rPr>
      </w:pPr>
    </w:p>
    <w:p w:rsidR="00270231" w:rsidRPr="00E16D80" w:rsidRDefault="00960FD3" w:rsidP="0092501F">
      <w:pPr>
        <w:pStyle w:val="Kop2"/>
        <w:spacing w:before="0" w:line="22" w:lineRule="atLeast"/>
        <w:rPr>
          <w:rFonts w:ascii="Verdana" w:hAnsi="Verdana"/>
        </w:rPr>
      </w:pPr>
      <w:bookmarkStart w:id="65" w:name="_Toc451895028"/>
      <w:r>
        <w:rPr>
          <w:rFonts w:ascii="Verdana" w:hAnsi="Verdana"/>
        </w:rPr>
        <w:t>7</w:t>
      </w:r>
      <w:r w:rsidR="00F248F0">
        <w:rPr>
          <w:rFonts w:ascii="Verdana" w:hAnsi="Verdana"/>
        </w:rPr>
        <w:t>.3</w:t>
      </w:r>
      <w:r w:rsidR="00270231" w:rsidRPr="00E16D80">
        <w:rPr>
          <w:rFonts w:ascii="Verdana" w:hAnsi="Verdana"/>
        </w:rPr>
        <w:t xml:space="preserve"> Het belang en de ernst van de strafzaak</w:t>
      </w:r>
      <w:bookmarkEnd w:id="65"/>
    </w:p>
    <w:p w:rsidR="005534E4" w:rsidRDefault="002543FD" w:rsidP="0092501F">
      <w:pPr>
        <w:spacing w:after="0" w:line="22" w:lineRule="atLeast"/>
        <w:jc w:val="both"/>
        <w:rPr>
          <w:rFonts w:ascii="Verdana" w:hAnsi="Verdana"/>
        </w:rPr>
      </w:pPr>
      <w:r>
        <w:rPr>
          <w:rFonts w:ascii="Verdana" w:hAnsi="Verdana"/>
        </w:rPr>
        <w:t>De eerstelijns rechters vinden het van belang dat het belang en de ernst van de strafzaak wordt toegelicht om zeer uitzonderlijke omstandigheden aan te nemen</w:t>
      </w:r>
      <w:r w:rsidRPr="000B0A6A">
        <w:rPr>
          <w:rStyle w:val="Voetnootmarkering"/>
          <w:rFonts w:ascii="Verdana" w:hAnsi="Verdana"/>
        </w:rPr>
        <w:footnoteReference w:id="148"/>
      </w:r>
      <w:r>
        <w:rPr>
          <w:rFonts w:ascii="Verdana" w:hAnsi="Verdana"/>
        </w:rPr>
        <w:t xml:space="preserve">. Het belang en de ernst van de strafzaak kan worden onderverdeeld in drie categorieën: </w:t>
      </w:r>
      <w:r w:rsidRPr="00D90A98">
        <w:rPr>
          <w:rFonts w:ascii="Verdana" w:hAnsi="Verdana"/>
        </w:rPr>
        <w:t>1) ernstig</w:t>
      </w:r>
      <w:r>
        <w:rPr>
          <w:rFonts w:ascii="Verdana" w:hAnsi="Verdana"/>
        </w:rPr>
        <w:t xml:space="preserve"> strafbaar</w:t>
      </w:r>
      <w:r w:rsidRPr="00D90A98">
        <w:rPr>
          <w:rFonts w:ascii="Verdana" w:hAnsi="Verdana"/>
        </w:rPr>
        <w:t xml:space="preserve"> feit, 2) het</w:t>
      </w:r>
      <w:r>
        <w:rPr>
          <w:rFonts w:ascii="Verdana" w:hAnsi="Verdana"/>
        </w:rPr>
        <w:t xml:space="preserve"> strafbare</w:t>
      </w:r>
      <w:r w:rsidRPr="00D90A98">
        <w:rPr>
          <w:rFonts w:ascii="Verdana" w:hAnsi="Verdana"/>
        </w:rPr>
        <w:t xml:space="preserve"> feit raakt de kern van de werkzaamheden van de beroepsbeoefenaar en dit kan het vertrouwen in de beroepsbeoefenaar schaden en/of 3) het belang dat de strafbaarheidstelling van het feit dient te beschermen is van groot belang.</w:t>
      </w:r>
    </w:p>
    <w:p w:rsidR="002543FD" w:rsidRDefault="002543FD" w:rsidP="0092501F">
      <w:pPr>
        <w:spacing w:after="0" w:line="22" w:lineRule="atLeast"/>
        <w:jc w:val="both"/>
        <w:rPr>
          <w:rFonts w:ascii="Verdana" w:hAnsi="Verdana"/>
        </w:rPr>
      </w:pPr>
    </w:p>
    <w:p w:rsidR="00A943DD" w:rsidRDefault="002543FD" w:rsidP="0092501F">
      <w:pPr>
        <w:spacing w:after="0" w:line="22" w:lineRule="atLeast"/>
        <w:jc w:val="both"/>
        <w:rPr>
          <w:rFonts w:ascii="Verdana" w:hAnsi="Verdana"/>
        </w:rPr>
      </w:pPr>
      <w:r>
        <w:rPr>
          <w:rFonts w:ascii="Verdana" w:hAnsi="Verdana"/>
        </w:rPr>
        <w:t xml:space="preserve">Bij </w:t>
      </w:r>
      <w:r w:rsidR="005534E4">
        <w:rPr>
          <w:rFonts w:ascii="Verdana" w:hAnsi="Verdana"/>
        </w:rPr>
        <w:t>valsheid in ges</w:t>
      </w:r>
      <w:r>
        <w:rPr>
          <w:rFonts w:ascii="Verdana" w:hAnsi="Verdana"/>
        </w:rPr>
        <w:t xml:space="preserve">chrifte, witwassen, oplichting en het beïnvloeden van een </w:t>
      </w:r>
      <w:r w:rsidR="005534E4">
        <w:rPr>
          <w:rFonts w:ascii="Verdana" w:hAnsi="Verdana"/>
        </w:rPr>
        <w:t xml:space="preserve">getuige en die aanzetten tot het afleggen van een valse verklaring kwamen </w:t>
      </w:r>
      <w:r w:rsidR="008C2091">
        <w:rPr>
          <w:rFonts w:ascii="Verdana" w:hAnsi="Verdana"/>
        </w:rPr>
        <w:t xml:space="preserve">bij </w:t>
      </w:r>
    </w:p>
    <w:p w:rsidR="00A943DD" w:rsidRDefault="00A943DD" w:rsidP="0092501F">
      <w:pPr>
        <w:spacing w:after="0" w:line="22" w:lineRule="atLeast"/>
        <w:jc w:val="both"/>
        <w:rPr>
          <w:rFonts w:ascii="Verdana" w:hAnsi="Verdana"/>
        </w:rPr>
      </w:pPr>
    </w:p>
    <w:p w:rsidR="00A943DD" w:rsidRDefault="00A943DD" w:rsidP="0092501F">
      <w:pPr>
        <w:spacing w:after="0" w:line="22" w:lineRule="atLeast"/>
        <w:jc w:val="both"/>
        <w:rPr>
          <w:rFonts w:ascii="Verdana" w:hAnsi="Verdana"/>
        </w:rPr>
      </w:pPr>
    </w:p>
    <w:p w:rsidR="005534E4" w:rsidRDefault="008C2091" w:rsidP="0092501F">
      <w:pPr>
        <w:spacing w:after="0" w:line="22" w:lineRule="atLeast"/>
        <w:jc w:val="both"/>
        <w:rPr>
          <w:rFonts w:ascii="Verdana" w:hAnsi="Verdana"/>
        </w:rPr>
      </w:pPr>
      <w:r>
        <w:rPr>
          <w:rFonts w:ascii="Verdana" w:hAnsi="Verdana"/>
        </w:rPr>
        <w:lastRenderedPageBreak/>
        <w:t xml:space="preserve">de analyse </w:t>
      </w:r>
      <w:r w:rsidR="005534E4">
        <w:rPr>
          <w:rFonts w:ascii="Verdana" w:hAnsi="Verdana"/>
        </w:rPr>
        <w:t>in meer dan één categorie voor</w:t>
      </w:r>
      <w:r w:rsidR="005534E4">
        <w:rPr>
          <w:rStyle w:val="Voetnootmarkering"/>
          <w:rFonts w:ascii="Verdana" w:hAnsi="Verdana"/>
        </w:rPr>
        <w:footnoteReference w:id="149"/>
      </w:r>
      <w:r w:rsidR="005534E4">
        <w:rPr>
          <w:rFonts w:ascii="Verdana" w:hAnsi="Verdana"/>
        </w:rPr>
        <w:t xml:space="preserve">. Bij dit soort feiten zal </w:t>
      </w:r>
      <w:r>
        <w:rPr>
          <w:rFonts w:ascii="Verdana" w:hAnsi="Verdana"/>
        </w:rPr>
        <w:t xml:space="preserve">dit dan ook in </w:t>
      </w:r>
      <w:r w:rsidR="00650F47">
        <w:rPr>
          <w:rFonts w:ascii="Verdana" w:hAnsi="Verdana"/>
        </w:rPr>
        <w:t xml:space="preserve">veel gevallen </w:t>
      </w:r>
      <w:r>
        <w:rPr>
          <w:rFonts w:ascii="Verdana" w:hAnsi="Verdana"/>
        </w:rPr>
        <w:t xml:space="preserve">leiden tot </w:t>
      </w:r>
      <w:r w:rsidR="00650F47">
        <w:rPr>
          <w:rFonts w:ascii="Verdana" w:hAnsi="Verdana"/>
        </w:rPr>
        <w:t>zeer uitzonderlijke o</w:t>
      </w:r>
      <w:r w:rsidR="00A943DD">
        <w:rPr>
          <w:rFonts w:ascii="Verdana" w:hAnsi="Verdana"/>
        </w:rPr>
        <w:t>mstandigheden waaronder het ver</w:t>
      </w:r>
      <w:r w:rsidR="00650F47">
        <w:rPr>
          <w:rFonts w:ascii="Verdana" w:hAnsi="Verdana"/>
        </w:rPr>
        <w:t xml:space="preserve">schoningsrecht </w:t>
      </w:r>
      <w:r w:rsidR="00084B20">
        <w:rPr>
          <w:rFonts w:ascii="Verdana" w:hAnsi="Verdana"/>
        </w:rPr>
        <w:t xml:space="preserve">doorbroken </w:t>
      </w:r>
      <w:r w:rsidR="00650F47">
        <w:rPr>
          <w:rFonts w:ascii="Verdana" w:hAnsi="Verdana"/>
        </w:rPr>
        <w:t xml:space="preserve">mag worden. </w:t>
      </w:r>
      <w:r w:rsidR="005534E4">
        <w:rPr>
          <w:rFonts w:ascii="Verdana" w:hAnsi="Verdana"/>
        </w:rPr>
        <w:t>Maar ook bijvoorbeeld seksueel mis</w:t>
      </w:r>
      <w:r w:rsidR="007C52B5">
        <w:rPr>
          <w:rFonts w:ascii="Verdana" w:hAnsi="Verdana"/>
        </w:rPr>
        <w:t>bruik van een minderjarige werd</w:t>
      </w:r>
      <w:r w:rsidR="005534E4">
        <w:rPr>
          <w:rFonts w:ascii="Verdana" w:hAnsi="Verdana"/>
        </w:rPr>
        <w:t xml:space="preserve"> gekwalificeerd als een ernstig feit die leidde tot </w:t>
      </w:r>
      <w:r w:rsidR="00AC7CC5">
        <w:rPr>
          <w:rFonts w:ascii="Verdana" w:hAnsi="Verdana"/>
        </w:rPr>
        <w:t>de rechtmatigheid van het doorbreken van het verschoningsrecht</w:t>
      </w:r>
      <w:r w:rsidR="007C52B5">
        <w:rPr>
          <w:rStyle w:val="Voetnootmarkering"/>
          <w:rFonts w:ascii="Verdana" w:hAnsi="Verdana"/>
        </w:rPr>
        <w:footnoteReference w:id="150"/>
      </w:r>
      <w:r w:rsidR="005534E4">
        <w:rPr>
          <w:rFonts w:ascii="Verdana" w:hAnsi="Verdana"/>
        </w:rPr>
        <w:t xml:space="preserve">. </w:t>
      </w:r>
    </w:p>
    <w:p w:rsidR="00270231" w:rsidRPr="00631862" w:rsidRDefault="008668D7" w:rsidP="0092501F">
      <w:pPr>
        <w:tabs>
          <w:tab w:val="left" w:pos="2229"/>
        </w:tabs>
        <w:spacing w:after="0" w:line="22" w:lineRule="atLeast"/>
        <w:rPr>
          <w:rFonts w:ascii="Verdana" w:hAnsi="Verdana"/>
        </w:rPr>
      </w:pPr>
      <w:r>
        <w:rPr>
          <w:rFonts w:ascii="Verdana" w:hAnsi="Verdana"/>
        </w:rPr>
        <w:tab/>
      </w:r>
    </w:p>
    <w:p w:rsidR="00270231" w:rsidRPr="00631862" w:rsidRDefault="00270231" w:rsidP="0092501F">
      <w:pPr>
        <w:spacing w:after="0" w:line="22" w:lineRule="atLeast"/>
        <w:rPr>
          <w:rFonts w:ascii="Verdana" w:hAnsi="Verdana"/>
        </w:rPr>
      </w:pPr>
    </w:p>
    <w:p w:rsidR="00270231" w:rsidRPr="00E16D80" w:rsidRDefault="00960FD3" w:rsidP="0092501F">
      <w:pPr>
        <w:pStyle w:val="Kop2"/>
        <w:spacing w:before="0" w:line="22" w:lineRule="atLeast"/>
        <w:rPr>
          <w:rFonts w:ascii="Verdana" w:hAnsi="Verdana"/>
        </w:rPr>
      </w:pPr>
      <w:bookmarkStart w:id="66" w:name="_Toc451895029"/>
      <w:r>
        <w:rPr>
          <w:rFonts w:ascii="Verdana" w:hAnsi="Verdana"/>
        </w:rPr>
        <w:t>7</w:t>
      </w:r>
      <w:r w:rsidR="00F248F0">
        <w:rPr>
          <w:rFonts w:ascii="Verdana" w:hAnsi="Verdana"/>
        </w:rPr>
        <w:t>.4</w:t>
      </w:r>
      <w:r w:rsidR="00270231" w:rsidRPr="00E16D80">
        <w:rPr>
          <w:rFonts w:ascii="Verdana" w:hAnsi="Verdana"/>
        </w:rPr>
        <w:t xml:space="preserve"> De eventuele toestemming van de belanghebbende</w:t>
      </w:r>
      <w:bookmarkEnd w:id="66"/>
    </w:p>
    <w:p w:rsidR="004C7992" w:rsidRDefault="00367D4F" w:rsidP="0092501F">
      <w:pPr>
        <w:spacing w:after="0" w:line="22" w:lineRule="atLeast"/>
        <w:jc w:val="both"/>
        <w:rPr>
          <w:rFonts w:ascii="Verdana" w:hAnsi="Verdana"/>
        </w:rPr>
      </w:pPr>
      <w:r>
        <w:rPr>
          <w:rFonts w:ascii="Verdana" w:hAnsi="Verdana"/>
        </w:rPr>
        <w:t>Volgens de Hoge Raad dient enkel het standpunt van de belanghebbende, in deze de verschoningsgerechtigde, te worden gehoord.  Echter, vaak keken eerstelijns rechters ook naar het standpunt van een ander dan de belang</w:t>
      </w:r>
      <w:r w:rsidR="00A943DD">
        <w:rPr>
          <w:rFonts w:ascii="Verdana" w:hAnsi="Verdana"/>
        </w:rPr>
        <w:t>-</w:t>
      </w:r>
      <w:r w:rsidR="00084B20">
        <w:rPr>
          <w:rFonts w:ascii="Verdana" w:hAnsi="Verdana"/>
        </w:rPr>
        <w:t>hebbende. Dit was</w:t>
      </w:r>
      <w:r>
        <w:rPr>
          <w:rFonts w:ascii="Verdana" w:hAnsi="Verdana"/>
        </w:rPr>
        <w:t xml:space="preserve"> meestal de cliënt/patiënt waarop de gegevens sloegen. De toestemming, dan wel het bezwaar van de cliënt/patiënt werd vaak meegenomen in de uiteindelijke beslissing van de eerstelijns rechters. Echter, er zijn uit</w:t>
      </w:r>
      <w:r w:rsidR="00A943DD">
        <w:rPr>
          <w:rFonts w:ascii="Verdana" w:hAnsi="Verdana"/>
        </w:rPr>
        <w:t>-</w:t>
      </w:r>
      <w:r>
        <w:rPr>
          <w:rFonts w:ascii="Verdana" w:hAnsi="Verdana"/>
        </w:rPr>
        <w:t xml:space="preserve">zonderingssituaties mogelijk waarin er om gegronde redenen afgeweken kan worden van het standpunt van de cliënt/patiënt. Voorbeelden hiervan zijn </w:t>
      </w:r>
      <w:r w:rsidR="004C7992">
        <w:rPr>
          <w:rFonts w:ascii="Verdana" w:hAnsi="Verdana"/>
        </w:rPr>
        <w:t>dat de geestestoestand van de cliënt/patiënt het niet toestaat om hierover een goed oordeel te geven</w:t>
      </w:r>
      <w:r w:rsidR="00643E14" w:rsidRPr="000B0A6A">
        <w:rPr>
          <w:rStyle w:val="Voetnootmarkering"/>
          <w:rFonts w:ascii="Verdana" w:hAnsi="Verdana"/>
        </w:rPr>
        <w:footnoteReference w:id="151"/>
      </w:r>
      <w:r>
        <w:rPr>
          <w:rFonts w:ascii="Verdana" w:hAnsi="Verdana"/>
        </w:rPr>
        <w:t xml:space="preserve"> of dat er sprake i</w:t>
      </w:r>
      <w:r w:rsidR="004C7992">
        <w:rPr>
          <w:rFonts w:ascii="Verdana" w:hAnsi="Verdana"/>
        </w:rPr>
        <w:t>s van een onvoorziene situatie</w:t>
      </w:r>
      <w:r w:rsidR="00643E14" w:rsidRPr="000B0A6A">
        <w:rPr>
          <w:rStyle w:val="Voetnootmarkering"/>
          <w:rFonts w:ascii="Verdana" w:hAnsi="Verdana"/>
        </w:rPr>
        <w:footnoteReference w:id="152"/>
      </w:r>
      <w:r w:rsidR="004C7992">
        <w:rPr>
          <w:rFonts w:ascii="Verdana" w:hAnsi="Verdana"/>
        </w:rPr>
        <w:t xml:space="preserve">. </w:t>
      </w:r>
    </w:p>
    <w:p w:rsidR="00367D4F" w:rsidRDefault="00367D4F" w:rsidP="0092501F">
      <w:pPr>
        <w:spacing w:after="0" w:line="22" w:lineRule="atLeast"/>
        <w:jc w:val="both"/>
        <w:rPr>
          <w:rFonts w:ascii="Verdana" w:hAnsi="Verdana"/>
        </w:rPr>
      </w:pPr>
    </w:p>
    <w:p w:rsidR="004C7992" w:rsidRPr="000B0A6A" w:rsidRDefault="00367D4F" w:rsidP="0092501F">
      <w:pPr>
        <w:spacing w:after="0" w:line="22" w:lineRule="atLeast"/>
        <w:jc w:val="both"/>
        <w:rPr>
          <w:rFonts w:ascii="Verdana" w:hAnsi="Verdana"/>
        </w:rPr>
      </w:pPr>
      <w:r>
        <w:rPr>
          <w:rFonts w:ascii="Verdana" w:hAnsi="Verdana"/>
        </w:rPr>
        <w:t>Verder mag op een uitdrukkelijke en ondubbelzinnig verklaring van de beroeps-beoefenaar worden vertrouwd en heeft dit dus tot gevolge dat er toestemming in de zin van artikel 98 Sv is gegeven</w:t>
      </w:r>
      <w:r w:rsidR="00384A08" w:rsidRPr="00AB0EFC">
        <w:rPr>
          <w:rStyle w:val="Voetnootmarkering"/>
          <w:rFonts w:ascii="Verdana" w:hAnsi="Verdana"/>
        </w:rPr>
        <w:footnoteReference w:id="153"/>
      </w:r>
      <w:r w:rsidR="00384A08">
        <w:rPr>
          <w:rFonts w:ascii="Verdana" w:hAnsi="Verdana"/>
        </w:rPr>
        <w:t xml:space="preserve">. </w:t>
      </w:r>
    </w:p>
    <w:p w:rsidR="00C60523" w:rsidRPr="00631862" w:rsidRDefault="00C60523" w:rsidP="0092501F">
      <w:pPr>
        <w:spacing w:after="0" w:line="22" w:lineRule="atLeast"/>
        <w:rPr>
          <w:rFonts w:ascii="Verdana" w:hAnsi="Verdana"/>
        </w:rPr>
      </w:pPr>
    </w:p>
    <w:p w:rsidR="00270231" w:rsidRPr="00631862" w:rsidRDefault="00270231" w:rsidP="0092501F">
      <w:pPr>
        <w:spacing w:after="0" w:line="22" w:lineRule="atLeast"/>
        <w:rPr>
          <w:rFonts w:ascii="Verdana" w:hAnsi="Verdana"/>
        </w:rPr>
      </w:pPr>
    </w:p>
    <w:p w:rsidR="00270231" w:rsidRPr="00BF4251" w:rsidRDefault="00960FD3" w:rsidP="0092501F">
      <w:pPr>
        <w:pStyle w:val="Kop2"/>
        <w:spacing w:before="0" w:line="22" w:lineRule="atLeast"/>
        <w:rPr>
          <w:rFonts w:ascii="Verdana" w:hAnsi="Verdana"/>
        </w:rPr>
      </w:pPr>
      <w:bookmarkStart w:id="67" w:name="_Toc451895030"/>
      <w:r w:rsidRPr="00BF4251">
        <w:rPr>
          <w:rFonts w:ascii="Verdana" w:hAnsi="Verdana"/>
        </w:rPr>
        <w:t>7</w:t>
      </w:r>
      <w:r w:rsidR="00F248F0">
        <w:rPr>
          <w:rFonts w:ascii="Verdana" w:hAnsi="Verdana"/>
        </w:rPr>
        <w:t>.5</w:t>
      </w:r>
      <w:r w:rsidR="00270231" w:rsidRPr="00BF4251">
        <w:rPr>
          <w:rFonts w:ascii="Verdana" w:hAnsi="Verdana"/>
        </w:rPr>
        <w:t xml:space="preserve"> De eventuele verdenking tegen de verschonings</w:t>
      </w:r>
      <w:r w:rsidR="007B2E53">
        <w:rPr>
          <w:rFonts w:ascii="Verdana" w:hAnsi="Verdana"/>
        </w:rPr>
        <w:t>-</w:t>
      </w:r>
      <w:r w:rsidR="00270231" w:rsidRPr="00BF4251">
        <w:rPr>
          <w:rFonts w:ascii="Verdana" w:hAnsi="Verdana"/>
        </w:rPr>
        <w:t>gerechtigde</w:t>
      </w:r>
      <w:bookmarkEnd w:id="67"/>
    </w:p>
    <w:p w:rsidR="007B2E53" w:rsidRDefault="007B2E53" w:rsidP="0092501F">
      <w:pPr>
        <w:spacing w:after="0" w:line="22" w:lineRule="atLeast"/>
        <w:jc w:val="both"/>
        <w:rPr>
          <w:rFonts w:ascii="Verdana" w:hAnsi="Verdana"/>
        </w:rPr>
      </w:pPr>
      <w:r>
        <w:rPr>
          <w:rFonts w:ascii="Verdana" w:hAnsi="Verdana"/>
        </w:rPr>
        <w:t>De verdenking richt zich in bijna alle gevallen tegen de ber</w:t>
      </w:r>
      <w:r w:rsidR="008F2C8B">
        <w:rPr>
          <w:rFonts w:ascii="Verdana" w:hAnsi="Verdana"/>
        </w:rPr>
        <w:t>oepsbeoefenaar of diens cliënt/patiënt</w:t>
      </w:r>
      <w:r>
        <w:rPr>
          <w:rFonts w:ascii="Verdana" w:hAnsi="Verdana"/>
        </w:rPr>
        <w:t>, maar kan zich ook richten op een externe partij</w:t>
      </w:r>
      <w:r w:rsidRPr="000B0A6A">
        <w:rPr>
          <w:rStyle w:val="Voetnootmarkering"/>
          <w:rFonts w:ascii="Verdana" w:hAnsi="Verdana"/>
        </w:rPr>
        <w:footnoteReference w:id="154"/>
      </w:r>
      <w:r>
        <w:rPr>
          <w:rFonts w:ascii="Verdana" w:hAnsi="Verdana"/>
        </w:rPr>
        <w:t>. Deze factor is echter niet van invloed op de uite</w:t>
      </w:r>
      <w:r w:rsidR="008F2C8B">
        <w:rPr>
          <w:rFonts w:ascii="Verdana" w:hAnsi="Verdana"/>
        </w:rPr>
        <w:t>indelijke beslissing, omdat</w:t>
      </w:r>
      <w:r>
        <w:rPr>
          <w:rFonts w:ascii="Verdana" w:hAnsi="Verdana"/>
        </w:rPr>
        <w:t xml:space="preserve"> het hier gaat om een feitelijke vermelding wie verdacht wordt. </w:t>
      </w:r>
      <w:r w:rsidR="008F2C8B">
        <w:rPr>
          <w:rFonts w:ascii="Verdana" w:hAnsi="Verdana"/>
        </w:rPr>
        <w:t>Deze factor kan</w:t>
      </w:r>
      <w:r w:rsidR="009A2649">
        <w:rPr>
          <w:rFonts w:ascii="Verdana" w:hAnsi="Verdana"/>
        </w:rPr>
        <w:t xml:space="preserve"> in sommige gevallen</w:t>
      </w:r>
      <w:r w:rsidR="008F2C8B">
        <w:rPr>
          <w:rFonts w:ascii="Verdana" w:hAnsi="Verdana"/>
        </w:rPr>
        <w:t xml:space="preserve"> wel</w:t>
      </w:r>
      <w:r w:rsidR="009A2649">
        <w:rPr>
          <w:rFonts w:ascii="Verdana" w:hAnsi="Verdana"/>
        </w:rPr>
        <w:t xml:space="preserve"> bij een verdenking tegen de beroepsbeoefenaar in samenhang gelezen worden met de factor ‘belang en e</w:t>
      </w:r>
      <w:r w:rsidR="00C23485">
        <w:rPr>
          <w:rFonts w:ascii="Verdana" w:hAnsi="Verdana"/>
        </w:rPr>
        <w:t>rnst van de strafzaak’ omdat daar</w:t>
      </w:r>
      <w:r w:rsidR="009A2649">
        <w:rPr>
          <w:rFonts w:ascii="Verdana" w:hAnsi="Verdana"/>
        </w:rPr>
        <w:t xml:space="preserve">in </w:t>
      </w:r>
      <w:r w:rsidR="00C23485">
        <w:rPr>
          <w:rFonts w:ascii="Verdana" w:hAnsi="Verdana"/>
        </w:rPr>
        <w:t xml:space="preserve">staat </w:t>
      </w:r>
      <w:r w:rsidR="009A2649">
        <w:rPr>
          <w:rFonts w:ascii="Verdana" w:hAnsi="Verdana"/>
        </w:rPr>
        <w:t xml:space="preserve">vermeld dat </w:t>
      </w:r>
      <w:r w:rsidRPr="000B0A6A">
        <w:rPr>
          <w:rFonts w:ascii="Verdana" w:hAnsi="Verdana"/>
        </w:rPr>
        <w:t>die verdenking afbreuk zou kunnen doen aan het vertrouwen in die beroepsbeoefenaar</w:t>
      </w:r>
      <w:r w:rsidRPr="000B0A6A">
        <w:rPr>
          <w:rStyle w:val="Voetnootmarkering"/>
          <w:rFonts w:ascii="Verdana" w:hAnsi="Verdana"/>
        </w:rPr>
        <w:footnoteReference w:id="155"/>
      </w:r>
      <w:r w:rsidRPr="000B0A6A">
        <w:rPr>
          <w:rFonts w:ascii="Verdana" w:hAnsi="Verdana"/>
        </w:rPr>
        <w:t>.</w:t>
      </w:r>
    </w:p>
    <w:p w:rsidR="005534E4" w:rsidRDefault="005534E4" w:rsidP="0092501F">
      <w:pPr>
        <w:spacing w:after="0" w:line="22" w:lineRule="atLeast"/>
        <w:jc w:val="both"/>
        <w:rPr>
          <w:rFonts w:ascii="Verdana" w:hAnsi="Verdana"/>
        </w:rPr>
      </w:pPr>
    </w:p>
    <w:p w:rsidR="005534E4" w:rsidRPr="009A2649" w:rsidRDefault="005534E4" w:rsidP="0092501F">
      <w:pPr>
        <w:spacing w:after="0" w:line="22" w:lineRule="atLeast"/>
        <w:jc w:val="both"/>
        <w:rPr>
          <w:rFonts w:ascii="Verdana" w:hAnsi="Verdana"/>
        </w:rPr>
      </w:pPr>
    </w:p>
    <w:p w:rsidR="00270231" w:rsidRPr="00E16D80" w:rsidRDefault="00960FD3" w:rsidP="0092501F">
      <w:pPr>
        <w:pStyle w:val="Kop2"/>
        <w:spacing w:before="0" w:line="22" w:lineRule="atLeast"/>
        <w:rPr>
          <w:rFonts w:ascii="Verdana" w:hAnsi="Verdana"/>
        </w:rPr>
      </w:pPr>
      <w:bookmarkStart w:id="68" w:name="_Toc451895031"/>
      <w:r>
        <w:rPr>
          <w:rFonts w:ascii="Verdana" w:hAnsi="Verdana"/>
        </w:rPr>
        <w:t>7</w:t>
      </w:r>
      <w:r w:rsidR="00F248F0">
        <w:rPr>
          <w:rFonts w:ascii="Verdana" w:hAnsi="Verdana"/>
        </w:rPr>
        <w:t>.6</w:t>
      </w:r>
      <w:r w:rsidR="00270231" w:rsidRPr="00E16D80">
        <w:rPr>
          <w:rFonts w:ascii="Verdana" w:hAnsi="Verdana"/>
        </w:rPr>
        <w:t xml:space="preserve"> De proportionaliteit en subsidiariteit</w:t>
      </w:r>
      <w:bookmarkEnd w:id="68"/>
    </w:p>
    <w:p w:rsidR="00952685" w:rsidRPr="00AB0EFC" w:rsidRDefault="00952685" w:rsidP="0092501F">
      <w:pPr>
        <w:spacing w:after="0" w:line="22" w:lineRule="atLeast"/>
        <w:jc w:val="both"/>
        <w:rPr>
          <w:rFonts w:ascii="Verdana" w:hAnsi="Verdana"/>
        </w:rPr>
      </w:pPr>
      <w:r w:rsidRPr="00AB0EFC">
        <w:rPr>
          <w:rFonts w:ascii="Verdana" w:hAnsi="Verdana"/>
        </w:rPr>
        <w:t>De proportionaliteit en de subsidiariteit spelen een belangrijke rol bij de uiteindelijke beslissing van de rechters. Indien de rechters van m</w:t>
      </w:r>
      <w:r w:rsidR="009B5B22">
        <w:rPr>
          <w:rFonts w:ascii="Verdana" w:hAnsi="Verdana"/>
        </w:rPr>
        <w:t xml:space="preserve">ening waren dat de inbeslagname </w:t>
      </w:r>
      <w:r w:rsidRPr="00AB0EFC">
        <w:rPr>
          <w:rFonts w:ascii="Verdana" w:hAnsi="Verdana"/>
        </w:rPr>
        <w:t xml:space="preserve">proportioneel was, werd het </w:t>
      </w:r>
      <w:r w:rsidR="00650F47">
        <w:rPr>
          <w:rFonts w:ascii="Verdana" w:hAnsi="Verdana"/>
        </w:rPr>
        <w:t>doorbreken van het verschonings</w:t>
      </w:r>
      <w:r w:rsidR="009B5B22">
        <w:rPr>
          <w:rFonts w:ascii="Verdana" w:hAnsi="Verdana"/>
        </w:rPr>
        <w:t>-</w:t>
      </w:r>
      <w:r w:rsidR="00650F47">
        <w:rPr>
          <w:rFonts w:ascii="Verdana" w:hAnsi="Verdana"/>
        </w:rPr>
        <w:lastRenderedPageBreak/>
        <w:t>recht</w:t>
      </w:r>
      <w:r w:rsidRPr="00AB0EFC">
        <w:rPr>
          <w:rFonts w:ascii="Verdana" w:hAnsi="Verdana"/>
        </w:rPr>
        <w:t xml:space="preserve"> rechtmatig geacht</w:t>
      </w:r>
      <w:r w:rsidRPr="00AB0EFC">
        <w:rPr>
          <w:rStyle w:val="Voetnootmarkering"/>
          <w:rFonts w:ascii="Verdana" w:hAnsi="Verdana"/>
        </w:rPr>
        <w:footnoteReference w:id="156"/>
      </w:r>
      <w:r w:rsidRPr="00AB0EFC">
        <w:rPr>
          <w:rFonts w:ascii="Verdana" w:hAnsi="Verdana"/>
        </w:rPr>
        <w:t>. In de gevallen waarin het niet ging om een gerichte inbeslagname, wer</w:t>
      </w:r>
      <w:r w:rsidR="00650F47">
        <w:rPr>
          <w:rFonts w:ascii="Verdana" w:hAnsi="Verdana"/>
        </w:rPr>
        <w:t>den de zeer uitzonderlijke omstandigheden niet aan</w:t>
      </w:r>
      <w:r w:rsidR="009B5B22">
        <w:rPr>
          <w:rFonts w:ascii="Verdana" w:hAnsi="Verdana"/>
        </w:rPr>
        <w:t>-</w:t>
      </w:r>
      <w:r w:rsidR="00650F47">
        <w:rPr>
          <w:rFonts w:ascii="Verdana" w:hAnsi="Verdana"/>
        </w:rPr>
        <w:t>genomen</w:t>
      </w:r>
      <w:r w:rsidRPr="00AB0EFC">
        <w:rPr>
          <w:rStyle w:val="Voetnootmarkering"/>
          <w:rFonts w:ascii="Verdana" w:hAnsi="Verdana"/>
        </w:rPr>
        <w:footnoteReference w:id="157"/>
      </w:r>
      <w:r w:rsidRPr="00AB0EFC">
        <w:rPr>
          <w:rFonts w:ascii="Verdana" w:hAnsi="Verdana"/>
        </w:rPr>
        <w:t>.</w:t>
      </w:r>
    </w:p>
    <w:p w:rsidR="00952685" w:rsidRPr="00AB0EFC" w:rsidRDefault="00952685" w:rsidP="0092501F">
      <w:pPr>
        <w:spacing w:after="0" w:line="22" w:lineRule="atLeast"/>
        <w:jc w:val="both"/>
        <w:rPr>
          <w:rFonts w:ascii="Verdana" w:hAnsi="Verdana"/>
        </w:rPr>
      </w:pPr>
    </w:p>
    <w:p w:rsidR="00952685" w:rsidRPr="00AB0EFC" w:rsidRDefault="00952685" w:rsidP="0092501F">
      <w:pPr>
        <w:spacing w:after="0" w:line="22" w:lineRule="atLeast"/>
        <w:jc w:val="both"/>
        <w:rPr>
          <w:rFonts w:ascii="Verdana" w:hAnsi="Verdana"/>
        </w:rPr>
      </w:pPr>
      <w:r w:rsidRPr="00AB0EFC">
        <w:rPr>
          <w:rFonts w:ascii="Verdana" w:hAnsi="Verdana"/>
        </w:rPr>
        <w:t>Ten aanzien van de subsidiariteit was dezelfde lijn te zien. Indien bleek dat er geen ander, minder ingrijpend middel voorhanden was voor de waarheids</w:t>
      </w:r>
      <w:r w:rsidR="006A5157">
        <w:rPr>
          <w:rFonts w:ascii="Verdana" w:hAnsi="Verdana"/>
        </w:rPr>
        <w:t>-</w:t>
      </w:r>
      <w:r w:rsidRPr="00AB0EFC">
        <w:rPr>
          <w:rFonts w:ascii="Verdana" w:hAnsi="Verdana"/>
        </w:rPr>
        <w:t xml:space="preserve">vinding, werd het </w:t>
      </w:r>
      <w:r w:rsidR="00650F47">
        <w:rPr>
          <w:rFonts w:ascii="Verdana" w:hAnsi="Verdana"/>
        </w:rPr>
        <w:t>doorbreken van het verschoningsrecht r</w:t>
      </w:r>
      <w:r w:rsidRPr="00AB0EFC">
        <w:rPr>
          <w:rFonts w:ascii="Verdana" w:hAnsi="Verdana"/>
        </w:rPr>
        <w:t>echtmatig geacht</w:t>
      </w:r>
      <w:r w:rsidRPr="00AB0EFC">
        <w:rPr>
          <w:rStyle w:val="Voetnootmarkering"/>
          <w:rFonts w:ascii="Verdana" w:hAnsi="Verdana"/>
        </w:rPr>
        <w:footnoteReference w:id="158"/>
      </w:r>
      <w:r w:rsidRPr="00AB0EFC">
        <w:rPr>
          <w:rFonts w:ascii="Verdana" w:hAnsi="Verdana"/>
        </w:rPr>
        <w:t xml:space="preserve">. </w:t>
      </w:r>
      <w:r w:rsidR="008F2C8B">
        <w:rPr>
          <w:rFonts w:ascii="Verdana" w:hAnsi="Verdana"/>
        </w:rPr>
        <w:t>In de uitspraken waarin er wel</w:t>
      </w:r>
      <w:r w:rsidRPr="00AB0EFC">
        <w:rPr>
          <w:rFonts w:ascii="Verdana" w:hAnsi="Verdana"/>
        </w:rPr>
        <w:t xml:space="preserve"> een ander, minder ingrijpend middel voorhan</w:t>
      </w:r>
      <w:r w:rsidR="005841F8">
        <w:rPr>
          <w:rFonts w:ascii="Verdana" w:hAnsi="Verdana"/>
        </w:rPr>
        <w:t>den was, achtten de rechters de inbeslagname</w:t>
      </w:r>
      <w:r w:rsidRPr="00AB0EFC">
        <w:rPr>
          <w:rFonts w:ascii="Verdana" w:hAnsi="Verdana"/>
        </w:rPr>
        <w:t xml:space="preserve"> in strijd met de subsidiariteit en </w:t>
      </w:r>
      <w:r w:rsidR="00650F47">
        <w:rPr>
          <w:rFonts w:ascii="Verdana" w:hAnsi="Verdana"/>
        </w:rPr>
        <w:t>was het doorbreken van het verschoningsrecht onrecht</w:t>
      </w:r>
      <w:r w:rsidRPr="00AB0EFC">
        <w:rPr>
          <w:rFonts w:ascii="Verdana" w:hAnsi="Verdana"/>
        </w:rPr>
        <w:t>matig</w:t>
      </w:r>
      <w:r w:rsidRPr="00AB0EFC">
        <w:rPr>
          <w:rStyle w:val="Voetnootmarkering"/>
          <w:rFonts w:ascii="Verdana" w:hAnsi="Verdana"/>
        </w:rPr>
        <w:footnoteReference w:id="159"/>
      </w:r>
      <w:r w:rsidRPr="00AB0EFC">
        <w:rPr>
          <w:rFonts w:ascii="Verdana" w:hAnsi="Verdana"/>
        </w:rPr>
        <w:t>.</w:t>
      </w:r>
      <w:r w:rsidR="006A5157">
        <w:rPr>
          <w:rFonts w:ascii="Verdana" w:hAnsi="Verdana"/>
        </w:rPr>
        <w:t xml:space="preserve"> </w:t>
      </w:r>
      <w:r w:rsidRPr="00AB0EFC">
        <w:rPr>
          <w:rFonts w:ascii="Verdana" w:hAnsi="Verdana"/>
        </w:rPr>
        <w:t>Hierop is een uitzondering ten aanzien van corpora- et instrumenta delicti. Omdat deze niet onder het verschoningsrecht vallen, kunnen deze ook in beslag worden genomen ondanks dat er een ander, minder ingrijpend middel voorhanden is</w:t>
      </w:r>
      <w:r w:rsidRPr="00AB0EFC">
        <w:rPr>
          <w:rStyle w:val="Voetnootmarkering"/>
          <w:rFonts w:ascii="Verdana" w:hAnsi="Verdana"/>
        </w:rPr>
        <w:footnoteReference w:id="160"/>
      </w:r>
      <w:r w:rsidRPr="00AB0EFC">
        <w:rPr>
          <w:rFonts w:ascii="Verdana" w:hAnsi="Verdana"/>
        </w:rPr>
        <w:t xml:space="preserve">. </w:t>
      </w:r>
    </w:p>
    <w:p w:rsidR="00952685" w:rsidRPr="00631862" w:rsidRDefault="00952685" w:rsidP="0092501F">
      <w:pPr>
        <w:spacing w:after="0" w:line="22" w:lineRule="atLeast"/>
        <w:rPr>
          <w:rFonts w:ascii="Verdana" w:hAnsi="Verdana"/>
          <w:color w:val="FF0000"/>
        </w:rPr>
      </w:pPr>
    </w:p>
    <w:p w:rsidR="00952685" w:rsidRPr="00631862" w:rsidRDefault="00952685" w:rsidP="0092501F">
      <w:pPr>
        <w:spacing w:after="0" w:line="22" w:lineRule="atLeast"/>
        <w:rPr>
          <w:rFonts w:ascii="Verdana" w:hAnsi="Verdana"/>
        </w:rPr>
      </w:pPr>
    </w:p>
    <w:p w:rsidR="00270231" w:rsidRDefault="00960FD3" w:rsidP="0092501F">
      <w:pPr>
        <w:pStyle w:val="Kop2"/>
        <w:spacing w:before="0" w:line="22" w:lineRule="atLeast"/>
        <w:rPr>
          <w:rFonts w:ascii="Verdana" w:hAnsi="Verdana"/>
        </w:rPr>
      </w:pPr>
      <w:bookmarkStart w:id="69" w:name="_Toc451895032"/>
      <w:r>
        <w:rPr>
          <w:rFonts w:ascii="Verdana" w:hAnsi="Verdana"/>
        </w:rPr>
        <w:t>7</w:t>
      </w:r>
      <w:r w:rsidR="00F248F0">
        <w:rPr>
          <w:rFonts w:ascii="Verdana" w:hAnsi="Verdana"/>
        </w:rPr>
        <w:t>.7</w:t>
      </w:r>
      <w:r w:rsidR="00270231" w:rsidRPr="00E16D80">
        <w:rPr>
          <w:rFonts w:ascii="Verdana" w:hAnsi="Verdana"/>
        </w:rPr>
        <w:t xml:space="preserve"> Het belang van de gevorderde gegevens</w:t>
      </w:r>
      <w:bookmarkEnd w:id="69"/>
    </w:p>
    <w:p w:rsidR="00677B7A" w:rsidRDefault="00677B7A" w:rsidP="00677B7A">
      <w:pPr>
        <w:spacing w:after="0" w:line="22" w:lineRule="atLeast"/>
        <w:jc w:val="both"/>
        <w:rPr>
          <w:rFonts w:ascii="Verdana" w:hAnsi="Verdana"/>
        </w:rPr>
      </w:pPr>
      <w:r>
        <w:rPr>
          <w:rFonts w:ascii="Verdana" w:hAnsi="Verdana"/>
        </w:rPr>
        <w:t>De bijzondere opsporingsbevoegdheden moeten zich richten op opsporing of het opsporingsonderzoek als bedoeld in artikel 132a Sv. De inbeslagname dient zich dan ook te richten op de waarheidsvinding. In rechtszaken waarin gemotiveerd werd aangegeven waarom de gegevens zouden bijdragen aan de waarheids-vinding, werd het beslag (mede) daardoor rechtmatig geacht</w:t>
      </w:r>
      <w:r w:rsidRPr="001568CE">
        <w:rPr>
          <w:rStyle w:val="Voetnootmarkering"/>
          <w:rFonts w:ascii="Verdana" w:hAnsi="Verdana"/>
        </w:rPr>
        <w:footnoteReference w:id="161"/>
      </w:r>
      <w:r>
        <w:rPr>
          <w:rFonts w:ascii="Verdana" w:hAnsi="Verdana"/>
        </w:rPr>
        <w:t xml:space="preserve">. Een goede onderbouwing van het belang van de gegevens voor de waarheidsvinding is dus van groot belang. </w:t>
      </w:r>
    </w:p>
    <w:p w:rsidR="005757B5" w:rsidRDefault="005757B5" w:rsidP="0092501F">
      <w:pPr>
        <w:spacing w:after="0" w:line="22" w:lineRule="atLeast"/>
        <w:jc w:val="both"/>
        <w:rPr>
          <w:rFonts w:ascii="Verdana" w:hAnsi="Verdana"/>
        </w:rPr>
      </w:pPr>
    </w:p>
    <w:p w:rsidR="00C83A37" w:rsidRDefault="005757B5" w:rsidP="0092501F">
      <w:pPr>
        <w:spacing w:after="0" w:line="22" w:lineRule="atLeast"/>
        <w:jc w:val="both"/>
        <w:rPr>
          <w:rFonts w:ascii="Verdana" w:hAnsi="Verdana"/>
        </w:rPr>
      </w:pPr>
      <w:r>
        <w:rPr>
          <w:rFonts w:ascii="Verdana" w:hAnsi="Verdana"/>
        </w:rPr>
        <w:t>Naast dat de inbeslagname van gegevens moet zien op de waarheidsvinding, mag deze ook zien op het belang</w:t>
      </w:r>
      <w:r w:rsidR="001568CE">
        <w:rPr>
          <w:rFonts w:ascii="Verdana" w:hAnsi="Verdana"/>
        </w:rPr>
        <w:t xml:space="preserve"> van de verdediging die ziet op vragen in het kader van artikel 350 Sv</w:t>
      </w:r>
      <w:r w:rsidR="001568CE" w:rsidRPr="000B0A6A">
        <w:rPr>
          <w:rStyle w:val="Voetnootmarkering"/>
          <w:rFonts w:ascii="Verdana" w:hAnsi="Verdana"/>
        </w:rPr>
        <w:footnoteReference w:id="162"/>
      </w:r>
      <w:r w:rsidR="001568CE">
        <w:rPr>
          <w:rFonts w:ascii="Verdana" w:hAnsi="Verdana"/>
        </w:rPr>
        <w:t xml:space="preserve">. </w:t>
      </w:r>
    </w:p>
    <w:p w:rsidR="00FC45E7" w:rsidRPr="00982A75" w:rsidRDefault="00FC45E7" w:rsidP="0092501F">
      <w:pPr>
        <w:spacing w:after="0" w:line="22" w:lineRule="atLeast"/>
        <w:rPr>
          <w:rFonts w:ascii="Verdana" w:hAnsi="Verdana"/>
          <w:szCs w:val="24"/>
        </w:rPr>
      </w:pPr>
    </w:p>
    <w:p w:rsidR="00B66EC3" w:rsidRPr="00982A75" w:rsidRDefault="00B66EC3" w:rsidP="0092501F">
      <w:pPr>
        <w:spacing w:after="0" w:line="22" w:lineRule="atLeast"/>
        <w:rPr>
          <w:rFonts w:ascii="Verdana" w:hAnsi="Verdana"/>
          <w:szCs w:val="24"/>
        </w:rPr>
      </w:pPr>
    </w:p>
    <w:p w:rsidR="00F248F0" w:rsidRPr="00FC45E7" w:rsidRDefault="00F248F0" w:rsidP="0092501F">
      <w:pPr>
        <w:pStyle w:val="Kop2"/>
        <w:spacing w:before="0" w:line="22" w:lineRule="atLeast"/>
        <w:rPr>
          <w:rFonts w:ascii="Verdana" w:hAnsi="Verdana"/>
        </w:rPr>
      </w:pPr>
      <w:bookmarkStart w:id="70" w:name="_Toc451895033"/>
      <w:r w:rsidRPr="00FC45E7">
        <w:rPr>
          <w:rFonts w:ascii="Verdana" w:hAnsi="Verdana"/>
        </w:rPr>
        <w:lastRenderedPageBreak/>
        <w:t>7.8 De restoverwegingen</w:t>
      </w:r>
      <w:bookmarkEnd w:id="70"/>
    </w:p>
    <w:p w:rsidR="00F7379E" w:rsidRPr="000F17F1" w:rsidRDefault="000F17F1" w:rsidP="0092501F">
      <w:pPr>
        <w:spacing w:after="0" w:line="22" w:lineRule="atLeast"/>
        <w:jc w:val="both"/>
        <w:rPr>
          <w:rFonts w:ascii="Verdana" w:hAnsi="Verdana"/>
        </w:rPr>
      </w:pPr>
      <w:r>
        <w:rPr>
          <w:rFonts w:ascii="Verdana" w:hAnsi="Verdana"/>
        </w:rPr>
        <w:t xml:space="preserve">Een belangenafweging maken was een veel voorkomende restoverweging. Deze belangenafweging zag op </w:t>
      </w:r>
      <w:r w:rsidR="00F7379E">
        <w:rPr>
          <w:rFonts w:ascii="Verdana" w:hAnsi="Verdana"/>
        </w:rPr>
        <w:t xml:space="preserve">de vraag of de inbeslagname het algemeen maatschappelijk-, individuele- en strafrechtelijke belang zou kunnen schaden of juist </w:t>
      </w:r>
      <w:r w:rsidR="008E699C">
        <w:rPr>
          <w:rFonts w:ascii="Verdana" w:hAnsi="Verdana"/>
        </w:rPr>
        <w:t xml:space="preserve">zou </w:t>
      </w:r>
      <w:r w:rsidR="00F7379E">
        <w:rPr>
          <w:rFonts w:ascii="Verdana" w:hAnsi="Verdana"/>
        </w:rPr>
        <w:t>dienen</w:t>
      </w:r>
      <w:r w:rsidR="00F7379E">
        <w:rPr>
          <w:rStyle w:val="Voetnootmarkering"/>
          <w:rFonts w:ascii="Verdana" w:hAnsi="Verdana"/>
        </w:rPr>
        <w:footnoteReference w:id="163"/>
      </w:r>
      <w:r w:rsidR="00F7379E">
        <w:rPr>
          <w:rFonts w:ascii="Verdana" w:hAnsi="Verdana"/>
        </w:rPr>
        <w:t xml:space="preserve">. </w:t>
      </w:r>
      <w:r>
        <w:rPr>
          <w:rFonts w:ascii="Verdana" w:hAnsi="Verdana"/>
        </w:rPr>
        <w:t>Aan de hand daarvan werd bepaald welk belang van doorslaggevend belang was.</w:t>
      </w:r>
      <w:r w:rsidR="00F7379E">
        <w:rPr>
          <w:rFonts w:ascii="Verdana" w:hAnsi="Verdana"/>
          <w:b/>
          <w:sz w:val="36"/>
        </w:rPr>
        <w:br w:type="page"/>
      </w:r>
    </w:p>
    <w:p w:rsidR="00303EB4" w:rsidRPr="00270231" w:rsidRDefault="00960FD3" w:rsidP="0092501F">
      <w:pPr>
        <w:pStyle w:val="Kop1"/>
        <w:spacing w:before="0" w:line="22" w:lineRule="atLeast"/>
        <w:rPr>
          <w:rFonts w:ascii="Verdana" w:hAnsi="Verdana"/>
          <w:b/>
          <w:sz w:val="36"/>
        </w:rPr>
      </w:pPr>
      <w:bookmarkStart w:id="71" w:name="_Toc451895034"/>
      <w:r>
        <w:rPr>
          <w:rFonts w:ascii="Verdana" w:hAnsi="Verdana"/>
          <w:b/>
          <w:sz w:val="36"/>
        </w:rPr>
        <w:lastRenderedPageBreak/>
        <w:t>8</w:t>
      </w:r>
      <w:r w:rsidR="00303EB4" w:rsidRPr="00270231">
        <w:rPr>
          <w:rFonts w:ascii="Verdana" w:hAnsi="Verdana"/>
          <w:b/>
          <w:sz w:val="36"/>
        </w:rPr>
        <w:t>. Aanbevelingen</w:t>
      </w:r>
      <w:bookmarkEnd w:id="71"/>
    </w:p>
    <w:p w:rsidR="00303EB4" w:rsidRPr="00D72725" w:rsidRDefault="00D72725" w:rsidP="0092501F">
      <w:pPr>
        <w:pStyle w:val="Kop2"/>
        <w:spacing w:before="0" w:line="22" w:lineRule="atLeast"/>
        <w:rPr>
          <w:rFonts w:ascii="Verdana" w:hAnsi="Verdana"/>
        </w:rPr>
      </w:pPr>
      <w:bookmarkStart w:id="72" w:name="_Toc451895035"/>
      <w:r w:rsidRPr="00D72725">
        <w:rPr>
          <w:rFonts w:ascii="Verdana" w:hAnsi="Verdana"/>
        </w:rPr>
        <w:t>8.1 Inleiding</w:t>
      </w:r>
      <w:bookmarkEnd w:id="72"/>
    </w:p>
    <w:p w:rsidR="00D72725" w:rsidRPr="00AB0EFC" w:rsidRDefault="00A93379" w:rsidP="0092501F">
      <w:pPr>
        <w:spacing w:after="0" w:line="22" w:lineRule="atLeast"/>
        <w:jc w:val="both"/>
        <w:rPr>
          <w:rFonts w:ascii="Verdana" w:hAnsi="Verdana"/>
        </w:rPr>
      </w:pPr>
      <w:r w:rsidRPr="00AB0EFC">
        <w:rPr>
          <w:rFonts w:ascii="Verdana" w:hAnsi="Verdana"/>
        </w:rPr>
        <w:t>Op basis van voorgaande resultaten uit de analyse en de conclusies daarop, zijn aanbevelingen naar voren gekomen</w:t>
      </w:r>
      <w:r w:rsidR="005871F2">
        <w:rPr>
          <w:rFonts w:ascii="Verdana" w:hAnsi="Verdana"/>
        </w:rPr>
        <w:t xml:space="preserve"> betreffende</w:t>
      </w:r>
      <w:r w:rsidR="00DC3300">
        <w:rPr>
          <w:rFonts w:ascii="Verdana" w:hAnsi="Verdana"/>
        </w:rPr>
        <w:t xml:space="preserve"> de zes factoren</w:t>
      </w:r>
      <w:r w:rsidR="00AC02D7">
        <w:rPr>
          <w:rFonts w:ascii="Verdana" w:hAnsi="Verdana"/>
        </w:rPr>
        <w:t xml:space="preserve"> die door de </w:t>
      </w:r>
      <w:r w:rsidR="00DC3300">
        <w:rPr>
          <w:rFonts w:ascii="Verdana" w:hAnsi="Verdana"/>
        </w:rPr>
        <w:t>Hoge Raad</w:t>
      </w:r>
      <w:r w:rsidR="00AC02D7">
        <w:rPr>
          <w:rFonts w:ascii="Verdana" w:hAnsi="Verdana"/>
        </w:rPr>
        <w:t xml:space="preserve"> zijn geformuleerd voor de toetsing van de rechtmatigheid van de inbeslag-name bij een verschoningsgerechtigde beroepsbeoefenaar</w:t>
      </w:r>
      <w:r w:rsidRPr="00AB0EFC">
        <w:rPr>
          <w:rFonts w:ascii="Verdana" w:hAnsi="Verdana"/>
        </w:rPr>
        <w:t xml:space="preserve">. Hieronder zal ik deze aanbevelingen uitwerken. </w:t>
      </w:r>
    </w:p>
    <w:p w:rsidR="00F80BDE" w:rsidRPr="009C0239" w:rsidRDefault="00F80BDE" w:rsidP="0092501F">
      <w:pPr>
        <w:spacing w:after="0" w:line="22" w:lineRule="atLeast"/>
        <w:rPr>
          <w:rFonts w:ascii="Verdana" w:hAnsi="Verdana"/>
          <w:szCs w:val="24"/>
        </w:rPr>
      </w:pPr>
    </w:p>
    <w:p w:rsidR="00D72725" w:rsidRPr="009C0239" w:rsidRDefault="00D72725" w:rsidP="0092501F">
      <w:pPr>
        <w:spacing w:after="0" w:line="22" w:lineRule="atLeast"/>
        <w:rPr>
          <w:rFonts w:ascii="Verdana" w:hAnsi="Verdana"/>
          <w:szCs w:val="24"/>
        </w:rPr>
      </w:pPr>
    </w:p>
    <w:p w:rsidR="00270231" w:rsidRPr="00E16D80" w:rsidRDefault="00960FD3" w:rsidP="0092501F">
      <w:pPr>
        <w:pStyle w:val="Kop2"/>
        <w:spacing w:before="0" w:line="22" w:lineRule="atLeast"/>
        <w:rPr>
          <w:rFonts w:ascii="Verdana" w:hAnsi="Verdana"/>
        </w:rPr>
      </w:pPr>
      <w:bookmarkStart w:id="73" w:name="_Toc451895036"/>
      <w:r>
        <w:rPr>
          <w:rFonts w:ascii="Verdana" w:hAnsi="Verdana"/>
        </w:rPr>
        <w:t>8</w:t>
      </w:r>
      <w:r w:rsidR="00D72725">
        <w:rPr>
          <w:rFonts w:ascii="Verdana" w:hAnsi="Verdana"/>
        </w:rPr>
        <w:t>.2</w:t>
      </w:r>
      <w:r w:rsidR="00270231" w:rsidRPr="00E16D80">
        <w:rPr>
          <w:rFonts w:ascii="Verdana" w:hAnsi="Verdana"/>
        </w:rPr>
        <w:t xml:space="preserve"> De aard, omvang en context van de gevraagde gegevens</w:t>
      </w:r>
      <w:bookmarkEnd w:id="73"/>
    </w:p>
    <w:p w:rsidR="008460C5" w:rsidRDefault="008460C5" w:rsidP="008460C5">
      <w:pPr>
        <w:spacing w:after="0" w:line="22" w:lineRule="atLeast"/>
        <w:jc w:val="both"/>
        <w:rPr>
          <w:rFonts w:ascii="Verdana" w:hAnsi="Verdana"/>
        </w:rPr>
      </w:pPr>
      <w:r>
        <w:rPr>
          <w:rFonts w:ascii="Verdana" w:hAnsi="Verdana"/>
        </w:rPr>
        <w:t xml:space="preserve">Het is van belang om toe te lichten om wat voor soort gegevens het gaat. De gegevens kunnen worden onderverdeeld in vier categorieën: </w:t>
      </w:r>
      <w:r w:rsidRPr="000B0A6A">
        <w:rPr>
          <w:rFonts w:ascii="Verdana" w:hAnsi="Verdana"/>
        </w:rPr>
        <w:t>1) verschonings</w:t>
      </w:r>
      <w:r>
        <w:rPr>
          <w:rFonts w:ascii="Verdana" w:hAnsi="Verdana"/>
        </w:rPr>
        <w:t>-</w:t>
      </w:r>
      <w:r w:rsidRPr="000B0A6A">
        <w:rPr>
          <w:rFonts w:ascii="Verdana" w:hAnsi="Verdana"/>
        </w:rPr>
        <w:t xml:space="preserve">gerechtigde gegevens, 2) niet verschoningsgerechtigde gegevens, 3) corpora- et instrumenta delicti en 4) geen </w:t>
      </w:r>
      <w:r>
        <w:rPr>
          <w:rFonts w:ascii="Verdana" w:hAnsi="Verdana"/>
        </w:rPr>
        <w:t>corpora- et instrumenta delicti</w:t>
      </w:r>
      <w:r w:rsidRPr="000B0A6A">
        <w:rPr>
          <w:rFonts w:ascii="Verdana" w:hAnsi="Verdana"/>
        </w:rPr>
        <w:t>.</w:t>
      </w:r>
      <w:r>
        <w:rPr>
          <w:rFonts w:ascii="Verdana" w:hAnsi="Verdana"/>
        </w:rPr>
        <w:t> </w:t>
      </w:r>
    </w:p>
    <w:p w:rsidR="008460C5" w:rsidRDefault="008460C5" w:rsidP="008460C5">
      <w:pPr>
        <w:spacing w:after="0" w:line="22" w:lineRule="atLeast"/>
        <w:jc w:val="both"/>
        <w:rPr>
          <w:rFonts w:ascii="Verdana" w:hAnsi="Verdana"/>
        </w:rPr>
      </w:pPr>
    </w:p>
    <w:p w:rsidR="008460C5" w:rsidRDefault="008460C5" w:rsidP="0092501F">
      <w:pPr>
        <w:spacing w:after="0" w:line="22" w:lineRule="atLeast"/>
        <w:jc w:val="both"/>
        <w:rPr>
          <w:rFonts w:ascii="Verdana" w:hAnsi="Verdana"/>
        </w:rPr>
      </w:pPr>
      <w:r>
        <w:rPr>
          <w:rFonts w:ascii="Verdana" w:hAnsi="Verdana"/>
        </w:rPr>
        <w:t>Corpora- et instrumenta delicti of gegevens die niet onder het verschoningsrecht vallen</w:t>
      </w:r>
      <w:r w:rsidR="00EF22E7">
        <w:rPr>
          <w:rFonts w:ascii="Verdana" w:hAnsi="Verdana"/>
        </w:rPr>
        <w:t>,</w:t>
      </w:r>
      <w:r>
        <w:rPr>
          <w:rFonts w:ascii="Verdana" w:hAnsi="Verdana"/>
        </w:rPr>
        <w:t xml:space="preserve"> zijn geen stukken die onder het verschoningsrecht vallen en kunnen derhalve in beslag worden genomen</w:t>
      </w:r>
      <w:r w:rsidRPr="000B0A6A">
        <w:rPr>
          <w:rStyle w:val="Voetnootmarkering"/>
          <w:rFonts w:ascii="Verdana" w:hAnsi="Verdana"/>
        </w:rPr>
        <w:footnoteReference w:id="164"/>
      </w:r>
      <w:r>
        <w:rPr>
          <w:rFonts w:ascii="Verdana" w:hAnsi="Verdana"/>
        </w:rPr>
        <w:t xml:space="preserve">. Bij gegevens die wel onder het verschoningsrecht vallen of die niet aan te merken zijn als corpora- et instrumenta delicti, moet </w:t>
      </w:r>
      <w:r w:rsidR="00A33FF7">
        <w:rPr>
          <w:rFonts w:ascii="Verdana" w:hAnsi="Verdana"/>
        </w:rPr>
        <w:t>worden gekeken</w:t>
      </w:r>
      <w:r>
        <w:rPr>
          <w:rFonts w:ascii="Verdana" w:hAnsi="Verdana"/>
        </w:rPr>
        <w:t xml:space="preserve"> of er zeer uitzonderlijke omstandig</w:t>
      </w:r>
      <w:r w:rsidR="00A33FF7">
        <w:rPr>
          <w:rFonts w:ascii="Verdana" w:hAnsi="Verdana"/>
        </w:rPr>
        <w:t>-</w:t>
      </w:r>
      <w:r>
        <w:rPr>
          <w:rFonts w:ascii="Verdana" w:hAnsi="Verdana"/>
        </w:rPr>
        <w:t xml:space="preserve">heden aanwezig zijn waaronder het verschoningsrecht doorbroken mag worden. </w:t>
      </w:r>
    </w:p>
    <w:p w:rsidR="00F111F1" w:rsidRDefault="00F111F1" w:rsidP="0092501F">
      <w:pPr>
        <w:spacing w:after="0" w:line="22" w:lineRule="atLeast"/>
        <w:jc w:val="both"/>
        <w:rPr>
          <w:rFonts w:ascii="Verdana" w:hAnsi="Verdana"/>
        </w:rPr>
      </w:pPr>
    </w:p>
    <w:p w:rsidR="00F111F1" w:rsidRDefault="00F111F1" w:rsidP="0092501F">
      <w:pPr>
        <w:spacing w:after="0" w:line="22" w:lineRule="atLeast"/>
        <w:jc w:val="both"/>
        <w:rPr>
          <w:rFonts w:ascii="Verdana" w:hAnsi="Verdana"/>
        </w:rPr>
      </w:pPr>
      <w:r>
        <w:rPr>
          <w:rFonts w:ascii="Verdana" w:hAnsi="Verdana"/>
        </w:rPr>
        <w:t>De omvang van de gevraagde gegevens is een feitelijke oms</w:t>
      </w:r>
      <w:r w:rsidR="00A33FF7">
        <w:rPr>
          <w:rFonts w:ascii="Verdana" w:hAnsi="Verdana"/>
        </w:rPr>
        <w:t>tandigheid waardoor hierover</w:t>
      </w:r>
      <w:r>
        <w:rPr>
          <w:rFonts w:ascii="Verdana" w:hAnsi="Verdana"/>
        </w:rPr>
        <w:t xml:space="preserve"> geen aanbevelingen zijn. De beoordeling van de omvang geschiedt bij de beoordeling van de proportionaliteit. </w:t>
      </w:r>
    </w:p>
    <w:p w:rsidR="00596A2E" w:rsidRPr="00982A75" w:rsidRDefault="00596A2E" w:rsidP="0092501F">
      <w:pPr>
        <w:spacing w:after="0" w:line="22" w:lineRule="atLeast"/>
        <w:rPr>
          <w:rFonts w:ascii="Verdana" w:hAnsi="Verdana"/>
        </w:rPr>
      </w:pPr>
    </w:p>
    <w:p w:rsidR="00270231" w:rsidRPr="00982A75" w:rsidRDefault="00270231" w:rsidP="0092501F">
      <w:pPr>
        <w:spacing w:after="0" w:line="22" w:lineRule="atLeast"/>
        <w:rPr>
          <w:rFonts w:ascii="Verdana" w:hAnsi="Verdana"/>
        </w:rPr>
      </w:pPr>
    </w:p>
    <w:p w:rsidR="00270231" w:rsidRPr="00E16D80" w:rsidRDefault="00960FD3" w:rsidP="0092501F">
      <w:pPr>
        <w:pStyle w:val="Kop2"/>
        <w:spacing w:before="0" w:line="22" w:lineRule="atLeast"/>
        <w:rPr>
          <w:rFonts w:ascii="Verdana" w:hAnsi="Verdana"/>
        </w:rPr>
      </w:pPr>
      <w:bookmarkStart w:id="74" w:name="_Toc451895037"/>
      <w:r>
        <w:rPr>
          <w:rFonts w:ascii="Verdana" w:hAnsi="Verdana"/>
        </w:rPr>
        <w:t>8</w:t>
      </w:r>
      <w:r w:rsidR="00D72725">
        <w:rPr>
          <w:rFonts w:ascii="Verdana" w:hAnsi="Verdana"/>
        </w:rPr>
        <w:t>.3</w:t>
      </w:r>
      <w:r w:rsidR="00270231" w:rsidRPr="00E16D80">
        <w:rPr>
          <w:rFonts w:ascii="Verdana" w:hAnsi="Verdana"/>
        </w:rPr>
        <w:t xml:space="preserve"> Het belang en de ernst van de strafzaak</w:t>
      </w:r>
      <w:bookmarkEnd w:id="74"/>
    </w:p>
    <w:p w:rsidR="002543FD" w:rsidRDefault="002543FD" w:rsidP="0092501F">
      <w:pPr>
        <w:spacing w:after="0" w:line="22" w:lineRule="atLeast"/>
        <w:jc w:val="both"/>
        <w:rPr>
          <w:rFonts w:ascii="Verdana" w:hAnsi="Verdana"/>
        </w:rPr>
      </w:pPr>
      <w:r>
        <w:rPr>
          <w:rFonts w:ascii="Verdana" w:hAnsi="Verdana"/>
        </w:rPr>
        <w:t>Motivering van het belang en de ernst van de strafzaak is van belang om de zeer uitzonderlijke omstandigheden aan te tonen. In de gevallen waarin namelijk gemotiveerd werd toegelicht, werden zeer uitzonderlijke omstandigheden aangenomen</w:t>
      </w:r>
      <w:r w:rsidRPr="000B0A6A">
        <w:rPr>
          <w:rStyle w:val="Voetnootmarkering"/>
          <w:rFonts w:ascii="Verdana" w:hAnsi="Verdana"/>
        </w:rPr>
        <w:footnoteReference w:id="165"/>
      </w:r>
      <w:r>
        <w:rPr>
          <w:rFonts w:ascii="Verdana" w:hAnsi="Verdana"/>
        </w:rPr>
        <w:t xml:space="preserve">. Het belang en de ernst van de strafzaak is te categoriseren in drie categorieën: </w:t>
      </w:r>
      <w:r w:rsidRPr="00D90A98">
        <w:rPr>
          <w:rFonts w:ascii="Verdana" w:hAnsi="Verdana"/>
        </w:rPr>
        <w:t>1) ernstig feit, 2) het feit raakt de kern van de werkzaamheden van de beroepsbeoefenaar en dit kan het vertrouwen in de beroepsbeoefenaar schaden en/of 3) het belang dat de strafbaarheidstelling van het feit dient te beschermen is van groot belang.</w:t>
      </w:r>
    </w:p>
    <w:p w:rsidR="002543FD" w:rsidRDefault="002543FD" w:rsidP="0092501F">
      <w:pPr>
        <w:spacing w:after="0" w:line="22" w:lineRule="atLeast"/>
        <w:jc w:val="both"/>
        <w:rPr>
          <w:rFonts w:ascii="Verdana" w:hAnsi="Verdana"/>
        </w:rPr>
      </w:pPr>
    </w:p>
    <w:p w:rsidR="002543FD" w:rsidRDefault="002543FD" w:rsidP="0092501F">
      <w:pPr>
        <w:spacing w:after="0" w:line="22" w:lineRule="atLeast"/>
        <w:jc w:val="both"/>
        <w:rPr>
          <w:rFonts w:ascii="Verdana" w:hAnsi="Verdana"/>
        </w:rPr>
      </w:pPr>
    </w:p>
    <w:p w:rsidR="002543FD" w:rsidRDefault="002543FD" w:rsidP="0092501F">
      <w:pPr>
        <w:spacing w:after="0" w:line="22" w:lineRule="atLeast"/>
        <w:jc w:val="both"/>
        <w:rPr>
          <w:rFonts w:ascii="Verdana" w:hAnsi="Verdana"/>
        </w:rPr>
      </w:pPr>
    </w:p>
    <w:p w:rsidR="00FF26D9" w:rsidRDefault="002543FD" w:rsidP="0092501F">
      <w:pPr>
        <w:spacing w:after="0" w:line="22" w:lineRule="atLeast"/>
        <w:jc w:val="both"/>
        <w:rPr>
          <w:rFonts w:ascii="Verdana" w:hAnsi="Verdana"/>
        </w:rPr>
      </w:pPr>
      <w:r>
        <w:rPr>
          <w:rFonts w:ascii="Verdana" w:hAnsi="Verdana"/>
        </w:rPr>
        <w:lastRenderedPageBreak/>
        <w:t>In de analyse kwamen</w:t>
      </w:r>
      <w:r w:rsidR="0054100B">
        <w:rPr>
          <w:rFonts w:ascii="Verdana" w:hAnsi="Verdana"/>
        </w:rPr>
        <w:t xml:space="preserve"> valsheid in geschrifte, witwassen, opli</w:t>
      </w:r>
      <w:r>
        <w:rPr>
          <w:rFonts w:ascii="Verdana" w:hAnsi="Verdana"/>
        </w:rPr>
        <w:t>chting en het beïnvloeden van</w:t>
      </w:r>
      <w:r w:rsidR="0054100B">
        <w:rPr>
          <w:rFonts w:ascii="Verdana" w:hAnsi="Verdana"/>
        </w:rPr>
        <w:t xml:space="preserve"> getuige</w:t>
      </w:r>
      <w:r>
        <w:rPr>
          <w:rFonts w:ascii="Verdana" w:hAnsi="Verdana"/>
        </w:rPr>
        <w:t>n</w:t>
      </w:r>
      <w:r w:rsidR="0054100B">
        <w:rPr>
          <w:rFonts w:ascii="Verdana" w:hAnsi="Verdana"/>
        </w:rPr>
        <w:t xml:space="preserve"> en die aanzetten tot het afleggen van een valse verklaring voor in meer dan één van de categorieën</w:t>
      </w:r>
      <w:r w:rsidR="0054100B">
        <w:rPr>
          <w:rStyle w:val="Voetnootmarkering"/>
          <w:rFonts w:ascii="Verdana" w:hAnsi="Verdana"/>
        </w:rPr>
        <w:footnoteReference w:id="166"/>
      </w:r>
      <w:r w:rsidR="0054100B">
        <w:rPr>
          <w:rFonts w:ascii="Verdana" w:hAnsi="Verdana"/>
        </w:rPr>
        <w:t xml:space="preserve">. Inbeslagname van gegevens bij dit soort feiten zal dan ook in een groot aantal gevallen leiden tot </w:t>
      </w:r>
      <w:r w:rsidR="00B86FD2">
        <w:rPr>
          <w:rFonts w:ascii="Verdana" w:hAnsi="Verdana"/>
        </w:rPr>
        <w:t>het oo</w:t>
      </w:r>
      <w:r w:rsidR="00CA112E">
        <w:rPr>
          <w:rFonts w:ascii="Verdana" w:hAnsi="Verdana"/>
        </w:rPr>
        <w:t>rdeel dat het gerechtvaardigd i</w:t>
      </w:r>
      <w:r w:rsidR="00B86FD2">
        <w:rPr>
          <w:rFonts w:ascii="Verdana" w:hAnsi="Verdana"/>
        </w:rPr>
        <w:t xml:space="preserve">s om het verschoningsrecht te doorbreken. </w:t>
      </w:r>
      <w:r w:rsidR="00FF26D9">
        <w:rPr>
          <w:rFonts w:ascii="Verdana" w:hAnsi="Verdana"/>
        </w:rPr>
        <w:t>Maar ook bijvoorbeeld seksueel misbruik van een minderjarige werd gekwali</w:t>
      </w:r>
      <w:r w:rsidR="00AC7CC5">
        <w:rPr>
          <w:rFonts w:ascii="Verdana" w:hAnsi="Verdana"/>
        </w:rPr>
        <w:t>ficeerd als een ernstig feit dat</w:t>
      </w:r>
      <w:r w:rsidR="00FF26D9">
        <w:rPr>
          <w:rFonts w:ascii="Verdana" w:hAnsi="Verdana"/>
        </w:rPr>
        <w:t xml:space="preserve"> leidde tot een rechtmatig beslag</w:t>
      </w:r>
      <w:r w:rsidR="00B86FD2">
        <w:rPr>
          <w:rFonts w:ascii="Verdana" w:hAnsi="Verdana"/>
        </w:rPr>
        <w:t xml:space="preserve"> op verschoningsgerechtigde gegevens</w:t>
      </w:r>
      <w:r w:rsidR="00FF26D9">
        <w:rPr>
          <w:rStyle w:val="Voetnootmarkering"/>
          <w:rFonts w:ascii="Verdana" w:hAnsi="Verdana"/>
        </w:rPr>
        <w:footnoteReference w:id="167"/>
      </w:r>
      <w:r w:rsidR="00FF26D9">
        <w:rPr>
          <w:rFonts w:ascii="Verdana" w:hAnsi="Verdana"/>
        </w:rPr>
        <w:t xml:space="preserve">. </w:t>
      </w:r>
    </w:p>
    <w:p w:rsidR="008668D7" w:rsidRDefault="008668D7" w:rsidP="0092501F">
      <w:pPr>
        <w:spacing w:after="0" w:line="22" w:lineRule="atLeast"/>
        <w:jc w:val="both"/>
        <w:rPr>
          <w:rFonts w:ascii="Verdana" w:hAnsi="Verdana"/>
        </w:rPr>
      </w:pPr>
    </w:p>
    <w:p w:rsidR="008668D7" w:rsidRPr="00D90A98" w:rsidRDefault="008668D7" w:rsidP="0092501F">
      <w:pPr>
        <w:spacing w:after="0" w:line="22" w:lineRule="atLeast"/>
        <w:jc w:val="both"/>
        <w:rPr>
          <w:rFonts w:ascii="Verdana" w:hAnsi="Verdana"/>
        </w:rPr>
      </w:pPr>
    </w:p>
    <w:p w:rsidR="00270231" w:rsidRPr="00E16D80" w:rsidRDefault="00960FD3" w:rsidP="0092501F">
      <w:pPr>
        <w:pStyle w:val="Kop2"/>
        <w:spacing w:before="0" w:line="22" w:lineRule="atLeast"/>
        <w:rPr>
          <w:rFonts w:ascii="Verdana" w:hAnsi="Verdana"/>
        </w:rPr>
      </w:pPr>
      <w:bookmarkStart w:id="75" w:name="_Toc451895038"/>
      <w:r>
        <w:rPr>
          <w:rFonts w:ascii="Verdana" w:hAnsi="Verdana"/>
        </w:rPr>
        <w:t>8</w:t>
      </w:r>
      <w:r w:rsidR="00D72725">
        <w:rPr>
          <w:rFonts w:ascii="Verdana" w:hAnsi="Verdana"/>
        </w:rPr>
        <w:t>.4</w:t>
      </w:r>
      <w:r w:rsidR="00270231" w:rsidRPr="00E16D80">
        <w:rPr>
          <w:rFonts w:ascii="Verdana" w:hAnsi="Verdana"/>
        </w:rPr>
        <w:t xml:space="preserve"> De eventuele toestemming van de belanghebbende</w:t>
      </w:r>
      <w:bookmarkEnd w:id="75"/>
    </w:p>
    <w:p w:rsidR="00CA112E" w:rsidRDefault="00CA112E" w:rsidP="00CA112E">
      <w:pPr>
        <w:spacing w:after="0" w:line="22" w:lineRule="atLeast"/>
        <w:jc w:val="both"/>
        <w:rPr>
          <w:rFonts w:ascii="Verdana" w:hAnsi="Verdana"/>
        </w:rPr>
      </w:pPr>
      <w:r>
        <w:rPr>
          <w:rFonts w:ascii="Verdana" w:hAnsi="Verdana"/>
        </w:rPr>
        <w:t xml:space="preserve">Ondanks dat de Hoge Raad van oordeel is dat onder ‘belanghebbende’ enkel de verschoningsgerechtigde valt, is het toch raadzaam om te kijken of er eventueel een standpunt bekend is van degene waarover de gegevens gaan zoals bijvoorbeeld een cliënt of patiënt. Indien de cliënt/patiënt toestemming heeft gegeven voor de inbeslagname van de gegevens, kan het individuele belang in principe niet meer </w:t>
      </w:r>
      <w:r w:rsidR="00774094">
        <w:rPr>
          <w:rFonts w:ascii="Verdana" w:hAnsi="Verdana"/>
        </w:rPr>
        <w:t xml:space="preserve">worden </w:t>
      </w:r>
      <w:r>
        <w:rPr>
          <w:rFonts w:ascii="Verdana" w:hAnsi="Verdana"/>
        </w:rPr>
        <w:t>geschaad. Let wel op dat de cliënt/patiënt de gevolgen van zijn toestemming over</w:t>
      </w:r>
      <w:r w:rsidR="00774094">
        <w:rPr>
          <w:rFonts w:ascii="Verdana" w:hAnsi="Verdana"/>
        </w:rPr>
        <w:t>ziet (of kan overzien) zodat het</w:t>
      </w:r>
      <w:r>
        <w:rPr>
          <w:rFonts w:ascii="Verdana" w:hAnsi="Verdana"/>
        </w:rPr>
        <w:t xml:space="preserve"> individuele belang inderdaad niet </w:t>
      </w:r>
      <w:r w:rsidR="00774094">
        <w:rPr>
          <w:rFonts w:ascii="Verdana" w:hAnsi="Verdana"/>
        </w:rPr>
        <w:t xml:space="preserve">wordt </w:t>
      </w:r>
      <w:r>
        <w:rPr>
          <w:rFonts w:ascii="Verdana" w:hAnsi="Verdana"/>
        </w:rPr>
        <w:t>geschaad. Er kunnen zich</w:t>
      </w:r>
      <w:r w:rsidR="0094610C">
        <w:rPr>
          <w:rFonts w:ascii="Verdana" w:hAnsi="Verdana"/>
        </w:rPr>
        <w:t xml:space="preserve"> echter </w:t>
      </w:r>
      <w:r>
        <w:rPr>
          <w:rFonts w:ascii="Verdana" w:hAnsi="Verdana"/>
        </w:rPr>
        <w:t>situaties voordoen waarin er om gegronde redenen af kan worden geweken van het standpunt van de cliënt/patiënt. Voorbeelden hiervan zijn dat de geestestoestand van de cliënt/patiënt het niet toestaat om hierover een goed oordeel te geven</w:t>
      </w:r>
      <w:r w:rsidRPr="000B0A6A">
        <w:rPr>
          <w:rStyle w:val="Voetnootmarkering"/>
          <w:rFonts w:ascii="Verdana" w:hAnsi="Verdana"/>
        </w:rPr>
        <w:footnoteReference w:id="168"/>
      </w:r>
      <w:r>
        <w:rPr>
          <w:rFonts w:ascii="Verdana" w:hAnsi="Verdana"/>
        </w:rPr>
        <w:t xml:space="preserve"> of dat er sprake is van een onvoorziene situatie</w:t>
      </w:r>
      <w:r w:rsidRPr="000B0A6A">
        <w:rPr>
          <w:rStyle w:val="Voetnootmarkering"/>
          <w:rFonts w:ascii="Verdana" w:hAnsi="Verdana"/>
        </w:rPr>
        <w:footnoteReference w:id="169"/>
      </w:r>
      <w:r>
        <w:rPr>
          <w:rFonts w:ascii="Verdana" w:hAnsi="Verdana"/>
        </w:rPr>
        <w:t xml:space="preserve">. </w:t>
      </w:r>
    </w:p>
    <w:p w:rsidR="00CA112E" w:rsidRDefault="00CA112E" w:rsidP="00CA112E">
      <w:pPr>
        <w:spacing w:after="0" w:line="22" w:lineRule="atLeast"/>
        <w:jc w:val="both"/>
        <w:rPr>
          <w:rFonts w:ascii="Verdana" w:hAnsi="Verdana"/>
        </w:rPr>
      </w:pPr>
    </w:p>
    <w:p w:rsidR="00CA112E" w:rsidRPr="000B0A6A" w:rsidRDefault="00CA112E" w:rsidP="00CA112E">
      <w:pPr>
        <w:spacing w:after="0" w:line="22" w:lineRule="atLeast"/>
        <w:jc w:val="both"/>
        <w:rPr>
          <w:rFonts w:ascii="Verdana" w:hAnsi="Verdana"/>
        </w:rPr>
      </w:pPr>
      <w:r>
        <w:rPr>
          <w:rFonts w:ascii="Verdana" w:hAnsi="Verdana"/>
        </w:rPr>
        <w:t>Verder mag op een uitdrukkelijke en ondubbelzinnig verklaring van de beroeps-beoefenaar worden vertrouwd en heeft dit dus tot gevolge dat er toestemming in de zin van artikel 98 Sv is gegeven</w:t>
      </w:r>
      <w:r w:rsidRPr="00AB0EFC">
        <w:rPr>
          <w:rStyle w:val="Voetnootmarkering"/>
          <w:rFonts w:ascii="Verdana" w:hAnsi="Verdana"/>
        </w:rPr>
        <w:footnoteReference w:id="170"/>
      </w:r>
      <w:r>
        <w:rPr>
          <w:rFonts w:ascii="Verdana" w:hAnsi="Verdana"/>
        </w:rPr>
        <w:t xml:space="preserve">. </w:t>
      </w:r>
    </w:p>
    <w:p w:rsidR="007D2AB1" w:rsidRDefault="007D2AB1" w:rsidP="0092501F">
      <w:pPr>
        <w:spacing w:after="0" w:line="22" w:lineRule="atLeast"/>
        <w:jc w:val="both"/>
        <w:rPr>
          <w:rFonts w:ascii="Verdana" w:hAnsi="Verdana"/>
        </w:rPr>
      </w:pPr>
    </w:p>
    <w:p w:rsidR="000930B2" w:rsidRPr="00795487" w:rsidRDefault="000930B2" w:rsidP="0092501F">
      <w:pPr>
        <w:spacing w:after="0" w:line="22" w:lineRule="atLeast"/>
        <w:rPr>
          <w:rFonts w:ascii="Verdana" w:hAnsi="Verdana"/>
          <w:sz w:val="24"/>
        </w:rPr>
      </w:pPr>
    </w:p>
    <w:p w:rsidR="00270231" w:rsidRPr="00BF4251" w:rsidRDefault="00960FD3" w:rsidP="0092501F">
      <w:pPr>
        <w:pStyle w:val="Kop2"/>
        <w:spacing w:before="0" w:line="22" w:lineRule="atLeast"/>
        <w:rPr>
          <w:rFonts w:ascii="Verdana" w:hAnsi="Verdana"/>
        </w:rPr>
      </w:pPr>
      <w:bookmarkStart w:id="76" w:name="_Toc451895039"/>
      <w:r w:rsidRPr="00BF4251">
        <w:rPr>
          <w:rFonts w:ascii="Verdana" w:hAnsi="Verdana"/>
        </w:rPr>
        <w:t>8</w:t>
      </w:r>
      <w:r w:rsidR="00D72725">
        <w:rPr>
          <w:rFonts w:ascii="Verdana" w:hAnsi="Verdana"/>
        </w:rPr>
        <w:t>.5</w:t>
      </w:r>
      <w:r w:rsidR="00270231" w:rsidRPr="00BF4251">
        <w:rPr>
          <w:rFonts w:ascii="Verdana" w:hAnsi="Verdana"/>
        </w:rPr>
        <w:t xml:space="preserve"> De eventuele verdenking tegen de verschonings</w:t>
      </w:r>
      <w:r w:rsidR="00FF0F90">
        <w:rPr>
          <w:rFonts w:ascii="Verdana" w:hAnsi="Verdana"/>
        </w:rPr>
        <w:t>-</w:t>
      </w:r>
      <w:r w:rsidR="00270231" w:rsidRPr="00BF4251">
        <w:rPr>
          <w:rFonts w:ascii="Verdana" w:hAnsi="Verdana"/>
        </w:rPr>
        <w:t>gerechtigde</w:t>
      </w:r>
      <w:bookmarkEnd w:id="76"/>
    </w:p>
    <w:p w:rsidR="0069425F" w:rsidRDefault="00C67399" w:rsidP="0092501F">
      <w:pPr>
        <w:spacing w:after="0" w:line="22" w:lineRule="atLeast"/>
        <w:jc w:val="both"/>
        <w:rPr>
          <w:rFonts w:ascii="Verdana" w:hAnsi="Verdana"/>
        </w:rPr>
      </w:pPr>
      <w:r>
        <w:rPr>
          <w:rFonts w:ascii="Verdana" w:hAnsi="Verdana"/>
        </w:rPr>
        <w:t>De verdenking zag</w:t>
      </w:r>
      <w:r w:rsidR="00FF0F90">
        <w:rPr>
          <w:rFonts w:ascii="Verdana" w:hAnsi="Verdana"/>
        </w:rPr>
        <w:t xml:space="preserve"> in bijna alle gevallen op de beroep</w:t>
      </w:r>
      <w:r w:rsidR="008F2C8B">
        <w:rPr>
          <w:rFonts w:ascii="Verdana" w:hAnsi="Verdana"/>
        </w:rPr>
        <w:t>sbeoefenaar of op diens cliënt/patiënt</w:t>
      </w:r>
      <w:r w:rsidR="00FF0F90">
        <w:rPr>
          <w:rFonts w:ascii="Verdana" w:hAnsi="Verdana"/>
        </w:rPr>
        <w:t>. Maar er kunnen zich situaties voordoen waarin de verdenking zich richt op een externe partij</w:t>
      </w:r>
      <w:r w:rsidR="00FF0F90" w:rsidRPr="000B0A6A">
        <w:rPr>
          <w:rStyle w:val="Voetnootmarkering"/>
          <w:rFonts w:ascii="Verdana" w:hAnsi="Verdana"/>
        </w:rPr>
        <w:footnoteReference w:id="171"/>
      </w:r>
      <w:r w:rsidR="00FF0F90">
        <w:rPr>
          <w:rFonts w:ascii="Verdana" w:hAnsi="Verdana"/>
        </w:rPr>
        <w:t>. Deze factor is echter niet van invloed</w:t>
      </w:r>
      <w:r>
        <w:rPr>
          <w:rFonts w:ascii="Verdana" w:hAnsi="Verdana"/>
        </w:rPr>
        <w:t xml:space="preserve"> geweest</w:t>
      </w:r>
      <w:r w:rsidR="00FF0F90">
        <w:rPr>
          <w:rFonts w:ascii="Verdana" w:hAnsi="Verdana"/>
        </w:rPr>
        <w:t xml:space="preserve"> op de uiteindelijke beslissing, gezien het hier gaat om een feitelijke vermelding wie verdacht wordt.</w:t>
      </w:r>
      <w:r>
        <w:rPr>
          <w:rFonts w:ascii="Verdana" w:hAnsi="Verdana"/>
        </w:rPr>
        <w:t xml:space="preserve"> Voor deze factor zijn er dan ook geen aanbevelingen naar voren gekomen. </w:t>
      </w:r>
      <w:r w:rsidR="00FF0F90">
        <w:rPr>
          <w:rFonts w:ascii="Verdana" w:hAnsi="Verdana"/>
        </w:rPr>
        <w:t xml:space="preserve"> Wel kan deze factor bij een v</w:t>
      </w:r>
      <w:r>
        <w:rPr>
          <w:rFonts w:ascii="Verdana" w:hAnsi="Verdana"/>
        </w:rPr>
        <w:t>erdenking tegen de beroeps</w:t>
      </w:r>
      <w:r w:rsidR="00FF0F90">
        <w:rPr>
          <w:rFonts w:ascii="Verdana" w:hAnsi="Verdana"/>
        </w:rPr>
        <w:t>beoefenaar in sommi</w:t>
      </w:r>
      <w:r>
        <w:rPr>
          <w:rFonts w:ascii="Verdana" w:hAnsi="Verdana"/>
        </w:rPr>
        <w:t>ge gevallen in samenhang</w:t>
      </w:r>
      <w:r w:rsidR="00FF0F90">
        <w:rPr>
          <w:rFonts w:ascii="Verdana" w:hAnsi="Verdana"/>
        </w:rPr>
        <w:t xml:space="preserve"> worden </w:t>
      </w:r>
      <w:r>
        <w:rPr>
          <w:rFonts w:ascii="Verdana" w:hAnsi="Verdana"/>
        </w:rPr>
        <w:t xml:space="preserve">gezien </w:t>
      </w:r>
      <w:r w:rsidR="00FF0F90">
        <w:rPr>
          <w:rFonts w:ascii="Verdana" w:hAnsi="Verdana"/>
        </w:rPr>
        <w:t>met de factor ‘belang en e</w:t>
      </w:r>
      <w:r w:rsidR="0015065B">
        <w:rPr>
          <w:rFonts w:ascii="Verdana" w:hAnsi="Verdana"/>
        </w:rPr>
        <w:t>rnst van de strafzaak’ omdat daa</w:t>
      </w:r>
      <w:r w:rsidR="00FF0F90">
        <w:rPr>
          <w:rFonts w:ascii="Verdana" w:hAnsi="Verdana"/>
        </w:rPr>
        <w:t xml:space="preserve">rin </w:t>
      </w:r>
      <w:r>
        <w:rPr>
          <w:rFonts w:ascii="Verdana" w:hAnsi="Verdana"/>
        </w:rPr>
        <w:t>wordt vermeld</w:t>
      </w:r>
      <w:r w:rsidR="00FF0F90">
        <w:rPr>
          <w:rFonts w:ascii="Verdana" w:hAnsi="Verdana"/>
        </w:rPr>
        <w:t xml:space="preserve"> dat </w:t>
      </w:r>
      <w:r w:rsidR="00FF0F90" w:rsidRPr="000B0A6A">
        <w:rPr>
          <w:rFonts w:ascii="Verdana" w:hAnsi="Verdana"/>
        </w:rPr>
        <w:t>die verdenking afbreuk zou kunnen doen aan het vertrouwen in die beroepsbeoefenaar</w:t>
      </w:r>
      <w:r w:rsidR="00FF0F90" w:rsidRPr="000B0A6A">
        <w:rPr>
          <w:rStyle w:val="Voetnootmarkering"/>
          <w:rFonts w:ascii="Verdana" w:hAnsi="Verdana"/>
        </w:rPr>
        <w:footnoteReference w:id="172"/>
      </w:r>
      <w:r w:rsidR="00FF0F90">
        <w:rPr>
          <w:rFonts w:ascii="Verdana" w:hAnsi="Verdana"/>
        </w:rPr>
        <w:t xml:space="preserve">. </w:t>
      </w:r>
    </w:p>
    <w:p w:rsidR="00270231" w:rsidRPr="00E16D80" w:rsidRDefault="00960FD3" w:rsidP="0092501F">
      <w:pPr>
        <w:pStyle w:val="Kop2"/>
        <w:spacing w:before="0" w:line="22" w:lineRule="atLeast"/>
        <w:rPr>
          <w:rFonts w:ascii="Verdana" w:hAnsi="Verdana"/>
        </w:rPr>
      </w:pPr>
      <w:bookmarkStart w:id="77" w:name="_Toc451895040"/>
      <w:r>
        <w:rPr>
          <w:rFonts w:ascii="Verdana" w:hAnsi="Verdana"/>
        </w:rPr>
        <w:lastRenderedPageBreak/>
        <w:t>8</w:t>
      </w:r>
      <w:r w:rsidR="00D72725">
        <w:rPr>
          <w:rFonts w:ascii="Verdana" w:hAnsi="Verdana"/>
        </w:rPr>
        <w:t>.6</w:t>
      </w:r>
      <w:r w:rsidR="00270231" w:rsidRPr="00E16D80">
        <w:rPr>
          <w:rFonts w:ascii="Verdana" w:hAnsi="Verdana"/>
        </w:rPr>
        <w:t xml:space="preserve"> De proportionaliteit en subsidiariteit</w:t>
      </w:r>
      <w:bookmarkEnd w:id="77"/>
    </w:p>
    <w:p w:rsidR="00800C39" w:rsidRDefault="00C67399" w:rsidP="0092501F">
      <w:pPr>
        <w:spacing w:after="0" w:line="22" w:lineRule="atLeast"/>
        <w:jc w:val="both"/>
        <w:rPr>
          <w:rFonts w:ascii="Verdana" w:hAnsi="Verdana"/>
        </w:rPr>
      </w:pPr>
      <w:r>
        <w:rPr>
          <w:rFonts w:ascii="Verdana" w:hAnsi="Verdana"/>
        </w:rPr>
        <w:t xml:space="preserve">De proportionaliteit en subsidiariteit hebben een grote rol gespeeld bij </w:t>
      </w:r>
      <w:r w:rsidR="00800C39">
        <w:rPr>
          <w:rFonts w:ascii="Verdana" w:hAnsi="Verdana"/>
        </w:rPr>
        <w:t xml:space="preserve">de beslissing om het verschoningsrecht al dan niet te doorbreken. </w:t>
      </w:r>
      <w:r>
        <w:rPr>
          <w:rFonts w:ascii="Verdana" w:hAnsi="Verdana"/>
        </w:rPr>
        <w:t>Indien er nog andere, minder ingrijpende middelen voorhanden zijn om aan de geheim</w:t>
      </w:r>
      <w:r w:rsidR="0035427B">
        <w:rPr>
          <w:rFonts w:ascii="Verdana" w:hAnsi="Verdana"/>
        </w:rPr>
        <w:t>-</w:t>
      </w:r>
      <w:r>
        <w:rPr>
          <w:rFonts w:ascii="Verdana" w:hAnsi="Verdana"/>
        </w:rPr>
        <w:t>houdingsstukken te komen, zal voor die optie</w:t>
      </w:r>
      <w:r w:rsidR="0035427B">
        <w:rPr>
          <w:rFonts w:ascii="Verdana" w:hAnsi="Verdana"/>
        </w:rPr>
        <w:t xml:space="preserve"> moeten worden</w:t>
      </w:r>
      <w:r>
        <w:rPr>
          <w:rFonts w:ascii="Verdana" w:hAnsi="Verdana"/>
        </w:rPr>
        <w:t xml:space="preserve"> gekozen</w:t>
      </w:r>
      <w:r w:rsidR="00800C39" w:rsidRPr="00C11BA6">
        <w:rPr>
          <w:rStyle w:val="Voetnootmarkering"/>
          <w:rFonts w:ascii="Verdana" w:hAnsi="Verdana"/>
        </w:rPr>
        <w:footnoteReference w:id="173"/>
      </w:r>
      <w:r>
        <w:rPr>
          <w:rFonts w:ascii="Verdana" w:hAnsi="Verdana"/>
        </w:rPr>
        <w:t xml:space="preserve">. </w:t>
      </w:r>
    </w:p>
    <w:p w:rsidR="00800C39" w:rsidRDefault="00800C39" w:rsidP="0092501F">
      <w:pPr>
        <w:spacing w:after="0" w:line="22" w:lineRule="atLeast"/>
        <w:jc w:val="both"/>
        <w:rPr>
          <w:rFonts w:ascii="Verdana" w:hAnsi="Verdana"/>
        </w:rPr>
      </w:pPr>
    </w:p>
    <w:p w:rsidR="00C67399" w:rsidRDefault="00C67399" w:rsidP="0092501F">
      <w:pPr>
        <w:spacing w:after="0" w:line="22" w:lineRule="atLeast"/>
        <w:jc w:val="both"/>
        <w:rPr>
          <w:rFonts w:ascii="Verdana" w:hAnsi="Verdana"/>
        </w:rPr>
      </w:pPr>
      <w:r>
        <w:rPr>
          <w:rFonts w:ascii="Verdana" w:hAnsi="Verdana"/>
        </w:rPr>
        <w:t xml:space="preserve">Ook wanneer </w:t>
      </w:r>
      <w:r w:rsidR="00800C39">
        <w:rPr>
          <w:rFonts w:ascii="Verdana" w:hAnsi="Verdana"/>
        </w:rPr>
        <w:t>de inbeslagname in strijd is met de proportionaliteit, mag het verschoningsrecht niet zonder meer doorbroken worden</w:t>
      </w:r>
      <w:r w:rsidR="00800C39" w:rsidRPr="00C11BA6">
        <w:rPr>
          <w:rStyle w:val="Voetnootmarkering"/>
          <w:rFonts w:ascii="Verdana" w:hAnsi="Verdana"/>
        </w:rPr>
        <w:footnoteReference w:id="174"/>
      </w:r>
      <w:r w:rsidR="00800C39">
        <w:rPr>
          <w:rFonts w:ascii="Verdana" w:hAnsi="Verdana"/>
        </w:rPr>
        <w:t>. Hierop geldt een uitzondering ten aanzien van corpora</w:t>
      </w:r>
      <w:r w:rsidR="00800C39" w:rsidRPr="001A3309">
        <w:rPr>
          <w:rFonts w:ascii="Verdana" w:hAnsi="Verdana"/>
        </w:rPr>
        <w:t>- et instrumenta delicti.</w:t>
      </w:r>
      <w:r w:rsidR="00EA6061">
        <w:rPr>
          <w:rFonts w:ascii="Verdana" w:hAnsi="Verdana"/>
        </w:rPr>
        <w:t xml:space="preserve"> </w:t>
      </w:r>
      <w:r w:rsidR="00800C39">
        <w:rPr>
          <w:rFonts w:ascii="Verdana" w:hAnsi="Verdana"/>
        </w:rPr>
        <w:t xml:space="preserve">Omdat deze niet onder het verschoningsrecht vallen, hoeft er niet </w:t>
      </w:r>
      <w:r w:rsidR="0035427B">
        <w:rPr>
          <w:rFonts w:ascii="Verdana" w:hAnsi="Verdana"/>
        </w:rPr>
        <w:t>te worden voldaan</w:t>
      </w:r>
      <w:r w:rsidR="00800C39">
        <w:rPr>
          <w:rFonts w:ascii="Verdana" w:hAnsi="Verdana"/>
        </w:rPr>
        <w:t xml:space="preserve"> aan het proportionaliteitsbeginsel</w:t>
      </w:r>
      <w:r w:rsidR="00800C39" w:rsidRPr="00C11BA6">
        <w:rPr>
          <w:rStyle w:val="Voetnootmarkering"/>
          <w:rFonts w:ascii="Verdana" w:hAnsi="Verdana"/>
        </w:rPr>
        <w:footnoteReference w:id="175"/>
      </w:r>
      <w:r w:rsidR="00800C39">
        <w:rPr>
          <w:rFonts w:ascii="Verdana" w:hAnsi="Verdana"/>
        </w:rPr>
        <w:t>.</w:t>
      </w:r>
    </w:p>
    <w:p w:rsidR="00C67399" w:rsidRDefault="00C67399" w:rsidP="0092501F">
      <w:pPr>
        <w:spacing w:after="0" w:line="22" w:lineRule="atLeast"/>
        <w:jc w:val="both"/>
        <w:rPr>
          <w:rFonts w:ascii="Verdana" w:hAnsi="Verdana"/>
        </w:rPr>
      </w:pPr>
    </w:p>
    <w:p w:rsidR="00565879" w:rsidRPr="00226F1B" w:rsidRDefault="00565879" w:rsidP="0092501F">
      <w:pPr>
        <w:spacing w:after="0" w:line="22" w:lineRule="atLeast"/>
        <w:rPr>
          <w:rFonts w:ascii="Verdana" w:hAnsi="Verdana"/>
          <w:sz w:val="24"/>
        </w:rPr>
      </w:pPr>
    </w:p>
    <w:p w:rsidR="00270231" w:rsidRPr="00E16D80" w:rsidRDefault="00960FD3" w:rsidP="0092501F">
      <w:pPr>
        <w:pStyle w:val="Kop2"/>
        <w:spacing w:before="0" w:line="22" w:lineRule="atLeast"/>
        <w:rPr>
          <w:rFonts w:ascii="Verdana" w:hAnsi="Verdana"/>
        </w:rPr>
      </w:pPr>
      <w:bookmarkStart w:id="78" w:name="_Toc451895041"/>
      <w:r>
        <w:rPr>
          <w:rFonts w:ascii="Verdana" w:hAnsi="Verdana"/>
        </w:rPr>
        <w:t>8</w:t>
      </w:r>
      <w:r w:rsidR="00D72725">
        <w:rPr>
          <w:rFonts w:ascii="Verdana" w:hAnsi="Verdana"/>
        </w:rPr>
        <w:t>.7</w:t>
      </w:r>
      <w:r w:rsidR="00270231" w:rsidRPr="00E16D80">
        <w:rPr>
          <w:rFonts w:ascii="Verdana" w:hAnsi="Verdana"/>
        </w:rPr>
        <w:t xml:space="preserve"> Het belang van de gevorderde gegevens</w:t>
      </w:r>
      <w:bookmarkEnd w:id="78"/>
    </w:p>
    <w:p w:rsidR="00696F33" w:rsidRDefault="00677B7A" w:rsidP="0092501F">
      <w:pPr>
        <w:spacing w:after="0" w:line="22" w:lineRule="atLeast"/>
        <w:jc w:val="both"/>
        <w:rPr>
          <w:rFonts w:ascii="Verdana" w:hAnsi="Verdana"/>
        </w:rPr>
      </w:pPr>
      <w:r>
        <w:rPr>
          <w:rFonts w:ascii="Verdana" w:hAnsi="Verdana"/>
        </w:rPr>
        <w:t>De bijzondere opsporingsmethoden dienen zich te richten op opsporing of het opsporingsonderzoek</w:t>
      </w:r>
      <w:r w:rsidRPr="000B0A6A">
        <w:rPr>
          <w:rStyle w:val="Voetnootmarkering"/>
          <w:rFonts w:ascii="Verdana" w:hAnsi="Verdana"/>
        </w:rPr>
        <w:footnoteReference w:id="176"/>
      </w:r>
      <w:r>
        <w:rPr>
          <w:rFonts w:ascii="Verdana" w:hAnsi="Verdana"/>
        </w:rPr>
        <w:t xml:space="preserve">. Een inbeslagname dient zich dan ook te richten op </w:t>
      </w:r>
      <w:r w:rsidR="00821B1A">
        <w:rPr>
          <w:rFonts w:ascii="Verdana" w:hAnsi="Verdana"/>
        </w:rPr>
        <w:t>de waarheidsvinding. Gemotiveerd</w:t>
      </w:r>
      <w:r>
        <w:rPr>
          <w:rFonts w:ascii="Verdana" w:hAnsi="Verdana"/>
        </w:rPr>
        <w:t xml:space="preserve"> toelichten waarom die gegevens de waarheids-vinding kunnen dienen, draagt bij aan het aannemelijk maken van zeer uitzonderlijke omstandigheden</w:t>
      </w:r>
      <w:r w:rsidRPr="001568CE">
        <w:rPr>
          <w:rStyle w:val="Voetnootmarkering"/>
          <w:rFonts w:ascii="Verdana" w:hAnsi="Verdana"/>
        </w:rPr>
        <w:footnoteReference w:id="177"/>
      </w:r>
      <w:r>
        <w:rPr>
          <w:rFonts w:ascii="Verdana" w:hAnsi="Verdana"/>
        </w:rPr>
        <w:t xml:space="preserve">. </w:t>
      </w:r>
      <w:r w:rsidR="00696F33" w:rsidRPr="00605B5A">
        <w:rPr>
          <w:rFonts w:ascii="Verdana" w:hAnsi="Verdana"/>
        </w:rPr>
        <w:t>Hoewel een inbeslagname zich eigenlijk alleen dient te richten op de waarheidsvinding, kan er wel een uitzondering worden gemaakt voor</w:t>
      </w:r>
      <w:r w:rsidR="00605B5A">
        <w:rPr>
          <w:rFonts w:ascii="Verdana" w:hAnsi="Verdana"/>
        </w:rPr>
        <w:t xml:space="preserve"> gegevens die dienen bij</w:t>
      </w:r>
      <w:r w:rsidR="00696F33" w:rsidRPr="00605B5A">
        <w:rPr>
          <w:rFonts w:ascii="Verdana" w:hAnsi="Verdana"/>
        </w:rPr>
        <w:t xml:space="preserve"> de inrichting van de verdedi</w:t>
      </w:r>
      <w:r w:rsidR="00EA6D17" w:rsidRPr="00605B5A">
        <w:rPr>
          <w:rFonts w:ascii="Verdana" w:hAnsi="Verdana"/>
        </w:rPr>
        <w:t>ging die ziet op vragen in het kader van artikel 350 Sv</w:t>
      </w:r>
      <w:r w:rsidR="00EA6D17" w:rsidRPr="00605B5A">
        <w:rPr>
          <w:rStyle w:val="Voetnootmarkering"/>
          <w:rFonts w:ascii="Verdana" w:hAnsi="Verdana"/>
        </w:rPr>
        <w:footnoteReference w:id="178"/>
      </w:r>
      <w:r w:rsidR="00EA6D17" w:rsidRPr="00605B5A">
        <w:rPr>
          <w:rFonts w:ascii="Verdana" w:hAnsi="Verdana"/>
        </w:rPr>
        <w:t>.</w:t>
      </w:r>
    </w:p>
    <w:p w:rsidR="00EB1789" w:rsidRPr="00EB1789" w:rsidRDefault="00EB1789" w:rsidP="0092501F">
      <w:pPr>
        <w:spacing w:after="0" w:line="22" w:lineRule="atLeast"/>
        <w:jc w:val="both"/>
        <w:rPr>
          <w:rFonts w:ascii="Verdana" w:hAnsi="Verdana"/>
        </w:rPr>
      </w:pPr>
    </w:p>
    <w:p w:rsidR="00D72725" w:rsidRDefault="00D72725" w:rsidP="0092501F">
      <w:pPr>
        <w:spacing w:after="0" w:line="22" w:lineRule="atLeast"/>
        <w:rPr>
          <w:rFonts w:ascii="Verdana" w:hAnsi="Verdana"/>
          <w:sz w:val="24"/>
        </w:rPr>
      </w:pPr>
    </w:p>
    <w:p w:rsidR="00D72725" w:rsidRPr="00D72725" w:rsidRDefault="00D72725" w:rsidP="0092501F">
      <w:pPr>
        <w:pStyle w:val="Kop2"/>
        <w:spacing w:before="0" w:line="22" w:lineRule="atLeast"/>
        <w:rPr>
          <w:rFonts w:ascii="Verdana" w:hAnsi="Verdana"/>
        </w:rPr>
      </w:pPr>
      <w:bookmarkStart w:id="79" w:name="_GoBack"/>
      <w:bookmarkStart w:id="80" w:name="_Toc451895042"/>
      <w:bookmarkEnd w:id="79"/>
      <w:r w:rsidRPr="00D72725">
        <w:rPr>
          <w:rFonts w:ascii="Verdana" w:hAnsi="Verdana"/>
        </w:rPr>
        <w:t>8.8 De restoverwegingen</w:t>
      </w:r>
      <w:bookmarkEnd w:id="80"/>
    </w:p>
    <w:p w:rsidR="00315375" w:rsidRDefault="00315375" w:rsidP="0092501F">
      <w:pPr>
        <w:spacing w:after="0" w:line="22" w:lineRule="atLeast"/>
        <w:rPr>
          <w:rFonts w:ascii="Verdana" w:hAnsi="Verdana"/>
        </w:rPr>
      </w:pPr>
      <w:r>
        <w:rPr>
          <w:rFonts w:ascii="Verdana" w:hAnsi="Verdana"/>
        </w:rPr>
        <w:t xml:space="preserve">Behalve dat de </w:t>
      </w:r>
      <w:r w:rsidR="00FF7FD1">
        <w:rPr>
          <w:rFonts w:ascii="Verdana" w:hAnsi="Verdana"/>
        </w:rPr>
        <w:t xml:space="preserve">eerstelijns </w:t>
      </w:r>
      <w:r>
        <w:rPr>
          <w:rFonts w:ascii="Verdana" w:hAnsi="Verdana"/>
        </w:rPr>
        <w:t>rechters keken naar de zes voornoemde factoren, werd er in veel gevallen ook gekeken naar andere factoren</w:t>
      </w:r>
      <w:r w:rsidR="00FF7FD1">
        <w:rPr>
          <w:rFonts w:ascii="Verdana" w:hAnsi="Verdana"/>
        </w:rPr>
        <w:t>. Eén veel voorkomende restover</w:t>
      </w:r>
      <w:r>
        <w:rPr>
          <w:rFonts w:ascii="Verdana" w:hAnsi="Verdana"/>
        </w:rPr>
        <w:t>weging zag op een belangenafweging. Daarbij werd gekeken naar de vraag of de inbeslagname het algemeen maatschappelijk-, individuele- en strafrechtelijke belang zou kunnen schaden of juist dienen</w:t>
      </w:r>
      <w:r>
        <w:rPr>
          <w:rStyle w:val="Voetnootmarkering"/>
          <w:rFonts w:ascii="Verdana" w:hAnsi="Verdana"/>
        </w:rPr>
        <w:footnoteReference w:id="179"/>
      </w:r>
      <w:r>
        <w:rPr>
          <w:rFonts w:ascii="Verdana" w:hAnsi="Verdana"/>
        </w:rPr>
        <w:t xml:space="preserve">. Het is dus </w:t>
      </w:r>
      <w:r w:rsidR="00FF7FD1">
        <w:rPr>
          <w:rFonts w:ascii="Verdana" w:hAnsi="Verdana"/>
        </w:rPr>
        <w:t>zaak</w:t>
      </w:r>
      <w:r>
        <w:rPr>
          <w:rFonts w:ascii="Verdana" w:hAnsi="Verdana"/>
        </w:rPr>
        <w:t xml:space="preserve"> om </w:t>
      </w:r>
      <w:r w:rsidR="00FF7FD1">
        <w:rPr>
          <w:rFonts w:ascii="Verdana" w:hAnsi="Verdana"/>
        </w:rPr>
        <w:t>in kaart te breng</w:t>
      </w:r>
      <w:r w:rsidR="00A83982">
        <w:rPr>
          <w:rFonts w:ascii="Verdana" w:hAnsi="Verdana"/>
        </w:rPr>
        <w:t xml:space="preserve">en welke belangen er meespelen en of deze belangen gediend of juist geschaad worden bij een doorbreking van het verschoningsrecht. </w:t>
      </w:r>
      <w:r w:rsidR="00B43574">
        <w:rPr>
          <w:rFonts w:ascii="Verdana" w:hAnsi="Verdana"/>
        </w:rPr>
        <w:t>Aan de hand daarvan kan</w:t>
      </w:r>
      <w:r w:rsidR="00821B1A">
        <w:rPr>
          <w:rFonts w:ascii="Verdana" w:hAnsi="Verdana"/>
        </w:rPr>
        <w:t xml:space="preserve"> worden b</w:t>
      </w:r>
      <w:r>
        <w:rPr>
          <w:rFonts w:ascii="Verdana" w:hAnsi="Verdana"/>
        </w:rPr>
        <w:t xml:space="preserve">ekeken aan welk belang de meeste waarde moet worden gehecht. </w:t>
      </w:r>
    </w:p>
    <w:p w:rsidR="00A06C8E" w:rsidRDefault="00A06C8E" w:rsidP="0092501F">
      <w:pPr>
        <w:spacing w:after="0" w:line="22" w:lineRule="atLeast"/>
        <w:rPr>
          <w:rFonts w:ascii="Verdana" w:hAnsi="Verdana"/>
        </w:rPr>
      </w:pPr>
    </w:p>
    <w:p w:rsidR="00A06C8E" w:rsidRDefault="00A06C8E" w:rsidP="0092501F">
      <w:pPr>
        <w:spacing w:after="0" w:line="22" w:lineRule="atLeast"/>
        <w:rPr>
          <w:rFonts w:ascii="Verdana" w:hAnsi="Verdana"/>
        </w:rPr>
      </w:pPr>
      <w:r>
        <w:rPr>
          <w:rFonts w:ascii="Verdana" w:hAnsi="Verdana"/>
        </w:rPr>
        <w:t xml:space="preserve">Voor het overige kwamen er geen aanbevelingen naar voren uit de analyse ten aanzien van de restoverwegingen. </w:t>
      </w:r>
    </w:p>
    <w:p w:rsidR="00315375" w:rsidRDefault="00315375" w:rsidP="0092501F">
      <w:pPr>
        <w:spacing w:after="0" w:line="22" w:lineRule="atLeast"/>
        <w:rPr>
          <w:rFonts w:ascii="Verdana" w:hAnsi="Verdana"/>
        </w:rPr>
      </w:pPr>
    </w:p>
    <w:p w:rsidR="00EA6061" w:rsidRDefault="00EA6061">
      <w:pPr>
        <w:spacing w:after="200" w:line="276" w:lineRule="auto"/>
        <w:rPr>
          <w:rFonts w:ascii="Verdana" w:eastAsiaTheme="majorEastAsia" w:hAnsi="Verdana" w:cstheme="majorBidi"/>
          <w:b/>
          <w:color w:val="365F91" w:themeColor="accent1" w:themeShade="BF"/>
          <w:sz w:val="36"/>
          <w:szCs w:val="32"/>
        </w:rPr>
      </w:pPr>
      <w:r>
        <w:rPr>
          <w:rFonts w:ascii="Verdana" w:hAnsi="Verdana"/>
          <w:b/>
          <w:sz w:val="36"/>
        </w:rPr>
        <w:br w:type="page"/>
      </w:r>
    </w:p>
    <w:p w:rsidR="00AD274F" w:rsidRPr="004F2A6B" w:rsidRDefault="00307324" w:rsidP="0092501F">
      <w:pPr>
        <w:pStyle w:val="Kop1"/>
        <w:spacing w:before="0" w:line="22" w:lineRule="atLeast"/>
        <w:rPr>
          <w:rFonts w:ascii="Verdana" w:hAnsi="Verdana"/>
          <w:b/>
          <w:sz w:val="36"/>
        </w:rPr>
      </w:pPr>
      <w:bookmarkStart w:id="81" w:name="_Toc451895043"/>
      <w:r>
        <w:rPr>
          <w:rFonts w:ascii="Verdana" w:hAnsi="Verdana"/>
          <w:b/>
          <w:sz w:val="36"/>
        </w:rPr>
        <w:lastRenderedPageBreak/>
        <w:t>L</w:t>
      </w:r>
      <w:r w:rsidR="00AD274F" w:rsidRPr="004F2A6B">
        <w:rPr>
          <w:rFonts w:ascii="Verdana" w:hAnsi="Verdana"/>
          <w:b/>
          <w:sz w:val="36"/>
        </w:rPr>
        <w:t>iteratuurlijst</w:t>
      </w:r>
      <w:bookmarkEnd w:id="81"/>
    </w:p>
    <w:p w:rsidR="00E50727" w:rsidRPr="00107BE9" w:rsidRDefault="00E50727" w:rsidP="0092501F">
      <w:pPr>
        <w:spacing w:after="0" w:line="22" w:lineRule="atLeast"/>
        <w:rPr>
          <w:rFonts w:ascii="Verdana" w:hAnsi="Verdana"/>
          <w:b/>
          <w:color w:val="95B3D7" w:themeColor="accent1" w:themeTint="99"/>
        </w:rPr>
      </w:pPr>
      <w:r w:rsidRPr="00107BE9">
        <w:rPr>
          <w:rFonts w:ascii="Verdana" w:hAnsi="Verdana"/>
          <w:b/>
          <w:color w:val="95B3D7" w:themeColor="accent1" w:themeTint="99"/>
        </w:rPr>
        <w:t>JURISPRUDENTIE</w:t>
      </w:r>
    </w:p>
    <w:p w:rsidR="00E50727" w:rsidRPr="00BE3594" w:rsidRDefault="00E50727" w:rsidP="0092501F">
      <w:pPr>
        <w:spacing w:after="0" w:line="22" w:lineRule="atLeast"/>
        <w:rPr>
          <w:rFonts w:ascii="Verdana" w:hAnsi="Verdana"/>
          <w:b/>
        </w:rPr>
      </w:pPr>
      <w:r w:rsidRPr="00BE3594">
        <w:rPr>
          <w:rFonts w:ascii="Verdana" w:hAnsi="Verdana"/>
          <w:b/>
        </w:rPr>
        <w:t>Hoge Raad:</w:t>
      </w:r>
    </w:p>
    <w:p w:rsidR="00E50727" w:rsidRPr="003B3953" w:rsidRDefault="00E50727" w:rsidP="002734F3">
      <w:pPr>
        <w:pStyle w:val="Lijstalinea"/>
        <w:numPr>
          <w:ilvl w:val="0"/>
          <w:numId w:val="4"/>
        </w:numPr>
        <w:spacing w:after="0" w:line="22" w:lineRule="atLeast"/>
        <w:rPr>
          <w:rFonts w:ascii="Verdana" w:hAnsi="Verdana"/>
          <w:b/>
        </w:rPr>
      </w:pPr>
      <w:r w:rsidRPr="003B3953">
        <w:rPr>
          <w:rFonts w:ascii="Verdana" w:hAnsi="Verdana"/>
          <w:lang w:val="en-US"/>
        </w:rPr>
        <w:t xml:space="preserve">HR 21 </w:t>
      </w:r>
      <w:r w:rsidRPr="003B3953">
        <w:rPr>
          <w:rFonts w:ascii="Verdana" w:hAnsi="Verdana"/>
        </w:rPr>
        <w:t xml:space="preserve">april 1913, </w:t>
      </w:r>
      <w:r w:rsidRPr="003B3953">
        <w:rPr>
          <w:rFonts w:ascii="Verdana" w:hAnsi="Verdana"/>
          <w:i/>
        </w:rPr>
        <w:t>NJ</w:t>
      </w:r>
      <w:r w:rsidR="00BE3594" w:rsidRPr="003B3953">
        <w:rPr>
          <w:rFonts w:ascii="Verdana" w:hAnsi="Verdana"/>
        </w:rPr>
        <w:t xml:space="preserve"> 1913/</w:t>
      </w:r>
      <w:r w:rsidRPr="003B3953">
        <w:rPr>
          <w:rFonts w:ascii="Verdana" w:hAnsi="Verdana"/>
        </w:rPr>
        <w:t xml:space="preserve">958. </w:t>
      </w:r>
    </w:p>
    <w:p w:rsidR="00E50727" w:rsidRPr="003B3953" w:rsidRDefault="00E50727" w:rsidP="002734F3">
      <w:pPr>
        <w:pStyle w:val="Lijstalinea"/>
        <w:numPr>
          <w:ilvl w:val="0"/>
          <w:numId w:val="4"/>
        </w:numPr>
        <w:spacing w:after="0" w:line="22" w:lineRule="atLeast"/>
        <w:rPr>
          <w:rFonts w:ascii="Verdana" w:hAnsi="Verdana"/>
          <w:b/>
        </w:rPr>
      </w:pPr>
      <w:r w:rsidRPr="003B3953">
        <w:rPr>
          <w:rFonts w:ascii="Verdana" w:hAnsi="Verdana"/>
        </w:rPr>
        <w:t xml:space="preserve">HR 1 maart 1985, ECLI:NL:HR:1985:AC9066, </w:t>
      </w:r>
      <w:r w:rsidRPr="003B3953">
        <w:rPr>
          <w:rFonts w:ascii="Verdana" w:hAnsi="Verdana"/>
          <w:i/>
        </w:rPr>
        <w:t>NJ</w:t>
      </w:r>
      <w:r w:rsidR="007903E1" w:rsidRPr="003B3953">
        <w:rPr>
          <w:rFonts w:ascii="Verdana" w:hAnsi="Verdana"/>
        </w:rPr>
        <w:t xml:space="preserve"> 1986/</w:t>
      </w:r>
      <w:r w:rsidR="00AA2E07" w:rsidRPr="003B3953">
        <w:rPr>
          <w:rFonts w:ascii="Verdana" w:hAnsi="Verdana"/>
        </w:rPr>
        <w:t>173</w:t>
      </w:r>
      <w:r w:rsidR="00F9116C" w:rsidRPr="003B3953">
        <w:rPr>
          <w:rFonts w:ascii="Verdana" w:hAnsi="Verdana"/>
        </w:rPr>
        <w:t xml:space="preserve">. </w:t>
      </w:r>
    </w:p>
    <w:p w:rsidR="00BB4DAB" w:rsidRPr="003B3953" w:rsidRDefault="00BB4DAB" w:rsidP="002734F3">
      <w:pPr>
        <w:pStyle w:val="Lijstalinea"/>
        <w:numPr>
          <w:ilvl w:val="0"/>
          <w:numId w:val="4"/>
        </w:numPr>
        <w:spacing w:after="0" w:line="22" w:lineRule="atLeast"/>
        <w:rPr>
          <w:rFonts w:ascii="Verdana" w:hAnsi="Verdana"/>
          <w:b/>
        </w:rPr>
      </w:pPr>
      <w:r w:rsidRPr="003B3953">
        <w:rPr>
          <w:rFonts w:ascii="Verdana" w:hAnsi="Verdana"/>
        </w:rPr>
        <w:t xml:space="preserve">HR 14 oktober 1986, ECLI:NL:HR:1986:AC3769, </w:t>
      </w:r>
      <w:r w:rsidRPr="003B3953">
        <w:rPr>
          <w:rFonts w:ascii="Verdana" w:hAnsi="Verdana"/>
          <w:i/>
        </w:rPr>
        <w:t>NJ</w:t>
      </w:r>
      <w:r w:rsidR="0050397C" w:rsidRPr="003B3953">
        <w:rPr>
          <w:rFonts w:ascii="Verdana" w:hAnsi="Verdana"/>
        </w:rPr>
        <w:t xml:space="preserve"> 1987</w:t>
      </w:r>
      <w:r w:rsidR="007903E1" w:rsidRPr="003B3953">
        <w:rPr>
          <w:rFonts w:ascii="Verdana" w:hAnsi="Verdana"/>
        </w:rPr>
        <w:t>/</w:t>
      </w:r>
      <w:r w:rsidRPr="003B3953">
        <w:rPr>
          <w:rFonts w:ascii="Verdana" w:hAnsi="Verdana"/>
        </w:rPr>
        <w:t xml:space="preserve">490. </w:t>
      </w:r>
    </w:p>
    <w:p w:rsidR="00566CC6" w:rsidRPr="003B3953" w:rsidRDefault="00566CC6" w:rsidP="002734F3">
      <w:pPr>
        <w:pStyle w:val="Lijstalinea"/>
        <w:numPr>
          <w:ilvl w:val="0"/>
          <w:numId w:val="4"/>
        </w:numPr>
        <w:spacing w:after="0" w:line="22" w:lineRule="atLeast"/>
        <w:rPr>
          <w:rFonts w:ascii="Verdana" w:hAnsi="Verdana"/>
          <w:b/>
        </w:rPr>
      </w:pPr>
      <w:r w:rsidRPr="003B3953">
        <w:rPr>
          <w:rFonts w:ascii="Verdana" w:hAnsi="Verdana"/>
        </w:rPr>
        <w:t xml:space="preserve">HR 22 november 1991, ECLI:NL:HR:1991:ZC0422, </w:t>
      </w:r>
      <w:r w:rsidRPr="003B3953">
        <w:rPr>
          <w:rFonts w:ascii="Verdana" w:hAnsi="Verdana"/>
          <w:i/>
        </w:rPr>
        <w:t>NJ</w:t>
      </w:r>
      <w:r w:rsidR="007903E1" w:rsidRPr="003B3953">
        <w:rPr>
          <w:rFonts w:ascii="Verdana" w:hAnsi="Verdana"/>
        </w:rPr>
        <w:t xml:space="preserve"> 1992/</w:t>
      </w:r>
      <w:r w:rsidRPr="003B3953">
        <w:rPr>
          <w:rFonts w:ascii="Verdana" w:hAnsi="Verdana"/>
        </w:rPr>
        <w:t>315</w:t>
      </w:r>
      <w:r w:rsidR="00A0203F" w:rsidRPr="003B3953">
        <w:rPr>
          <w:rFonts w:ascii="Verdana" w:hAnsi="Verdana"/>
        </w:rPr>
        <w:t>, m.nt. E.A. Alkema &amp;</w:t>
      </w:r>
      <w:r w:rsidR="00EA6061">
        <w:rPr>
          <w:rFonts w:ascii="Verdana" w:hAnsi="Verdana"/>
        </w:rPr>
        <w:t xml:space="preserve"> </w:t>
      </w:r>
      <w:r w:rsidR="00A0203F" w:rsidRPr="003B3953">
        <w:rPr>
          <w:rFonts w:ascii="Verdana" w:hAnsi="Verdana"/>
        </w:rPr>
        <w:t>Th.W. van Veen</w:t>
      </w:r>
      <w:r w:rsidRPr="003B3953">
        <w:rPr>
          <w:rFonts w:ascii="Verdana" w:hAnsi="Verdana"/>
        </w:rPr>
        <w:t>.</w:t>
      </w:r>
    </w:p>
    <w:p w:rsidR="004F52F5" w:rsidRPr="003B3953" w:rsidRDefault="004F52F5" w:rsidP="002734F3">
      <w:pPr>
        <w:pStyle w:val="Lijstalinea"/>
        <w:numPr>
          <w:ilvl w:val="0"/>
          <w:numId w:val="4"/>
        </w:numPr>
        <w:spacing w:after="0" w:line="22" w:lineRule="atLeast"/>
        <w:rPr>
          <w:rFonts w:ascii="Verdana" w:hAnsi="Verdana"/>
          <w:b/>
        </w:rPr>
      </w:pPr>
      <w:r w:rsidRPr="003B3953">
        <w:rPr>
          <w:rFonts w:ascii="Verdana" w:hAnsi="Verdana"/>
        </w:rPr>
        <w:t>HR 29 maart 1994. ECLI:NL:HR:1994:</w:t>
      </w:r>
      <w:r w:rsidR="00107BE9" w:rsidRPr="003B3953">
        <w:rPr>
          <w:rFonts w:ascii="Verdana" w:hAnsi="Verdana"/>
        </w:rPr>
        <w:t>ZC9693</w:t>
      </w:r>
      <w:r w:rsidRPr="003B3953">
        <w:rPr>
          <w:rFonts w:ascii="Verdana" w:hAnsi="Verdana"/>
        </w:rPr>
        <w:t xml:space="preserve">, </w:t>
      </w:r>
      <w:r w:rsidRPr="003B3953">
        <w:rPr>
          <w:rFonts w:ascii="Verdana" w:hAnsi="Verdana"/>
          <w:i/>
        </w:rPr>
        <w:t>NJ</w:t>
      </w:r>
      <w:r w:rsidR="007903E1" w:rsidRPr="003B3953">
        <w:rPr>
          <w:rFonts w:ascii="Verdana" w:hAnsi="Verdana"/>
        </w:rPr>
        <w:t xml:space="preserve"> 1994/</w:t>
      </w:r>
      <w:r w:rsidRPr="003B3953">
        <w:rPr>
          <w:rFonts w:ascii="Verdana" w:hAnsi="Verdana"/>
        </w:rPr>
        <w:t xml:space="preserve">552, m.nt. </w:t>
      </w:r>
      <w:r w:rsidR="00D20E7C" w:rsidRPr="003B3953">
        <w:rPr>
          <w:rFonts w:ascii="Verdana" w:hAnsi="Verdana"/>
        </w:rPr>
        <w:t xml:space="preserve">A.C. </w:t>
      </w:r>
      <w:r w:rsidRPr="003B3953">
        <w:rPr>
          <w:rFonts w:ascii="Verdana" w:hAnsi="Verdana"/>
        </w:rPr>
        <w:t>‘t Hart.</w:t>
      </w:r>
    </w:p>
    <w:p w:rsidR="00E50727" w:rsidRPr="003B3953" w:rsidRDefault="00E50727" w:rsidP="002734F3">
      <w:pPr>
        <w:pStyle w:val="Lijstalinea"/>
        <w:numPr>
          <w:ilvl w:val="0"/>
          <w:numId w:val="4"/>
        </w:numPr>
        <w:spacing w:after="0" w:line="22" w:lineRule="atLeast"/>
        <w:rPr>
          <w:rFonts w:ascii="Verdana" w:hAnsi="Verdana"/>
          <w:b/>
        </w:rPr>
      </w:pPr>
      <w:r w:rsidRPr="003B3953">
        <w:rPr>
          <w:rFonts w:ascii="Verdana" w:hAnsi="Verdana"/>
        </w:rPr>
        <w:t>HR 30 november 1999, ECLI:NL:HR:1999:</w:t>
      </w:r>
      <w:r w:rsidR="004D313B" w:rsidRPr="003B3953">
        <w:rPr>
          <w:rFonts w:ascii="Verdana" w:hAnsi="Verdana"/>
        </w:rPr>
        <w:t>ZD7280</w:t>
      </w:r>
      <w:r w:rsidRPr="003B3953">
        <w:rPr>
          <w:rFonts w:ascii="Verdana" w:hAnsi="Verdana"/>
        </w:rPr>
        <w:t xml:space="preserve">, </w:t>
      </w:r>
      <w:r w:rsidRPr="003B3953">
        <w:rPr>
          <w:rFonts w:ascii="Verdana" w:hAnsi="Verdana"/>
          <w:i/>
        </w:rPr>
        <w:t>NJ</w:t>
      </w:r>
      <w:r w:rsidR="007903E1" w:rsidRPr="003B3953">
        <w:rPr>
          <w:rFonts w:ascii="Verdana" w:hAnsi="Verdana"/>
        </w:rPr>
        <w:t xml:space="preserve"> 2002/</w:t>
      </w:r>
      <w:r w:rsidRPr="003B3953">
        <w:rPr>
          <w:rFonts w:ascii="Verdana" w:hAnsi="Verdana"/>
        </w:rPr>
        <w:t>438</w:t>
      </w:r>
      <w:r w:rsidR="000B37CB" w:rsidRPr="003B3953">
        <w:rPr>
          <w:rFonts w:ascii="Verdana" w:hAnsi="Verdana"/>
        </w:rPr>
        <w:t>,</w:t>
      </w:r>
      <w:r w:rsidR="00EA6061">
        <w:rPr>
          <w:rFonts w:ascii="Verdana" w:hAnsi="Verdana"/>
        </w:rPr>
        <w:t xml:space="preserve"> </w:t>
      </w:r>
      <w:r w:rsidRPr="003B3953">
        <w:rPr>
          <w:rFonts w:ascii="Verdana" w:hAnsi="Verdana"/>
        </w:rPr>
        <w:t>m.</w:t>
      </w:r>
      <w:r w:rsidR="00270558" w:rsidRPr="003B3953">
        <w:rPr>
          <w:rFonts w:ascii="Verdana" w:hAnsi="Verdana"/>
        </w:rPr>
        <w:t>nt. Y. Buruma.</w:t>
      </w:r>
    </w:p>
    <w:p w:rsidR="004F52F5" w:rsidRPr="003B3953" w:rsidRDefault="004F52F5" w:rsidP="002734F3">
      <w:pPr>
        <w:pStyle w:val="Lijstalinea"/>
        <w:numPr>
          <w:ilvl w:val="0"/>
          <w:numId w:val="4"/>
        </w:numPr>
        <w:spacing w:after="0" w:line="22" w:lineRule="atLeast"/>
        <w:rPr>
          <w:rFonts w:ascii="Verdana" w:hAnsi="Verdana"/>
          <w:b/>
          <w:lang w:val="en-US"/>
        </w:rPr>
      </w:pPr>
      <w:r w:rsidRPr="003B3953">
        <w:rPr>
          <w:rFonts w:ascii="Verdana" w:hAnsi="Verdana"/>
          <w:lang w:val="en-US"/>
        </w:rPr>
        <w:t xml:space="preserve">HR 12 februari 2002, ECLI:NL:HR:2002:AD4402, </w:t>
      </w:r>
      <w:r w:rsidRPr="003B3953">
        <w:rPr>
          <w:rFonts w:ascii="Verdana" w:hAnsi="Verdana"/>
          <w:i/>
          <w:lang w:val="en-US"/>
        </w:rPr>
        <w:t>NJ</w:t>
      </w:r>
      <w:r w:rsidR="007903E1" w:rsidRPr="003B3953">
        <w:rPr>
          <w:rFonts w:ascii="Verdana" w:hAnsi="Verdana"/>
          <w:lang w:val="en-US"/>
        </w:rPr>
        <w:t xml:space="preserve"> 2002/</w:t>
      </w:r>
      <w:r w:rsidRPr="003B3953">
        <w:rPr>
          <w:rFonts w:ascii="Verdana" w:hAnsi="Verdana"/>
          <w:lang w:val="en-US"/>
        </w:rPr>
        <w:t xml:space="preserve">440, m.nt. </w:t>
      </w:r>
      <w:r w:rsidR="003C625A" w:rsidRPr="003B3953">
        <w:rPr>
          <w:rFonts w:ascii="Verdana" w:hAnsi="Verdana"/>
          <w:lang w:val="en-US"/>
        </w:rPr>
        <w:t xml:space="preserve">Y. </w:t>
      </w:r>
      <w:r w:rsidR="007663DF">
        <w:rPr>
          <w:rFonts w:ascii="Verdana" w:hAnsi="Verdana"/>
          <w:lang w:val="en-US"/>
        </w:rPr>
        <w:t>Buruma</w:t>
      </w:r>
      <w:r w:rsidRPr="003B3953">
        <w:rPr>
          <w:rFonts w:ascii="Verdana" w:hAnsi="Verdana"/>
          <w:lang w:val="en-US"/>
        </w:rPr>
        <w:t>.</w:t>
      </w:r>
    </w:p>
    <w:p w:rsidR="00E43CEF" w:rsidRPr="003B3953" w:rsidRDefault="00E43CEF" w:rsidP="002734F3">
      <w:pPr>
        <w:pStyle w:val="Lijstalinea"/>
        <w:numPr>
          <w:ilvl w:val="0"/>
          <w:numId w:val="4"/>
        </w:numPr>
        <w:spacing w:after="0" w:line="22" w:lineRule="atLeast"/>
        <w:rPr>
          <w:rFonts w:ascii="Verdana" w:hAnsi="Verdana"/>
          <w:b/>
        </w:rPr>
      </w:pPr>
      <w:r w:rsidRPr="003B3953">
        <w:rPr>
          <w:rFonts w:ascii="Verdana" w:hAnsi="Verdana"/>
        </w:rPr>
        <w:t>HR 30 maart 2004, ECLI:NL:HR:2004:AM2533</w:t>
      </w:r>
      <w:r w:rsidR="00A0203F" w:rsidRPr="003B3953">
        <w:rPr>
          <w:rFonts w:ascii="Verdana" w:hAnsi="Verdana"/>
        </w:rPr>
        <w:t xml:space="preserve">, </w:t>
      </w:r>
      <w:r w:rsidR="00A0203F" w:rsidRPr="003B3953">
        <w:rPr>
          <w:rFonts w:ascii="Verdana" w:hAnsi="Verdana"/>
          <w:i/>
        </w:rPr>
        <w:t>NJ</w:t>
      </w:r>
      <w:r w:rsidR="00A0203F" w:rsidRPr="003B3953">
        <w:rPr>
          <w:rFonts w:ascii="Verdana" w:hAnsi="Verdana"/>
        </w:rPr>
        <w:t xml:space="preserve"> 2004/376, m.nt. Y. Buruma.</w:t>
      </w:r>
    </w:p>
    <w:p w:rsidR="007E1DFA" w:rsidRPr="003B3953" w:rsidRDefault="00A70EE5" w:rsidP="002734F3">
      <w:pPr>
        <w:pStyle w:val="Lijstalinea"/>
        <w:numPr>
          <w:ilvl w:val="0"/>
          <w:numId w:val="10"/>
        </w:numPr>
        <w:spacing w:after="0" w:line="22" w:lineRule="atLeast"/>
        <w:rPr>
          <w:rFonts w:ascii="Verdana" w:hAnsi="Verdana"/>
          <w:b/>
        </w:rPr>
      </w:pPr>
      <w:r w:rsidRPr="003B3953">
        <w:rPr>
          <w:rFonts w:ascii="Verdana" w:hAnsi="Verdana"/>
        </w:rPr>
        <w:t>HR 29 ju</w:t>
      </w:r>
      <w:r w:rsidR="00C25AA6" w:rsidRPr="003B3953">
        <w:rPr>
          <w:rFonts w:ascii="Verdana" w:hAnsi="Verdana"/>
        </w:rPr>
        <w:t xml:space="preserve">ni 2004, ECLI:NL:HR:2004:AO5070, </w:t>
      </w:r>
      <w:r w:rsidR="00C25AA6" w:rsidRPr="003B3953">
        <w:rPr>
          <w:rFonts w:ascii="Verdana" w:hAnsi="Verdana"/>
          <w:i/>
        </w:rPr>
        <w:t>NJ</w:t>
      </w:r>
      <w:r w:rsidR="00687E0E" w:rsidRPr="003B3953">
        <w:rPr>
          <w:rFonts w:ascii="Verdana" w:hAnsi="Verdana"/>
        </w:rPr>
        <w:t xml:space="preserve"> 2005</w:t>
      </w:r>
      <w:r w:rsidR="008C77C0" w:rsidRPr="003B3953">
        <w:rPr>
          <w:rFonts w:ascii="Verdana" w:hAnsi="Verdana"/>
        </w:rPr>
        <w:t>/273,</w:t>
      </w:r>
      <w:r w:rsidR="007E1DFA" w:rsidRPr="003B3953">
        <w:rPr>
          <w:rFonts w:ascii="Verdana" w:hAnsi="Verdana"/>
        </w:rPr>
        <w:t>m.nt. G. Knigge.</w:t>
      </w:r>
    </w:p>
    <w:p w:rsidR="005D1A80" w:rsidRPr="003B3953" w:rsidRDefault="005955D5" w:rsidP="002734F3">
      <w:pPr>
        <w:pStyle w:val="Lijstalinea"/>
        <w:numPr>
          <w:ilvl w:val="0"/>
          <w:numId w:val="10"/>
        </w:numPr>
        <w:spacing w:after="0" w:line="22" w:lineRule="atLeast"/>
        <w:rPr>
          <w:rFonts w:ascii="Verdana" w:hAnsi="Verdana"/>
          <w:b/>
        </w:rPr>
      </w:pPr>
      <w:r w:rsidRPr="003B3953">
        <w:rPr>
          <w:rFonts w:ascii="Verdana" w:hAnsi="Verdana"/>
        </w:rPr>
        <w:t>HR 09 m</w:t>
      </w:r>
      <w:r w:rsidR="00C235B5" w:rsidRPr="003B3953">
        <w:rPr>
          <w:rFonts w:ascii="Verdana" w:hAnsi="Verdana"/>
        </w:rPr>
        <w:t xml:space="preserve">ei 2006, ECLI:NL:HR:2006:AV2386, </w:t>
      </w:r>
      <w:r w:rsidR="00C235B5" w:rsidRPr="003B3953">
        <w:rPr>
          <w:rFonts w:ascii="Verdana" w:hAnsi="Verdana"/>
          <w:i/>
        </w:rPr>
        <w:t>NJ</w:t>
      </w:r>
      <w:r w:rsidR="007903E1" w:rsidRPr="003B3953">
        <w:rPr>
          <w:rFonts w:ascii="Verdana" w:hAnsi="Verdana"/>
        </w:rPr>
        <w:t xml:space="preserve"> 2006/</w:t>
      </w:r>
      <w:r w:rsidR="003B3953" w:rsidRPr="003B3953">
        <w:rPr>
          <w:rFonts w:ascii="Verdana" w:hAnsi="Verdana"/>
        </w:rPr>
        <w:t>62</w:t>
      </w:r>
      <w:r w:rsidR="00C235B5" w:rsidRPr="003B3953">
        <w:rPr>
          <w:rFonts w:ascii="Verdana" w:hAnsi="Verdana"/>
        </w:rPr>
        <w:t xml:space="preserve">2, m.nt. </w:t>
      </w:r>
      <w:r w:rsidR="002A1CBB" w:rsidRPr="003B3953">
        <w:rPr>
          <w:rFonts w:ascii="Verdana" w:hAnsi="Verdana"/>
        </w:rPr>
        <w:t>J. d</w:t>
      </w:r>
      <w:r w:rsidR="00C235B5" w:rsidRPr="003B3953">
        <w:rPr>
          <w:rFonts w:ascii="Verdana" w:hAnsi="Verdana"/>
        </w:rPr>
        <w:t xml:space="preserve">e Boer. </w:t>
      </w:r>
    </w:p>
    <w:p w:rsidR="003C46EB" w:rsidRPr="003B3953" w:rsidRDefault="005D1A80" w:rsidP="002734F3">
      <w:pPr>
        <w:pStyle w:val="Lijstalinea"/>
        <w:numPr>
          <w:ilvl w:val="0"/>
          <w:numId w:val="10"/>
        </w:numPr>
        <w:spacing w:after="0" w:line="22" w:lineRule="atLeast"/>
        <w:rPr>
          <w:rFonts w:ascii="Verdana" w:hAnsi="Verdana"/>
          <w:b/>
        </w:rPr>
      </w:pPr>
      <w:r w:rsidRPr="003B3953">
        <w:rPr>
          <w:rFonts w:ascii="Verdana" w:hAnsi="Verdana"/>
        </w:rPr>
        <w:t>HR 27 mei 2008, ECLI:NL:HR:2008:BC1369</w:t>
      </w:r>
      <w:r w:rsidR="003C46EB" w:rsidRPr="003B3953">
        <w:rPr>
          <w:rFonts w:ascii="Verdana" w:hAnsi="Verdana"/>
        </w:rPr>
        <w:t xml:space="preserve">, </w:t>
      </w:r>
      <w:r w:rsidR="003C46EB" w:rsidRPr="003B3953">
        <w:rPr>
          <w:rFonts w:ascii="Verdana" w:hAnsi="Verdana"/>
          <w:i/>
        </w:rPr>
        <w:t>NJ</w:t>
      </w:r>
      <w:r w:rsidR="007903E1" w:rsidRPr="003B3953">
        <w:rPr>
          <w:rFonts w:ascii="Verdana" w:hAnsi="Verdana"/>
        </w:rPr>
        <w:t xml:space="preserve"> 2008/</w:t>
      </w:r>
      <w:r w:rsidR="003C46EB" w:rsidRPr="003B3953">
        <w:rPr>
          <w:rFonts w:ascii="Verdana" w:hAnsi="Verdana"/>
        </w:rPr>
        <w:t xml:space="preserve">407, m.nt. </w:t>
      </w:r>
    </w:p>
    <w:p w:rsidR="005955D5" w:rsidRPr="003B3953" w:rsidRDefault="003C46EB" w:rsidP="0092501F">
      <w:pPr>
        <w:pStyle w:val="Lijstalinea"/>
        <w:spacing w:after="0" w:line="22" w:lineRule="atLeast"/>
        <w:rPr>
          <w:rFonts w:ascii="Verdana" w:hAnsi="Verdana"/>
          <w:b/>
        </w:rPr>
      </w:pPr>
      <w:r w:rsidRPr="003B3953">
        <w:rPr>
          <w:rFonts w:ascii="Verdana" w:hAnsi="Verdana"/>
        </w:rPr>
        <w:t>J. Legemaate</w:t>
      </w:r>
    </w:p>
    <w:p w:rsidR="002D6D86" w:rsidRPr="003B3953" w:rsidRDefault="002D6D86" w:rsidP="002734F3">
      <w:pPr>
        <w:pStyle w:val="Lijstalinea"/>
        <w:numPr>
          <w:ilvl w:val="0"/>
          <w:numId w:val="10"/>
        </w:numPr>
        <w:spacing w:after="0" w:line="22" w:lineRule="atLeast"/>
        <w:rPr>
          <w:rFonts w:ascii="Verdana" w:hAnsi="Verdana"/>
          <w:b/>
        </w:rPr>
      </w:pPr>
      <w:r w:rsidRPr="003B3953">
        <w:rPr>
          <w:rFonts w:ascii="Verdana" w:hAnsi="Verdana"/>
        </w:rPr>
        <w:t>HR 27 mei 2008, ECLI:NL:HR:2008:BC1370.</w:t>
      </w:r>
    </w:p>
    <w:p w:rsidR="00BE63A0" w:rsidRPr="003B3953" w:rsidRDefault="00AC3A27" w:rsidP="002734F3">
      <w:pPr>
        <w:pStyle w:val="Lijstalinea"/>
        <w:numPr>
          <w:ilvl w:val="0"/>
          <w:numId w:val="10"/>
        </w:numPr>
        <w:spacing w:after="0" w:line="22" w:lineRule="atLeast"/>
        <w:rPr>
          <w:rFonts w:ascii="Verdana" w:hAnsi="Verdana"/>
          <w:b/>
        </w:rPr>
      </w:pPr>
      <w:r w:rsidRPr="003B3953">
        <w:rPr>
          <w:rFonts w:ascii="Verdana" w:hAnsi="Verdana"/>
        </w:rPr>
        <w:t xml:space="preserve">HR 21 oktober 2008, ECLI:NL:HR:2008:BD7817, </w:t>
      </w:r>
      <w:r w:rsidRPr="003B3953">
        <w:rPr>
          <w:rFonts w:ascii="Verdana" w:hAnsi="Verdana"/>
          <w:i/>
        </w:rPr>
        <w:t>NJ</w:t>
      </w:r>
      <w:r w:rsidR="007903E1" w:rsidRPr="003B3953">
        <w:rPr>
          <w:rFonts w:ascii="Verdana" w:hAnsi="Verdana"/>
        </w:rPr>
        <w:t xml:space="preserve"> 2008/</w:t>
      </w:r>
      <w:r w:rsidRPr="003B3953">
        <w:rPr>
          <w:rFonts w:ascii="Verdana" w:hAnsi="Verdana"/>
        </w:rPr>
        <w:t>630</w:t>
      </w:r>
      <w:r w:rsidR="00BE63A0" w:rsidRPr="003B3953">
        <w:rPr>
          <w:rFonts w:ascii="Verdana" w:hAnsi="Verdana"/>
        </w:rPr>
        <w:t xml:space="preserve">, m.nt. </w:t>
      </w:r>
    </w:p>
    <w:p w:rsidR="00AC3A27" w:rsidRPr="003B3953" w:rsidRDefault="00BE63A0" w:rsidP="0092501F">
      <w:pPr>
        <w:pStyle w:val="Lijstalinea"/>
        <w:spacing w:after="0" w:line="22" w:lineRule="atLeast"/>
        <w:rPr>
          <w:rFonts w:ascii="Verdana" w:hAnsi="Verdana"/>
          <w:b/>
        </w:rPr>
      </w:pPr>
      <w:r w:rsidRPr="003B3953">
        <w:rPr>
          <w:rFonts w:ascii="Verdana" w:hAnsi="Verdana"/>
        </w:rPr>
        <w:t>J. Legemaate.</w:t>
      </w:r>
    </w:p>
    <w:p w:rsidR="008E1BEB" w:rsidRPr="003B3953" w:rsidRDefault="001115BB" w:rsidP="002734F3">
      <w:pPr>
        <w:pStyle w:val="Lijstalinea"/>
        <w:numPr>
          <w:ilvl w:val="0"/>
          <w:numId w:val="10"/>
        </w:numPr>
        <w:spacing w:after="0" w:line="22" w:lineRule="atLeast"/>
        <w:rPr>
          <w:rFonts w:ascii="Verdana" w:hAnsi="Verdana"/>
          <w:b/>
        </w:rPr>
      </w:pPr>
      <w:r w:rsidRPr="003B3953">
        <w:rPr>
          <w:rFonts w:ascii="Verdana" w:hAnsi="Verdana"/>
        </w:rPr>
        <w:t xml:space="preserve">HR </w:t>
      </w:r>
      <w:r w:rsidR="003B3953" w:rsidRPr="003B3953">
        <w:rPr>
          <w:rFonts w:ascii="Verdana" w:hAnsi="Verdana"/>
        </w:rPr>
        <w:t>26 mei 2009, ECLI:NL:HR:2009:BG</w:t>
      </w:r>
      <w:r w:rsidRPr="003B3953">
        <w:rPr>
          <w:rFonts w:ascii="Verdana" w:hAnsi="Verdana"/>
        </w:rPr>
        <w:t xml:space="preserve">5979, </w:t>
      </w:r>
      <w:r w:rsidRPr="003B3953">
        <w:rPr>
          <w:rFonts w:ascii="Verdana" w:hAnsi="Verdana"/>
          <w:i/>
        </w:rPr>
        <w:t>NJ</w:t>
      </w:r>
      <w:r w:rsidR="00687E0E" w:rsidRPr="003B3953">
        <w:rPr>
          <w:rFonts w:ascii="Verdana" w:hAnsi="Verdana"/>
        </w:rPr>
        <w:t xml:space="preserve"> 2009</w:t>
      </w:r>
      <w:r w:rsidR="007903E1" w:rsidRPr="003B3953">
        <w:rPr>
          <w:rFonts w:ascii="Verdana" w:hAnsi="Verdana"/>
        </w:rPr>
        <w:t>/</w:t>
      </w:r>
      <w:r w:rsidRPr="003B3953">
        <w:rPr>
          <w:rFonts w:ascii="Verdana" w:hAnsi="Verdana"/>
        </w:rPr>
        <w:t xml:space="preserve">263, m.nt. </w:t>
      </w:r>
    </w:p>
    <w:p w:rsidR="001115BB" w:rsidRPr="003B3953" w:rsidRDefault="008E1BEB" w:rsidP="0092501F">
      <w:pPr>
        <w:pStyle w:val="Lijstalinea"/>
        <w:spacing w:after="0" w:line="22" w:lineRule="atLeast"/>
        <w:rPr>
          <w:rFonts w:ascii="Verdana" w:hAnsi="Verdana"/>
          <w:b/>
        </w:rPr>
      </w:pPr>
      <w:r w:rsidRPr="003B3953">
        <w:rPr>
          <w:rFonts w:ascii="Verdana" w:hAnsi="Verdana"/>
        </w:rPr>
        <w:t xml:space="preserve">J. </w:t>
      </w:r>
      <w:r w:rsidR="001115BB" w:rsidRPr="003B3953">
        <w:rPr>
          <w:rFonts w:ascii="Verdana" w:hAnsi="Verdana"/>
        </w:rPr>
        <w:t>Legemaate.</w:t>
      </w:r>
    </w:p>
    <w:p w:rsidR="008E1BEB" w:rsidRPr="003B3953" w:rsidRDefault="00DA6682" w:rsidP="002734F3">
      <w:pPr>
        <w:pStyle w:val="Lijstalinea"/>
        <w:numPr>
          <w:ilvl w:val="0"/>
          <w:numId w:val="10"/>
        </w:numPr>
        <w:spacing w:after="0" w:line="22" w:lineRule="atLeast"/>
        <w:rPr>
          <w:rFonts w:ascii="Verdana" w:hAnsi="Verdana"/>
          <w:b/>
        </w:rPr>
      </w:pPr>
      <w:r w:rsidRPr="003B3953">
        <w:rPr>
          <w:rFonts w:ascii="Verdana" w:hAnsi="Verdana"/>
        </w:rPr>
        <w:t>HR 05 juli 2011, ECLI:NL:HR:2011:BP6141</w:t>
      </w:r>
      <w:r w:rsidR="00E8213E" w:rsidRPr="003B3953">
        <w:rPr>
          <w:rFonts w:ascii="Verdana" w:hAnsi="Verdana"/>
        </w:rPr>
        <w:t xml:space="preserve">, </w:t>
      </w:r>
      <w:r w:rsidR="00E8213E" w:rsidRPr="003B3953">
        <w:rPr>
          <w:rFonts w:ascii="Verdana" w:hAnsi="Verdana"/>
          <w:i/>
        </w:rPr>
        <w:t>NJ</w:t>
      </w:r>
      <w:r w:rsidR="007903E1" w:rsidRPr="003B3953">
        <w:rPr>
          <w:rFonts w:ascii="Verdana" w:hAnsi="Verdana"/>
        </w:rPr>
        <w:t xml:space="preserve"> 2011/</w:t>
      </w:r>
      <w:r w:rsidR="00E8213E" w:rsidRPr="003B3953">
        <w:rPr>
          <w:rFonts w:ascii="Verdana" w:hAnsi="Verdana"/>
        </w:rPr>
        <w:t>416, m.nt.</w:t>
      </w:r>
    </w:p>
    <w:p w:rsidR="00DA6682" w:rsidRPr="003B3953" w:rsidRDefault="008E1BEB" w:rsidP="0092501F">
      <w:pPr>
        <w:pStyle w:val="Lijstalinea"/>
        <w:spacing w:after="0" w:line="22" w:lineRule="atLeast"/>
        <w:rPr>
          <w:rFonts w:ascii="Verdana" w:hAnsi="Verdana"/>
          <w:b/>
        </w:rPr>
      </w:pPr>
      <w:r w:rsidRPr="003B3953">
        <w:rPr>
          <w:rFonts w:ascii="Verdana" w:hAnsi="Verdana"/>
        </w:rPr>
        <w:t>J.</w:t>
      </w:r>
      <w:r w:rsidR="00E8213E" w:rsidRPr="003B3953">
        <w:rPr>
          <w:rFonts w:ascii="Verdana" w:hAnsi="Verdana"/>
        </w:rPr>
        <w:t>Legemaate</w:t>
      </w:r>
      <w:r w:rsidR="00DA6682" w:rsidRPr="003B3953">
        <w:rPr>
          <w:rFonts w:ascii="Verdana" w:hAnsi="Verdana"/>
        </w:rPr>
        <w:t xml:space="preserve">. </w:t>
      </w:r>
    </w:p>
    <w:p w:rsidR="008E1BEB" w:rsidRPr="003B3953" w:rsidRDefault="001115BB" w:rsidP="002734F3">
      <w:pPr>
        <w:pStyle w:val="Lijstalinea"/>
        <w:numPr>
          <w:ilvl w:val="0"/>
          <w:numId w:val="10"/>
        </w:numPr>
        <w:spacing w:after="0" w:line="22" w:lineRule="atLeast"/>
        <w:rPr>
          <w:rFonts w:ascii="Verdana" w:hAnsi="Verdana"/>
          <w:b/>
        </w:rPr>
      </w:pPr>
      <w:r w:rsidRPr="003B3953">
        <w:rPr>
          <w:rFonts w:ascii="Verdana" w:hAnsi="Verdana"/>
        </w:rPr>
        <w:t xml:space="preserve">HR 28 februari 2012, ECLI:NL:HR:2012:BU6088, </w:t>
      </w:r>
      <w:r w:rsidRPr="003B3953">
        <w:rPr>
          <w:rFonts w:ascii="Verdana" w:hAnsi="Verdana"/>
          <w:i/>
        </w:rPr>
        <w:t>NJ</w:t>
      </w:r>
      <w:r w:rsidR="007903E1" w:rsidRPr="003B3953">
        <w:rPr>
          <w:rFonts w:ascii="Verdana" w:hAnsi="Verdana"/>
        </w:rPr>
        <w:t xml:space="preserve"> 2012/</w:t>
      </w:r>
      <w:r w:rsidRPr="003B3953">
        <w:rPr>
          <w:rFonts w:ascii="Verdana" w:hAnsi="Verdana"/>
        </w:rPr>
        <w:t xml:space="preserve">537, m.nt. </w:t>
      </w:r>
    </w:p>
    <w:p w:rsidR="001115BB" w:rsidRPr="003B3953" w:rsidRDefault="008E1BEB" w:rsidP="0092501F">
      <w:pPr>
        <w:pStyle w:val="Lijstalinea"/>
        <w:spacing w:after="0" w:line="22" w:lineRule="atLeast"/>
        <w:rPr>
          <w:rFonts w:ascii="Verdana" w:hAnsi="Verdana"/>
          <w:b/>
        </w:rPr>
      </w:pPr>
      <w:r w:rsidRPr="003B3953">
        <w:rPr>
          <w:rFonts w:ascii="Verdana" w:hAnsi="Verdana"/>
        </w:rPr>
        <w:t xml:space="preserve">J. </w:t>
      </w:r>
      <w:r w:rsidR="001115BB" w:rsidRPr="003B3953">
        <w:rPr>
          <w:rFonts w:ascii="Verdana" w:hAnsi="Verdana"/>
        </w:rPr>
        <w:t xml:space="preserve">Legemaate. </w:t>
      </w:r>
    </w:p>
    <w:p w:rsidR="00BE63A0" w:rsidRPr="003B3953" w:rsidRDefault="005059EA" w:rsidP="002734F3">
      <w:pPr>
        <w:pStyle w:val="Lijstalinea"/>
        <w:numPr>
          <w:ilvl w:val="0"/>
          <w:numId w:val="10"/>
        </w:numPr>
        <w:spacing w:after="0" w:line="22" w:lineRule="atLeast"/>
        <w:rPr>
          <w:rFonts w:ascii="Verdana" w:hAnsi="Verdana"/>
          <w:b/>
        </w:rPr>
      </w:pPr>
      <w:r w:rsidRPr="003B3953">
        <w:rPr>
          <w:rFonts w:ascii="Verdana" w:hAnsi="Verdana"/>
        </w:rPr>
        <w:t>HR 12 februari 2013, ECLI:NL:HR:2013:BX4284</w:t>
      </w:r>
      <w:r w:rsidR="00BE63A0" w:rsidRPr="003B3953">
        <w:rPr>
          <w:rFonts w:ascii="Verdana" w:hAnsi="Verdana"/>
        </w:rPr>
        <w:t xml:space="preserve">, </w:t>
      </w:r>
      <w:r w:rsidR="00BE63A0" w:rsidRPr="003B3953">
        <w:rPr>
          <w:rFonts w:ascii="Verdana" w:hAnsi="Verdana"/>
          <w:i/>
        </w:rPr>
        <w:t>NJ</w:t>
      </w:r>
      <w:r w:rsidR="007903E1" w:rsidRPr="003B3953">
        <w:rPr>
          <w:rFonts w:ascii="Verdana" w:hAnsi="Verdana"/>
        </w:rPr>
        <w:t xml:space="preserve"> 2014/</w:t>
      </w:r>
      <w:r w:rsidR="00BE63A0" w:rsidRPr="003B3953">
        <w:rPr>
          <w:rFonts w:ascii="Verdana" w:hAnsi="Verdana"/>
        </w:rPr>
        <w:t xml:space="preserve">92, m.nt. </w:t>
      </w:r>
    </w:p>
    <w:p w:rsidR="005059EA" w:rsidRPr="003B3953" w:rsidRDefault="00BE63A0" w:rsidP="0092501F">
      <w:pPr>
        <w:pStyle w:val="Lijstalinea"/>
        <w:spacing w:after="0" w:line="22" w:lineRule="atLeast"/>
        <w:rPr>
          <w:rFonts w:ascii="Verdana" w:hAnsi="Verdana"/>
          <w:b/>
        </w:rPr>
      </w:pPr>
      <w:r w:rsidRPr="003B3953">
        <w:rPr>
          <w:rFonts w:ascii="Verdana" w:hAnsi="Verdana"/>
        </w:rPr>
        <w:t xml:space="preserve">F. Vellinga-Schootstra. </w:t>
      </w:r>
    </w:p>
    <w:p w:rsidR="002E6D12" w:rsidRPr="003B3953" w:rsidRDefault="0077692A" w:rsidP="002734F3">
      <w:pPr>
        <w:pStyle w:val="Lijstalinea"/>
        <w:numPr>
          <w:ilvl w:val="0"/>
          <w:numId w:val="10"/>
        </w:numPr>
        <w:spacing w:after="0" w:line="22" w:lineRule="atLeast"/>
        <w:rPr>
          <w:rFonts w:ascii="Verdana" w:hAnsi="Verdana"/>
          <w:b/>
        </w:rPr>
      </w:pPr>
      <w:r w:rsidRPr="003B3953">
        <w:rPr>
          <w:rFonts w:ascii="Verdana" w:hAnsi="Verdana"/>
        </w:rPr>
        <w:t>HR 14 mei 2013, ECLI:NL:HR:2013:BZ9943,</w:t>
      </w:r>
      <w:r w:rsidR="008033D6" w:rsidRPr="003B3953">
        <w:rPr>
          <w:rFonts w:ascii="Verdana" w:hAnsi="Verdana"/>
        </w:rPr>
        <w:t> </w:t>
      </w:r>
      <w:r w:rsidR="002E6D12" w:rsidRPr="003B3953">
        <w:rPr>
          <w:rFonts w:ascii="Verdana" w:hAnsi="Verdana"/>
          <w:i/>
        </w:rPr>
        <w:t xml:space="preserve">NJ </w:t>
      </w:r>
      <w:r w:rsidR="007903E1" w:rsidRPr="003B3953">
        <w:rPr>
          <w:rFonts w:ascii="Verdana" w:hAnsi="Verdana"/>
        </w:rPr>
        <w:t>2013/</w:t>
      </w:r>
      <w:r w:rsidR="002E6D12" w:rsidRPr="003B3953">
        <w:rPr>
          <w:rFonts w:ascii="Verdana" w:hAnsi="Verdana"/>
        </w:rPr>
        <w:t xml:space="preserve">561, m.nt. </w:t>
      </w:r>
    </w:p>
    <w:p w:rsidR="0077692A" w:rsidRPr="003B3953" w:rsidRDefault="002E6D12" w:rsidP="0092501F">
      <w:pPr>
        <w:pStyle w:val="Lijstalinea"/>
        <w:spacing w:after="0" w:line="22" w:lineRule="atLeast"/>
        <w:rPr>
          <w:rFonts w:ascii="Verdana" w:hAnsi="Verdana"/>
          <w:b/>
        </w:rPr>
      </w:pPr>
      <w:r w:rsidRPr="003B3953">
        <w:rPr>
          <w:rFonts w:ascii="Verdana" w:hAnsi="Verdana"/>
        </w:rPr>
        <w:t>J. Legemaate</w:t>
      </w:r>
      <w:r w:rsidR="0077692A" w:rsidRPr="003B3953">
        <w:rPr>
          <w:rFonts w:ascii="Verdana" w:hAnsi="Verdana"/>
        </w:rPr>
        <w:t>.</w:t>
      </w:r>
    </w:p>
    <w:p w:rsidR="0077692A" w:rsidRPr="003B3953" w:rsidRDefault="004F52F5" w:rsidP="002734F3">
      <w:pPr>
        <w:pStyle w:val="Lijstalinea"/>
        <w:numPr>
          <w:ilvl w:val="0"/>
          <w:numId w:val="4"/>
        </w:numPr>
        <w:spacing w:after="0" w:line="22" w:lineRule="atLeast"/>
        <w:rPr>
          <w:rFonts w:ascii="Verdana" w:hAnsi="Verdana"/>
          <w:b/>
        </w:rPr>
      </w:pPr>
      <w:r w:rsidRPr="003B3953">
        <w:rPr>
          <w:rFonts w:ascii="Verdana" w:hAnsi="Verdana"/>
        </w:rPr>
        <w:t>HR 10 dece</w:t>
      </w:r>
      <w:r w:rsidR="000A04FC" w:rsidRPr="003B3953">
        <w:rPr>
          <w:rFonts w:ascii="Verdana" w:hAnsi="Verdana"/>
        </w:rPr>
        <w:t xml:space="preserve">mber 2013, ECLI:NL:HR:2013:1740, </w:t>
      </w:r>
      <w:r w:rsidR="000A04FC" w:rsidRPr="003B3953">
        <w:rPr>
          <w:rFonts w:ascii="Verdana" w:hAnsi="Verdana"/>
          <w:i/>
        </w:rPr>
        <w:t>NJ</w:t>
      </w:r>
      <w:r w:rsidR="008033D6" w:rsidRPr="003B3953">
        <w:rPr>
          <w:rFonts w:ascii="Verdana" w:hAnsi="Verdana"/>
          <w:i/>
        </w:rPr>
        <w:t> </w:t>
      </w:r>
      <w:r w:rsidR="007903E1" w:rsidRPr="003B3953">
        <w:rPr>
          <w:rFonts w:ascii="Verdana" w:hAnsi="Verdana"/>
        </w:rPr>
        <w:t>2014/</w:t>
      </w:r>
      <w:r w:rsidR="000A04FC" w:rsidRPr="003B3953">
        <w:rPr>
          <w:rFonts w:ascii="Verdana" w:hAnsi="Verdana"/>
        </w:rPr>
        <w:t>93</w:t>
      </w:r>
      <w:r w:rsidR="003C46EB" w:rsidRPr="003B3953">
        <w:rPr>
          <w:rFonts w:ascii="Verdana" w:hAnsi="Verdana"/>
        </w:rPr>
        <w:t>,</w:t>
      </w:r>
      <w:r w:rsidR="003C46EB" w:rsidRPr="003B3953">
        <w:rPr>
          <w:rFonts w:ascii="Verdana" w:hAnsi="Verdana"/>
          <w:i/>
        </w:rPr>
        <w:t xml:space="preserve"> NJ</w:t>
      </w:r>
      <w:r w:rsidR="003C46EB" w:rsidRPr="003B3953">
        <w:rPr>
          <w:rFonts w:ascii="Verdana" w:hAnsi="Verdana"/>
        </w:rPr>
        <w:t xml:space="preserve"> 2014, 93, m.nt. F. Vellinga-Schootstra</w:t>
      </w:r>
      <w:r w:rsidR="000A04FC" w:rsidRPr="003B3953">
        <w:rPr>
          <w:rFonts w:ascii="Verdana" w:hAnsi="Verdana"/>
        </w:rPr>
        <w:t>.</w:t>
      </w:r>
    </w:p>
    <w:p w:rsidR="0077692A" w:rsidRPr="00107BE9" w:rsidRDefault="0077692A" w:rsidP="0092501F">
      <w:pPr>
        <w:spacing w:after="0" w:line="22" w:lineRule="atLeast"/>
        <w:rPr>
          <w:rFonts w:ascii="Verdana" w:hAnsi="Verdana"/>
          <w:b/>
        </w:rPr>
      </w:pPr>
    </w:p>
    <w:p w:rsidR="006C7B3F" w:rsidRPr="00107BE9" w:rsidRDefault="006C7B3F" w:rsidP="0092501F">
      <w:pPr>
        <w:spacing w:after="0" w:line="22" w:lineRule="atLeast"/>
        <w:rPr>
          <w:rFonts w:ascii="Verdana" w:hAnsi="Verdana"/>
          <w:b/>
        </w:rPr>
      </w:pPr>
      <w:r w:rsidRPr="00107BE9">
        <w:rPr>
          <w:rFonts w:ascii="Verdana" w:hAnsi="Verdana"/>
          <w:b/>
        </w:rPr>
        <w:t>Gerechtshoven:</w:t>
      </w:r>
    </w:p>
    <w:p w:rsidR="002F4443" w:rsidRPr="00BC08B7" w:rsidRDefault="002F4443" w:rsidP="002734F3">
      <w:pPr>
        <w:pStyle w:val="Lijstalinea"/>
        <w:numPr>
          <w:ilvl w:val="0"/>
          <w:numId w:val="4"/>
        </w:numPr>
        <w:spacing w:after="0" w:line="22" w:lineRule="atLeast"/>
        <w:rPr>
          <w:rFonts w:ascii="Verdana" w:hAnsi="Verdana"/>
          <w:lang w:val="en-US"/>
        </w:rPr>
      </w:pPr>
      <w:r w:rsidRPr="00BC08B7">
        <w:rPr>
          <w:rFonts w:ascii="Verdana" w:hAnsi="Verdana"/>
          <w:lang w:val="en-US"/>
        </w:rPr>
        <w:t xml:space="preserve">Hof Amsterdam 21 december 1989, ECLI:NL:GHAMS:1989:AD0986, </w:t>
      </w:r>
      <w:r w:rsidRPr="00BC08B7">
        <w:rPr>
          <w:rFonts w:ascii="Verdana" w:hAnsi="Verdana"/>
          <w:i/>
          <w:lang w:val="en-US"/>
        </w:rPr>
        <w:t>NJ</w:t>
      </w:r>
      <w:r w:rsidR="007903E1" w:rsidRPr="00BC08B7">
        <w:rPr>
          <w:rFonts w:ascii="Verdana" w:hAnsi="Verdana"/>
          <w:lang w:val="en-US"/>
        </w:rPr>
        <w:t xml:space="preserve"> 1990/</w:t>
      </w:r>
      <w:r w:rsidRPr="00BC08B7">
        <w:rPr>
          <w:rFonts w:ascii="Verdana" w:hAnsi="Verdana"/>
          <w:lang w:val="en-US"/>
        </w:rPr>
        <w:t xml:space="preserve">805. </w:t>
      </w:r>
    </w:p>
    <w:p w:rsidR="006C7B3F" w:rsidRPr="00BC08B7" w:rsidRDefault="006C7B3F" w:rsidP="002734F3">
      <w:pPr>
        <w:pStyle w:val="Lijstalinea"/>
        <w:numPr>
          <w:ilvl w:val="0"/>
          <w:numId w:val="4"/>
        </w:numPr>
        <w:spacing w:after="0" w:line="22" w:lineRule="atLeast"/>
        <w:rPr>
          <w:rFonts w:ascii="Verdana" w:hAnsi="Verdana"/>
        </w:rPr>
      </w:pPr>
      <w:r w:rsidRPr="00BC08B7">
        <w:rPr>
          <w:rFonts w:ascii="Verdana" w:hAnsi="Verdana"/>
        </w:rPr>
        <w:t xml:space="preserve">Hof Amsterdam 25 oktober 2007, ECLI:NL:GHAMS:2007:BB6708. </w:t>
      </w:r>
    </w:p>
    <w:p w:rsidR="00FD317B" w:rsidRPr="00107BE9" w:rsidRDefault="00FD317B" w:rsidP="0092501F">
      <w:pPr>
        <w:spacing w:after="0" w:line="22" w:lineRule="atLeast"/>
        <w:rPr>
          <w:rFonts w:ascii="Verdana" w:hAnsi="Verdana"/>
        </w:rPr>
      </w:pPr>
    </w:p>
    <w:p w:rsidR="00FD317B" w:rsidRPr="00107BE9" w:rsidRDefault="00FD317B" w:rsidP="0092501F">
      <w:pPr>
        <w:spacing w:after="0" w:line="22" w:lineRule="atLeast"/>
        <w:rPr>
          <w:rFonts w:ascii="Verdana" w:hAnsi="Verdana"/>
          <w:b/>
        </w:rPr>
      </w:pPr>
      <w:r w:rsidRPr="00107BE9">
        <w:rPr>
          <w:rFonts w:ascii="Verdana" w:hAnsi="Verdana"/>
          <w:b/>
        </w:rPr>
        <w:t>Rechtbanken:</w:t>
      </w:r>
    </w:p>
    <w:p w:rsidR="008033D6" w:rsidRPr="003B3953" w:rsidRDefault="00FD317B" w:rsidP="002734F3">
      <w:pPr>
        <w:pStyle w:val="Lijstalinea"/>
        <w:numPr>
          <w:ilvl w:val="0"/>
          <w:numId w:val="4"/>
        </w:numPr>
        <w:spacing w:after="0" w:line="22" w:lineRule="atLeast"/>
        <w:rPr>
          <w:rFonts w:ascii="Verdana" w:hAnsi="Verdana"/>
          <w:b/>
        </w:rPr>
      </w:pPr>
      <w:r w:rsidRPr="003B3953">
        <w:rPr>
          <w:rFonts w:ascii="Verdana" w:hAnsi="Verdana"/>
        </w:rPr>
        <w:t>Kantonrechter Nijmegen 20 januari 1969, ECLI:NL:KTGNMG:1969:</w:t>
      </w:r>
    </w:p>
    <w:p w:rsidR="00AE4069" w:rsidRDefault="00FD317B" w:rsidP="0092501F">
      <w:pPr>
        <w:pStyle w:val="Lijstalinea"/>
        <w:spacing w:after="0" w:line="22" w:lineRule="atLeast"/>
        <w:rPr>
          <w:rFonts w:ascii="Verdana" w:hAnsi="Verdana"/>
        </w:rPr>
      </w:pPr>
      <w:r w:rsidRPr="003B3953">
        <w:rPr>
          <w:rFonts w:ascii="Verdana" w:hAnsi="Verdana"/>
        </w:rPr>
        <w:t xml:space="preserve">AB5357, </w:t>
      </w:r>
      <w:r w:rsidRPr="003B3953">
        <w:rPr>
          <w:rFonts w:ascii="Verdana" w:hAnsi="Verdana"/>
          <w:i/>
        </w:rPr>
        <w:t>NJ</w:t>
      </w:r>
      <w:r w:rsidR="008033D6" w:rsidRPr="003B3953">
        <w:rPr>
          <w:rFonts w:ascii="Verdana" w:hAnsi="Verdana"/>
        </w:rPr>
        <w:t xml:space="preserve"> 1970/</w:t>
      </w:r>
      <w:r w:rsidRPr="003B3953">
        <w:rPr>
          <w:rFonts w:ascii="Verdana" w:hAnsi="Verdana"/>
        </w:rPr>
        <w:t xml:space="preserve">20. </w:t>
      </w:r>
    </w:p>
    <w:p w:rsidR="00AE4069" w:rsidRPr="003B3953" w:rsidRDefault="00AE4069" w:rsidP="002734F3">
      <w:pPr>
        <w:pStyle w:val="Lijstalinea"/>
        <w:numPr>
          <w:ilvl w:val="0"/>
          <w:numId w:val="4"/>
        </w:numPr>
        <w:spacing w:after="0" w:line="22" w:lineRule="atLeast"/>
        <w:rPr>
          <w:rFonts w:ascii="Verdana" w:hAnsi="Verdana"/>
        </w:rPr>
      </w:pPr>
      <w:r w:rsidRPr="003B3953">
        <w:rPr>
          <w:rFonts w:ascii="Verdana" w:hAnsi="Verdana"/>
        </w:rPr>
        <w:t>Rechtbank ’s-Gravenhage 12 juli 2007, ECLI:NL:RBSGR:2007:</w:t>
      </w:r>
    </w:p>
    <w:p w:rsidR="00AE4069" w:rsidRDefault="00AE4069" w:rsidP="0092501F">
      <w:pPr>
        <w:pStyle w:val="Lijstalinea"/>
        <w:spacing w:after="0" w:line="22" w:lineRule="atLeast"/>
        <w:rPr>
          <w:rFonts w:ascii="Verdana" w:hAnsi="Verdana"/>
        </w:rPr>
      </w:pPr>
      <w:r w:rsidRPr="003B3953">
        <w:rPr>
          <w:rFonts w:ascii="Verdana" w:hAnsi="Verdana"/>
        </w:rPr>
        <w:t>BB0281.</w:t>
      </w:r>
    </w:p>
    <w:p w:rsidR="00AE4069" w:rsidRDefault="00AE4069" w:rsidP="002734F3">
      <w:pPr>
        <w:pStyle w:val="Lijstalinea"/>
        <w:numPr>
          <w:ilvl w:val="0"/>
          <w:numId w:val="4"/>
        </w:numPr>
        <w:spacing w:after="0" w:line="22" w:lineRule="atLeast"/>
        <w:rPr>
          <w:rFonts w:ascii="Verdana" w:hAnsi="Verdana"/>
        </w:rPr>
      </w:pPr>
      <w:r w:rsidRPr="00107BE9">
        <w:rPr>
          <w:rFonts w:ascii="Verdana" w:hAnsi="Verdana"/>
        </w:rPr>
        <w:t>RB Amsterdam 14 april 2010, ECLI:NL:RBAMS:2010:8569.</w:t>
      </w:r>
    </w:p>
    <w:p w:rsidR="00AE4069" w:rsidRDefault="00AE4069" w:rsidP="002734F3">
      <w:pPr>
        <w:pStyle w:val="Lijstalinea"/>
        <w:numPr>
          <w:ilvl w:val="0"/>
          <w:numId w:val="4"/>
        </w:numPr>
        <w:spacing w:after="0" w:line="22" w:lineRule="atLeast"/>
        <w:rPr>
          <w:rFonts w:ascii="Verdana" w:hAnsi="Verdana"/>
        </w:rPr>
      </w:pPr>
      <w:r w:rsidRPr="00107BE9">
        <w:rPr>
          <w:rFonts w:ascii="Verdana" w:hAnsi="Verdana"/>
        </w:rPr>
        <w:t>RB Utrecht 30 juli 2010, ECLI:NL:RBUTR:2010:BN8673</w:t>
      </w:r>
      <w:r>
        <w:rPr>
          <w:rFonts w:ascii="Verdana" w:hAnsi="Verdana"/>
        </w:rPr>
        <w:t>.</w:t>
      </w:r>
    </w:p>
    <w:p w:rsidR="00ED33B0" w:rsidRPr="00ED33B0" w:rsidRDefault="00ED33B0" w:rsidP="0092501F">
      <w:pPr>
        <w:spacing w:after="0" w:line="22" w:lineRule="atLeast"/>
        <w:rPr>
          <w:rFonts w:ascii="Verdana" w:hAnsi="Verdana"/>
        </w:rPr>
      </w:pP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lastRenderedPageBreak/>
        <w:t>RB ’s-Gravenhage 30 november 2010, ECLI:NL:RBSGR:2010:</w:t>
      </w:r>
    </w:p>
    <w:p w:rsidR="00AE4069" w:rsidRPr="00107BE9" w:rsidRDefault="00AE4069" w:rsidP="0092501F">
      <w:pPr>
        <w:pStyle w:val="Lijstalinea"/>
        <w:spacing w:after="0" w:line="22" w:lineRule="atLeast"/>
        <w:rPr>
          <w:rFonts w:ascii="Verdana" w:hAnsi="Verdana"/>
        </w:rPr>
      </w:pPr>
      <w:r w:rsidRPr="00107BE9">
        <w:rPr>
          <w:rFonts w:ascii="Verdana" w:hAnsi="Verdana"/>
        </w:rPr>
        <w:t>BP0708.</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’s-Gravenhage 15 maart 2011, ECLI:NL:RBSGR:2011:BQ4108.</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’s-Gravenhage 31 mei 2011, ECLI:NL:RBSGR:2011:BQ7702.</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Maastricht 29 juli 2011, ECLI:NL:RBMAA:2011:BR3970.</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Rotterdam 07 februari 2012, ECLI:NL:RBROT:2012:BV3772.</w:t>
      </w:r>
    </w:p>
    <w:p w:rsidR="00AE4069" w:rsidRPr="00107BE9" w:rsidRDefault="00AE4069" w:rsidP="002734F3">
      <w:pPr>
        <w:pStyle w:val="Lijstalinea"/>
        <w:numPr>
          <w:ilvl w:val="0"/>
          <w:numId w:val="4"/>
        </w:numPr>
        <w:spacing w:after="0" w:line="22" w:lineRule="atLeast"/>
        <w:rPr>
          <w:rFonts w:ascii="Verdana" w:hAnsi="Verdana"/>
          <w:lang w:val="en-US"/>
        </w:rPr>
      </w:pPr>
      <w:r w:rsidRPr="00107BE9">
        <w:rPr>
          <w:rFonts w:ascii="Verdana" w:hAnsi="Verdana"/>
          <w:lang w:val="en-US"/>
        </w:rPr>
        <w:t>RB Arnhem 29 februari 2012, ECLI:NL:RBARN:2012:BV7385.</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Roermond 13 maart 2012, ECLI:NL:RBROE:2012:18.</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’s-Gravenhage 03 april 2012, ECLI:NL:RBSGR:2012:BW7051.</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Rotterdam 25 juli 2012, ECLI:NL:RBROT:2012:BX5773.</w:t>
      </w:r>
    </w:p>
    <w:p w:rsidR="00AE4069" w:rsidRPr="00107BE9" w:rsidRDefault="00AE4069" w:rsidP="002734F3">
      <w:pPr>
        <w:pStyle w:val="Lijstalinea"/>
        <w:numPr>
          <w:ilvl w:val="0"/>
          <w:numId w:val="4"/>
        </w:numPr>
        <w:spacing w:after="0" w:line="22" w:lineRule="atLeast"/>
        <w:rPr>
          <w:rFonts w:ascii="Verdana" w:hAnsi="Verdana"/>
          <w:lang w:val="en-US"/>
        </w:rPr>
      </w:pPr>
      <w:r w:rsidRPr="00107BE9">
        <w:rPr>
          <w:rFonts w:ascii="Verdana" w:hAnsi="Verdana"/>
          <w:lang w:val="en-US"/>
        </w:rPr>
        <w:t>RB ’s-Gravenhage 27 november 2012, ECLI:NL:RBSGR:2012:</w:t>
      </w:r>
    </w:p>
    <w:p w:rsidR="00AE4069" w:rsidRPr="00107BE9" w:rsidRDefault="00AE4069" w:rsidP="0092501F">
      <w:pPr>
        <w:pStyle w:val="Lijstalinea"/>
        <w:spacing w:after="0" w:line="22" w:lineRule="atLeast"/>
        <w:rPr>
          <w:rFonts w:ascii="Verdana" w:hAnsi="Verdana"/>
          <w:lang w:val="en-US"/>
        </w:rPr>
      </w:pPr>
      <w:r w:rsidRPr="00107BE9">
        <w:rPr>
          <w:rFonts w:ascii="Verdana" w:hAnsi="Verdana"/>
          <w:lang w:val="en-US"/>
        </w:rPr>
        <w:t>BY5600.</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Amsterdam 28 november 2012, ECLI:NL:RBAMS:2012:BY8626.</w:t>
      </w:r>
    </w:p>
    <w:p w:rsidR="00AE4069" w:rsidRPr="00107BE9" w:rsidRDefault="00AE4069" w:rsidP="002734F3">
      <w:pPr>
        <w:pStyle w:val="Lijstalinea"/>
        <w:numPr>
          <w:ilvl w:val="0"/>
          <w:numId w:val="4"/>
        </w:numPr>
        <w:spacing w:after="0" w:line="22" w:lineRule="atLeast"/>
        <w:rPr>
          <w:rFonts w:ascii="Verdana" w:hAnsi="Verdana"/>
          <w:lang w:val="en-US"/>
        </w:rPr>
      </w:pPr>
      <w:r w:rsidRPr="00107BE9">
        <w:rPr>
          <w:rFonts w:ascii="Verdana" w:hAnsi="Verdana"/>
          <w:lang w:val="en-US"/>
        </w:rPr>
        <w:t>RB ’s-Gravenhage 04 december 2012, ECLI:NL:RBSGR:2012:</w:t>
      </w:r>
    </w:p>
    <w:p w:rsidR="00AE4069" w:rsidRPr="00107BE9" w:rsidRDefault="00AE4069" w:rsidP="0092501F">
      <w:pPr>
        <w:pStyle w:val="Lijstalinea"/>
        <w:spacing w:after="0" w:line="22" w:lineRule="atLeast"/>
        <w:rPr>
          <w:rFonts w:ascii="Verdana" w:hAnsi="Verdana"/>
          <w:lang w:val="en-US"/>
        </w:rPr>
      </w:pPr>
      <w:r w:rsidRPr="00107BE9">
        <w:rPr>
          <w:rFonts w:ascii="Verdana" w:hAnsi="Verdana"/>
          <w:lang w:val="en-US"/>
        </w:rPr>
        <w:t>BY9421.</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Overijssel 24 april 2013, ECLI:NL:RBOVE:2013:BZ9109.</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Noord-Nederland 26 april 2013, ECLI:NL:RBNNE:2013:BZ9199.</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Den Haag 16 juli 2013, ECLI:NL:RBDHA:2013:8654.</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Amsterdam 01 november 2013, ECLI:NL:RBAMS:2013:9938.</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Noord-Nederland 28 november 2013, ECLI:NL:RBNNE:2013:</w:t>
      </w:r>
    </w:p>
    <w:p w:rsidR="00AE4069" w:rsidRPr="00107BE9" w:rsidRDefault="00AE4069" w:rsidP="0092501F">
      <w:pPr>
        <w:pStyle w:val="Lijstalinea"/>
        <w:spacing w:after="0" w:line="22" w:lineRule="atLeast"/>
        <w:rPr>
          <w:rFonts w:ascii="Verdana" w:hAnsi="Verdana"/>
        </w:rPr>
      </w:pPr>
      <w:r w:rsidRPr="00107BE9">
        <w:rPr>
          <w:rFonts w:ascii="Verdana" w:hAnsi="Verdana"/>
        </w:rPr>
        <w:t>7364.</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Amsterdam 29 november 2013, ECLI:NL:RBAMS:2013:9923.</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Amsterdam 24 april 2014, ECLI:NL:RBAMS:2014:9256.</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Den Haag 28 april 2014, ECLI:NL:RBDHA:2014:5203.</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Rotterdam 24 juni 2014, ECLI:NL:RBROT:2014:10885.</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Den Haag 25 november 2014, ECLI:NL:RBDHA:2014:14545.</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Den Haag 02 december 2014, ECLI:NL:RBDHA:2014:16273.</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Den Haag 03 februari 2015, ECLI:NL:RBDHA:2015:1139.</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Oost-Brabant 06 februari 2015, ECLI:NL:RBOBR:2015:731.</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Amsterdam 19 maart 2015, ECLI:NL:RBAMS:2015:1775.</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Amsterdam 19 maart 2015, ECLI:NL:RBAMS:2015:2183.</w:t>
      </w:r>
    </w:p>
    <w:p w:rsidR="00AE4069" w:rsidRPr="00107BE9" w:rsidRDefault="00AE4069" w:rsidP="002734F3">
      <w:pPr>
        <w:pStyle w:val="Lijstalinea"/>
        <w:numPr>
          <w:ilvl w:val="0"/>
          <w:numId w:val="4"/>
        </w:numPr>
        <w:spacing w:after="0" w:line="22" w:lineRule="atLeast"/>
        <w:rPr>
          <w:rFonts w:ascii="Verdana" w:hAnsi="Verdana"/>
          <w:lang w:val="en-US"/>
        </w:rPr>
      </w:pPr>
      <w:r w:rsidRPr="00107BE9">
        <w:rPr>
          <w:rFonts w:ascii="Verdana" w:hAnsi="Verdana"/>
          <w:lang w:val="en-US"/>
        </w:rPr>
        <w:t>RB Oost-Brabant 24 april 2015, ECLI:NL:RBOBR:2015:2390.</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Limburg 01 mei 2015, ECLI:NL:RBLIM:2015:3781.</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Oost-Brabant 02 oktober 2015, ECLI:NL:RBOBR:2015:5650.</w:t>
      </w:r>
    </w:p>
    <w:p w:rsidR="00AE4069" w:rsidRPr="00107BE9" w:rsidRDefault="00AE4069" w:rsidP="002734F3">
      <w:pPr>
        <w:pStyle w:val="Lijstalinea"/>
        <w:numPr>
          <w:ilvl w:val="0"/>
          <w:numId w:val="4"/>
        </w:numPr>
        <w:spacing w:after="0" w:line="22" w:lineRule="atLeast"/>
        <w:rPr>
          <w:rFonts w:ascii="Verdana" w:hAnsi="Verdana"/>
        </w:rPr>
      </w:pPr>
      <w:r w:rsidRPr="00107BE9">
        <w:rPr>
          <w:rFonts w:ascii="Verdana" w:hAnsi="Verdana"/>
        </w:rPr>
        <w:t>RB Noord-Holland 20 november 2015, ECLI:NL:RBNHO:2015:11814.</w:t>
      </w:r>
    </w:p>
    <w:p w:rsidR="00E82D1B" w:rsidRPr="00107BE9" w:rsidRDefault="00E82D1B" w:rsidP="002734F3">
      <w:pPr>
        <w:pStyle w:val="Lijstalinea"/>
        <w:numPr>
          <w:ilvl w:val="0"/>
          <w:numId w:val="4"/>
        </w:numPr>
        <w:spacing w:after="0" w:line="22" w:lineRule="atLeast"/>
        <w:rPr>
          <w:rFonts w:ascii="Verdana" w:hAnsi="Verdana"/>
        </w:rPr>
      </w:pPr>
      <w:r w:rsidRPr="00107BE9">
        <w:rPr>
          <w:rFonts w:ascii="Verdana" w:hAnsi="Verdana"/>
        </w:rPr>
        <w:t>RB Overijssel</w:t>
      </w:r>
      <w:r w:rsidR="002A1CBB">
        <w:rPr>
          <w:rFonts w:ascii="Verdana" w:hAnsi="Verdana"/>
        </w:rPr>
        <w:t> </w:t>
      </w:r>
      <w:r w:rsidRPr="00107BE9">
        <w:rPr>
          <w:rFonts w:ascii="Verdana" w:hAnsi="Verdana"/>
        </w:rPr>
        <w:t>10 februari 2016, ECLI:NL:RBOVE:2016:606</w:t>
      </w:r>
      <w:r w:rsidR="006724A0" w:rsidRPr="00107BE9">
        <w:rPr>
          <w:rFonts w:ascii="Verdana" w:hAnsi="Verdana"/>
        </w:rPr>
        <w:t>.</w:t>
      </w:r>
    </w:p>
    <w:p w:rsidR="00FD317B" w:rsidRPr="00AE4069" w:rsidRDefault="00FD317B" w:rsidP="0092501F">
      <w:pPr>
        <w:spacing w:after="0" w:line="22" w:lineRule="atLeast"/>
        <w:rPr>
          <w:rFonts w:ascii="Verdana" w:hAnsi="Verdana"/>
          <w:b/>
        </w:rPr>
      </w:pPr>
    </w:p>
    <w:p w:rsidR="00E50727" w:rsidRPr="003B3953" w:rsidRDefault="00E50727" w:rsidP="0092501F">
      <w:pPr>
        <w:spacing w:after="0" w:line="22" w:lineRule="atLeast"/>
        <w:rPr>
          <w:rFonts w:ascii="Verdana" w:hAnsi="Verdana"/>
          <w:b/>
        </w:rPr>
      </w:pPr>
      <w:r w:rsidRPr="003B3953">
        <w:rPr>
          <w:rFonts w:ascii="Verdana" w:hAnsi="Verdana"/>
          <w:b/>
        </w:rPr>
        <w:t>Centraal Medisch Tuchtcollege:</w:t>
      </w:r>
    </w:p>
    <w:p w:rsidR="00E50727" w:rsidRPr="003B3953" w:rsidRDefault="00306AFE" w:rsidP="002734F3">
      <w:pPr>
        <w:pStyle w:val="Lijstalinea"/>
        <w:numPr>
          <w:ilvl w:val="0"/>
          <w:numId w:val="4"/>
        </w:numPr>
        <w:spacing w:after="0" w:line="22" w:lineRule="atLeast"/>
        <w:rPr>
          <w:rFonts w:ascii="Verdana" w:hAnsi="Verdana"/>
        </w:rPr>
      </w:pPr>
      <w:r w:rsidRPr="003B3953">
        <w:rPr>
          <w:rFonts w:ascii="Verdana" w:hAnsi="Verdana"/>
        </w:rPr>
        <w:t>CMT 28 september 1972,</w:t>
      </w:r>
      <w:r w:rsidR="00D03FC9" w:rsidRPr="003B3953">
        <w:rPr>
          <w:rFonts w:ascii="Verdana" w:hAnsi="Verdana"/>
        </w:rPr>
        <w:t xml:space="preserve"> ECLI:NL:TCMT:1972:AE3003,</w:t>
      </w:r>
      <w:r w:rsidRPr="003B3953">
        <w:rPr>
          <w:rFonts w:ascii="Verdana" w:hAnsi="Verdana"/>
          <w:i/>
        </w:rPr>
        <w:t>NJ</w:t>
      </w:r>
      <w:r w:rsidR="00D03FC9" w:rsidRPr="003B3953">
        <w:rPr>
          <w:rFonts w:ascii="Verdana" w:hAnsi="Verdana"/>
        </w:rPr>
        <w:t xml:space="preserve"> 1973/</w:t>
      </w:r>
      <w:r w:rsidRPr="003B3953">
        <w:rPr>
          <w:rFonts w:ascii="Verdana" w:hAnsi="Verdana"/>
        </w:rPr>
        <w:t>270.</w:t>
      </w:r>
    </w:p>
    <w:p w:rsidR="00306AFE" w:rsidRPr="003B3953" w:rsidRDefault="00306AFE" w:rsidP="0092501F">
      <w:pPr>
        <w:spacing w:after="0" w:line="22" w:lineRule="atLeast"/>
        <w:ind w:left="360"/>
        <w:rPr>
          <w:rFonts w:ascii="Verdana" w:hAnsi="Verdana"/>
        </w:rPr>
      </w:pPr>
    </w:p>
    <w:p w:rsidR="00E50727" w:rsidRPr="003B3953" w:rsidRDefault="00E50727" w:rsidP="0092501F">
      <w:pPr>
        <w:spacing w:after="0" w:line="22" w:lineRule="atLeast"/>
        <w:rPr>
          <w:rFonts w:ascii="Verdana" w:hAnsi="Verdana"/>
          <w:b/>
        </w:rPr>
      </w:pPr>
      <w:r w:rsidRPr="003B3953">
        <w:rPr>
          <w:rFonts w:ascii="Verdana" w:hAnsi="Verdana"/>
          <w:b/>
        </w:rPr>
        <w:t>Medisch</w:t>
      </w:r>
      <w:r w:rsidR="00FD317B" w:rsidRPr="003B3953">
        <w:rPr>
          <w:rFonts w:ascii="Verdana" w:hAnsi="Verdana"/>
          <w:b/>
        </w:rPr>
        <w:t>e</w:t>
      </w:r>
      <w:r w:rsidRPr="003B3953">
        <w:rPr>
          <w:rFonts w:ascii="Verdana" w:hAnsi="Verdana"/>
          <w:b/>
        </w:rPr>
        <w:t xml:space="preserve"> Tuchtcollege</w:t>
      </w:r>
      <w:r w:rsidR="00FD317B" w:rsidRPr="003B3953">
        <w:rPr>
          <w:rFonts w:ascii="Verdana" w:hAnsi="Verdana"/>
          <w:b/>
        </w:rPr>
        <w:t>s</w:t>
      </w:r>
      <w:r w:rsidRPr="003B3953">
        <w:rPr>
          <w:rFonts w:ascii="Verdana" w:hAnsi="Verdana"/>
          <w:b/>
        </w:rPr>
        <w:t>:</w:t>
      </w:r>
    </w:p>
    <w:p w:rsidR="00E50727" w:rsidRPr="003B3953" w:rsidRDefault="00306AFE" w:rsidP="002734F3">
      <w:pPr>
        <w:pStyle w:val="Lijstalinea"/>
        <w:numPr>
          <w:ilvl w:val="0"/>
          <w:numId w:val="4"/>
        </w:numPr>
        <w:spacing w:after="0" w:line="22" w:lineRule="atLeast"/>
        <w:rPr>
          <w:rFonts w:ascii="Verdana" w:hAnsi="Verdana"/>
        </w:rPr>
      </w:pPr>
      <w:r w:rsidRPr="003B3953">
        <w:rPr>
          <w:rFonts w:ascii="Verdana" w:hAnsi="Verdana"/>
        </w:rPr>
        <w:t xml:space="preserve">MT Groningen 28 november 1956, </w:t>
      </w:r>
      <w:r w:rsidRPr="003B3953">
        <w:rPr>
          <w:rFonts w:ascii="Verdana" w:hAnsi="Verdana"/>
          <w:i/>
        </w:rPr>
        <w:t>NJ</w:t>
      </w:r>
      <w:r w:rsidR="00D03FC9" w:rsidRPr="003B3953">
        <w:rPr>
          <w:rFonts w:ascii="Verdana" w:hAnsi="Verdana"/>
        </w:rPr>
        <w:t xml:space="preserve"> 1957/</w:t>
      </w:r>
      <w:r w:rsidRPr="003B3953">
        <w:rPr>
          <w:rFonts w:ascii="Verdana" w:hAnsi="Verdana"/>
        </w:rPr>
        <w:t>366.</w:t>
      </w:r>
    </w:p>
    <w:p w:rsidR="00C25AA6" w:rsidRDefault="00C25AA6" w:rsidP="0092501F">
      <w:pPr>
        <w:spacing w:after="0" w:line="22" w:lineRule="atLeast"/>
        <w:rPr>
          <w:rFonts w:ascii="Verdana" w:hAnsi="Verdana"/>
          <w:b/>
          <w:color w:val="95B3D7" w:themeColor="accent1" w:themeTint="99"/>
        </w:rPr>
      </w:pPr>
    </w:p>
    <w:p w:rsidR="00107BE9" w:rsidRPr="00107BE9" w:rsidRDefault="00107BE9" w:rsidP="0092501F">
      <w:pPr>
        <w:spacing w:after="0" w:line="22" w:lineRule="atLeast"/>
        <w:rPr>
          <w:rFonts w:ascii="Verdana" w:hAnsi="Verdana"/>
          <w:b/>
          <w:color w:val="95B3D7" w:themeColor="accent1" w:themeTint="99"/>
        </w:rPr>
      </w:pPr>
    </w:p>
    <w:p w:rsidR="00E50727" w:rsidRPr="00107BE9" w:rsidRDefault="00E50727" w:rsidP="0092501F">
      <w:pPr>
        <w:spacing w:after="0" w:line="22" w:lineRule="atLeast"/>
        <w:rPr>
          <w:rFonts w:ascii="Verdana" w:hAnsi="Verdana"/>
          <w:b/>
          <w:color w:val="95B3D7" w:themeColor="accent1" w:themeTint="99"/>
        </w:rPr>
      </w:pPr>
      <w:r w:rsidRPr="00107BE9">
        <w:rPr>
          <w:rFonts w:ascii="Verdana" w:hAnsi="Verdana"/>
          <w:b/>
          <w:color w:val="95B3D7" w:themeColor="accent1" w:themeTint="99"/>
        </w:rPr>
        <w:t>LITERATUUR</w:t>
      </w:r>
    </w:p>
    <w:p w:rsidR="00306AFE" w:rsidRPr="00107BE9" w:rsidRDefault="00306AFE" w:rsidP="0092501F">
      <w:pPr>
        <w:spacing w:after="0" w:line="22" w:lineRule="atLeast"/>
        <w:rPr>
          <w:rFonts w:ascii="Verdana" w:hAnsi="Verdana"/>
          <w:b/>
        </w:rPr>
      </w:pPr>
      <w:r w:rsidRPr="00107BE9">
        <w:rPr>
          <w:rFonts w:ascii="Verdana" w:hAnsi="Verdana"/>
          <w:b/>
        </w:rPr>
        <w:t>Bannier e.a. 2008</w:t>
      </w:r>
    </w:p>
    <w:p w:rsidR="00527830" w:rsidRPr="00107BE9" w:rsidRDefault="00306AFE" w:rsidP="0092501F">
      <w:pPr>
        <w:spacing w:after="0" w:line="22" w:lineRule="atLeast"/>
        <w:rPr>
          <w:rFonts w:ascii="Verdana" w:hAnsi="Verdana"/>
        </w:rPr>
      </w:pPr>
      <w:r w:rsidRPr="00107BE9">
        <w:rPr>
          <w:rFonts w:ascii="Verdana" w:hAnsi="Verdana"/>
        </w:rPr>
        <w:t xml:space="preserve">F.A.W. Bannier, W.L.J.M. Duijst, N.A.M.E.C. Fanoy, A.P.H. Meijers &amp; J.M. Tempelaar, </w:t>
      </w:r>
      <w:r w:rsidRPr="00107BE9">
        <w:rPr>
          <w:rFonts w:ascii="Verdana" w:hAnsi="Verdana"/>
          <w:i/>
        </w:rPr>
        <w:t>Beroepsgeheim en verschoningsrecht</w:t>
      </w:r>
      <w:r w:rsidR="002B47B1" w:rsidRPr="00107BE9">
        <w:rPr>
          <w:rFonts w:ascii="Verdana" w:hAnsi="Verdana"/>
          <w:i/>
        </w:rPr>
        <w:t>. Handboek voor de advocaat, medisch hulpverlener, notaris en geestelijke</w:t>
      </w:r>
      <w:r w:rsidRPr="00107BE9">
        <w:rPr>
          <w:rFonts w:ascii="Verdana" w:hAnsi="Verdana"/>
        </w:rPr>
        <w:t>, Den Haag: Sdu Uitgevers 2008.</w:t>
      </w:r>
    </w:p>
    <w:p w:rsidR="003C46EB" w:rsidRDefault="003C46EB" w:rsidP="0092501F">
      <w:pPr>
        <w:spacing w:after="0" w:line="22" w:lineRule="atLeast"/>
        <w:rPr>
          <w:rFonts w:ascii="Verdana" w:hAnsi="Verdana"/>
        </w:rPr>
      </w:pPr>
    </w:p>
    <w:p w:rsidR="004A79D0" w:rsidRDefault="004A79D0" w:rsidP="0092501F">
      <w:pPr>
        <w:spacing w:after="0" w:line="22" w:lineRule="atLeast"/>
        <w:rPr>
          <w:rFonts w:ascii="Verdana" w:hAnsi="Verdana"/>
        </w:rPr>
      </w:pPr>
    </w:p>
    <w:p w:rsidR="00AE4069" w:rsidRDefault="00AE4069" w:rsidP="0092501F">
      <w:pPr>
        <w:spacing w:after="0" w:line="22" w:lineRule="atLeast"/>
        <w:rPr>
          <w:rFonts w:ascii="Verdana" w:hAnsi="Verdana"/>
        </w:rPr>
      </w:pPr>
    </w:p>
    <w:p w:rsidR="00090E68" w:rsidRPr="00107BE9" w:rsidRDefault="00090E68" w:rsidP="0092501F">
      <w:pPr>
        <w:spacing w:after="0" w:line="22" w:lineRule="atLeast"/>
        <w:rPr>
          <w:rFonts w:ascii="Verdana" w:hAnsi="Verdana"/>
          <w:b/>
        </w:rPr>
      </w:pPr>
      <w:r w:rsidRPr="00107BE9">
        <w:rPr>
          <w:rFonts w:ascii="Verdana" w:hAnsi="Verdana"/>
          <w:b/>
        </w:rPr>
        <w:lastRenderedPageBreak/>
        <w:t>Christopoulos 1999</w:t>
      </w:r>
    </w:p>
    <w:p w:rsidR="00090E68" w:rsidRDefault="00090E68" w:rsidP="0092501F">
      <w:pPr>
        <w:spacing w:after="0" w:line="22" w:lineRule="atLeast"/>
        <w:rPr>
          <w:rFonts w:ascii="Verdana" w:hAnsi="Verdana"/>
        </w:rPr>
      </w:pPr>
      <w:r w:rsidRPr="00107BE9">
        <w:rPr>
          <w:rFonts w:ascii="Verdana" w:hAnsi="Verdana"/>
        </w:rPr>
        <w:t xml:space="preserve">N. Christopoulos, </w:t>
      </w:r>
      <w:r w:rsidRPr="00107BE9">
        <w:rPr>
          <w:rFonts w:ascii="Verdana" w:hAnsi="Verdana"/>
          <w:i/>
        </w:rPr>
        <w:t>De advocateneed</w:t>
      </w:r>
      <w:r w:rsidR="00B0067F" w:rsidRPr="00107BE9">
        <w:rPr>
          <w:rFonts w:ascii="Verdana" w:hAnsi="Verdana"/>
          <w:i/>
        </w:rPr>
        <w:t>. Een onderzoek naar het gebruik van de eed in het heden en verleden</w:t>
      </w:r>
      <w:r w:rsidRPr="00107BE9">
        <w:rPr>
          <w:rFonts w:ascii="Verdana" w:hAnsi="Verdana"/>
          <w:i/>
        </w:rPr>
        <w:t>,</w:t>
      </w:r>
      <w:r w:rsidRPr="00107BE9">
        <w:rPr>
          <w:rFonts w:ascii="Verdana" w:hAnsi="Verdana"/>
        </w:rPr>
        <w:t xml:space="preserve"> Den Haag: Boom Juridische Uitgevers 1999. </w:t>
      </w:r>
    </w:p>
    <w:p w:rsidR="00353518" w:rsidRPr="00107BE9" w:rsidRDefault="00353518" w:rsidP="0092501F">
      <w:pPr>
        <w:spacing w:after="0" w:line="22" w:lineRule="atLeast"/>
        <w:rPr>
          <w:rFonts w:ascii="Verdana" w:hAnsi="Verdana"/>
        </w:rPr>
      </w:pPr>
    </w:p>
    <w:p w:rsidR="00012223" w:rsidRPr="00107BE9" w:rsidRDefault="00012223" w:rsidP="0092501F">
      <w:pPr>
        <w:spacing w:after="0" w:line="22" w:lineRule="atLeast"/>
        <w:rPr>
          <w:rFonts w:ascii="Verdana" w:hAnsi="Verdana"/>
          <w:b/>
        </w:rPr>
      </w:pPr>
      <w:r w:rsidRPr="00107BE9">
        <w:rPr>
          <w:rFonts w:ascii="Verdana" w:hAnsi="Verdana"/>
          <w:b/>
        </w:rPr>
        <w:t>Van Domburg 1994</w:t>
      </w:r>
    </w:p>
    <w:p w:rsidR="00527830" w:rsidRPr="00107BE9" w:rsidRDefault="00012223" w:rsidP="0092501F">
      <w:pPr>
        <w:spacing w:after="0" w:line="22" w:lineRule="atLeast"/>
        <w:rPr>
          <w:rFonts w:ascii="Verdana" w:hAnsi="Verdana"/>
        </w:rPr>
      </w:pPr>
      <w:r w:rsidRPr="00107BE9">
        <w:rPr>
          <w:rFonts w:ascii="Verdana" w:hAnsi="Verdana"/>
        </w:rPr>
        <w:t xml:space="preserve">P.J.M. van Domburg, </w:t>
      </w:r>
      <w:r w:rsidRPr="00107BE9">
        <w:rPr>
          <w:rFonts w:ascii="Verdana" w:hAnsi="Verdana"/>
          <w:i/>
        </w:rPr>
        <w:t>Over de grenzen van het verschoningsrecht,</w:t>
      </w:r>
      <w:r w:rsidRPr="00107BE9">
        <w:rPr>
          <w:rFonts w:ascii="Verdana" w:hAnsi="Verdana"/>
        </w:rPr>
        <w:t xml:space="preserve"> ’s Gravenhage: VUGA Uitgeverij B.V. 1994.</w:t>
      </w:r>
    </w:p>
    <w:p w:rsidR="008D4CE9" w:rsidRPr="00107BE9" w:rsidRDefault="008D4CE9" w:rsidP="0092501F">
      <w:pPr>
        <w:spacing w:after="0" w:line="22" w:lineRule="atLeast"/>
        <w:rPr>
          <w:rFonts w:ascii="Verdana" w:hAnsi="Verdana"/>
        </w:rPr>
      </w:pPr>
    </w:p>
    <w:p w:rsidR="008D4CE9" w:rsidRPr="00107BE9" w:rsidRDefault="008D4CE9" w:rsidP="0092501F">
      <w:pPr>
        <w:spacing w:after="0" w:line="22" w:lineRule="atLeast"/>
        <w:rPr>
          <w:rFonts w:ascii="Verdana" w:hAnsi="Verdana"/>
          <w:b/>
        </w:rPr>
      </w:pPr>
      <w:r w:rsidRPr="00107BE9">
        <w:rPr>
          <w:rFonts w:ascii="Verdana" w:hAnsi="Verdana"/>
          <w:b/>
        </w:rPr>
        <w:t>Duijst 2005-I</w:t>
      </w:r>
    </w:p>
    <w:p w:rsidR="008D4CE9" w:rsidRPr="00107BE9" w:rsidRDefault="008D4CE9" w:rsidP="0092501F">
      <w:pPr>
        <w:spacing w:after="0" w:line="22" w:lineRule="atLeast"/>
        <w:rPr>
          <w:rFonts w:ascii="Verdana" w:hAnsi="Verdana"/>
        </w:rPr>
      </w:pPr>
      <w:r w:rsidRPr="00107BE9">
        <w:rPr>
          <w:rFonts w:ascii="Verdana" w:hAnsi="Verdana"/>
        </w:rPr>
        <w:t xml:space="preserve">W.L.J.M. Duijst, </w:t>
      </w:r>
      <w:r w:rsidRPr="00107BE9">
        <w:rPr>
          <w:rFonts w:ascii="Verdana" w:hAnsi="Verdana"/>
          <w:i/>
        </w:rPr>
        <w:t>Boeven in ziekenhuizen. Een juridische beschouwing over de verhouding tussen het medisch beroepsgeheim en de opsporing van strafbare feiten</w:t>
      </w:r>
      <w:r w:rsidRPr="00107BE9">
        <w:rPr>
          <w:rFonts w:ascii="Verdana" w:hAnsi="Verdana"/>
        </w:rPr>
        <w:t>, Den Haag: Sdu Uitgevers 2005.</w:t>
      </w:r>
    </w:p>
    <w:p w:rsidR="00527830" w:rsidRPr="00107BE9" w:rsidRDefault="00527830" w:rsidP="0092501F">
      <w:pPr>
        <w:spacing w:after="0" w:line="22" w:lineRule="atLeast"/>
        <w:rPr>
          <w:rFonts w:ascii="Verdana" w:hAnsi="Verdana"/>
          <w:b/>
        </w:rPr>
      </w:pPr>
    </w:p>
    <w:p w:rsidR="00306AFE" w:rsidRPr="00107BE9" w:rsidRDefault="00306AFE" w:rsidP="0092501F">
      <w:pPr>
        <w:spacing w:after="0" w:line="22" w:lineRule="atLeast"/>
        <w:rPr>
          <w:rFonts w:ascii="Verdana" w:hAnsi="Verdana"/>
          <w:b/>
        </w:rPr>
      </w:pPr>
      <w:r w:rsidRPr="00107BE9">
        <w:rPr>
          <w:rFonts w:ascii="Verdana" w:hAnsi="Verdana"/>
          <w:b/>
        </w:rPr>
        <w:t>Jansen &amp; Knapen 2012</w:t>
      </w:r>
    </w:p>
    <w:p w:rsidR="00306AFE" w:rsidRPr="00107BE9" w:rsidRDefault="00306AFE" w:rsidP="0092501F">
      <w:pPr>
        <w:spacing w:after="0" w:line="22" w:lineRule="atLeast"/>
        <w:rPr>
          <w:rFonts w:ascii="Verdana" w:hAnsi="Verdana"/>
        </w:rPr>
      </w:pPr>
      <w:r w:rsidRPr="00107BE9">
        <w:rPr>
          <w:rFonts w:ascii="Verdana" w:hAnsi="Verdana"/>
        </w:rPr>
        <w:t xml:space="preserve">H. Jansen &amp; M. Knapen, </w:t>
      </w:r>
      <w:r w:rsidRPr="00107BE9">
        <w:rPr>
          <w:rFonts w:ascii="Verdana" w:hAnsi="Verdana"/>
          <w:i/>
        </w:rPr>
        <w:t>Over de grenzen van het medisch beroepsgeheim</w:t>
      </w:r>
      <w:r w:rsidR="005871F2">
        <w:rPr>
          <w:rFonts w:ascii="Verdana" w:hAnsi="Verdana"/>
          <w:i/>
        </w:rPr>
        <w:t>. Di</w:t>
      </w:r>
      <w:r w:rsidR="00721530" w:rsidRPr="00107BE9">
        <w:rPr>
          <w:rFonts w:ascii="Verdana" w:hAnsi="Verdana"/>
          <w:i/>
        </w:rPr>
        <w:t>lem</w:t>
      </w:r>
      <w:r w:rsidR="005871F2">
        <w:rPr>
          <w:rFonts w:ascii="Verdana" w:hAnsi="Verdana"/>
          <w:i/>
        </w:rPr>
        <w:t>m</w:t>
      </w:r>
      <w:r w:rsidR="00721530" w:rsidRPr="00107BE9">
        <w:rPr>
          <w:rFonts w:ascii="Verdana" w:hAnsi="Verdana"/>
          <w:i/>
        </w:rPr>
        <w:t>a’s rond privacy en vertrouwen in de zorg</w:t>
      </w:r>
      <w:r w:rsidRPr="00107BE9">
        <w:rPr>
          <w:rFonts w:ascii="Verdana" w:hAnsi="Verdana"/>
          <w:i/>
        </w:rPr>
        <w:t>,</w:t>
      </w:r>
      <w:r w:rsidR="00721530" w:rsidRPr="00107BE9">
        <w:rPr>
          <w:rFonts w:ascii="Verdana" w:hAnsi="Verdana"/>
        </w:rPr>
        <w:t xml:space="preserve">Eindhoven en Tilburg: Uitgeverij Pepijn en Celsus juridische uitgeverij 2012. </w:t>
      </w:r>
    </w:p>
    <w:p w:rsidR="00306AFE" w:rsidRPr="00107BE9" w:rsidRDefault="00306AFE" w:rsidP="0092501F">
      <w:pPr>
        <w:spacing w:after="0" w:line="22" w:lineRule="atLeast"/>
        <w:rPr>
          <w:rFonts w:ascii="Verdana" w:hAnsi="Verdana"/>
        </w:rPr>
      </w:pPr>
    </w:p>
    <w:p w:rsidR="00E50727" w:rsidRPr="00107BE9" w:rsidRDefault="00E50727" w:rsidP="0092501F">
      <w:pPr>
        <w:spacing w:after="0" w:line="22" w:lineRule="atLeast"/>
        <w:rPr>
          <w:rFonts w:ascii="Verdana" w:hAnsi="Verdana"/>
          <w:b/>
        </w:rPr>
      </w:pPr>
      <w:r w:rsidRPr="00107BE9">
        <w:rPr>
          <w:rFonts w:ascii="Verdana" w:hAnsi="Verdana"/>
          <w:b/>
        </w:rPr>
        <w:t>Melis &amp;</w:t>
      </w:r>
      <w:r w:rsidR="002B47B1" w:rsidRPr="00107BE9">
        <w:rPr>
          <w:rFonts w:ascii="Verdana" w:hAnsi="Verdana"/>
          <w:b/>
        </w:rPr>
        <w:t> </w:t>
      </w:r>
      <w:r w:rsidRPr="00107BE9">
        <w:rPr>
          <w:rFonts w:ascii="Verdana" w:hAnsi="Verdana"/>
          <w:b/>
        </w:rPr>
        <w:t>Waaijer 2012</w:t>
      </w:r>
    </w:p>
    <w:p w:rsidR="00E50727" w:rsidRPr="00107BE9" w:rsidRDefault="00E50727" w:rsidP="0092501F">
      <w:pPr>
        <w:spacing w:after="0" w:line="22" w:lineRule="atLeast"/>
        <w:rPr>
          <w:rFonts w:ascii="Verdana" w:hAnsi="Verdana"/>
        </w:rPr>
      </w:pPr>
      <w:r w:rsidRPr="00107BE9">
        <w:rPr>
          <w:rFonts w:ascii="Verdana" w:hAnsi="Verdana"/>
        </w:rPr>
        <w:t xml:space="preserve">J.C.H. Melis &amp; B.C.M. Waaijer, </w:t>
      </w:r>
      <w:r w:rsidRPr="00107BE9">
        <w:rPr>
          <w:rFonts w:ascii="Verdana" w:hAnsi="Verdana"/>
          <w:i/>
        </w:rPr>
        <w:t>De Notariswet</w:t>
      </w:r>
      <w:r w:rsidRPr="00107BE9">
        <w:rPr>
          <w:rFonts w:ascii="Verdana" w:hAnsi="Verdana"/>
        </w:rPr>
        <w:t>, Deventer: Kluwer 2012.</w:t>
      </w:r>
    </w:p>
    <w:p w:rsidR="00B01BA7" w:rsidRPr="00107BE9" w:rsidRDefault="00B01BA7" w:rsidP="0092501F">
      <w:pPr>
        <w:spacing w:after="0" w:line="22" w:lineRule="atLeast"/>
        <w:rPr>
          <w:rFonts w:ascii="Verdana" w:hAnsi="Verdana"/>
        </w:rPr>
      </w:pPr>
    </w:p>
    <w:p w:rsidR="00B01BA7" w:rsidRPr="00107BE9" w:rsidRDefault="00B01BA7" w:rsidP="0092501F">
      <w:pPr>
        <w:spacing w:after="0" w:line="22" w:lineRule="atLeast"/>
        <w:rPr>
          <w:rFonts w:ascii="Verdana" w:hAnsi="Verdana"/>
          <w:b/>
        </w:rPr>
      </w:pPr>
      <w:r w:rsidRPr="00107BE9">
        <w:rPr>
          <w:rFonts w:ascii="Verdana" w:hAnsi="Verdana"/>
          <w:b/>
        </w:rPr>
        <w:t>Remmelink</w:t>
      </w:r>
      <w:r w:rsidR="002B47B1" w:rsidRPr="00107BE9">
        <w:rPr>
          <w:rFonts w:ascii="Verdana" w:hAnsi="Verdana"/>
          <w:b/>
        </w:rPr>
        <w:t> </w:t>
      </w:r>
      <w:r w:rsidRPr="00107BE9">
        <w:rPr>
          <w:rFonts w:ascii="Verdana" w:hAnsi="Verdana"/>
          <w:b/>
        </w:rPr>
        <w:t>&amp; Hazewinkel-Suringa’s 1996</w:t>
      </w:r>
    </w:p>
    <w:p w:rsidR="00B01BA7" w:rsidRPr="00107BE9" w:rsidRDefault="00B01BA7" w:rsidP="0092501F">
      <w:pPr>
        <w:spacing w:after="0" w:line="22" w:lineRule="atLeast"/>
        <w:rPr>
          <w:rFonts w:ascii="Verdana" w:hAnsi="Verdana"/>
        </w:rPr>
      </w:pPr>
      <w:r w:rsidRPr="00107BE9">
        <w:rPr>
          <w:rFonts w:ascii="Verdana" w:hAnsi="Verdana"/>
        </w:rPr>
        <w:t>J. Remmelink</w:t>
      </w:r>
      <w:r w:rsidR="002B47B1" w:rsidRPr="00107BE9">
        <w:rPr>
          <w:rFonts w:ascii="Verdana" w:hAnsi="Verdana"/>
        </w:rPr>
        <w:t> </w:t>
      </w:r>
      <w:r w:rsidRPr="00107BE9">
        <w:rPr>
          <w:rFonts w:ascii="Verdana" w:hAnsi="Verdana"/>
        </w:rPr>
        <w:t xml:space="preserve">&amp; D. Hazewinkel-Suringa’s, </w:t>
      </w:r>
      <w:r w:rsidRPr="00107BE9">
        <w:rPr>
          <w:rFonts w:ascii="Verdana" w:hAnsi="Verdana"/>
          <w:i/>
        </w:rPr>
        <w:t>Inleiding tot de studie van het Nederlandse straf</w:t>
      </w:r>
      <w:r w:rsidR="00107BE9" w:rsidRPr="00107BE9">
        <w:rPr>
          <w:rFonts w:ascii="Verdana" w:hAnsi="Verdana"/>
          <w:i/>
        </w:rPr>
        <w:t>r</w:t>
      </w:r>
      <w:r w:rsidRPr="00107BE9">
        <w:rPr>
          <w:rFonts w:ascii="Verdana" w:hAnsi="Verdana"/>
          <w:i/>
        </w:rPr>
        <w:t>echt,</w:t>
      </w:r>
      <w:r w:rsidRPr="00107BE9">
        <w:rPr>
          <w:rFonts w:ascii="Verdana" w:hAnsi="Verdana"/>
        </w:rPr>
        <w:t xml:space="preserve"> Deventer: Gouda Quint 1996. </w:t>
      </w:r>
    </w:p>
    <w:p w:rsidR="00E225C0" w:rsidRPr="00107BE9" w:rsidRDefault="00E225C0" w:rsidP="0092501F">
      <w:pPr>
        <w:spacing w:after="0" w:line="22" w:lineRule="atLeast"/>
        <w:rPr>
          <w:rFonts w:ascii="Verdana" w:hAnsi="Verdana"/>
        </w:rPr>
      </w:pPr>
    </w:p>
    <w:p w:rsidR="00E225C0" w:rsidRPr="00107BE9" w:rsidRDefault="00E225C0" w:rsidP="0092501F">
      <w:pPr>
        <w:spacing w:after="0" w:line="22" w:lineRule="atLeast"/>
        <w:rPr>
          <w:rFonts w:ascii="Verdana" w:hAnsi="Verdana"/>
          <w:b/>
        </w:rPr>
      </w:pPr>
      <w:r w:rsidRPr="00107BE9">
        <w:rPr>
          <w:rFonts w:ascii="Verdana" w:hAnsi="Verdana"/>
          <w:b/>
        </w:rPr>
        <w:t>Spronken 2001</w:t>
      </w:r>
    </w:p>
    <w:p w:rsidR="00E225C0" w:rsidRPr="00107BE9" w:rsidRDefault="00E225C0" w:rsidP="0092501F">
      <w:pPr>
        <w:spacing w:after="0" w:line="22" w:lineRule="atLeast"/>
        <w:rPr>
          <w:rFonts w:ascii="Verdana" w:hAnsi="Verdana"/>
        </w:rPr>
      </w:pPr>
      <w:r w:rsidRPr="00107BE9">
        <w:rPr>
          <w:rFonts w:ascii="Verdana" w:hAnsi="Verdana"/>
        </w:rPr>
        <w:t>T.</w:t>
      </w:r>
      <w:r w:rsidR="004962C1" w:rsidRPr="00107BE9">
        <w:rPr>
          <w:rFonts w:ascii="Verdana" w:hAnsi="Verdana"/>
        </w:rPr>
        <w:t>N.B.M.</w:t>
      </w:r>
      <w:r w:rsidR="00EA6061">
        <w:rPr>
          <w:rFonts w:ascii="Verdana" w:hAnsi="Verdana"/>
        </w:rPr>
        <w:t xml:space="preserve"> </w:t>
      </w:r>
      <w:r w:rsidRPr="00107BE9">
        <w:rPr>
          <w:rFonts w:ascii="Verdana" w:hAnsi="Verdana"/>
        </w:rPr>
        <w:t xml:space="preserve">Spronken, </w:t>
      </w:r>
      <w:r w:rsidRPr="00107BE9">
        <w:rPr>
          <w:rFonts w:ascii="Verdana" w:hAnsi="Verdana"/>
          <w:i/>
        </w:rPr>
        <w:t>Verdediging</w:t>
      </w:r>
      <w:r w:rsidR="004962C1" w:rsidRPr="00107BE9">
        <w:rPr>
          <w:rFonts w:ascii="Verdana" w:hAnsi="Verdana"/>
          <w:i/>
        </w:rPr>
        <w:t>. Een onderzoek naar de normering van het optreden van advocaten in strafzaken</w:t>
      </w:r>
      <w:r w:rsidRPr="00107BE9">
        <w:rPr>
          <w:rFonts w:ascii="Verdana" w:hAnsi="Verdana"/>
        </w:rPr>
        <w:t xml:space="preserve">, </w:t>
      </w:r>
      <w:r w:rsidR="003F2112" w:rsidRPr="00107BE9">
        <w:rPr>
          <w:rFonts w:ascii="Verdana" w:hAnsi="Verdana"/>
        </w:rPr>
        <w:t>Deventer</w:t>
      </w:r>
      <w:r w:rsidRPr="00107BE9">
        <w:rPr>
          <w:rFonts w:ascii="Verdana" w:hAnsi="Verdana"/>
        </w:rPr>
        <w:t>:</w:t>
      </w:r>
      <w:r w:rsidR="00822DAE" w:rsidRPr="00107BE9">
        <w:rPr>
          <w:rFonts w:ascii="Verdana" w:hAnsi="Verdana"/>
        </w:rPr>
        <w:t xml:space="preserve"> Gouda Quint</w:t>
      </w:r>
      <w:r w:rsidRPr="00107BE9">
        <w:rPr>
          <w:rFonts w:ascii="Verdana" w:hAnsi="Verdana"/>
        </w:rPr>
        <w:t xml:space="preserve"> 2001. </w:t>
      </w:r>
    </w:p>
    <w:p w:rsidR="00E50727" w:rsidRPr="00107BE9" w:rsidRDefault="00E50727" w:rsidP="0092501F">
      <w:pPr>
        <w:spacing w:after="0" w:line="22" w:lineRule="atLeast"/>
        <w:rPr>
          <w:rFonts w:ascii="Verdana" w:hAnsi="Verdana"/>
          <w:b/>
          <w:color w:val="95B3D7" w:themeColor="accent1" w:themeTint="99"/>
        </w:rPr>
      </w:pPr>
    </w:p>
    <w:p w:rsidR="004F52F5" w:rsidRPr="00107BE9" w:rsidRDefault="004F52F5" w:rsidP="0092501F">
      <w:pPr>
        <w:spacing w:after="0" w:line="22" w:lineRule="atLeast"/>
        <w:rPr>
          <w:rFonts w:ascii="Verdana" w:hAnsi="Verdana"/>
          <w:b/>
        </w:rPr>
      </w:pPr>
      <w:r w:rsidRPr="00107BE9">
        <w:rPr>
          <w:rFonts w:ascii="Verdana" w:hAnsi="Verdana"/>
          <w:b/>
        </w:rPr>
        <w:t>Vranken &amp; Lubbers 1986</w:t>
      </w:r>
    </w:p>
    <w:p w:rsidR="004F52F5" w:rsidRPr="00107BE9" w:rsidRDefault="004F52F5" w:rsidP="0092501F">
      <w:pPr>
        <w:spacing w:after="0" w:line="22" w:lineRule="atLeast"/>
        <w:rPr>
          <w:rFonts w:ascii="Verdana" w:hAnsi="Verdana"/>
        </w:rPr>
      </w:pPr>
      <w:r w:rsidRPr="00107BE9">
        <w:rPr>
          <w:rFonts w:ascii="Verdana" w:hAnsi="Verdana"/>
        </w:rPr>
        <w:t xml:space="preserve">J.B.M. Vranken &amp; A.G. Lubbers, </w:t>
      </w:r>
      <w:r w:rsidRPr="00107BE9">
        <w:rPr>
          <w:rFonts w:ascii="Verdana" w:hAnsi="Verdana"/>
          <w:i/>
        </w:rPr>
        <w:t>Het professionele (functionele) verschonings</w:t>
      </w:r>
      <w:r w:rsidR="00EA6061">
        <w:rPr>
          <w:rFonts w:ascii="Verdana" w:hAnsi="Verdana"/>
          <w:i/>
        </w:rPr>
        <w:t>-</w:t>
      </w:r>
      <w:r w:rsidRPr="00107BE9">
        <w:rPr>
          <w:rFonts w:ascii="Verdana" w:hAnsi="Verdana"/>
          <w:i/>
        </w:rPr>
        <w:t>recht</w:t>
      </w:r>
      <w:r w:rsidRPr="00107BE9">
        <w:rPr>
          <w:rFonts w:ascii="Verdana" w:hAnsi="Verdana"/>
        </w:rPr>
        <w:t>, Zwolle: Tjeenk Willink 1986.</w:t>
      </w:r>
    </w:p>
    <w:p w:rsidR="00B01BA7" w:rsidRPr="00107BE9" w:rsidRDefault="00B01BA7" w:rsidP="0092501F">
      <w:pPr>
        <w:spacing w:after="0" w:line="22" w:lineRule="atLeast"/>
        <w:rPr>
          <w:rFonts w:ascii="Verdana" w:hAnsi="Verdana"/>
        </w:rPr>
      </w:pPr>
    </w:p>
    <w:p w:rsidR="00306AFE" w:rsidRPr="00107BE9" w:rsidRDefault="00306AFE" w:rsidP="0092501F">
      <w:pPr>
        <w:spacing w:after="0" w:line="22" w:lineRule="atLeast"/>
        <w:rPr>
          <w:rFonts w:ascii="Verdana" w:hAnsi="Verdana"/>
          <w:b/>
          <w:color w:val="95B3D7" w:themeColor="accent1" w:themeTint="99"/>
        </w:rPr>
      </w:pPr>
    </w:p>
    <w:p w:rsidR="00E50727" w:rsidRPr="00107BE9" w:rsidRDefault="00E50727" w:rsidP="0092501F">
      <w:pPr>
        <w:spacing w:after="0" w:line="22" w:lineRule="atLeast"/>
        <w:rPr>
          <w:rFonts w:ascii="Verdana" w:hAnsi="Verdana"/>
          <w:b/>
          <w:color w:val="95B3D7" w:themeColor="accent1" w:themeTint="99"/>
        </w:rPr>
      </w:pPr>
      <w:r w:rsidRPr="00107BE9">
        <w:rPr>
          <w:rFonts w:ascii="Verdana" w:hAnsi="Verdana"/>
          <w:b/>
          <w:color w:val="95B3D7" w:themeColor="accent1" w:themeTint="99"/>
        </w:rPr>
        <w:t>WETENSCHAPPELIJKE ARTIKELEN</w:t>
      </w:r>
    </w:p>
    <w:p w:rsidR="00334AA0" w:rsidRPr="00107BE9" w:rsidRDefault="00334AA0" w:rsidP="0092501F">
      <w:pPr>
        <w:spacing w:after="0" w:line="22" w:lineRule="atLeast"/>
        <w:rPr>
          <w:rFonts w:ascii="Verdana" w:hAnsi="Verdana"/>
          <w:b/>
        </w:rPr>
      </w:pPr>
      <w:r w:rsidRPr="00107BE9">
        <w:rPr>
          <w:rFonts w:ascii="Verdana" w:hAnsi="Verdana"/>
          <w:b/>
        </w:rPr>
        <w:t>Van Hooff &amp; Horstmanshoff</w:t>
      </w:r>
      <w:r w:rsidR="000B4F21" w:rsidRPr="00107BE9">
        <w:rPr>
          <w:rFonts w:ascii="Verdana" w:hAnsi="Verdana"/>
          <w:b/>
        </w:rPr>
        <w:t xml:space="preserve">, </w:t>
      </w:r>
      <w:r w:rsidR="000B4F21" w:rsidRPr="00107BE9">
        <w:rPr>
          <w:rFonts w:ascii="Verdana" w:hAnsi="Verdana"/>
          <w:b/>
          <w:i/>
        </w:rPr>
        <w:t xml:space="preserve">NKV </w:t>
      </w:r>
      <w:r w:rsidR="000B4F21" w:rsidRPr="00107BE9">
        <w:rPr>
          <w:rFonts w:ascii="Verdana" w:hAnsi="Verdana"/>
          <w:b/>
        </w:rPr>
        <w:t>1999, afl. 71 (2), p. 128 t/m 130</w:t>
      </w:r>
    </w:p>
    <w:p w:rsidR="00334AA0" w:rsidRPr="00107BE9" w:rsidRDefault="00334AA0" w:rsidP="0092501F">
      <w:pPr>
        <w:spacing w:after="0" w:line="22" w:lineRule="atLeast"/>
        <w:rPr>
          <w:rFonts w:ascii="Verdana" w:hAnsi="Verdana"/>
        </w:rPr>
      </w:pPr>
      <w:r w:rsidRPr="00107BE9">
        <w:rPr>
          <w:rFonts w:ascii="Verdana" w:hAnsi="Verdana"/>
        </w:rPr>
        <w:t>A.</w:t>
      </w:r>
      <w:r w:rsidR="000B4F21" w:rsidRPr="00107BE9">
        <w:rPr>
          <w:rFonts w:ascii="Verdana" w:hAnsi="Verdana"/>
        </w:rPr>
        <w:t>J.L.</w:t>
      </w:r>
      <w:r w:rsidR="00BA68C6">
        <w:rPr>
          <w:rFonts w:ascii="Verdana" w:hAnsi="Verdana"/>
        </w:rPr>
        <w:t xml:space="preserve"> van Hooff &amp;</w:t>
      </w:r>
      <w:r w:rsidRPr="00107BE9">
        <w:rPr>
          <w:rFonts w:ascii="Verdana" w:hAnsi="Verdana"/>
        </w:rPr>
        <w:t xml:space="preserve"> H.F.J. Horstmanshoff, </w:t>
      </w:r>
      <w:r w:rsidR="000B4F21" w:rsidRPr="00107BE9">
        <w:rPr>
          <w:rFonts w:ascii="Verdana" w:hAnsi="Verdana"/>
        </w:rPr>
        <w:t>‘</w:t>
      </w:r>
      <w:r w:rsidRPr="00107BE9">
        <w:rPr>
          <w:rFonts w:ascii="Verdana" w:hAnsi="Verdana"/>
        </w:rPr>
        <w:t>De patiënt en zijn artse</w:t>
      </w:r>
      <w:r w:rsidR="000B4F21" w:rsidRPr="00107BE9">
        <w:rPr>
          <w:rFonts w:ascii="Verdana" w:hAnsi="Verdana"/>
        </w:rPr>
        <w:t>n’</w:t>
      </w:r>
      <w:r w:rsidRPr="00107BE9">
        <w:rPr>
          <w:rFonts w:ascii="Verdana" w:hAnsi="Verdana"/>
        </w:rPr>
        <w:t xml:space="preserve">, </w:t>
      </w:r>
      <w:r w:rsidR="000B4F21" w:rsidRPr="00107BE9">
        <w:rPr>
          <w:rFonts w:ascii="Verdana" w:hAnsi="Verdana"/>
          <w:i/>
        </w:rPr>
        <w:t xml:space="preserve">NKV </w:t>
      </w:r>
      <w:r w:rsidR="000B4F21" w:rsidRPr="00107BE9">
        <w:rPr>
          <w:rFonts w:ascii="Verdana" w:hAnsi="Verdana"/>
        </w:rPr>
        <w:t xml:space="preserve">1999, afl. 71 (2), p. 128 t/m 130. </w:t>
      </w:r>
    </w:p>
    <w:p w:rsidR="00251D84" w:rsidRPr="00107BE9" w:rsidRDefault="00251D84" w:rsidP="0092501F">
      <w:pPr>
        <w:spacing w:after="0" w:line="22" w:lineRule="atLeast"/>
        <w:rPr>
          <w:rFonts w:ascii="Verdana" w:hAnsi="Verdana"/>
        </w:rPr>
      </w:pPr>
    </w:p>
    <w:p w:rsidR="000B4F21" w:rsidRPr="00107BE9" w:rsidRDefault="000B4F21" w:rsidP="0092501F">
      <w:pPr>
        <w:spacing w:after="0" w:line="22" w:lineRule="atLeast"/>
        <w:rPr>
          <w:rFonts w:ascii="Verdana" w:hAnsi="Verdana"/>
          <w:b/>
        </w:rPr>
      </w:pPr>
      <w:r w:rsidRPr="00107BE9">
        <w:rPr>
          <w:rFonts w:ascii="Verdana" w:hAnsi="Verdana"/>
          <w:b/>
        </w:rPr>
        <w:t xml:space="preserve">Kastelein, </w:t>
      </w:r>
      <w:r w:rsidRPr="00107BE9">
        <w:rPr>
          <w:rFonts w:ascii="Verdana" w:hAnsi="Verdana"/>
          <w:b/>
          <w:i/>
        </w:rPr>
        <w:t>TvGR</w:t>
      </w:r>
      <w:r w:rsidRPr="00107BE9">
        <w:rPr>
          <w:rFonts w:ascii="Verdana" w:hAnsi="Verdana"/>
          <w:b/>
        </w:rPr>
        <w:t xml:space="preserve"> 2013, afl. 8, p. 764 t/m 773</w:t>
      </w:r>
    </w:p>
    <w:p w:rsidR="000B4F21" w:rsidRDefault="000B4F21" w:rsidP="0092501F">
      <w:pPr>
        <w:spacing w:after="0" w:line="22" w:lineRule="atLeast"/>
        <w:rPr>
          <w:rFonts w:ascii="Verdana" w:hAnsi="Verdana"/>
        </w:rPr>
      </w:pPr>
      <w:r w:rsidRPr="00107BE9">
        <w:rPr>
          <w:rFonts w:ascii="Verdana" w:hAnsi="Verdana"/>
        </w:rPr>
        <w:t xml:space="preserve">W.R. Kastelein, ‘Strafrechtelijke inbeslagname bij medisch verschoningsgerechtigde’, </w:t>
      </w:r>
      <w:r w:rsidRPr="00107BE9">
        <w:rPr>
          <w:rFonts w:ascii="Verdana" w:hAnsi="Verdana"/>
          <w:i/>
        </w:rPr>
        <w:t>TvGR</w:t>
      </w:r>
      <w:r w:rsidRPr="00107BE9">
        <w:rPr>
          <w:rFonts w:ascii="Verdana" w:hAnsi="Verdana"/>
        </w:rPr>
        <w:t xml:space="preserve"> 2013, afl. 8, p. 764 t/m 773.</w:t>
      </w:r>
    </w:p>
    <w:p w:rsidR="00BA68C6" w:rsidRDefault="00BA68C6" w:rsidP="0092501F">
      <w:pPr>
        <w:spacing w:after="0" w:line="22" w:lineRule="atLeast"/>
        <w:rPr>
          <w:rFonts w:ascii="Verdana" w:hAnsi="Verdana"/>
        </w:rPr>
      </w:pPr>
    </w:p>
    <w:p w:rsidR="00BA68C6" w:rsidRPr="00BA68C6" w:rsidRDefault="00BA68C6" w:rsidP="0092501F">
      <w:pPr>
        <w:spacing w:after="0" w:line="22" w:lineRule="atLeast"/>
        <w:rPr>
          <w:rFonts w:ascii="Verdana" w:hAnsi="Verdana"/>
          <w:b/>
          <w:i/>
          <w:color w:val="95B3D7" w:themeColor="accent1" w:themeTint="99"/>
        </w:rPr>
      </w:pPr>
      <w:r w:rsidRPr="00BA68C6">
        <w:rPr>
          <w:rFonts w:ascii="Verdana" w:hAnsi="Verdana"/>
          <w:b/>
          <w:i/>
        </w:rPr>
        <w:t>Schmelzer</w:t>
      </w:r>
      <w:r w:rsidR="00EA6061">
        <w:rPr>
          <w:rFonts w:ascii="Verdana" w:hAnsi="Verdana"/>
          <w:b/>
          <w:i/>
        </w:rPr>
        <w:t xml:space="preserve"> </w:t>
      </w:r>
      <w:r w:rsidRPr="00BA68C6">
        <w:rPr>
          <w:rFonts w:ascii="Verdana" w:hAnsi="Verdana"/>
          <w:b/>
          <w:i/>
        </w:rPr>
        <w:t>&amp;</w:t>
      </w:r>
      <w:r w:rsidR="00EA6061">
        <w:rPr>
          <w:rFonts w:ascii="Verdana" w:hAnsi="Verdana"/>
          <w:b/>
          <w:i/>
        </w:rPr>
        <w:t xml:space="preserve"> </w:t>
      </w:r>
      <w:r w:rsidRPr="00BA68C6">
        <w:rPr>
          <w:rFonts w:ascii="Verdana" w:hAnsi="Verdana"/>
          <w:b/>
          <w:i/>
        </w:rPr>
        <w:t>Rense, TVSO 2015, afl. 4, p. 146 t/m 159.</w:t>
      </w:r>
    </w:p>
    <w:p w:rsidR="000B4F21" w:rsidRPr="00BA68C6" w:rsidRDefault="00BA68C6" w:rsidP="0092501F">
      <w:pPr>
        <w:spacing w:after="0" w:line="22" w:lineRule="atLeast"/>
        <w:rPr>
          <w:rFonts w:ascii="Verdana" w:hAnsi="Verdana"/>
        </w:rPr>
      </w:pPr>
      <w:r>
        <w:rPr>
          <w:rFonts w:ascii="Verdana" w:hAnsi="Verdana"/>
        </w:rPr>
        <w:t>P. Schmelzer</w:t>
      </w:r>
      <w:r w:rsidR="00EA6061">
        <w:rPr>
          <w:rFonts w:ascii="Verdana" w:hAnsi="Verdana"/>
        </w:rPr>
        <w:t xml:space="preserve"> </w:t>
      </w:r>
      <w:r>
        <w:rPr>
          <w:rFonts w:ascii="Verdana" w:hAnsi="Verdana"/>
        </w:rPr>
        <w:t xml:space="preserve">&amp; J.F. Rense, ‘In de bres voor het verschoningsrecht’, </w:t>
      </w:r>
      <w:r>
        <w:rPr>
          <w:rFonts w:ascii="Verdana" w:hAnsi="Verdana"/>
          <w:i/>
        </w:rPr>
        <w:t>TVSO</w:t>
      </w:r>
      <w:r>
        <w:rPr>
          <w:rFonts w:ascii="Verdana" w:hAnsi="Verdana"/>
        </w:rPr>
        <w:t xml:space="preserve"> 2015, afl. 04, p. 146 t/m 159. </w:t>
      </w:r>
    </w:p>
    <w:p w:rsidR="00EB0839" w:rsidRDefault="00EB0839" w:rsidP="0092501F">
      <w:pPr>
        <w:spacing w:after="0" w:line="22" w:lineRule="atLeast"/>
        <w:rPr>
          <w:rFonts w:ascii="Verdana" w:hAnsi="Verdana"/>
          <w:b/>
          <w:color w:val="95B3D7" w:themeColor="accent1" w:themeTint="99"/>
        </w:rPr>
      </w:pPr>
    </w:p>
    <w:p w:rsidR="00BA68C6" w:rsidRPr="00107BE9" w:rsidRDefault="00BA68C6" w:rsidP="0092501F">
      <w:pPr>
        <w:spacing w:after="0" w:line="22" w:lineRule="atLeast"/>
        <w:rPr>
          <w:rFonts w:ascii="Verdana" w:hAnsi="Verdana"/>
          <w:b/>
          <w:color w:val="95B3D7" w:themeColor="accent1" w:themeTint="99"/>
        </w:rPr>
      </w:pPr>
    </w:p>
    <w:p w:rsidR="00E50727" w:rsidRPr="00107BE9" w:rsidRDefault="00E50727" w:rsidP="0092501F">
      <w:pPr>
        <w:spacing w:after="0" w:line="22" w:lineRule="atLeast"/>
        <w:rPr>
          <w:rFonts w:ascii="Verdana" w:hAnsi="Verdana"/>
          <w:b/>
          <w:color w:val="95B3D7" w:themeColor="accent1" w:themeTint="99"/>
        </w:rPr>
      </w:pPr>
      <w:r w:rsidRPr="00107BE9">
        <w:rPr>
          <w:rFonts w:ascii="Verdana" w:hAnsi="Verdana"/>
          <w:b/>
          <w:color w:val="95B3D7" w:themeColor="accent1" w:themeTint="99"/>
        </w:rPr>
        <w:t>REGELGEVING EN PARLEMENTAIRE STUKKEN</w:t>
      </w:r>
    </w:p>
    <w:p w:rsidR="00E50727" w:rsidRPr="00107BE9" w:rsidRDefault="00E50727" w:rsidP="0092501F">
      <w:pPr>
        <w:spacing w:after="0" w:line="22" w:lineRule="atLeast"/>
        <w:rPr>
          <w:rFonts w:ascii="Verdana" w:hAnsi="Verdana"/>
          <w:b/>
        </w:rPr>
      </w:pPr>
      <w:r w:rsidRPr="00107BE9">
        <w:rPr>
          <w:rFonts w:ascii="Verdana" w:hAnsi="Verdana"/>
          <w:b/>
        </w:rPr>
        <w:t>Kamerstukken:</w:t>
      </w:r>
    </w:p>
    <w:p w:rsidR="00E50727" w:rsidRPr="00107BE9" w:rsidRDefault="00D34612" w:rsidP="002734F3">
      <w:pPr>
        <w:pStyle w:val="Lijstalinea"/>
        <w:numPr>
          <w:ilvl w:val="0"/>
          <w:numId w:val="4"/>
        </w:numPr>
        <w:spacing w:after="0" w:line="22" w:lineRule="atLeast"/>
        <w:rPr>
          <w:rFonts w:ascii="Verdana" w:hAnsi="Verdana"/>
          <w:b/>
        </w:rPr>
      </w:pPr>
      <w:r w:rsidRPr="00107BE9">
        <w:rPr>
          <w:rFonts w:ascii="Verdana" w:hAnsi="Verdana"/>
        </w:rPr>
        <w:t>Kamerstukken II 2003/04, 29</w:t>
      </w:r>
      <w:r w:rsidR="004F52F5" w:rsidRPr="00107BE9">
        <w:rPr>
          <w:rFonts w:ascii="Verdana" w:hAnsi="Verdana"/>
        </w:rPr>
        <w:t>743, nr. 3</w:t>
      </w:r>
      <w:r w:rsidR="007A31F8" w:rsidRPr="00107BE9">
        <w:rPr>
          <w:rFonts w:ascii="Verdana" w:hAnsi="Verdana"/>
        </w:rPr>
        <w:t xml:space="preserve"> (MvT)</w:t>
      </w:r>
      <w:r w:rsidR="0001378F" w:rsidRPr="00107BE9">
        <w:rPr>
          <w:rFonts w:ascii="Verdana" w:hAnsi="Verdana"/>
        </w:rPr>
        <w:t>.</w:t>
      </w:r>
    </w:p>
    <w:p w:rsidR="0001378F" w:rsidRPr="00107BE9" w:rsidRDefault="00D34612" w:rsidP="002734F3">
      <w:pPr>
        <w:pStyle w:val="Lijstalinea"/>
        <w:numPr>
          <w:ilvl w:val="0"/>
          <w:numId w:val="4"/>
        </w:numPr>
        <w:spacing w:after="0" w:line="22" w:lineRule="atLeast"/>
        <w:rPr>
          <w:rFonts w:ascii="Verdana" w:hAnsi="Verdana"/>
          <w:b/>
        </w:rPr>
      </w:pPr>
      <w:r w:rsidRPr="00107BE9">
        <w:rPr>
          <w:rFonts w:ascii="Verdana" w:hAnsi="Verdana"/>
        </w:rPr>
        <w:t>Kamerstukken II 2009/10, 32</w:t>
      </w:r>
      <w:r w:rsidR="0001378F" w:rsidRPr="00107BE9">
        <w:rPr>
          <w:rFonts w:ascii="Verdana" w:hAnsi="Verdana"/>
        </w:rPr>
        <w:t>250, nr. 3</w:t>
      </w:r>
      <w:r w:rsidRPr="00107BE9">
        <w:rPr>
          <w:rFonts w:ascii="Verdana" w:hAnsi="Verdana"/>
        </w:rPr>
        <w:t xml:space="preserve"> (MvT)</w:t>
      </w:r>
      <w:r w:rsidR="0001378F" w:rsidRPr="00107BE9">
        <w:rPr>
          <w:rFonts w:ascii="Verdana" w:hAnsi="Verdana"/>
        </w:rPr>
        <w:t>.</w:t>
      </w:r>
    </w:p>
    <w:p w:rsidR="00E50727" w:rsidRPr="00107BE9" w:rsidRDefault="00E50727" w:rsidP="0092501F">
      <w:pPr>
        <w:spacing w:after="0" w:line="22" w:lineRule="atLeast"/>
        <w:rPr>
          <w:rFonts w:ascii="Verdana" w:hAnsi="Verdana"/>
          <w:b/>
        </w:rPr>
      </w:pPr>
    </w:p>
    <w:p w:rsidR="00E50727" w:rsidRPr="00107BE9" w:rsidRDefault="00E50727" w:rsidP="0092501F">
      <w:pPr>
        <w:spacing w:after="0" w:line="22" w:lineRule="atLeast"/>
        <w:rPr>
          <w:rFonts w:ascii="Verdana" w:hAnsi="Verdana"/>
          <w:b/>
        </w:rPr>
      </w:pPr>
      <w:r w:rsidRPr="00107BE9">
        <w:rPr>
          <w:rFonts w:ascii="Verdana" w:hAnsi="Verdana"/>
          <w:b/>
        </w:rPr>
        <w:t>Tekst en commentaar:</w:t>
      </w:r>
    </w:p>
    <w:p w:rsidR="00382AB3" w:rsidRPr="00107BE9" w:rsidRDefault="00382AB3" w:rsidP="002734F3">
      <w:pPr>
        <w:pStyle w:val="Lijstalinea"/>
        <w:numPr>
          <w:ilvl w:val="0"/>
          <w:numId w:val="3"/>
        </w:numPr>
        <w:spacing w:after="0" w:line="22" w:lineRule="atLeast"/>
        <w:rPr>
          <w:rFonts w:ascii="Verdana" w:hAnsi="Verdana"/>
        </w:rPr>
      </w:pPr>
      <w:r w:rsidRPr="00107BE9">
        <w:rPr>
          <w:rFonts w:ascii="Verdana" w:hAnsi="Verdana"/>
        </w:rPr>
        <w:t>Art. 272 Sr, aant. 9.</w:t>
      </w:r>
    </w:p>
    <w:p w:rsidR="00382AB3" w:rsidRPr="00107BE9" w:rsidRDefault="00382AB3" w:rsidP="002734F3">
      <w:pPr>
        <w:pStyle w:val="Lijstalinea"/>
        <w:numPr>
          <w:ilvl w:val="0"/>
          <w:numId w:val="3"/>
        </w:numPr>
        <w:spacing w:after="0" w:line="22" w:lineRule="atLeast"/>
        <w:rPr>
          <w:rFonts w:ascii="Verdana" w:hAnsi="Verdana"/>
        </w:rPr>
      </w:pPr>
      <w:r w:rsidRPr="00107BE9">
        <w:rPr>
          <w:rFonts w:ascii="Verdana" w:hAnsi="Verdana"/>
        </w:rPr>
        <w:t>Art. 272 Sr, aant. 13.</w:t>
      </w:r>
    </w:p>
    <w:p w:rsidR="00BA68C6" w:rsidRDefault="00BA68C6" w:rsidP="0092501F">
      <w:pPr>
        <w:spacing w:after="0" w:line="22" w:lineRule="atLeast"/>
        <w:rPr>
          <w:rFonts w:ascii="Verdana" w:hAnsi="Verdana"/>
          <w:b/>
        </w:rPr>
      </w:pPr>
    </w:p>
    <w:p w:rsidR="007544A5" w:rsidRPr="00107BE9" w:rsidRDefault="007544A5" w:rsidP="0092501F">
      <w:pPr>
        <w:spacing w:after="0" w:line="22" w:lineRule="atLeast"/>
        <w:rPr>
          <w:rFonts w:ascii="Verdana" w:hAnsi="Verdana"/>
          <w:b/>
        </w:rPr>
      </w:pPr>
      <w:r w:rsidRPr="00107BE9">
        <w:rPr>
          <w:rFonts w:ascii="Verdana" w:hAnsi="Verdana"/>
          <w:b/>
        </w:rPr>
        <w:t>Officiële bekendmakingen:</w:t>
      </w:r>
    </w:p>
    <w:p w:rsidR="00F40E85" w:rsidRPr="00107BE9" w:rsidRDefault="00F40E85" w:rsidP="002734F3">
      <w:pPr>
        <w:pStyle w:val="Lijstalinea"/>
        <w:numPr>
          <w:ilvl w:val="0"/>
          <w:numId w:val="3"/>
        </w:numPr>
        <w:spacing w:after="0" w:line="22" w:lineRule="atLeast"/>
        <w:rPr>
          <w:rFonts w:ascii="Verdana" w:hAnsi="Verdana"/>
        </w:rPr>
      </w:pPr>
      <w:r w:rsidRPr="00107BE9">
        <w:rPr>
          <w:rFonts w:ascii="Verdana" w:hAnsi="Verdana"/>
        </w:rPr>
        <w:t xml:space="preserve">Wet van 24 november 2011 tot wijziging van de Wet op het notarisambt in verband met de invoering van een informatieplicht ten aanzien van gegevens betreffende de bijzondere rekening, bedoeld in artikel 25 van die wet (informatieplicht derdengeldenrekening notariaat), Stb. 2011, 557. </w:t>
      </w:r>
    </w:p>
    <w:p w:rsidR="007544A5" w:rsidRPr="00107BE9" w:rsidRDefault="007544A5" w:rsidP="002734F3">
      <w:pPr>
        <w:pStyle w:val="Lijstalinea"/>
        <w:numPr>
          <w:ilvl w:val="0"/>
          <w:numId w:val="3"/>
        </w:numPr>
        <w:spacing w:after="0" w:line="22" w:lineRule="atLeast"/>
        <w:rPr>
          <w:rFonts w:ascii="Verdana" w:hAnsi="Verdana"/>
        </w:rPr>
      </w:pPr>
      <w:r w:rsidRPr="00107BE9">
        <w:rPr>
          <w:rFonts w:ascii="Verdana" w:hAnsi="Verdana"/>
        </w:rPr>
        <w:t xml:space="preserve">Wet van 29 september 2011 tot wijziging van de Wet op het notarisambt naar aanleiding van de evaluatie van die wet, alsmede regeling van enkele andere onderwerpen in die wet en wijziging van de Wet op het centraal testamentenregister en van de Wet ter voorkoming van witwassen en financieren van terrorisme, Stb. 2011, 470. </w:t>
      </w:r>
    </w:p>
    <w:p w:rsidR="00F40E85" w:rsidRPr="00107BE9" w:rsidRDefault="00F40E85" w:rsidP="002734F3">
      <w:pPr>
        <w:pStyle w:val="Lijstalinea"/>
        <w:numPr>
          <w:ilvl w:val="0"/>
          <w:numId w:val="3"/>
        </w:numPr>
        <w:spacing w:after="0" w:line="22" w:lineRule="atLeast"/>
        <w:rPr>
          <w:rFonts w:ascii="Verdana" w:hAnsi="Verdana"/>
        </w:rPr>
      </w:pPr>
      <w:r w:rsidRPr="00107BE9">
        <w:rPr>
          <w:rFonts w:ascii="Verdana" w:hAnsi="Verdana"/>
        </w:rPr>
        <w:t xml:space="preserve">Wet van 1 oktober 2014 tot aanpassing van de Advocatenwet en enige andere wetten in verband met de positie van de advocatuur in de rechtsorde en herziening van het toezicht op advocaten (Wet positie en toezicht advocatuur), Stb. 2014, 354. </w:t>
      </w:r>
    </w:p>
    <w:p w:rsidR="00C5616A" w:rsidRPr="00107BE9" w:rsidRDefault="00C5616A" w:rsidP="002734F3">
      <w:pPr>
        <w:pStyle w:val="Lijstalinea"/>
        <w:numPr>
          <w:ilvl w:val="0"/>
          <w:numId w:val="3"/>
        </w:numPr>
        <w:spacing w:after="0" w:line="22" w:lineRule="atLeast"/>
        <w:rPr>
          <w:rFonts w:ascii="Verdana" w:hAnsi="Verdana"/>
        </w:rPr>
      </w:pPr>
      <w:r w:rsidRPr="00107BE9">
        <w:rPr>
          <w:rFonts w:ascii="Verdana" w:hAnsi="Verdana"/>
        </w:rPr>
        <w:t>Besluit van 1 december 2011, houdende de vaststelling van het tijdstip van inwerkingtreding van enkele artikelen, of onderdelen daarvan, van de wet van 29 september 2011 tot wijziging van de Wet op het notarisambt naar aanleiding van de evaluatie van die wet, alsmede regeling van enkele andere onderwerpen in die wet en wijziging van de Wet op het centraal testamentenregister en van de Wet ter voorkoming van witwassen financieren van terrorisme (Stb. 2011, 470), Stb. 2011, 587.</w:t>
      </w:r>
    </w:p>
    <w:p w:rsidR="00C5616A" w:rsidRPr="00107BE9" w:rsidRDefault="00C5616A" w:rsidP="002734F3">
      <w:pPr>
        <w:pStyle w:val="Lijstalinea"/>
        <w:numPr>
          <w:ilvl w:val="0"/>
          <w:numId w:val="3"/>
        </w:numPr>
        <w:spacing w:after="0" w:line="22" w:lineRule="atLeast"/>
        <w:rPr>
          <w:rFonts w:ascii="Verdana" w:hAnsi="Verdana"/>
        </w:rPr>
      </w:pPr>
      <w:r w:rsidRPr="00107BE9">
        <w:rPr>
          <w:rFonts w:ascii="Verdana" w:hAnsi="Verdana"/>
        </w:rPr>
        <w:t>Besluit van 13 december 2011, houdende de vaststelling van het tijdstip van inwerkingtreding van de wet van 24 november 2011 tot wijziging van de Wet op het notarisambt in verband met de invoering van een informatieplicht ten aanzien van gegevens betreffende de bijzondere rekening, bedoeld in artikel 25 van die wet (informatieplicht derdengeldenrekening notariaat) (Stb. 2011, 557), Stb. 2011, 625.</w:t>
      </w:r>
    </w:p>
    <w:p w:rsidR="009F36CD" w:rsidRPr="00107BE9" w:rsidRDefault="009F36CD" w:rsidP="002734F3">
      <w:pPr>
        <w:pStyle w:val="Lijstalinea"/>
        <w:numPr>
          <w:ilvl w:val="0"/>
          <w:numId w:val="3"/>
        </w:numPr>
        <w:spacing w:after="0" w:line="22" w:lineRule="atLeast"/>
        <w:rPr>
          <w:rFonts w:ascii="Verdana" w:hAnsi="Verdana"/>
        </w:rPr>
      </w:pPr>
      <w:r w:rsidRPr="00107BE9">
        <w:rPr>
          <w:rFonts w:ascii="Verdana" w:hAnsi="Verdana"/>
        </w:rPr>
        <w:t xml:space="preserve">Besluit van 10 november 2014, houdende vaststelling van het tijdstip van inwerkingtreding van de Wet positie toezicht advocatuur, Stb. 2014, 429. </w:t>
      </w:r>
    </w:p>
    <w:p w:rsidR="00107BE9" w:rsidRDefault="00107BE9" w:rsidP="0092501F">
      <w:pPr>
        <w:spacing w:after="0" w:line="22" w:lineRule="atLeast"/>
        <w:rPr>
          <w:rFonts w:ascii="Verdana" w:hAnsi="Verdana"/>
          <w:b/>
          <w:color w:val="95B3D7" w:themeColor="accent1" w:themeTint="99"/>
        </w:rPr>
      </w:pPr>
    </w:p>
    <w:p w:rsidR="00107BE9" w:rsidRDefault="00107BE9" w:rsidP="0092501F">
      <w:pPr>
        <w:spacing w:after="0" w:line="22" w:lineRule="atLeast"/>
        <w:rPr>
          <w:rFonts w:ascii="Verdana" w:hAnsi="Verdana"/>
          <w:b/>
          <w:color w:val="95B3D7" w:themeColor="accent1" w:themeTint="99"/>
        </w:rPr>
      </w:pPr>
    </w:p>
    <w:p w:rsidR="00E50727" w:rsidRPr="00107BE9" w:rsidRDefault="00E50727" w:rsidP="0092501F">
      <w:pPr>
        <w:spacing w:after="0" w:line="22" w:lineRule="atLeast"/>
        <w:rPr>
          <w:rFonts w:ascii="Verdana" w:hAnsi="Verdana"/>
          <w:b/>
          <w:color w:val="95B3D7" w:themeColor="accent1" w:themeTint="99"/>
        </w:rPr>
      </w:pPr>
      <w:r w:rsidRPr="00107BE9">
        <w:rPr>
          <w:rFonts w:ascii="Verdana" w:hAnsi="Verdana"/>
          <w:b/>
          <w:color w:val="95B3D7" w:themeColor="accent1" w:themeTint="99"/>
        </w:rPr>
        <w:t>OVERIG</w:t>
      </w:r>
    </w:p>
    <w:p w:rsidR="001A5084" w:rsidRPr="00107BE9" w:rsidRDefault="001A5084" w:rsidP="0092501F">
      <w:pPr>
        <w:spacing w:after="0" w:line="22" w:lineRule="atLeast"/>
        <w:rPr>
          <w:rFonts w:ascii="Verdana" w:hAnsi="Verdana"/>
          <w:b/>
        </w:rPr>
      </w:pPr>
      <w:r w:rsidRPr="00107BE9">
        <w:rPr>
          <w:rFonts w:ascii="Verdana" w:hAnsi="Verdana"/>
          <w:b/>
          <w:i/>
        </w:rPr>
        <w:t>Commissie Herziening Artseneed</w:t>
      </w:r>
      <w:r w:rsidRPr="00107BE9">
        <w:rPr>
          <w:rFonts w:ascii="Verdana" w:hAnsi="Verdana"/>
          <w:b/>
        </w:rPr>
        <w:t xml:space="preserve"> 2010</w:t>
      </w:r>
    </w:p>
    <w:p w:rsidR="001A5084" w:rsidRPr="00107BE9" w:rsidRDefault="001A5084" w:rsidP="0092501F">
      <w:pPr>
        <w:spacing w:after="0" w:line="22" w:lineRule="atLeast"/>
        <w:rPr>
          <w:rFonts w:ascii="Verdana" w:hAnsi="Verdana"/>
        </w:rPr>
      </w:pPr>
      <w:r w:rsidRPr="00107BE9">
        <w:rPr>
          <w:rFonts w:ascii="Verdana" w:hAnsi="Verdana"/>
        </w:rPr>
        <w:t xml:space="preserve">Commissie Herziening Artseneed, </w:t>
      </w:r>
      <w:r w:rsidRPr="00107BE9">
        <w:rPr>
          <w:rFonts w:ascii="Verdana" w:hAnsi="Verdana"/>
          <w:i/>
        </w:rPr>
        <w:t>‘Nederlandse artseneed’</w:t>
      </w:r>
      <w:r w:rsidRPr="00107BE9">
        <w:rPr>
          <w:rFonts w:ascii="Verdana" w:hAnsi="Verdana"/>
        </w:rPr>
        <w:t xml:space="preserve">, Houten: Drukkerij Badoux 2010. </w:t>
      </w:r>
    </w:p>
    <w:p w:rsidR="00EB0839" w:rsidRPr="00107BE9" w:rsidRDefault="00EB0839" w:rsidP="0092501F">
      <w:pPr>
        <w:spacing w:after="0" w:line="22" w:lineRule="atLeast"/>
        <w:rPr>
          <w:rFonts w:ascii="Verdana" w:hAnsi="Verdana"/>
        </w:rPr>
      </w:pPr>
    </w:p>
    <w:p w:rsidR="00564087" w:rsidRPr="00107BE9" w:rsidRDefault="00564087" w:rsidP="0092501F">
      <w:pPr>
        <w:spacing w:after="0" w:line="22" w:lineRule="atLeast"/>
        <w:rPr>
          <w:rFonts w:ascii="Verdana" w:hAnsi="Verdana"/>
          <w:b/>
        </w:rPr>
      </w:pPr>
      <w:r w:rsidRPr="00107BE9">
        <w:rPr>
          <w:rFonts w:ascii="Verdana" w:hAnsi="Verdana"/>
          <w:b/>
          <w:i/>
        </w:rPr>
        <w:t xml:space="preserve">Ministerie van Volksgezondheid, Welzijn en Sport </w:t>
      </w:r>
      <w:r w:rsidRPr="00107BE9">
        <w:rPr>
          <w:rFonts w:ascii="Verdana" w:hAnsi="Verdana"/>
          <w:b/>
        </w:rPr>
        <w:t>2015</w:t>
      </w:r>
    </w:p>
    <w:p w:rsidR="00564087" w:rsidRPr="00107BE9" w:rsidRDefault="00564087" w:rsidP="0092501F">
      <w:pPr>
        <w:spacing w:after="0" w:line="22" w:lineRule="atLeast"/>
        <w:rPr>
          <w:rFonts w:ascii="Verdana" w:hAnsi="Verdana"/>
        </w:rPr>
      </w:pPr>
      <w:r w:rsidRPr="00107BE9">
        <w:rPr>
          <w:rFonts w:ascii="Verdana" w:hAnsi="Verdana"/>
        </w:rPr>
        <w:t xml:space="preserve">Ministerie van Volksgezondheid, Welzijn en Sport, </w:t>
      </w:r>
      <w:r w:rsidRPr="00107BE9">
        <w:rPr>
          <w:rFonts w:ascii="Verdana" w:hAnsi="Verdana"/>
          <w:i/>
        </w:rPr>
        <w:t>‘Factsheet medische beroepsgeheim’</w:t>
      </w:r>
      <w:r w:rsidRPr="00107BE9">
        <w:rPr>
          <w:rFonts w:ascii="Verdana" w:hAnsi="Verdana"/>
        </w:rPr>
        <w:t xml:space="preserve">, 30 juni 2015. </w:t>
      </w:r>
    </w:p>
    <w:p w:rsidR="00EB0839" w:rsidRPr="00107BE9" w:rsidRDefault="00EB0839" w:rsidP="0092501F">
      <w:pPr>
        <w:spacing w:after="0" w:line="22" w:lineRule="atLeast"/>
        <w:rPr>
          <w:rFonts w:ascii="Verdana" w:hAnsi="Verdana"/>
        </w:rPr>
      </w:pPr>
    </w:p>
    <w:p w:rsidR="00E50727" w:rsidRPr="00107BE9" w:rsidRDefault="00E50727" w:rsidP="0092501F">
      <w:pPr>
        <w:spacing w:after="0" w:line="22" w:lineRule="atLeast"/>
        <w:rPr>
          <w:rFonts w:ascii="Verdana" w:hAnsi="Verdana"/>
          <w:b/>
        </w:rPr>
      </w:pPr>
      <w:r w:rsidRPr="00107BE9">
        <w:rPr>
          <w:rFonts w:ascii="Verdana" w:hAnsi="Verdana"/>
          <w:b/>
          <w:i/>
        </w:rPr>
        <w:t>NOS</w:t>
      </w:r>
      <w:r w:rsidRPr="00107BE9">
        <w:rPr>
          <w:rFonts w:ascii="Verdana" w:hAnsi="Verdana"/>
          <w:b/>
        </w:rPr>
        <w:t xml:space="preserve"> 18 juni 2015</w:t>
      </w:r>
    </w:p>
    <w:p w:rsidR="00E50727" w:rsidRDefault="00E50727" w:rsidP="0092501F">
      <w:pPr>
        <w:spacing w:after="0" w:line="22" w:lineRule="atLeast"/>
        <w:rPr>
          <w:rFonts w:ascii="Verdana" w:hAnsi="Verdana"/>
        </w:rPr>
      </w:pPr>
      <w:r w:rsidRPr="00107BE9">
        <w:rPr>
          <w:rFonts w:ascii="Verdana" w:hAnsi="Verdana"/>
        </w:rPr>
        <w:t xml:space="preserve"> ‘Vrijspraak ex-neuroloog Jansen Steur voor medische delicten’, </w:t>
      </w:r>
      <w:r w:rsidRPr="00107BE9">
        <w:rPr>
          <w:rFonts w:ascii="Verdana" w:hAnsi="Verdana"/>
          <w:i/>
        </w:rPr>
        <w:t xml:space="preserve">NOS </w:t>
      </w:r>
      <w:r w:rsidRPr="00107BE9">
        <w:rPr>
          <w:rFonts w:ascii="Verdana" w:hAnsi="Verdana"/>
        </w:rPr>
        <w:t>18 juni 2015.</w:t>
      </w:r>
    </w:p>
    <w:p w:rsidR="008D71D4" w:rsidRDefault="008D71D4" w:rsidP="0092501F">
      <w:pPr>
        <w:spacing w:after="0" w:line="22" w:lineRule="atLeast"/>
        <w:rPr>
          <w:rFonts w:ascii="Verdana" w:hAnsi="Verdana"/>
        </w:rPr>
      </w:pPr>
    </w:p>
    <w:p w:rsidR="00BA68C6" w:rsidRDefault="00BA68C6" w:rsidP="0092501F">
      <w:pPr>
        <w:spacing w:after="0" w:line="22" w:lineRule="atLeast"/>
        <w:rPr>
          <w:rFonts w:ascii="Verdana" w:hAnsi="Verdana"/>
        </w:rPr>
      </w:pPr>
    </w:p>
    <w:p w:rsidR="00BA68C6" w:rsidRDefault="00BA68C6" w:rsidP="0092501F">
      <w:pPr>
        <w:spacing w:after="0" w:line="22" w:lineRule="atLeast"/>
        <w:rPr>
          <w:rFonts w:ascii="Verdana" w:hAnsi="Verdana"/>
        </w:rPr>
      </w:pPr>
    </w:p>
    <w:p w:rsidR="00BA68C6" w:rsidRDefault="00BA68C6" w:rsidP="0092501F">
      <w:pPr>
        <w:spacing w:after="0" w:line="22" w:lineRule="atLeast"/>
        <w:rPr>
          <w:rFonts w:ascii="Verdana" w:hAnsi="Verdana"/>
        </w:rPr>
      </w:pPr>
    </w:p>
    <w:p w:rsidR="008D71D4" w:rsidRDefault="008D71D4" w:rsidP="0092501F">
      <w:pPr>
        <w:spacing w:after="0" w:line="22" w:lineRule="atLeast"/>
        <w:rPr>
          <w:rFonts w:ascii="Verdana" w:hAnsi="Verdana"/>
        </w:rPr>
      </w:pPr>
      <w:r>
        <w:rPr>
          <w:rFonts w:ascii="Verdana" w:hAnsi="Verdana"/>
          <w:b/>
          <w:i/>
        </w:rPr>
        <w:lastRenderedPageBreak/>
        <w:t>Rijksoverheid</w:t>
      </w:r>
      <w:r>
        <w:rPr>
          <w:rFonts w:ascii="Verdana" w:hAnsi="Verdana"/>
          <w:b/>
        </w:rPr>
        <w:t xml:space="preserve"> 06 juni 2014</w:t>
      </w:r>
    </w:p>
    <w:p w:rsidR="008D71D4" w:rsidRPr="008D71D4" w:rsidRDefault="008D71D4" w:rsidP="0092501F">
      <w:pPr>
        <w:spacing w:after="0" w:line="22" w:lineRule="atLeast"/>
        <w:rPr>
          <w:rFonts w:ascii="Verdana" w:hAnsi="Verdana"/>
        </w:rPr>
      </w:pPr>
      <w:r w:rsidRPr="008D71D4">
        <w:rPr>
          <w:rFonts w:ascii="Verdana" w:hAnsi="Verdana"/>
        </w:rPr>
        <w:t xml:space="preserve">Discussiestuk: professioneel verschoningsrecht ex artikel 218 Sv’ </w:t>
      </w:r>
      <w:r w:rsidRPr="008D71D4">
        <w:rPr>
          <w:rFonts w:ascii="Verdana" w:hAnsi="Verdana"/>
          <w:i/>
        </w:rPr>
        <w:t xml:space="preserve">Rijksoverheid </w:t>
      </w:r>
      <w:r w:rsidRPr="008D71D4">
        <w:rPr>
          <w:rFonts w:ascii="Verdana" w:hAnsi="Verdana"/>
        </w:rPr>
        <w:t xml:space="preserve">06 juni 2014 </w:t>
      </w:r>
      <w:hyperlink r:id="rId9" w:history="1">
        <w:r w:rsidRPr="008D71D4">
          <w:rPr>
            <w:rStyle w:val="Hyperlink"/>
            <w:rFonts w:ascii="Verdana" w:hAnsi="Verdana"/>
          </w:rPr>
          <w:t>www.rijksoverheid.nl</w:t>
        </w:r>
      </w:hyperlink>
      <w:r w:rsidRPr="008D71D4">
        <w:rPr>
          <w:rFonts w:ascii="Verdana" w:hAnsi="Verdana"/>
        </w:rPr>
        <w:t xml:space="preserve"> (zoek op </w:t>
      </w:r>
      <w:r w:rsidRPr="008D71D4">
        <w:rPr>
          <w:rFonts w:ascii="Verdana" w:hAnsi="Verdana"/>
          <w:i/>
        </w:rPr>
        <w:t>discussiestuk professioneel verschoningsrecht</w:t>
      </w:r>
      <w:r w:rsidRPr="008D71D4">
        <w:rPr>
          <w:rFonts w:ascii="Verdana" w:hAnsi="Verdana"/>
        </w:rPr>
        <w:t>).</w:t>
      </w:r>
    </w:p>
    <w:p w:rsidR="00085A0F" w:rsidRPr="00107BE9" w:rsidRDefault="00085A0F" w:rsidP="0092501F">
      <w:pPr>
        <w:spacing w:after="0" w:line="22" w:lineRule="atLeast"/>
        <w:rPr>
          <w:rFonts w:ascii="Verdana" w:hAnsi="Verdana"/>
        </w:rPr>
      </w:pPr>
    </w:p>
    <w:p w:rsidR="00E50727" w:rsidRPr="00107BE9" w:rsidRDefault="00E50727" w:rsidP="0092501F">
      <w:pPr>
        <w:spacing w:after="0" w:line="22" w:lineRule="atLeast"/>
        <w:rPr>
          <w:rFonts w:ascii="Verdana" w:hAnsi="Verdana"/>
          <w:b/>
          <w:color w:val="95B3D7" w:themeColor="accent1" w:themeTint="99"/>
        </w:rPr>
      </w:pPr>
      <w:r w:rsidRPr="00107BE9">
        <w:rPr>
          <w:rFonts w:ascii="Verdana" w:hAnsi="Verdana"/>
          <w:b/>
          <w:i/>
        </w:rPr>
        <w:t>De Volkskrant</w:t>
      </w:r>
      <w:r w:rsidRPr="00107BE9">
        <w:rPr>
          <w:rFonts w:ascii="Verdana" w:hAnsi="Verdana"/>
          <w:b/>
        </w:rPr>
        <w:t xml:space="preserve"> 30 maart 2015</w:t>
      </w:r>
    </w:p>
    <w:p w:rsidR="00E50727" w:rsidRDefault="00E50727" w:rsidP="0092501F">
      <w:pPr>
        <w:spacing w:after="0" w:line="22" w:lineRule="atLeast"/>
        <w:rPr>
          <w:rFonts w:ascii="Verdana" w:hAnsi="Verdana"/>
        </w:rPr>
      </w:pPr>
      <w:r w:rsidRPr="00107BE9">
        <w:rPr>
          <w:rFonts w:ascii="Verdana" w:hAnsi="Verdana"/>
        </w:rPr>
        <w:t xml:space="preserve">‘Copiloot was behandeld om zelfmoordneigingen’, </w:t>
      </w:r>
      <w:r w:rsidRPr="00107BE9">
        <w:rPr>
          <w:rFonts w:ascii="Verdana" w:hAnsi="Verdana"/>
          <w:i/>
        </w:rPr>
        <w:t>de Volkskrant</w:t>
      </w:r>
      <w:r w:rsidRPr="00107BE9">
        <w:rPr>
          <w:rFonts w:ascii="Verdana" w:hAnsi="Verdana"/>
        </w:rPr>
        <w:t xml:space="preserve"> 30 maart 2015.</w:t>
      </w:r>
    </w:p>
    <w:p w:rsidR="008D71D4" w:rsidRDefault="008D71D4" w:rsidP="0092501F">
      <w:pPr>
        <w:spacing w:after="0" w:line="22" w:lineRule="atLeast"/>
        <w:rPr>
          <w:rFonts w:ascii="Verdana" w:hAnsi="Verdana"/>
        </w:rPr>
      </w:pPr>
    </w:p>
    <w:p w:rsidR="001A5084" w:rsidRPr="00107BE9" w:rsidRDefault="001A5084" w:rsidP="0092501F">
      <w:pPr>
        <w:spacing w:after="0" w:line="22" w:lineRule="atLeast"/>
        <w:rPr>
          <w:rFonts w:ascii="Verdana" w:hAnsi="Verdana"/>
        </w:rPr>
      </w:pPr>
    </w:p>
    <w:p w:rsidR="001A5084" w:rsidRDefault="001A5084" w:rsidP="0092501F">
      <w:pPr>
        <w:spacing w:after="0" w:line="22" w:lineRule="atLeast"/>
        <w:rPr>
          <w:rFonts w:ascii="Verdana" w:hAnsi="Verdana"/>
          <w:sz w:val="24"/>
        </w:rPr>
      </w:pPr>
    </w:p>
    <w:p w:rsidR="006B50E6" w:rsidRDefault="006B50E6" w:rsidP="0092501F">
      <w:pPr>
        <w:spacing w:after="0" w:line="22" w:lineRule="atLeast"/>
      </w:pPr>
    </w:p>
    <w:p w:rsidR="005532EE" w:rsidRPr="002C7C8F" w:rsidRDefault="006B50E6" w:rsidP="002C7C8F">
      <w:pPr>
        <w:spacing w:after="0" w:line="22" w:lineRule="atLeast"/>
        <w:rPr>
          <w:rFonts w:ascii="Verdana" w:hAnsi="Verdana"/>
          <w:b/>
          <w:sz w:val="36"/>
        </w:rPr>
      </w:pPr>
      <w:r>
        <w:rPr>
          <w:rFonts w:ascii="Verdana" w:hAnsi="Verdana"/>
          <w:b/>
          <w:sz w:val="36"/>
        </w:rPr>
        <w:br w:type="page"/>
      </w:r>
    </w:p>
    <w:p w:rsidR="005532EE" w:rsidRDefault="005532EE" w:rsidP="0092501F">
      <w:pPr>
        <w:spacing w:after="0" w:line="22" w:lineRule="atLeast"/>
        <w:jc w:val="center"/>
        <w:rPr>
          <w:rFonts w:ascii="Verdana" w:hAnsi="Verdana"/>
          <w:b/>
          <w:sz w:val="24"/>
          <w:szCs w:val="24"/>
        </w:rPr>
      </w:pPr>
    </w:p>
    <w:p w:rsidR="005532EE" w:rsidRPr="005532EE" w:rsidRDefault="005532EE" w:rsidP="005532EE"/>
    <w:sectPr w:rsidR="005532EE" w:rsidRPr="005532EE" w:rsidSect="0069113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781" w:rsidRDefault="00255781" w:rsidP="00AD274F">
      <w:pPr>
        <w:spacing w:after="0" w:line="240" w:lineRule="auto"/>
      </w:pPr>
      <w:r>
        <w:separator/>
      </w:r>
    </w:p>
  </w:endnote>
  <w:endnote w:type="continuationSeparator" w:id="1">
    <w:p w:rsidR="00255781" w:rsidRDefault="00255781" w:rsidP="00AD2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da">
    <w:altName w:val="Andad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63575"/>
      <w:docPartObj>
        <w:docPartGallery w:val="Page Numbers (Bottom of Page)"/>
        <w:docPartUnique/>
      </w:docPartObj>
    </w:sdtPr>
    <w:sdtContent>
      <w:p w:rsidR="00D65307" w:rsidRDefault="00315434">
        <w:pPr>
          <w:pStyle w:val="Voettekst"/>
          <w:jc w:val="center"/>
        </w:pPr>
        <w:r>
          <w:rPr>
            <w:noProof/>
            <w:lang w:eastAsia="nl-NL"/>
          </w:rPr>
        </w:r>
        <w:r>
          <w:rPr>
            <w:noProof/>
            <w:lang w:eastAsia="nl-NL"/>
          </w:rPr>
          <w:pict>
            <v:group id="Groep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rsidR="00D65307" w:rsidRDefault="00315434">
                      <w:pPr>
                        <w:jc w:val="center"/>
                        <w:rPr>
                          <w:szCs w:val="18"/>
                        </w:rPr>
                      </w:pPr>
                      <w:r w:rsidRPr="00315434">
                        <w:fldChar w:fldCharType="begin"/>
                      </w:r>
                      <w:r w:rsidR="00D65307">
                        <w:instrText>PAGE    \* MERGEFORMAT</w:instrText>
                      </w:r>
                      <w:r w:rsidRPr="00315434">
                        <w:fldChar w:fldCharType="separate"/>
                      </w:r>
                      <w:r w:rsidR="002C7C8F" w:rsidRPr="002C7C8F">
                        <w:rPr>
                          <w:i/>
                          <w:iCs/>
                          <w:noProof/>
                          <w:sz w:val="18"/>
                          <w:szCs w:val="18"/>
                        </w:rPr>
                        <w:t>55</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5" o:spid="_x0000_s1029"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6" o:spid="_x0000_s1030"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7" o:spid="_x0000_s1031"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wrap type="none"/>
              <w10:anchorlock/>
            </v:group>
          </w:pict>
        </w:r>
      </w:p>
    </w:sdtContent>
  </w:sdt>
  <w:p w:rsidR="00D65307" w:rsidRDefault="00D6530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781" w:rsidRDefault="00255781" w:rsidP="00AD274F">
      <w:pPr>
        <w:spacing w:after="0" w:line="240" w:lineRule="auto"/>
      </w:pPr>
      <w:r>
        <w:separator/>
      </w:r>
    </w:p>
  </w:footnote>
  <w:footnote w:type="continuationSeparator" w:id="1">
    <w:p w:rsidR="00255781" w:rsidRDefault="00255781" w:rsidP="00AD274F">
      <w:pPr>
        <w:spacing w:after="0" w:line="240" w:lineRule="auto"/>
      </w:pPr>
      <w:r>
        <w:continuationSeparator/>
      </w:r>
    </w:p>
  </w:footnote>
  <w:footnote w:id="2">
    <w:p w:rsidR="00D65307" w:rsidRPr="00511669" w:rsidRDefault="00D65307" w:rsidP="00522896">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‘Vrijspraak ex-neuroloog Jansen Steur voor medische delicten’, </w:t>
      </w:r>
      <w:r w:rsidRPr="00511669">
        <w:rPr>
          <w:rFonts w:ascii="Verdana" w:hAnsi="Verdana"/>
          <w:i/>
          <w:sz w:val="16"/>
          <w:szCs w:val="16"/>
        </w:rPr>
        <w:t xml:space="preserve">NOS </w:t>
      </w:r>
      <w:r w:rsidRPr="00511669">
        <w:rPr>
          <w:rFonts w:ascii="Verdana" w:hAnsi="Verdana"/>
          <w:sz w:val="16"/>
          <w:szCs w:val="16"/>
        </w:rPr>
        <w:t>18 juni 2015.</w:t>
      </w:r>
    </w:p>
  </w:footnote>
  <w:footnote w:id="3">
    <w:p w:rsidR="00D65307" w:rsidRDefault="00D65307" w:rsidP="00522896">
      <w:pPr>
        <w:pStyle w:val="Voetnoottekst"/>
      </w:pPr>
      <w:r w:rsidRPr="00511669">
        <w:rPr>
          <w:rStyle w:val="Voetnootmarkering"/>
          <w:rFonts w:ascii="Verdana" w:hAnsi="Verdana"/>
          <w:sz w:val="16"/>
          <w:szCs w:val="16"/>
        </w:rPr>
        <w:footnoteRef/>
      </w:r>
      <w:r w:rsidRPr="00511669">
        <w:rPr>
          <w:rFonts w:ascii="Verdana" w:hAnsi="Verdana"/>
          <w:sz w:val="16"/>
          <w:szCs w:val="16"/>
        </w:rPr>
        <w:t xml:space="preserve"> ‘Copiloot was behandeld om zelfmoordneigingen’, </w:t>
      </w:r>
      <w:r w:rsidRPr="00511669">
        <w:rPr>
          <w:rFonts w:ascii="Verdana" w:hAnsi="Verdana"/>
          <w:i/>
          <w:sz w:val="16"/>
          <w:szCs w:val="16"/>
        </w:rPr>
        <w:t>de Volkskrant</w:t>
      </w:r>
      <w:r w:rsidRPr="00511669">
        <w:rPr>
          <w:rFonts w:ascii="Verdana" w:hAnsi="Verdana"/>
          <w:sz w:val="16"/>
          <w:szCs w:val="16"/>
        </w:rPr>
        <w:t xml:space="preserve"> 30 maart 2015.</w:t>
      </w:r>
    </w:p>
  </w:footnote>
  <w:footnote w:id="4">
    <w:p w:rsidR="00D65307" w:rsidRPr="00511669" w:rsidRDefault="00D65307" w:rsidP="00522896">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1 maart 1985, ECLI:NL:HR:1985:AC9066, </w:t>
      </w:r>
      <w:r w:rsidRPr="00511669">
        <w:rPr>
          <w:rFonts w:ascii="Verdana" w:hAnsi="Verdana"/>
          <w:i/>
          <w:sz w:val="16"/>
          <w:szCs w:val="16"/>
        </w:rPr>
        <w:t>NJ</w:t>
      </w:r>
      <w:r>
        <w:rPr>
          <w:rFonts w:ascii="Verdana" w:hAnsi="Verdana"/>
          <w:sz w:val="16"/>
          <w:szCs w:val="16"/>
        </w:rPr>
        <w:t xml:space="preserve"> 1986/</w:t>
      </w:r>
      <w:r w:rsidRPr="00511669">
        <w:rPr>
          <w:rFonts w:ascii="Verdana" w:hAnsi="Verdana"/>
          <w:sz w:val="16"/>
          <w:szCs w:val="16"/>
        </w:rPr>
        <w:t>173</w:t>
      </w:r>
      <w:r>
        <w:rPr>
          <w:rFonts w:ascii="Verdana" w:hAnsi="Verdana"/>
          <w:sz w:val="16"/>
          <w:szCs w:val="16"/>
        </w:rPr>
        <w:t>.</w:t>
      </w:r>
    </w:p>
  </w:footnote>
  <w:footnote w:id="5">
    <w:p w:rsidR="00D65307" w:rsidRPr="00511669" w:rsidRDefault="00D65307" w:rsidP="00522896">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Melis &amp;</w:t>
      </w:r>
      <w:r>
        <w:rPr>
          <w:rFonts w:ascii="Verdana" w:hAnsi="Verdana"/>
          <w:sz w:val="16"/>
          <w:szCs w:val="16"/>
        </w:rPr>
        <w:t> </w:t>
      </w:r>
      <w:r w:rsidRPr="00511669">
        <w:rPr>
          <w:rFonts w:ascii="Verdana" w:hAnsi="Verdana"/>
          <w:sz w:val="16"/>
          <w:szCs w:val="16"/>
        </w:rPr>
        <w:t xml:space="preserve">Waaijer (2012), p. 232. </w:t>
      </w:r>
    </w:p>
  </w:footnote>
  <w:footnote w:id="6">
    <w:p w:rsidR="00D65307" w:rsidRPr="00511669" w:rsidRDefault="00D65307" w:rsidP="005D5E25">
      <w:pPr>
        <w:pStyle w:val="Voetnoottekst"/>
        <w:rPr>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21 april 1913, </w:t>
      </w:r>
      <w:r w:rsidRPr="00511669">
        <w:rPr>
          <w:rFonts w:ascii="Verdana" w:hAnsi="Verdana"/>
          <w:i/>
          <w:sz w:val="16"/>
          <w:szCs w:val="16"/>
        </w:rPr>
        <w:t xml:space="preserve">NJ </w:t>
      </w:r>
      <w:r>
        <w:rPr>
          <w:rFonts w:ascii="Verdana" w:hAnsi="Verdana"/>
          <w:sz w:val="16"/>
          <w:szCs w:val="16"/>
        </w:rPr>
        <w:t>1913/</w:t>
      </w:r>
      <w:r w:rsidRPr="00511669">
        <w:rPr>
          <w:rFonts w:ascii="Verdana" w:hAnsi="Verdana"/>
          <w:sz w:val="16"/>
          <w:szCs w:val="16"/>
        </w:rPr>
        <w:t>958.</w:t>
      </w:r>
    </w:p>
  </w:footnote>
  <w:footnote w:id="7">
    <w:p w:rsidR="00D65307" w:rsidRPr="00511669" w:rsidRDefault="00D65307" w:rsidP="005D5E25">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1 maart 1985, ECLI:NL:HR:1985:AC9066, </w:t>
      </w:r>
      <w:r w:rsidRPr="00511669">
        <w:rPr>
          <w:rFonts w:ascii="Verdana" w:hAnsi="Verdana"/>
          <w:i/>
          <w:sz w:val="16"/>
          <w:szCs w:val="16"/>
        </w:rPr>
        <w:t>NJ</w:t>
      </w:r>
      <w:r>
        <w:rPr>
          <w:rFonts w:ascii="Verdana" w:hAnsi="Verdana"/>
          <w:sz w:val="16"/>
          <w:szCs w:val="16"/>
        </w:rPr>
        <w:t xml:space="preserve"> 1986/173.</w:t>
      </w:r>
    </w:p>
  </w:footnote>
  <w:footnote w:id="8">
    <w:p w:rsidR="00D65307" w:rsidRPr="001F1B2F" w:rsidRDefault="00D65307" w:rsidP="00522896">
      <w:pPr>
        <w:pStyle w:val="Voetnoottekst"/>
        <w:rPr>
          <w:rFonts w:ascii="Verdana" w:hAnsi="Verdana"/>
          <w:sz w:val="18"/>
          <w:szCs w:val="18"/>
        </w:rPr>
      </w:pPr>
      <w:r w:rsidRPr="00511669">
        <w:rPr>
          <w:rStyle w:val="Voetnootmarkering"/>
          <w:rFonts w:ascii="Verdana" w:hAnsi="Verdana"/>
          <w:sz w:val="16"/>
          <w:szCs w:val="16"/>
        </w:rPr>
        <w:footnoteRef/>
      </w:r>
      <w:r w:rsidRPr="00511669">
        <w:rPr>
          <w:rFonts w:ascii="Verdana" w:hAnsi="Verdana"/>
          <w:sz w:val="16"/>
          <w:szCs w:val="16"/>
        </w:rPr>
        <w:t xml:space="preserve"> HR 30 nove</w:t>
      </w:r>
      <w:r>
        <w:rPr>
          <w:rFonts w:ascii="Verdana" w:hAnsi="Verdana"/>
          <w:sz w:val="16"/>
          <w:szCs w:val="16"/>
        </w:rPr>
        <w:t>mber 1999, ECLI:NL:HR:1999:ZD7280</w:t>
      </w:r>
      <w:r w:rsidRPr="00511669">
        <w:rPr>
          <w:rFonts w:ascii="Verdana" w:hAnsi="Verdana"/>
          <w:sz w:val="16"/>
          <w:szCs w:val="16"/>
        </w:rPr>
        <w:t xml:space="preserve">, </w:t>
      </w:r>
      <w:r w:rsidRPr="00511669">
        <w:rPr>
          <w:rFonts w:ascii="Verdana" w:hAnsi="Verdana"/>
          <w:i/>
          <w:sz w:val="16"/>
          <w:szCs w:val="16"/>
        </w:rPr>
        <w:t>NJ</w:t>
      </w:r>
      <w:r>
        <w:rPr>
          <w:rFonts w:ascii="Verdana" w:hAnsi="Verdana"/>
          <w:sz w:val="16"/>
          <w:szCs w:val="16"/>
        </w:rPr>
        <w:t xml:space="preserve"> 2002/438, m.nt. Y. Buruma</w:t>
      </w:r>
      <w:r w:rsidRPr="00511669">
        <w:rPr>
          <w:rFonts w:ascii="Verdana" w:hAnsi="Verdana"/>
          <w:sz w:val="16"/>
          <w:szCs w:val="16"/>
        </w:rPr>
        <w:t>.</w:t>
      </w:r>
    </w:p>
  </w:footnote>
  <w:footnote w:id="9">
    <w:p w:rsidR="00D65307" w:rsidRPr="00511669" w:rsidRDefault="00D65307" w:rsidP="00522896">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Kastelein, </w:t>
      </w:r>
      <w:r w:rsidRPr="00511669">
        <w:rPr>
          <w:rFonts w:ascii="Verdana" w:hAnsi="Verdana"/>
          <w:i/>
          <w:sz w:val="16"/>
          <w:szCs w:val="16"/>
        </w:rPr>
        <w:t>TvGR</w:t>
      </w:r>
      <w:r w:rsidRPr="00511669">
        <w:rPr>
          <w:rFonts w:ascii="Verdana" w:hAnsi="Verdana"/>
          <w:sz w:val="16"/>
          <w:szCs w:val="16"/>
        </w:rPr>
        <w:t xml:space="preserve"> 2013, afl. 8, p. 764 t/m 773.</w:t>
      </w:r>
    </w:p>
  </w:footnote>
  <w:footnote w:id="10">
    <w:p w:rsidR="00D65307" w:rsidRPr="00511669" w:rsidRDefault="00D65307" w:rsidP="00522896">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O.a. HR 27 mei 2008, ECLI:NL:HR:2008:BC1370.</w:t>
      </w:r>
    </w:p>
  </w:footnote>
  <w:footnote w:id="11">
    <w:p w:rsidR="00D65307" w:rsidRDefault="00D65307" w:rsidP="00522896">
      <w:pPr>
        <w:pStyle w:val="Voetnoottekst"/>
      </w:pPr>
      <w:r w:rsidRPr="00511669">
        <w:rPr>
          <w:rStyle w:val="Voetnootmarkering"/>
          <w:rFonts w:ascii="Verdana" w:hAnsi="Verdana"/>
          <w:sz w:val="16"/>
          <w:szCs w:val="16"/>
        </w:rPr>
        <w:footnoteRef/>
      </w:r>
      <w:r w:rsidRPr="00511669">
        <w:rPr>
          <w:rFonts w:ascii="Verdana" w:hAnsi="Verdana"/>
          <w:sz w:val="16"/>
          <w:szCs w:val="16"/>
        </w:rPr>
        <w:t xml:space="preserve"> Kastelein, </w:t>
      </w:r>
      <w:r w:rsidRPr="00511669">
        <w:rPr>
          <w:rFonts w:ascii="Verdana" w:hAnsi="Verdana"/>
          <w:i/>
          <w:sz w:val="16"/>
          <w:szCs w:val="16"/>
        </w:rPr>
        <w:t>TvGR</w:t>
      </w:r>
      <w:r w:rsidRPr="00511669">
        <w:rPr>
          <w:rFonts w:ascii="Verdana" w:hAnsi="Verdana"/>
          <w:sz w:val="16"/>
          <w:szCs w:val="16"/>
        </w:rPr>
        <w:t xml:space="preserve"> 2013, afl. 8, p. 764 t/m 773.</w:t>
      </w:r>
    </w:p>
  </w:footnote>
  <w:footnote w:id="12">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Pr>
          <w:rFonts w:ascii="Verdana" w:hAnsi="Verdana"/>
          <w:sz w:val="16"/>
          <w:szCs w:val="16"/>
        </w:rPr>
        <w:t> </w:t>
      </w:r>
      <w:r w:rsidRPr="00511669">
        <w:rPr>
          <w:rFonts w:ascii="Verdana" w:hAnsi="Verdana"/>
          <w:sz w:val="16"/>
          <w:szCs w:val="16"/>
        </w:rPr>
        <w:t>Remmelink</w:t>
      </w:r>
      <w:r>
        <w:rPr>
          <w:rFonts w:ascii="Verdana" w:hAnsi="Verdana"/>
          <w:sz w:val="16"/>
          <w:szCs w:val="16"/>
        </w:rPr>
        <w:t> </w:t>
      </w:r>
      <w:r w:rsidRPr="00511669">
        <w:rPr>
          <w:rFonts w:ascii="Verdana" w:hAnsi="Verdana"/>
          <w:sz w:val="16"/>
          <w:szCs w:val="16"/>
        </w:rPr>
        <w:t xml:space="preserve">&amp; Hazewinkel-Suringa’s (1996), p. 71. </w:t>
      </w:r>
    </w:p>
  </w:footnote>
  <w:footnote w:id="13">
    <w:p w:rsidR="00D65307" w:rsidRPr="00511669" w:rsidRDefault="00D65307" w:rsidP="008559E4">
      <w:pPr>
        <w:pStyle w:val="Voetnoottekst"/>
        <w:rPr>
          <w:rFonts w:ascii="Verdana" w:hAnsi="Verdana"/>
          <w:sz w:val="16"/>
          <w:szCs w:val="16"/>
        </w:rPr>
      </w:pPr>
      <w:r w:rsidRPr="00511669">
        <w:rPr>
          <w:rStyle w:val="Voetnootmarkering"/>
          <w:rFonts w:ascii="Verdana" w:hAnsi="Verdana"/>
          <w:sz w:val="16"/>
          <w:szCs w:val="16"/>
        </w:rPr>
        <w:footnoteRef/>
      </w:r>
      <w:r>
        <w:rPr>
          <w:rFonts w:ascii="Verdana" w:hAnsi="Verdana"/>
          <w:sz w:val="16"/>
          <w:szCs w:val="16"/>
        </w:rPr>
        <w:t> </w:t>
      </w:r>
      <w:r w:rsidRPr="00511669">
        <w:rPr>
          <w:rFonts w:ascii="Verdana" w:hAnsi="Verdana"/>
          <w:sz w:val="16"/>
          <w:szCs w:val="16"/>
        </w:rPr>
        <w:t>Bannier e.a. (2008), p. 11.</w:t>
      </w:r>
    </w:p>
  </w:footnote>
  <w:footnote w:id="14">
    <w:p w:rsidR="00D65307" w:rsidRPr="00511669" w:rsidRDefault="00D65307" w:rsidP="002232F5">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21 april 1913, </w:t>
      </w:r>
      <w:r w:rsidRPr="00511669">
        <w:rPr>
          <w:rFonts w:ascii="Verdana" w:hAnsi="Verdana"/>
          <w:i/>
          <w:sz w:val="16"/>
          <w:szCs w:val="16"/>
        </w:rPr>
        <w:t>NJ</w:t>
      </w:r>
      <w:r>
        <w:rPr>
          <w:rFonts w:ascii="Verdana" w:hAnsi="Verdana"/>
          <w:sz w:val="16"/>
          <w:szCs w:val="16"/>
        </w:rPr>
        <w:t xml:space="preserve"> 1913/</w:t>
      </w:r>
      <w:r w:rsidRPr="00511669">
        <w:rPr>
          <w:rFonts w:ascii="Verdana" w:hAnsi="Verdana"/>
          <w:sz w:val="16"/>
          <w:szCs w:val="16"/>
        </w:rPr>
        <w:t>958.</w:t>
      </w:r>
    </w:p>
  </w:footnote>
  <w:footnote w:id="15">
    <w:p w:rsidR="00D65307" w:rsidRDefault="00D65307" w:rsidP="002232F5">
      <w:pPr>
        <w:pStyle w:val="Voetnoottekst"/>
      </w:pPr>
      <w:r w:rsidRPr="00511669">
        <w:rPr>
          <w:rStyle w:val="Voetnootmarkering"/>
          <w:rFonts w:ascii="Verdana" w:hAnsi="Verdana"/>
          <w:sz w:val="16"/>
          <w:szCs w:val="16"/>
        </w:rPr>
        <w:footnoteRef/>
      </w:r>
      <w:r>
        <w:rPr>
          <w:rFonts w:ascii="Verdana" w:hAnsi="Verdana"/>
          <w:sz w:val="16"/>
          <w:szCs w:val="16"/>
        </w:rPr>
        <w:t> </w:t>
      </w:r>
      <w:r w:rsidRPr="00511669">
        <w:rPr>
          <w:rFonts w:ascii="Verdana" w:hAnsi="Verdana"/>
          <w:sz w:val="16"/>
          <w:szCs w:val="16"/>
        </w:rPr>
        <w:t>Spronken (2001), p.</w:t>
      </w:r>
      <w:r>
        <w:rPr>
          <w:rFonts w:ascii="Verdana" w:hAnsi="Verdana"/>
          <w:sz w:val="16"/>
          <w:szCs w:val="16"/>
        </w:rPr>
        <w:t> </w:t>
      </w:r>
      <w:r w:rsidRPr="00511669">
        <w:rPr>
          <w:rFonts w:ascii="Verdana" w:hAnsi="Verdana"/>
          <w:sz w:val="16"/>
          <w:szCs w:val="16"/>
        </w:rPr>
        <w:t>386.</w:t>
      </w:r>
    </w:p>
  </w:footnote>
  <w:footnote w:id="16">
    <w:p w:rsidR="00D65307" w:rsidRPr="00511669" w:rsidRDefault="00D65307" w:rsidP="00806716">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29 juni 2004, ECLI:NL:HR:2004:AO5070</w:t>
      </w:r>
      <w:r>
        <w:rPr>
          <w:rFonts w:ascii="Verdana" w:hAnsi="Verdana"/>
          <w:sz w:val="16"/>
          <w:szCs w:val="16"/>
        </w:rPr>
        <w:t xml:space="preserve">, </w:t>
      </w:r>
      <w:r>
        <w:rPr>
          <w:rFonts w:ascii="Verdana" w:hAnsi="Verdana"/>
          <w:i/>
          <w:sz w:val="16"/>
          <w:szCs w:val="16"/>
        </w:rPr>
        <w:t xml:space="preserve">NJ </w:t>
      </w:r>
      <w:r>
        <w:rPr>
          <w:rFonts w:ascii="Verdana" w:hAnsi="Verdana"/>
          <w:sz w:val="16"/>
          <w:szCs w:val="16"/>
        </w:rPr>
        <w:t>2005/273, m.nt. G. Knigge</w:t>
      </w:r>
      <w:r w:rsidRPr="00511669">
        <w:rPr>
          <w:rFonts w:ascii="Verdana" w:hAnsi="Verdana"/>
          <w:sz w:val="16"/>
          <w:szCs w:val="16"/>
        </w:rPr>
        <w:t xml:space="preserve">. </w:t>
      </w:r>
    </w:p>
  </w:footnote>
  <w:footnote w:id="17">
    <w:p w:rsidR="00D65307" w:rsidRPr="00511669" w:rsidRDefault="00D65307" w:rsidP="000B4F21">
      <w:pPr>
        <w:spacing w:after="0" w:line="22" w:lineRule="atLea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Vertaling uit: </w:t>
      </w:r>
      <w:r w:rsidRPr="000B4F21">
        <w:rPr>
          <w:rFonts w:ascii="Verdana" w:hAnsi="Verdana"/>
          <w:sz w:val="16"/>
          <w:szCs w:val="16"/>
        </w:rPr>
        <w:t xml:space="preserve">Van Hooff &amp; Horstmanshoff, </w:t>
      </w:r>
      <w:r w:rsidRPr="000B4F21">
        <w:rPr>
          <w:rFonts w:ascii="Verdana" w:hAnsi="Verdana"/>
          <w:i/>
          <w:sz w:val="16"/>
          <w:szCs w:val="16"/>
        </w:rPr>
        <w:t xml:space="preserve">NKV </w:t>
      </w:r>
      <w:r w:rsidRPr="000B4F21">
        <w:rPr>
          <w:rFonts w:ascii="Verdana" w:hAnsi="Verdana"/>
          <w:sz w:val="16"/>
          <w:szCs w:val="16"/>
        </w:rPr>
        <w:t>1999, afl. 71 (2), p. 128 t/m 130</w:t>
      </w:r>
    </w:p>
  </w:footnote>
  <w:footnote w:id="18">
    <w:p w:rsidR="00D65307" w:rsidRPr="00511669" w:rsidRDefault="00D65307" w:rsidP="00F46F46">
      <w:pPr>
        <w:pStyle w:val="Voetnoottekst"/>
        <w:rPr>
          <w:rFonts w:ascii="Verdana" w:hAnsi="Verdana"/>
          <w:sz w:val="16"/>
          <w:szCs w:val="16"/>
        </w:rPr>
      </w:pPr>
      <w:r w:rsidRPr="00D24F9F">
        <w:rPr>
          <w:rStyle w:val="Voetnootmarkering"/>
          <w:rFonts w:ascii="Verdana" w:hAnsi="Verdana"/>
          <w:sz w:val="16"/>
          <w:szCs w:val="16"/>
        </w:rPr>
        <w:footnoteRef/>
      </w:r>
      <w:r w:rsidRPr="00D24F9F">
        <w:rPr>
          <w:rFonts w:ascii="Verdana" w:hAnsi="Verdana"/>
          <w:sz w:val="16"/>
          <w:szCs w:val="16"/>
        </w:rPr>
        <w:t xml:space="preserve"> Jansen &amp; Knapen (2012), </w:t>
      </w:r>
      <w:r>
        <w:rPr>
          <w:rFonts w:ascii="Verdana" w:hAnsi="Verdana"/>
          <w:sz w:val="16"/>
          <w:szCs w:val="16"/>
        </w:rPr>
        <w:t xml:space="preserve">p. </w:t>
      </w:r>
      <w:r w:rsidRPr="00D24F9F">
        <w:rPr>
          <w:rFonts w:ascii="Verdana" w:hAnsi="Verdana"/>
          <w:sz w:val="16"/>
          <w:szCs w:val="16"/>
        </w:rPr>
        <w:t>205 t/m 207.</w:t>
      </w:r>
    </w:p>
  </w:footnote>
  <w:footnote w:id="19">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Pr>
          <w:rFonts w:ascii="Verdana" w:hAnsi="Verdana"/>
          <w:sz w:val="16"/>
          <w:szCs w:val="16"/>
        </w:rPr>
        <w:t xml:space="preserve"> Zie</w:t>
      </w:r>
      <w:r w:rsidRPr="00511669">
        <w:rPr>
          <w:rFonts w:ascii="Verdana" w:hAnsi="Verdana"/>
          <w:sz w:val="16"/>
          <w:szCs w:val="16"/>
        </w:rPr>
        <w:t xml:space="preserve"> kopje 4.4. </w:t>
      </w:r>
    </w:p>
  </w:footnote>
  <w:footnote w:id="20">
    <w:p w:rsidR="00D65307" w:rsidRPr="00EE5D68" w:rsidRDefault="00D65307">
      <w:pPr>
        <w:pStyle w:val="Voetnoottekst"/>
      </w:pPr>
      <w:r w:rsidRPr="00511669">
        <w:rPr>
          <w:rStyle w:val="Voetnootmarkering"/>
          <w:rFonts w:ascii="Verdana" w:hAnsi="Verdana"/>
          <w:sz w:val="16"/>
          <w:szCs w:val="16"/>
        </w:rPr>
        <w:footnoteRef/>
      </w:r>
      <w:r w:rsidRPr="00511669">
        <w:rPr>
          <w:rFonts w:ascii="Verdana" w:hAnsi="Verdana"/>
          <w:sz w:val="16"/>
          <w:szCs w:val="16"/>
        </w:rPr>
        <w:t xml:space="preserve"> Commissie Herziening Artseneed, ‘</w:t>
      </w:r>
      <w:r w:rsidRPr="00511669">
        <w:rPr>
          <w:rFonts w:ascii="Verdana" w:hAnsi="Verdana"/>
          <w:i/>
          <w:sz w:val="16"/>
          <w:szCs w:val="16"/>
        </w:rPr>
        <w:t>Nederlandse artseneed’</w:t>
      </w:r>
      <w:r w:rsidRPr="00511669">
        <w:rPr>
          <w:rFonts w:ascii="Verdana" w:hAnsi="Verdana"/>
          <w:sz w:val="16"/>
          <w:szCs w:val="16"/>
        </w:rPr>
        <w:t>, Houten: Drukkerij Badoux 2010.</w:t>
      </w:r>
    </w:p>
  </w:footnote>
  <w:footnote w:id="21">
    <w:p w:rsidR="00D65307" w:rsidRPr="007B30C2"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1 maart 1985, ECLI:NL:HR:1985:AC9066, </w:t>
      </w:r>
      <w:r w:rsidRPr="00511669">
        <w:rPr>
          <w:rFonts w:ascii="Verdana" w:hAnsi="Verdana"/>
          <w:i/>
          <w:sz w:val="16"/>
          <w:szCs w:val="16"/>
        </w:rPr>
        <w:t>NJ</w:t>
      </w:r>
      <w:r>
        <w:rPr>
          <w:rFonts w:ascii="Verdana" w:hAnsi="Verdana"/>
          <w:sz w:val="16"/>
          <w:szCs w:val="16"/>
        </w:rPr>
        <w:t xml:space="preserve"> 1986/173.</w:t>
      </w:r>
    </w:p>
  </w:footnote>
  <w:footnote w:id="22">
    <w:p w:rsidR="00D65307" w:rsidRPr="00511669" w:rsidRDefault="00D65307">
      <w:pPr>
        <w:pStyle w:val="Voetnoottekst"/>
        <w:rPr>
          <w:rFonts w:ascii="Verdana" w:hAnsi="Verdana"/>
          <w:sz w:val="16"/>
          <w:szCs w:val="16"/>
        </w:rPr>
      </w:pPr>
      <w:r w:rsidRPr="00120385">
        <w:rPr>
          <w:rStyle w:val="Voetnootmarkering"/>
          <w:rFonts w:ascii="Verdana" w:hAnsi="Verdana"/>
          <w:sz w:val="16"/>
          <w:szCs w:val="16"/>
        </w:rPr>
        <w:footnoteRef/>
      </w:r>
      <w:r w:rsidRPr="00120385">
        <w:rPr>
          <w:rFonts w:ascii="Verdana" w:hAnsi="Verdana"/>
          <w:sz w:val="16"/>
          <w:szCs w:val="16"/>
        </w:rPr>
        <w:t xml:space="preserve"> Melis &amp; Waaijer (2012), p. 232.</w:t>
      </w:r>
    </w:p>
  </w:footnote>
  <w:footnote w:id="23">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Zie art. 3 lid 1 WNA. </w:t>
      </w:r>
    </w:p>
  </w:footnote>
  <w:footnote w:id="24">
    <w:p w:rsidR="00D65307" w:rsidRPr="00511669" w:rsidRDefault="00D65307" w:rsidP="007B30C2">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Zie art. 3 lid 2 WNA. </w:t>
      </w:r>
    </w:p>
  </w:footnote>
  <w:footnote w:id="25">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Zie art. 3 lid 6 WNA. </w:t>
      </w:r>
    </w:p>
  </w:footnote>
  <w:footnote w:id="26">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Zie art. 3 lid 2 WNA. </w:t>
      </w:r>
    </w:p>
  </w:footnote>
  <w:footnote w:id="27">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Pr>
          <w:rFonts w:ascii="Verdana" w:hAnsi="Verdana"/>
          <w:sz w:val="16"/>
          <w:szCs w:val="16"/>
        </w:rPr>
        <w:t xml:space="preserve"> Zie art. 3 lid 5</w:t>
      </w:r>
      <w:r w:rsidRPr="00511669">
        <w:rPr>
          <w:rFonts w:ascii="Verdana" w:hAnsi="Verdana"/>
          <w:sz w:val="16"/>
          <w:szCs w:val="16"/>
        </w:rPr>
        <w:t xml:space="preserve"> WNA. </w:t>
      </w:r>
    </w:p>
  </w:footnote>
  <w:footnote w:id="28">
    <w:p w:rsidR="00D65307" w:rsidRPr="00511669" w:rsidRDefault="00D65307" w:rsidP="00B93508">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Wet van 29 september 2011 tot wijziging van de Wet op het notarisambt naar aanleiding van de evaluatie van die wet, alsmede regeling van enkele andere onderwerpen in die wet en wijziging van de Wet op het centraal testamentenregister en van de Wet ter voorkoming van witwassen en financieren van terrorisme, Stb. 2011, 470.</w:t>
      </w:r>
    </w:p>
  </w:footnote>
  <w:footnote w:id="29">
    <w:p w:rsidR="00D65307" w:rsidRPr="00740DFD" w:rsidRDefault="00D65307">
      <w:pPr>
        <w:pStyle w:val="Voetnoottekst"/>
        <w:rPr>
          <w:rFonts w:ascii="Verdana" w:hAnsi="Verdana"/>
          <w:sz w:val="18"/>
          <w:szCs w:val="18"/>
          <w:lang w:val="en-US"/>
        </w:rPr>
      </w:pPr>
      <w:r w:rsidRPr="00511669">
        <w:rPr>
          <w:rStyle w:val="Voetnootmarkering"/>
          <w:rFonts w:ascii="Verdana" w:hAnsi="Verdana"/>
          <w:sz w:val="16"/>
          <w:szCs w:val="16"/>
        </w:rPr>
        <w:footnoteRef/>
      </w:r>
      <w:r>
        <w:rPr>
          <w:rFonts w:ascii="Verdana" w:hAnsi="Verdana"/>
          <w:sz w:val="16"/>
          <w:szCs w:val="16"/>
          <w:lang w:val="en-US"/>
        </w:rPr>
        <w:t xml:space="preserve"> Art. 61a</w:t>
      </w:r>
      <w:r w:rsidRPr="00511669">
        <w:rPr>
          <w:rFonts w:ascii="Verdana" w:hAnsi="Verdana"/>
          <w:sz w:val="16"/>
          <w:szCs w:val="16"/>
          <w:lang w:val="en-US"/>
        </w:rPr>
        <w:t xml:space="preserve"> lid 3 WNA.</w:t>
      </w:r>
    </w:p>
  </w:footnote>
  <w:footnote w:id="30">
    <w:p w:rsidR="00D65307" w:rsidRPr="00511669" w:rsidRDefault="00D65307">
      <w:pPr>
        <w:pStyle w:val="Voetnoottekst"/>
        <w:rPr>
          <w:sz w:val="16"/>
          <w:szCs w:val="16"/>
          <w:lang w:val="en-US"/>
        </w:rPr>
      </w:pPr>
      <w:r w:rsidRPr="00511669">
        <w:rPr>
          <w:rStyle w:val="Voetnootmarkering"/>
          <w:rFonts w:ascii="Verdana" w:hAnsi="Verdana"/>
          <w:sz w:val="16"/>
          <w:szCs w:val="16"/>
        </w:rPr>
        <w:footnoteRef/>
      </w:r>
      <w:r w:rsidRPr="00511669">
        <w:rPr>
          <w:rFonts w:ascii="Verdana" w:hAnsi="Verdana"/>
          <w:sz w:val="16"/>
          <w:szCs w:val="16"/>
          <w:lang w:val="en-US"/>
        </w:rPr>
        <w:t xml:space="preserve"> Art. 94 lid 2 WNA.</w:t>
      </w:r>
    </w:p>
  </w:footnote>
  <w:footnote w:id="31">
    <w:p w:rsidR="00D65307" w:rsidRPr="00511669" w:rsidRDefault="00D65307">
      <w:pPr>
        <w:pStyle w:val="Voetnoottekst"/>
        <w:rPr>
          <w:rFonts w:ascii="Verdana" w:hAnsi="Verdana"/>
          <w:sz w:val="16"/>
          <w:szCs w:val="16"/>
          <w:lang w:val="en-US"/>
        </w:rPr>
      </w:pPr>
      <w:r w:rsidRPr="00511669">
        <w:rPr>
          <w:rStyle w:val="Voetnootmarkering"/>
          <w:rFonts w:ascii="Verdana" w:hAnsi="Verdana"/>
          <w:sz w:val="16"/>
          <w:szCs w:val="16"/>
        </w:rPr>
        <w:footnoteRef/>
      </w:r>
      <w:r w:rsidRPr="00511669">
        <w:rPr>
          <w:rFonts w:ascii="Verdana" w:hAnsi="Verdana"/>
          <w:sz w:val="16"/>
          <w:szCs w:val="16"/>
          <w:lang w:val="en-US"/>
        </w:rPr>
        <w:t xml:space="preserve"> Art. 99a lid 5 WNA. </w:t>
      </w:r>
    </w:p>
  </w:footnote>
  <w:footnote w:id="32">
    <w:p w:rsidR="00D65307" w:rsidRPr="00511669" w:rsidRDefault="00D65307">
      <w:pPr>
        <w:pStyle w:val="Voetnoottekst"/>
        <w:rPr>
          <w:rFonts w:ascii="Verdana" w:hAnsi="Verdana"/>
          <w:sz w:val="16"/>
          <w:szCs w:val="16"/>
          <w:lang w:val="en-US"/>
        </w:rPr>
      </w:pPr>
      <w:r w:rsidRPr="00511669">
        <w:rPr>
          <w:rStyle w:val="Voetnootmarkering"/>
          <w:rFonts w:ascii="Verdana" w:hAnsi="Verdana"/>
          <w:sz w:val="16"/>
          <w:szCs w:val="16"/>
        </w:rPr>
        <w:footnoteRef/>
      </w:r>
      <w:r w:rsidRPr="00511669">
        <w:rPr>
          <w:rFonts w:ascii="Verdana" w:hAnsi="Verdana"/>
          <w:sz w:val="16"/>
          <w:szCs w:val="16"/>
          <w:lang w:val="en-US"/>
        </w:rPr>
        <w:t xml:space="preserve"> Art. 111a lid 3 WNA. </w:t>
      </w:r>
    </w:p>
  </w:footnote>
  <w:footnote w:id="33">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Hof Amsterdam 25 oktober 2007, ECLI:NL:GHAMS:2007:BB6708.</w:t>
      </w:r>
    </w:p>
  </w:footnote>
  <w:footnote w:id="34">
    <w:p w:rsidR="00D65307" w:rsidRPr="00511669" w:rsidRDefault="00D65307" w:rsidP="0001378F">
      <w:pPr>
        <w:spacing w:after="0" w:line="22" w:lineRule="atLeast"/>
        <w:rPr>
          <w:rFonts w:ascii="Verdana" w:hAnsi="Verdana"/>
          <w:b/>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Kamerst</w:t>
      </w:r>
      <w:r>
        <w:rPr>
          <w:rFonts w:ascii="Verdana" w:hAnsi="Verdana"/>
          <w:sz w:val="16"/>
          <w:szCs w:val="16"/>
        </w:rPr>
        <w:t xml:space="preserve">ukken II 2009/10, 32250, nr. 3, p. 8 (MvT). </w:t>
      </w:r>
    </w:p>
  </w:footnote>
  <w:footnote w:id="35">
    <w:p w:rsidR="00D65307" w:rsidRPr="00CD6AB4" w:rsidRDefault="00D65307">
      <w:pPr>
        <w:pStyle w:val="Voetnoottekst"/>
        <w:rPr>
          <w:rFonts w:ascii="Verdana" w:hAnsi="Verdana"/>
          <w:sz w:val="18"/>
          <w:szCs w:val="18"/>
        </w:rPr>
      </w:pPr>
      <w:r w:rsidRPr="00511669">
        <w:rPr>
          <w:rStyle w:val="Voetnootmarkering"/>
          <w:rFonts w:ascii="Verdana" w:hAnsi="Verdana"/>
          <w:sz w:val="16"/>
          <w:szCs w:val="16"/>
        </w:rPr>
        <w:footnoteRef/>
      </w:r>
      <w:r w:rsidRPr="00511669">
        <w:rPr>
          <w:rFonts w:ascii="Verdana" w:hAnsi="Verdana"/>
          <w:sz w:val="16"/>
          <w:szCs w:val="16"/>
        </w:rPr>
        <w:t xml:space="preserve"> Wet van 24 november 2011 tot wijziging van de Wet op het notarisambt in verband met de invoering van een informatieplicht ten aanzien van gegevens betreffende de bijzondere rekening, bedoeld in artikel 25 van die wet (informatieplicht derdengeldenrekening notariaat), Stb. 2011, 557.</w:t>
      </w:r>
    </w:p>
  </w:footnote>
  <w:footnote w:id="36">
    <w:p w:rsidR="00D65307" w:rsidRPr="00511669" w:rsidRDefault="00D65307">
      <w:pPr>
        <w:pStyle w:val="Voetnoottekst"/>
        <w:rPr>
          <w:rFonts w:ascii="Verdana" w:hAnsi="Verdana"/>
          <w:sz w:val="16"/>
          <w:szCs w:val="16"/>
          <w:lang w:val="en-US"/>
        </w:rPr>
      </w:pPr>
      <w:r w:rsidRPr="00511669">
        <w:rPr>
          <w:rStyle w:val="Voetnootmarkering"/>
          <w:rFonts w:ascii="Verdana" w:hAnsi="Verdana"/>
          <w:sz w:val="16"/>
          <w:szCs w:val="16"/>
        </w:rPr>
        <w:footnoteRef/>
      </w:r>
      <w:r w:rsidRPr="00511669">
        <w:rPr>
          <w:rFonts w:ascii="Verdana" w:hAnsi="Verdana"/>
          <w:sz w:val="16"/>
          <w:szCs w:val="16"/>
          <w:lang w:val="en-US"/>
        </w:rPr>
        <w:t xml:space="preserve"> Art. 25 lid 8 WNA.</w:t>
      </w:r>
    </w:p>
  </w:footnote>
  <w:footnote w:id="37">
    <w:p w:rsidR="00D65307" w:rsidRPr="00511669" w:rsidRDefault="00D65307">
      <w:pPr>
        <w:pStyle w:val="Voetnoottekst"/>
        <w:rPr>
          <w:rFonts w:ascii="Verdana" w:hAnsi="Verdana"/>
          <w:sz w:val="16"/>
          <w:szCs w:val="16"/>
          <w:lang w:val="en-US"/>
        </w:rPr>
      </w:pPr>
      <w:r w:rsidRPr="00511669">
        <w:rPr>
          <w:rStyle w:val="Voetnootmarkering"/>
          <w:rFonts w:ascii="Verdana" w:hAnsi="Verdana"/>
          <w:sz w:val="16"/>
          <w:szCs w:val="16"/>
        </w:rPr>
        <w:footnoteRef/>
      </w:r>
      <w:r w:rsidRPr="00511669">
        <w:rPr>
          <w:rFonts w:ascii="Verdana" w:hAnsi="Verdana"/>
          <w:sz w:val="16"/>
          <w:szCs w:val="16"/>
          <w:lang w:val="en-US"/>
        </w:rPr>
        <w:t xml:space="preserve"> Art. 25 lid 9 WNA. </w:t>
      </w:r>
    </w:p>
  </w:footnote>
  <w:footnote w:id="38">
    <w:p w:rsidR="00D65307" w:rsidRPr="00511669" w:rsidRDefault="00D65307">
      <w:pPr>
        <w:pStyle w:val="Voetnoottekst"/>
        <w:rPr>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Besluit van 1 december 2011, houdende de vaststelling van het tijdstip van inwerkingtreding van enkele artikelen, of onderdelen daarvan, van de wet van 29 september 2011 tot wijziging van de Wet op het notarisambt naar aanleiding van de evaluatie van die wet, alsmede regeling van enkele andere onderwerpen in die wet en wijziging van de Wet op het centraal testamentenregister en van de Wet ter voorkoming van witwassen financieren van terrorisme (Stb. 2011, 470), Stb. 2011, 587; Besluit van 13 december 2011, houdende de vaststelling van het tijdstip van inwerkingtreding van de wet van 24 november 2011 tot wijziging van de Wet op het notarisambt in verband met de invoering van een informatieplicht ten aanzien van gegevens betreffende de bijzondere rekening, bedoeld in artikel 25 van die wet (informatieplicht derdengeldenrekening notariaat) (Stb. 2011, 557), Stb. 2011, 625. </w:t>
      </w:r>
    </w:p>
  </w:footnote>
  <w:footnote w:id="39">
    <w:p w:rsidR="00D65307" w:rsidRPr="00511669" w:rsidRDefault="00D65307" w:rsidP="00200AE9">
      <w:pPr>
        <w:pStyle w:val="Voetnoottekst"/>
        <w:rPr>
          <w:rFonts w:ascii="Verdana" w:hAnsi="Verdana"/>
          <w:sz w:val="16"/>
          <w:szCs w:val="16"/>
        </w:rPr>
      </w:pPr>
      <w:r w:rsidRPr="00511669">
        <w:rPr>
          <w:rStyle w:val="Voetnootmarkering"/>
          <w:rFonts w:ascii="Verdana" w:hAnsi="Verdana"/>
          <w:sz w:val="16"/>
          <w:szCs w:val="16"/>
        </w:rPr>
        <w:footnoteRef/>
      </w:r>
      <w:r>
        <w:rPr>
          <w:rFonts w:ascii="Verdana" w:hAnsi="Verdana"/>
          <w:sz w:val="16"/>
          <w:szCs w:val="16"/>
        </w:rPr>
        <w:t> </w:t>
      </w:r>
      <w:r w:rsidRPr="00511669">
        <w:rPr>
          <w:rFonts w:ascii="Verdana" w:hAnsi="Verdana"/>
          <w:sz w:val="16"/>
          <w:szCs w:val="16"/>
        </w:rPr>
        <w:t>Christopoulos (1999), p. 24.</w:t>
      </w:r>
    </w:p>
  </w:footnote>
  <w:footnote w:id="40">
    <w:p w:rsidR="00D65307" w:rsidRPr="00511669" w:rsidRDefault="00D65307">
      <w:pPr>
        <w:pStyle w:val="Voetnoottekst"/>
        <w:rPr>
          <w:sz w:val="16"/>
          <w:szCs w:val="16"/>
        </w:rPr>
      </w:pPr>
      <w:r w:rsidRPr="00511669">
        <w:rPr>
          <w:rStyle w:val="Voetnootmarkering"/>
          <w:rFonts w:ascii="Verdana" w:hAnsi="Verdana"/>
          <w:sz w:val="16"/>
          <w:szCs w:val="16"/>
        </w:rPr>
        <w:footnoteRef/>
      </w:r>
      <w:r>
        <w:rPr>
          <w:rFonts w:ascii="Verdana" w:hAnsi="Verdana"/>
          <w:sz w:val="16"/>
          <w:szCs w:val="16"/>
        </w:rPr>
        <w:t> </w:t>
      </w:r>
      <w:r w:rsidRPr="00511669">
        <w:rPr>
          <w:rFonts w:ascii="Verdana" w:hAnsi="Verdana"/>
          <w:sz w:val="16"/>
          <w:szCs w:val="16"/>
        </w:rPr>
        <w:t>Chirstopoulos (1999), p. 25-27.</w:t>
      </w:r>
    </w:p>
  </w:footnote>
  <w:footnote w:id="41">
    <w:p w:rsidR="00D65307" w:rsidRPr="001F1B2F" w:rsidRDefault="00D65307">
      <w:pPr>
        <w:pStyle w:val="Voetnoottekst"/>
        <w:rPr>
          <w:rFonts w:ascii="Verdana" w:hAnsi="Verdana"/>
          <w:sz w:val="18"/>
          <w:szCs w:val="18"/>
        </w:rPr>
      </w:pPr>
      <w:r w:rsidRPr="00511669">
        <w:rPr>
          <w:rStyle w:val="Voetnootmarkering"/>
          <w:rFonts w:ascii="Verdana" w:hAnsi="Verdana"/>
          <w:sz w:val="16"/>
          <w:szCs w:val="16"/>
        </w:rPr>
        <w:footnoteRef/>
      </w:r>
      <w:r w:rsidRPr="00511669">
        <w:rPr>
          <w:rFonts w:ascii="Verdana" w:hAnsi="Verdana"/>
          <w:sz w:val="16"/>
          <w:szCs w:val="16"/>
        </w:rPr>
        <w:t xml:space="preserve"> Zie art. 3 lid 1 Advocatenwet.</w:t>
      </w:r>
    </w:p>
  </w:footnote>
  <w:footnote w:id="42">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Zie art. 3 lid 2 Advocatenwet. </w:t>
      </w:r>
    </w:p>
  </w:footnote>
  <w:footnote w:id="43">
    <w:p w:rsidR="00D65307" w:rsidRPr="00511669" w:rsidRDefault="00D65307">
      <w:pPr>
        <w:pStyle w:val="Voetnoottekst"/>
        <w:rPr>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Art. 10 lid 1 Gw.</w:t>
      </w:r>
    </w:p>
  </w:footnote>
  <w:footnote w:id="44">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Wet van 1 oktober 2014 tot aanpassing van de Advocatenwet en enige andere wetten in verband met de positie van de advocatuur in de rechtsorde en herziening van het toezicht op advocaten (Wet positie en toezicht advocatuur), Stb. 2014, 354. </w:t>
      </w:r>
    </w:p>
  </w:footnote>
  <w:footnote w:id="45">
    <w:p w:rsidR="00D65307" w:rsidRPr="00511669" w:rsidRDefault="00D65307">
      <w:pPr>
        <w:pStyle w:val="Voetnoottekst"/>
        <w:rPr>
          <w:rFonts w:ascii="Verdana" w:hAnsi="Verdana"/>
          <w:sz w:val="16"/>
          <w:szCs w:val="16"/>
          <w:lang w:val="en-US"/>
        </w:rPr>
      </w:pPr>
      <w:r w:rsidRPr="00511669">
        <w:rPr>
          <w:rStyle w:val="Voetnootmarkering"/>
          <w:rFonts w:ascii="Verdana" w:hAnsi="Verdana"/>
          <w:sz w:val="16"/>
          <w:szCs w:val="16"/>
        </w:rPr>
        <w:footnoteRef/>
      </w:r>
      <w:r w:rsidRPr="00511669">
        <w:rPr>
          <w:rFonts w:ascii="Verdana" w:hAnsi="Verdana"/>
          <w:sz w:val="16"/>
          <w:szCs w:val="16"/>
          <w:lang w:val="en-US"/>
        </w:rPr>
        <w:t xml:space="preserve"> Art. 45a lid 3 Advocatenwet. </w:t>
      </w:r>
    </w:p>
  </w:footnote>
  <w:footnote w:id="46">
    <w:p w:rsidR="00D65307" w:rsidRPr="00511669" w:rsidRDefault="00D65307">
      <w:pPr>
        <w:pStyle w:val="Voetnoottekst"/>
        <w:rPr>
          <w:sz w:val="16"/>
          <w:szCs w:val="16"/>
          <w:lang w:val="en-US"/>
        </w:rPr>
      </w:pPr>
      <w:r w:rsidRPr="00511669">
        <w:rPr>
          <w:rStyle w:val="Voetnootmarkering"/>
          <w:rFonts w:ascii="Verdana" w:hAnsi="Verdana"/>
          <w:sz w:val="16"/>
          <w:szCs w:val="16"/>
        </w:rPr>
        <w:footnoteRef/>
      </w:r>
      <w:r>
        <w:rPr>
          <w:rFonts w:ascii="Verdana" w:hAnsi="Verdana"/>
          <w:sz w:val="16"/>
          <w:szCs w:val="16"/>
          <w:lang w:val="en-US"/>
        </w:rPr>
        <w:t xml:space="preserve"> Art. 46m</w:t>
      </w:r>
      <w:r w:rsidRPr="00511669">
        <w:rPr>
          <w:rFonts w:ascii="Verdana" w:hAnsi="Verdana"/>
          <w:sz w:val="16"/>
          <w:szCs w:val="16"/>
          <w:lang w:val="en-US"/>
        </w:rPr>
        <w:t xml:space="preserve"> lid 3 Advocatenwet.</w:t>
      </w:r>
    </w:p>
  </w:footnote>
  <w:footnote w:id="47">
    <w:p w:rsidR="00D65307" w:rsidRPr="00DE75F0" w:rsidRDefault="00D65307">
      <w:pPr>
        <w:pStyle w:val="Voetnoottekst"/>
        <w:rPr>
          <w:rFonts w:ascii="Verdana" w:hAnsi="Verdana"/>
          <w:sz w:val="18"/>
          <w:szCs w:val="18"/>
        </w:rPr>
      </w:pPr>
      <w:r w:rsidRPr="00511669">
        <w:rPr>
          <w:rStyle w:val="Voetnootmarkering"/>
          <w:rFonts w:ascii="Verdana" w:hAnsi="Verdana"/>
          <w:sz w:val="16"/>
          <w:szCs w:val="16"/>
        </w:rPr>
        <w:footnoteRef/>
      </w:r>
      <w:r w:rsidRPr="00511669">
        <w:rPr>
          <w:rFonts w:ascii="Verdana" w:hAnsi="Verdana"/>
          <w:sz w:val="16"/>
          <w:szCs w:val="16"/>
        </w:rPr>
        <w:t xml:space="preserve"> Art. 60d lid 1 Advocatenwet.</w:t>
      </w:r>
    </w:p>
  </w:footnote>
  <w:footnote w:id="48">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Besluit van 10 november 2014, houdende vaststelling van het tijdstip van inwerkingtreding van de Wet positie toezicht advocatuur, Stb. 2014, 429. </w:t>
      </w:r>
    </w:p>
  </w:footnote>
  <w:footnote w:id="49">
    <w:p w:rsidR="00D65307" w:rsidRPr="00511669" w:rsidRDefault="00D65307" w:rsidP="00CE6D04">
      <w:pPr>
        <w:pStyle w:val="Voetnoottekst"/>
        <w:rPr>
          <w:rFonts w:ascii="Verdana" w:hAnsi="Verdana"/>
          <w:sz w:val="16"/>
          <w:szCs w:val="16"/>
        </w:rPr>
      </w:pPr>
      <w:r w:rsidRPr="00511669">
        <w:rPr>
          <w:rStyle w:val="Voetnootmarkering"/>
          <w:rFonts w:ascii="Verdana" w:hAnsi="Verdana"/>
          <w:sz w:val="16"/>
          <w:szCs w:val="16"/>
        </w:rPr>
        <w:footnoteRef/>
      </w:r>
      <w:r>
        <w:rPr>
          <w:rFonts w:ascii="Verdana" w:hAnsi="Verdana"/>
          <w:sz w:val="16"/>
          <w:szCs w:val="16"/>
        </w:rPr>
        <w:t> Art</w:t>
      </w:r>
      <w:r w:rsidRPr="00511669">
        <w:rPr>
          <w:rFonts w:ascii="Verdana" w:hAnsi="Verdana"/>
          <w:sz w:val="16"/>
          <w:szCs w:val="16"/>
        </w:rPr>
        <w:t xml:space="preserve">. 10 lid </w:t>
      </w:r>
      <w:r>
        <w:rPr>
          <w:rFonts w:ascii="Verdana" w:hAnsi="Verdana"/>
          <w:sz w:val="16"/>
          <w:szCs w:val="16"/>
        </w:rPr>
        <w:t>1</w:t>
      </w:r>
      <w:r w:rsidRPr="00511669">
        <w:rPr>
          <w:rFonts w:ascii="Verdana" w:hAnsi="Verdana"/>
          <w:sz w:val="16"/>
          <w:szCs w:val="16"/>
        </w:rPr>
        <w:t xml:space="preserve">, </w:t>
      </w:r>
      <w:r>
        <w:rPr>
          <w:rFonts w:ascii="Verdana" w:hAnsi="Verdana"/>
          <w:sz w:val="16"/>
          <w:szCs w:val="16"/>
        </w:rPr>
        <w:t xml:space="preserve">art. </w:t>
      </w:r>
      <w:r w:rsidRPr="00511669">
        <w:rPr>
          <w:rFonts w:ascii="Verdana" w:hAnsi="Verdana"/>
          <w:sz w:val="16"/>
          <w:szCs w:val="16"/>
        </w:rPr>
        <w:t>12 lid 1</w:t>
      </w:r>
      <w:r>
        <w:rPr>
          <w:rFonts w:ascii="Verdana" w:hAnsi="Verdana"/>
          <w:sz w:val="16"/>
          <w:szCs w:val="16"/>
        </w:rPr>
        <w:t xml:space="preserve"> en 2 &amp; art.</w:t>
      </w:r>
      <w:r w:rsidRPr="00511669">
        <w:rPr>
          <w:rFonts w:ascii="Verdana" w:hAnsi="Verdana"/>
          <w:sz w:val="16"/>
          <w:szCs w:val="16"/>
        </w:rPr>
        <w:t xml:space="preserve"> 13 lid 1 en 2 Gw.</w:t>
      </w:r>
    </w:p>
  </w:footnote>
  <w:footnote w:id="50">
    <w:p w:rsidR="00D65307" w:rsidRPr="00511669" w:rsidRDefault="00D65307" w:rsidP="00CE6D04">
      <w:pPr>
        <w:pStyle w:val="Voetnoottekst"/>
        <w:rPr>
          <w:rFonts w:ascii="Verdana" w:hAnsi="Verdana"/>
          <w:sz w:val="16"/>
          <w:szCs w:val="16"/>
        </w:rPr>
      </w:pPr>
      <w:r w:rsidRPr="00511669">
        <w:rPr>
          <w:rStyle w:val="Voetnootmarkering"/>
          <w:rFonts w:ascii="Verdana" w:hAnsi="Verdana"/>
          <w:sz w:val="16"/>
          <w:szCs w:val="16"/>
        </w:rPr>
        <w:footnoteRef/>
      </w:r>
      <w:r>
        <w:rPr>
          <w:rFonts w:ascii="Verdana" w:hAnsi="Verdana"/>
          <w:sz w:val="16"/>
          <w:szCs w:val="16"/>
        </w:rPr>
        <w:t> </w:t>
      </w:r>
      <w:r w:rsidRPr="00511669">
        <w:rPr>
          <w:rFonts w:ascii="Verdana" w:hAnsi="Verdana"/>
          <w:sz w:val="16"/>
          <w:szCs w:val="16"/>
        </w:rPr>
        <w:t>Bannier e.a. (2008), p. 8.</w:t>
      </w:r>
    </w:p>
  </w:footnote>
  <w:footnote w:id="51">
    <w:p w:rsidR="00D65307" w:rsidRPr="001F1B2F" w:rsidRDefault="00D65307" w:rsidP="00CE6D04">
      <w:pPr>
        <w:pStyle w:val="Voetnoottekst"/>
        <w:rPr>
          <w:rFonts w:ascii="Verdana" w:hAnsi="Verdana"/>
          <w:sz w:val="18"/>
          <w:szCs w:val="18"/>
        </w:rPr>
      </w:pPr>
      <w:r w:rsidRPr="00511669">
        <w:rPr>
          <w:rStyle w:val="Voetnootmarkering"/>
          <w:rFonts w:ascii="Verdana" w:hAnsi="Verdana"/>
          <w:sz w:val="16"/>
          <w:szCs w:val="16"/>
        </w:rPr>
        <w:footnoteRef/>
      </w:r>
      <w:r>
        <w:rPr>
          <w:rFonts w:ascii="Verdana" w:hAnsi="Verdana"/>
          <w:sz w:val="16"/>
          <w:szCs w:val="16"/>
        </w:rPr>
        <w:t> </w:t>
      </w:r>
      <w:r w:rsidRPr="00511669">
        <w:rPr>
          <w:rFonts w:ascii="Verdana" w:hAnsi="Verdana"/>
          <w:sz w:val="16"/>
          <w:szCs w:val="16"/>
        </w:rPr>
        <w:t>Bannier e.a. (2008), p. 6-7.</w:t>
      </w:r>
    </w:p>
  </w:footnote>
  <w:footnote w:id="52">
    <w:p w:rsidR="00D65307" w:rsidRPr="00511669" w:rsidRDefault="00D65307">
      <w:pPr>
        <w:pStyle w:val="Voetnoottekst"/>
        <w:rPr>
          <w:i/>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Ministerie van Volksgezondheid, Welzijn en Sport, </w:t>
      </w:r>
      <w:r w:rsidRPr="00511669">
        <w:rPr>
          <w:rFonts w:ascii="Verdana" w:hAnsi="Verdana"/>
          <w:i/>
          <w:sz w:val="16"/>
          <w:szCs w:val="16"/>
        </w:rPr>
        <w:t>‘Factsheet medisch beroepsgeheim’,</w:t>
      </w:r>
      <w:r w:rsidRPr="00511669">
        <w:rPr>
          <w:rFonts w:ascii="Verdana" w:hAnsi="Verdana"/>
          <w:sz w:val="16"/>
          <w:szCs w:val="16"/>
        </w:rPr>
        <w:t xml:space="preserve"> 30 juni 2015</w:t>
      </w:r>
      <w:r w:rsidRPr="00511669">
        <w:rPr>
          <w:rFonts w:ascii="Verdana" w:hAnsi="Verdana"/>
          <w:i/>
          <w:sz w:val="16"/>
          <w:szCs w:val="16"/>
        </w:rPr>
        <w:t>.</w:t>
      </w:r>
    </w:p>
  </w:footnote>
  <w:footnote w:id="53">
    <w:p w:rsidR="00D65307" w:rsidRPr="00511669" w:rsidRDefault="00D65307" w:rsidP="003E18E2">
      <w:pPr>
        <w:pStyle w:val="Voetnoottekst"/>
        <w:rPr>
          <w:rFonts w:ascii="Verdana" w:hAnsi="Verdana"/>
          <w:sz w:val="16"/>
          <w:szCs w:val="16"/>
        </w:rPr>
      </w:pPr>
      <w:r w:rsidRPr="00511669">
        <w:rPr>
          <w:rStyle w:val="Voetnootmarkering"/>
          <w:rFonts w:ascii="Verdana" w:hAnsi="Verdana"/>
          <w:sz w:val="16"/>
          <w:szCs w:val="16"/>
        </w:rPr>
        <w:footnoteRef/>
      </w:r>
      <w:r>
        <w:rPr>
          <w:rFonts w:ascii="Verdana" w:hAnsi="Verdana"/>
          <w:sz w:val="16"/>
          <w:szCs w:val="16"/>
        </w:rPr>
        <w:t> Bannier e.a. (2008), p. 9</w:t>
      </w:r>
      <w:r w:rsidRPr="00511669">
        <w:rPr>
          <w:rFonts w:ascii="Verdana" w:hAnsi="Verdana"/>
          <w:sz w:val="16"/>
          <w:szCs w:val="16"/>
        </w:rPr>
        <w:t xml:space="preserve">. </w:t>
      </w:r>
    </w:p>
  </w:footnote>
  <w:footnote w:id="54">
    <w:p w:rsidR="00D65307" w:rsidRPr="00511669" w:rsidRDefault="00D65307" w:rsidP="003E18E2">
      <w:pPr>
        <w:pStyle w:val="Voetnoottekst"/>
        <w:rPr>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1 maart 1985, ECLI:NL:HR:1985:AC9066, </w:t>
      </w:r>
      <w:r w:rsidRPr="00511669">
        <w:rPr>
          <w:rFonts w:ascii="Verdana" w:hAnsi="Verdana"/>
          <w:i/>
          <w:sz w:val="16"/>
          <w:szCs w:val="16"/>
        </w:rPr>
        <w:t>NJ</w:t>
      </w:r>
      <w:r>
        <w:rPr>
          <w:rFonts w:ascii="Verdana" w:hAnsi="Verdana"/>
          <w:sz w:val="16"/>
          <w:szCs w:val="16"/>
        </w:rPr>
        <w:t xml:space="preserve"> 1986/</w:t>
      </w:r>
      <w:r w:rsidRPr="00511669">
        <w:rPr>
          <w:rFonts w:ascii="Verdana" w:hAnsi="Verdana"/>
          <w:sz w:val="16"/>
          <w:szCs w:val="16"/>
        </w:rPr>
        <w:t>173.</w:t>
      </w:r>
    </w:p>
  </w:footnote>
  <w:footnote w:id="55">
    <w:p w:rsidR="00D65307" w:rsidRPr="00511669" w:rsidRDefault="00D65307">
      <w:pPr>
        <w:pStyle w:val="Voetnoottekst"/>
        <w:rPr>
          <w:rFonts w:ascii="Verdana" w:hAnsi="Verdana"/>
          <w:sz w:val="16"/>
          <w:szCs w:val="16"/>
          <w:lang w:val="en-US"/>
        </w:rPr>
      </w:pPr>
      <w:r w:rsidRPr="00511669">
        <w:rPr>
          <w:rStyle w:val="Voetnootmarkering"/>
          <w:rFonts w:ascii="Verdana" w:hAnsi="Verdana"/>
          <w:sz w:val="16"/>
          <w:szCs w:val="16"/>
        </w:rPr>
        <w:footnoteRef/>
      </w:r>
      <w:r w:rsidRPr="00511669">
        <w:rPr>
          <w:rFonts w:ascii="Verdana" w:hAnsi="Verdana"/>
          <w:sz w:val="16"/>
          <w:szCs w:val="16"/>
          <w:lang w:val="en-US"/>
        </w:rPr>
        <w:t xml:space="preserve"> Art. 22</w:t>
      </w:r>
      <w:r>
        <w:rPr>
          <w:rFonts w:ascii="Verdana" w:hAnsi="Verdana"/>
          <w:sz w:val="16"/>
          <w:szCs w:val="16"/>
          <w:lang w:val="en-US"/>
        </w:rPr>
        <w:t xml:space="preserve"> lid 1</w:t>
      </w:r>
      <w:r w:rsidRPr="00511669">
        <w:rPr>
          <w:rFonts w:ascii="Verdana" w:hAnsi="Verdana"/>
          <w:sz w:val="16"/>
          <w:szCs w:val="16"/>
          <w:lang w:val="en-US"/>
        </w:rPr>
        <w:t xml:space="preserve">Gw. </w:t>
      </w:r>
    </w:p>
  </w:footnote>
  <w:footnote w:id="56">
    <w:p w:rsidR="00D65307" w:rsidRPr="00DD65CF" w:rsidRDefault="00D65307">
      <w:pPr>
        <w:pStyle w:val="Voetnoottekst"/>
        <w:rPr>
          <w:rFonts w:ascii="Verdana" w:hAnsi="Verdana"/>
          <w:sz w:val="18"/>
          <w:szCs w:val="18"/>
          <w:lang w:val="en-US"/>
        </w:rPr>
      </w:pPr>
      <w:r w:rsidRPr="00511669">
        <w:rPr>
          <w:rStyle w:val="Voetnootmarkering"/>
          <w:rFonts w:ascii="Verdana" w:hAnsi="Verdana"/>
          <w:sz w:val="16"/>
          <w:szCs w:val="16"/>
        </w:rPr>
        <w:footnoteRef/>
      </w:r>
      <w:r w:rsidRPr="00511669">
        <w:rPr>
          <w:rFonts w:ascii="Verdana" w:hAnsi="Verdana"/>
          <w:sz w:val="16"/>
          <w:szCs w:val="16"/>
          <w:lang w:val="en-US"/>
        </w:rPr>
        <w:t xml:space="preserve"> Art. 6 EVRM.</w:t>
      </w:r>
    </w:p>
  </w:footnote>
  <w:footnote w:id="57">
    <w:p w:rsidR="00D65307" w:rsidRPr="002F5D43" w:rsidRDefault="00D65307" w:rsidP="00C6304B">
      <w:pPr>
        <w:pStyle w:val="Voetnoottekst"/>
        <w:rPr>
          <w:rFonts w:ascii="Verdana" w:hAnsi="Verdana"/>
          <w:sz w:val="16"/>
          <w:szCs w:val="16"/>
        </w:rPr>
      </w:pPr>
      <w:r w:rsidRPr="00511669">
        <w:rPr>
          <w:rStyle w:val="Voetnootmarkering"/>
          <w:rFonts w:ascii="Verdana" w:hAnsi="Verdana"/>
          <w:sz w:val="16"/>
          <w:szCs w:val="16"/>
        </w:rPr>
        <w:footnoteRef/>
      </w:r>
      <w:r w:rsidRPr="002F5D43">
        <w:rPr>
          <w:rFonts w:ascii="Verdana" w:hAnsi="Verdana"/>
          <w:sz w:val="16"/>
          <w:szCs w:val="16"/>
        </w:rPr>
        <w:t> Bannier</w:t>
      </w:r>
      <w:r>
        <w:rPr>
          <w:rFonts w:ascii="Verdana" w:hAnsi="Verdana"/>
          <w:sz w:val="16"/>
          <w:szCs w:val="16"/>
        </w:rPr>
        <w:t> </w:t>
      </w:r>
      <w:r w:rsidRPr="002F5D43">
        <w:rPr>
          <w:rFonts w:ascii="Verdana" w:hAnsi="Verdana"/>
          <w:sz w:val="16"/>
          <w:szCs w:val="16"/>
        </w:rPr>
        <w:t xml:space="preserve">e.a. (2008), p. 3. </w:t>
      </w:r>
    </w:p>
  </w:footnote>
  <w:footnote w:id="58">
    <w:p w:rsidR="00D65307" w:rsidRPr="00511669" w:rsidRDefault="00D65307" w:rsidP="00C6304B">
      <w:pPr>
        <w:pStyle w:val="Voetnoottekst"/>
        <w:rPr>
          <w:rFonts w:ascii="Verdana" w:hAnsi="Verdana"/>
          <w:sz w:val="16"/>
          <w:szCs w:val="16"/>
        </w:rPr>
      </w:pPr>
      <w:r w:rsidRPr="00511669">
        <w:rPr>
          <w:rStyle w:val="Voetnootmarkering"/>
          <w:rFonts w:ascii="Verdana" w:hAnsi="Verdana"/>
          <w:sz w:val="16"/>
          <w:szCs w:val="16"/>
        </w:rPr>
        <w:footnoteRef/>
      </w:r>
      <w:r>
        <w:rPr>
          <w:rFonts w:ascii="Verdana" w:hAnsi="Verdana"/>
          <w:sz w:val="16"/>
          <w:szCs w:val="16"/>
        </w:rPr>
        <w:t> </w:t>
      </w:r>
      <w:r w:rsidRPr="00511669">
        <w:rPr>
          <w:rFonts w:ascii="Verdana" w:hAnsi="Verdana"/>
          <w:sz w:val="16"/>
          <w:szCs w:val="16"/>
        </w:rPr>
        <w:t xml:space="preserve">Bannier e.a. (2008), p. 3-4; Vranken &amp; Lubbers (1986), p.97. </w:t>
      </w:r>
    </w:p>
  </w:footnote>
  <w:footnote w:id="59">
    <w:p w:rsidR="00D65307" w:rsidRDefault="00D65307" w:rsidP="00C6304B">
      <w:pPr>
        <w:pStyle w:val="Voetnoottekst"/>
      </w:pPr>
      <w:r w:rsidRPr="00511669">
        <w:rPr>
          <w:rStyle w:val="Voetnootmarkering"/>
          <w:rFonts w:ascii="Verdana" w:hAnsi="Verdana"/>
          <w:sz w:val="16"/>
          <w:szCs w:val="16"/>
        </w:rPr>
        <w:footnoteRef/>
      </w:r>
      <w:r w:rsidRPr="00511669">
        <w:rPr>
          <w:rFonts w:ascii="Verdana" w:hAnsi="Verdana"/>
          <w:sz w:val="16"/>
          <w:szCs w:val="16"/>
        </w:rPr>
        <w:t xml:space="preserve"> HR 1 maart 1985, ECLI:NL:HR:1985:AC9066, </w:t>
      </w:r>
      <w:r w:rsidRPr="00511669">
        <w:rPr>
          <w:rFonts w:ascii="Verdana" w:hAnsi="Verdana"/>
          <w:i/>
          <w:sz w:val="16"/>
          <w:szCs w:val="16"/>
        </w:rPr>
        <w:t>NJ</w:t>
      </w:r>
      <w:r>
        <w:rPr>
          <w:rFonts w:ascii="Verdana" w:hAnsi="Verdana"/>
          <w:sz w:val="16"/>
          <w:szCs w:val="16"/>
        </w:rPr>
        <w:t xml:space="preserve"> 1986/</w:t>
      </w:r>
      <w:r w:rsidRPr="00511669">
        <w:rPr>
          <w:rFonts w:ascii="Verdana" w:hAnsi="Verdana"/>
          <w:sz w:val="16"/>
          <w:szCs w:val="16"/>
        </w:rPr>
        <w:t>173.</w:t>
      </w:r>
    </w:p>
  </w:footnote>
  <w:footnote w:id="60">
    <w:p w:rsidR="00D65307" w:rsidRPr="00511669" w:rsidRDefault="00D65307" w:rsidP="00C6304B">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Zie art. 272 Sr, aant. 9.  </w:t>
      </w:r>
    </w:p>
  </w:footnote>
  <w:footnote w:id="61">
    <w:p w:rsidR="00D65307" w:rsidRPr="00511669" w:rsidRDefault="00D65307" w:rsidP="00C6304B">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Zie</w:t>
      </w:r>
      <w:r>
        <w:rPr>
          <w:rFonts w:ascii="Verdana" w:hAnsi="Verdana"/>
          <w:sz w:val="16"/>
          <w:szCs w:val="16"/>
        </w:rPr>
        <w:t xml:space="preserve"> ook:</w:t>
      </w:r>
      <w:r w:rsidRPr="00511669">
        <w:rPr>
          <w:rFonts w:ascii="Verdana" w:hAnsi="Verdana"/>
          <w:sz w:val="16"/>
          <w:szCs w:val="16"/>
        </w:rPr>
        <w:t xml:space="preserve"> art. 272 Sr, aant. 13. </w:t>
      </w:r>
    </w:p>
  </w:footnote>
  <w:footnote w:id="62">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Van Domburg (1994), p. 29. </w:t>
      </w:r>
    </w:p>
  </w:footnote>
  <w:footnote w:id="63">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Van Domburg (1994), p. 29. </w:t>
      </w:r>
    </w:p>
  </w:footnote>
  <w:footnote w:id="64">
    <w:p w:rsidR="00D65307" w:rsidRPr="00511669" w:rsidRDefault="00D65307" w:rsidP="00C6304B">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Art. 217 onder 1 Sv.</w:t>
      </w:r>
    </w:p>
  </w:footnote>
  <w:footnote w:id="65">
    <w:p w:rsidR="00D65307" w:rsidRPr="00511669" w:rsidRDefault="00D65307" w:rsidP="00C6304B">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Art. 217 onder 2 Sv.</w:t>
      </w:r>
    </w:p>
  </w:footnote>
  <w:footnote w:id="66">
    <w:p w:rsidR="00D65307" w:rsidRDefault="00D65307" w:rsidP="00C6304B">
      <w:pPr>
        <w:pStyle w:val="Voetnoottekst"/>
      </w:pPr>
      <w:r w:rsidRPr="00511669">
        <w:rPr>
          <w:rStyle w:val="Voetnootmarkering"/>
          <w:rFonts w:ascii="Verdana" w:hAnsi="Verdana"/>
          <w:sz w:val="16"/>
          <w:szCs w:val="16"/>
        </w:rPr>
        <w:footnoteRef/>
      </w:r>
      <w:r w:rsidRPr="00511669">
        <w:rPr>
          <w:rFonts w:ascii="Verdana" w:hAnsi="Verdana"/>
          <w:sz w:val="16"/>
          <w:szCs w:val="16"/>
        </w:rPr>
        <w:t xml:space="preserve"> Art. 217 onder 3 Sv.</w:t>
      </w:r>
    </w:p>
  </w:footnote>
  <w:footnote w:id="67">
    <w:p w:rsidR="00D65307" w:rsidRPr="00511669" w:rsidRDefault="00D65307" w:rsidP="00C6304B">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Kamerstukken II 2003/04, 29743, nr. 3, p. 9 &amp; 17</w:t>
      </w:r>
      <w:r>
        <w:rPr>
          <w:rFonts w:ascii="Verdana" w:hAnsi="Verdana"/>
          <w:sz w:val="16"/>
          <w:szCs w:val="16"/>
        </w:rPr>
        <w:t xml:space="preserve"> (MvT)</w:t>
      </w:r>
      <w:r w:rsidRPr="00511669">
        <w:rPr>
          <w:rFonts w:ascii="Verdana" w:hAnsi="Verdana"/>
          <w:sz w:val="16"/>
          <w:szCs w:val="16"/>
        </w:rPr>
        <w:t xml:space="preserve">. </w:t>
      </w:r>
    </w:p>
  </w:footnote>
  <w:footnote w:id="68">
    <w:p w:rsidR="00D65307" w:rsidRPr="00511669" w:rsidRDefault="00D65307" w:rsidP="00F46F46">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CMT 28 september 1972,</w:t>
      </w:r>
      <w:r>
        <w:rPr>
          <w:rFonts w:ascii="Verdana" w:hAnsi="Verdana"/>
          <w:sz w:val="16"/>
          <w:szCs w:val="16"/>
        </w:rPr>
        <w:t xml:space="preserve"> ECLI:NL:TCMT:1972:AE3003,</w:t>
      </w:r>
      <w:r w:rsidRPr="00511669">
        <w:rPr>
          <w:rFonts w:ascii="Verdana" w:hAnsi="Verdana"/>
          <w:i/>
          <w:sz w:val="16"/>
          <w:szCs w:val="16"/>
        </w:rPr>
        <w:t>NJ</w:t>
      </w:r>
      <w:r>
        <w:rPr>
          <w:rFonts w:ascii="Verdana" w:hAnsi="Verdana"/>
          <w:sz w:val="16"/>
          <w:szCs w:val="16"/>
        </w:rPr>
        <w:t xml:space="preserve"> 1973/</w:t>
      </w:r>
      <w:r w:rsidRPr="00511669">
        <w:rPr>
          <w:rFonts w:ascii="Verdana" w:hAnsi="Verdana"/>
          <w:sz w:val="16"/>
          <w:szCs w:val="16"/>
        </w:rPr>
        <w:t xml:space="preserve">270. </w:t>
      </w:r>
    </w:p>
  </w:footnote>
  <w:footnote w:id="69">
    <w:p w:rsidR="00D65307" w:rsidRPr="00511669" w:rsidRDefault="00D65307" w:rsidP="00F46F46">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MT Groningen 28 november 1956, </w:t>
      </w:r>
      <w:r w:rsidRPr="00511669">
        <w:rPr>
          <w:rFonts w:ascii="Verdana" w:hAnsi="Verdana"/>
          <w:i/>
          <w:sz w:val="16"/>
          <w:szCs w:val="16"/>
        </w:rPr>
        <w:t>NJ</w:t>
      </w:r>
      <w:r>
        <w:rPr>
          <w:rFonts w:ascii="Verdana" w:hAnsi="Verdana"/>
          <w:sz w:val="16"/>
          <w:szCs w:val="16"/>
        </w:rPr>
        <w:t xml:space="preserve"> 1957/</w:t>
      </w:r>
      <w:r w:rsidRPr="00511669">
        <w:rPr>
          <w:rFonts w:ascii="Verdana" w:hAnsi="Verdana"/>
          <w:sz w:val="16"/>
          <w:szCs w:val="16"/>
        </w:rPr>
        <w:t>366.</w:t>
      </w:r>
    </w:p>
  </w:footnote>
  <w:footnote w:id="70">
    <w:p w:rsidR="00D65307" w:rsidRPr="00511669" w:rsidRDefault="00D65307" w:rsidP="00F46F46">
      <w:pPr>
        <w:pStyle w:val="Voetnoottekst"/>
        <w:rPr>
          <w:rFonts w:ascii="Verdana" w:hAnsi="Verdana"/>
          <w:sz w:val="16"/>
          <w:szCs w:val="16"/>
        </w:rPr>
      </w:pPr>
      <w:r w:rsidRPr="00511669">
        <w:rPr>
          <w:rStyle w:val="Voetnootmarkering"/>
          <w:rFonts w:ascii="Verdana" w:hAnsi="Verdana"/>
          <w:sz w:val="16"/>
          <w:szCs w:val="16"/>
        </w:rPr>
        <w:footnoteRef/>
      </w:r>
      <w:r>
        <w:rPr>
          <w:rFonts w:ascii="Verdana" w:hAnsi="Verdana"/>
          <w:sz w:val="16"/>
          <w:szCs w:val="16"/>
        </w:rPr>
        <w:t xml:space="preserve"> Bannier e.a. (2008), p. </w:t>
      </w:r>
      <w:r w:rsidRPr="00511669">
        <w:rPr>
          <w:rFonts w:ascii="Verdana" w:hAnsi="Verdana"/>
          <w:sz w:val="16"/>
          <w:szCs w:val="16"/>
        </w:rPr>
        <w:t xml:space="preserve">16. </w:t>
      </w:r>
    </w:p>
  </w:footnote>
  <w:footnote w:id="71">
    <w:p w:rsidR="00D65307" w:rsidRPr="001F1B2F" w:rsidRDefault="00D65307" w:rsidP="00C6304B">
      <w:pPr>
        <w:pStyle w:val="Voetnoottekst"/>
        <w:rPr>
          <w:rFonts w:ascii="Verdana" w:hAnsi="Verdana"/>
          <w:sz w:val="18"/>
          <w:szCs w:val="18"/>
        </w:rPr>
      </w:pPr>
      <w:r w:rsidRPr="00511669">
        <w:rPr>
          <w:rStyle w:val="Voetnootmarkering"/>
          <w:rFonts w:ascii="Verdana" w:hAnsi="Verdana"/>
          <w:sz w:val="16"/>
          <w:szCs w:val="16"/>
        </w:rPr>
        <w:footnoteRef/>
      </w:r>
      <w:r>
        <w:rPr>
          <w:rFonts w:ascii="Verdana" w:hAnsi="Verdana"/>
          <w:sz w:val="16"/>
          <w:szCs w:val="16"/>
        </w:rPr>
        <w:t> </w:t>
      </w:r>
      <w:r w:rsidRPr="00511669">
        <w:rPr>
          <w:rFonts w:ascii="Verdana" w:hAnsi="Verdana"/>
          <w:sz w:val="16"/>
          <w:szCs w:val="16"/>
        </w:rPr>
        <w:t>Bannier e.a. (2008), p. 14; Melis &amp;</w:t>
      </w:r>
      <w:r>
        <w:rPr>
          <w:rFonts w:ascii="Verdana" w:hAnsi="Verdana"/>
          <w:sz w:val="16"/>
          <w:szCs w:val="16"/>
        </w:rPr>
        <w:t> </w:t>
      </w:r>
      <w:r w:rsidRPr="00511669">
        <w:rPr>
          <w:rFonts w:ascii="Verdana" w:hAnsi="Verdana"/>
          <w:sz w:val="16"/>
          <w:szCs w:val="16"/>
        </w:rPr>
        <w:t>Waaijer (2012), p. 250-251</w:t>
      </w:r>
      <w:r>
        <w:rPr>
          <w:rFonts w:ascii="Verdana" w:hAnsi="Verdana"/>
          <w:sz w:val="16"/>
          <w:szCs w:val="16"/>
        </w:rPr>
        <w:t>.</w:t>
      </w:r>
    </w:p>
  </w:footnote>
  <w:footnote w:id="72">
    <w:p w:rsidR="00D65307" w:rsidRPr="008D71D4" w:rsidRDefault="00D65307">
      <w:pPr>
        <w:pStyle w:val="Voetnoottekst"/>
        <w:rPr>
          <w:rFonts w:ascii="Verdana" w:hAnsi="Verdana"/>
          <w:sz w:val="16"/>
          <w:szCs w:val="16"/>
        </w:rPr>
      </w:pPr>
      <w:r w:rsidRPr="008D71D4">
        <w:rPr>
          <w:rStyle w:val="Voetnootmarkering"/>
          <w:rFonts w:ascii="Verdana" w:hAnsi="Verdana"/>
          <w:sz w:val="16"/>
          <w:szCs w:val="16"/>
        </w:rPr>
        <w:footnoteRef/>
      </w:r>
      <w:r w:rsidRPr="008D71D4">
        <w:rPr>
          <w:rFonts w:ascii="Verdana" w:hAnsi="Verdana"/>
          <w:sz w:val="16"/>
          <w:szCs w:val="16"/>
        </w:rPr>
        <w:t xml:space="preserve"> ‘Discus</w:t>
      </w:r>
      <w:r>
        <w:rPr>
          <w:rFonts w:ascii="Verdana" w:hAnsi="Verdana"/>
          <w:sz w:val="16"/>
          <w:szCs w:val="16"/>
        </w:rPr>
        <w:t>s</w:t>
      </w:r>
      <w:r w:rsidRPr="008D71D4">
        <w:rPr>
          <w:rFonts w:ascii="Verdana" w:hAnsi="Verdana"/>
          <w:sz w:val="16"/>
          <w:szCs w:val="16"/>
        </w:rPr>
        <w:t xml:space="preserve">iestuk: professioneel verschoningsrecht ex artikel 218 Sv’ </w:t>
      </w:r>
      <w:r w:rsidRPr="008D71D4">
        <w:rPr>
          <w:rFonts w:ascii="Verdana" w:hAnsi="Verdana"/>
          <w:i/>
          <w:sz w:val="16"/>
          <w:szCs w:val="16"/>
        </w:rPr>
        <w:t xml:space="preserve">Rijksoverheid </w:t>
      </w:r>
      <w:r w:rsidRPr="008D71D4">
        <w:rPr>
          <w:rFonts w:ascii="Verdana" w:hAnsi="Verdana"/>
          <w:sz w:val="16"/>
          <w:szCs w:val="16"/>
        </w:rPr>
        <w:t xml:space="preserve">06 juni 2014 </w:t>
      </w:r>
      <w:hyperlink r:id="rId1" w:history="1">
        <w:r w:rsidRPr="008D71D4">
          <w:rPr>
            <w:rStyle w:val="Hyperlink"/>
            <w:rFonts w:ascii="Verdana" w:hAnsi="Verdana"/>
            <w:sz w:val="16"/>
            <w:szCs w:val="16"/>
          </w:rPr>
          <w:t>www.rijksoverheid.nl</w:t>
        </w:r>
      </w:hyperlink>
      <w:r w:rsidRPr="008D71D4">
        <w:rPr>
          <w:rFonts w:ascii="Verdana" w:hAnsi="Verdana"/>
          <w:sz w:val="16"/>
          <w:szCs w:val="16"/>
        </w:rPr>
        <w:t xml:space="preserve"> (zoek op </w:t>
      </w:r>
      <w:r w:rsidRPr="008D71D4">
        <w:rPr>
          <w:rFonts w:ascii="Verdana" w:hAnsi="Verdana"/>
          <w:i/>
          <w:sz w:val="16"/>
          <w:szCs w:val="16"/>
        </w:rPr>
        <w:t>discussiestuk professioneel verschoningsrecht</w:t>
      </w:r>
      <w:r w:rsidRPr="008D71D4">
        <w:rPr>
          <w:rFonts w:ascii="Verdana" w:hAnsi="Verdana"/>
          <w:sz w:val="16"/>
          <w:szCs w:val="16"/>
        </w:rPr>
        <w:t>)</w:t>
      </w:r>
      <w:r>
        <w:rPr>
          <w:rFonts w:ascii="Verdana" w:hAnsi="Verdana"/>
          <w:sz w:val="16"/>
          <w:szCs w:val="16"/>
        </w:rPr>
        <w:t>, p. 16-17.</w:t>
      </w:r>
    </w:p>
  </w:footnote>
  <w:footnote w:id="73">
    <w:p w:rsidR="00D65307" w:rsidRPr="00511669" w:rsidRDefault="00D65307" w:rsidP="00A4362A">
      <w:pPr>
        <w:pStyle w:val="Voetnoottekst"/>
        <w:rPr>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29 maart 1994, ECLI:NL:HR:1994:</w:t>
      </w:r>
      <w:r w:rsidRPr="00107BE9">
        <w:rPr>
          <w:rFonts w:ascii="Verdana" w:hAnsi="Verdana"/>
          <w:sz w:val="16"/>
          <w:szCs w:val="16"/>
        </w:rPr>
        <w:t>ZC9693</w:t>
      </w:r>
      <w:r w:rsidRPr="00511669">
        <w:rPr>
          <w:rFonts w:ascii="Verdana" w:hAnsi="Verdana"/>
          <w:sz w:val="16"/>
          <w:szCs w:val="16"/>
        </w:rPr>
        <w:t xml:space="preserve">, </w:t>
      </w:r>
      <w:r w:rsidRPr="00511669">
        <w:rPr>
          <w:rFonts w:ascii="Verdana" w:hAnsi="Verdana"/>
          <w:i/>
          <w:sz w:val="16"/>
          <w:szCs w:val="16"/>
        </w:rPr>
        <w:t>NJ</w:t>
      </w:r>
      <w:r>
        <w:rPr>
          <w:rFonts w:ascii="Verdana" w:hAnsi="Verdana"/>
          <w:sz w:val="16"/>
          <w:szCs w:val="16"/>
        </w:rPr>
        <w:t xml:space="preserve"> 1994/552, m.nt. A.C.</w:t>
      </w:r>
      <w:r w:rsidRPr="00511669">
        <w:rPr>
          <w:rFonts w:ascii="Verdana" w:hAnsi="Verdana"/>
          <w:sz w:val="16"/>
          <w:szCs w:val="16"/>
        </w:rPr>
        <w:t xml:space="preserve"> ’t Hart.</w:t>
      </w:r>
    </w:p>
  </w:footnote>
  <w:footnote w:id="74">
    <w:p w:rsidR="00D65307" w:rsidRPr="00511669" w:rsidRDefault="00D65307" w:rsidP="00A4362A">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29 maart 1994, ECLI:NL:HR:1994</w:t>
      </w:r>
      <w:r w:rsidRPr="00107BE9">
        <w:rPr>
          <w:rFonts w:ascii="Verdana" w:hAnsi="Verdana"/>
          <w:sz w:val="16"/>
          <w:szCs w:val="16"/>
        </w:rPr>
        <w:t>:ZC9693</w:t>
      </w:r>
      <w:r w:rsidRPr="00511669">
        <w:rPr>
          <w:rFonts w:ascii="Verdana" w:hAnsi="Verdana"/>
          <w:sz w:val="16"/>
          <w:szCs w:val="16"/>
        </w:rPr>
        <w:t xml:space="preserve">, </w:t>
      </w:r>
      <w:r w:rsidRPr="00511669">
        <w:rPr>
          <w:rFonts w:ascii="Verdana" w:hAnsi="Verdana"/>
          <w:i/>
          <w:sz w:val="16"/>
          <w:szCs w:val="16"/>
        </w:rPr>
        <w:t>NJ</w:t>
      </w:r>
      <w:r>
        <w:rPr>
          <w:rFonts w:ascii="Verdana" w:hAnsi="Verdana"/>
          <w:sz w:val="16"/>
          <w:szCs w:val="16"/>
        </w:rPr>
        <w:t xml:space="preserve"> 1994/552, m.nt. A.C.</w:t>
      </w:r>
      <w:r w:rsidRPr="00511669">
        <w:rPr>
          <w:rFonts w:ascii="Verdana" w:hAnsi="Verdana"/>
          <w:sz w:val="16"/>
          <w:szCs w:val="16"/>
        </w:rPr>
        <w:t xml:space="preserve"> ’t Hart; HR 12 februari 2002, ECLI:NL:HR:2002:AD4402, </w:t>
      </w:r>
      <w:r w:rsidRPr="00511669">
        <w:rPr>
          <w:rFonts w:ascii="Verdana" w:hAnsi="Verdana"/>
          <w:i/>
          <w:sz w:val="16"/>
          <w:szCs w:val="16"/>
        </w:rPr>
        <w:t>NJ</w:t>
      </w:r>
      <w:r>
        <w:rPr>
          <w:rFonts w:ascii="Verdana" w:hAnsi="Verdana"/>
          <w:sz w:val="16"/>
          <w:szCs w:val="16"/>
        </w:rPr>
        <w:t xml:space="preserve"> 2002/</w:t>
      </w:r>
      <w:r w:rsidRPr="00511669">
        <w:rPr>
          <w:rFonts w:ascii="Verdana" w:hAnsi="Verdana"/>
          <w:sz w:val="16"/>
          <w:szCs w:val="16"/>
        </w:rPr>
        <w:t>440, m.nt.</w:t>
      </w:r>
      <w:r>
        <w:rPr>
          <w:rFonts w:ascii="Verdana" w:hAnsi="Verdana"/>
          <w:sz w:val="16"/>
          <w:szCs w:val="16"/>
        </w:rPr>
        <w:t xml:space="preserve"> Y. Buruma</w:t>
      </w:r>
      <w:r w:rsidRPr="00511669">
        <w:rPr>
          <w:rFonts w:ascii="Verdana" w:hAnsi="Verdana"/>
          <w:sz w:val="16"/>
          <w:szCs w:val="16"/>
        </w:rPr>
        <w:t xml:space="preserve">. </w:t>
      </w:r>
    </w:p>
  </w:footnote>
  <w:footnote w:id="75">
    <w:p w:rsidR="00D65307" w:rsidRPr="00A4362A" w:rsidRDefault="00D65307">
      <w:pPr>
        <w:pStyle w:val="Voetnoottekst"/>
        <w:rPr>
          <w:rFonts w:ascii="Verdana" w:hAnsi="Verdana"/>
          <w:sz w:val="16"/>
          <w:szCs w:val="16"/>
        </w:rPr>
      </w:pPr>
      <w:r w:rsidRPr="00A4362A">
        <w:rPr>
          <w:rStyle w:val="Voetnootmarkering"/>
          <w:rFonts w:ascii="Verdana" w:hAnsi="Verdana"/>
          <w:sz w:val="16"/>
          <w:szCs w:val="16"/>
        </w:rPr>
        <w:footnoteRef/>
      </w:r>
      <w:r w:rsidRPr="00A4362A">
        <w:rPr>
          <w:rFonts w:ascii="Verdana" w:hAnsi="Verdana"/>
          <w:sz w:val="16"/>
          <w:szCs w:val="16"/>
        </w:rPr>
        <w:t xml:space="preserve"> ‘Discussiestuk: professioneel verschoningsrecht ex artikel 218 Sv’ </w:t>
      </w:r>
      <w:r w:rsidRPr="00A4362A">
        <w:rPr>
          <w:rFonts w:ascii="Verdana" w:hAnsi="Verdana"/>
          <w:i/>
          <w:sz w:val="16"/>
          <w:szCs w:val="16"/>
        </w:rPr>
        <w:t xml:space="preserve">Rijksoverheid </w:t>
      </w:r>
      <w:r w:rsidRPr="00A4362A">
        <w:rPr>
          <w:rFonts w:ascii="Verdana" w:hAnsi="Verdana"/>
          <w:sz w:val="16"/>
          <w:szCs w:val="16"/>
        </w:rPr>
        <w:t xml:space="preserve">06 juni 2014 </w:t>
      </w:r>
      <w:hyperlink r:id="rId2" w:history="1">
        <w:r w:rsidRPr="00A4362A">
          <w:rPr>
            <w:rStyle w:val="Hyperlink"/>
            <w:rFonts w:ascii="Verdana" w:hAnsi="Verdana"/>
            <w:sz w:val="16"/>
            <w:szCs w:val="16"/>
          </w:rPr>
          <w:t>www.rijksoverheid.nl</w:t>
        </w:r>
      </w:hyperlink>
      <w:r w:rsidRPr="00A4362A">
        <w:rPr>
          <w:rFonts w:ascii="Verdana" w:hAnsi="Verdana"/>
          <w:sz w:val="16"/>
          <w:szCs w:val="16"/>
        </w:rPr>
        <w:t xml:space="preserve"> (zoek op </w:t>
      </w:r>
      <w:r w:rsidRPr="00A4362A">
        <w:rPr>
          <w:rFonts w:ascii="Verdana" w:hAnsi="Verdana"/>
          <w:i/>
          <w:sz w:val="16"/>
          <w:szCs w:val="16"/>
        </w:rPr>
        <w:t>discussiestuk professioneel verschoningsrecht</w:t>
      </w:r>
      <w:r w:rsidRPr="00A4362A">
        <w:rPr>
          <w:rFonts w:ascii="Verdana" w:hAnsi="Verdana"/>
          <w:sz w:val="16"/>
          <w:szCs w:val="16"/>
        </w:rPr>
        <w:t>)</w:t>
      </w:r>
      <w:r>
        <w:rPr>
          <w:rFonts w:ascii="Verdana" w:hAnsi="Verdana"/>
          <w:sz w:val="16"/>
          <w:szCs w:val="16"/>
        </w:rPr>
        <w:t>, p. 16-17.</w:t>
      </w:r>
    </w:p>
  </w:footnote>
  <w:footnote w:id="76">
    <w:p w:rsidR="00D65307" w:rsidRPr="005E6F5A" w:rsidRDefault="00D65307" w:rsidP="0095693E">
      <w:pPr>
        <w:pStyle w:val="Voetnoottekst"/>
        <w:rPr>
          <w:lang w:val="en-US"/>
        </w:rPr>
      </w:pPr>
      <w:r w:rsidRPr="00511669">
        <w:rPr>
          <w:rStyle w:val="Voetnootmarkering"/>
          <w:rFonts w:ascii="Verdana" w:hAnsi="Verdana"/>
          <w:sz w:val="16"/>
          <w:szCs w:val="16"/>
        </w:rPr>
        <w:footnoteRef/>
      </w:r>
      <w:r w:rsidRPr="005E6F5A">
        <w:rPr>
          <w:rFonts w:ascii="Verdana" w:hAnsi="Verdana"/>
          <w:sz w:val="16"/>
          <w:szCs w:val="16"/>
          <w:lang w:val="en-US"/>
        </w:rPr>
        <w:t> Bannier e.a. (2008), p. 17.</w:t>
      </w:r>
    </w:p>
  </w:footnote>
  <w:footnote w:id="77">
    <w:p w:rsidR="00D65307" w:rsidRPr="00D20E7C" w:rsidRDefault="00D65307" w:rsidP="0095693E">
      <w:pPr>
        <w:pStyle w:val="Voetnoottekst"/>
        <w:rPr>
          <w:rFonts w:ascii="Verdana" w:hAnsi="Verdana"/>
          <w:sz w:val="16"/>
          <w:szCs w:val="16"/>
          <w:lang w:val="en-US"/>
        </w:rPr>
      </w:pPr>
      <w:r w:rsidRPr="00511669">
        <w:rPr>
          <w:rStyle w:val="Voetnootmarkering"/>
          <w:rFonts w:ascii="Verdana" w:hAnsi="Verdana"/>
          <w:sz w:val="16"/>
          <w:szCs w:val="16"/>
        </w:rPr>
        <w:footnoteRef/>
      </w:r>
      <w:r w:rsidRPr="00D20E7C">
        <w:rPr>
          <w:rFonts w:ascii="Verdana" w:hAnsi="Verdana"/>
          <w:sz w:val="16"/>
          <w:szCs w:val="16"/>
          <w:lang w:val="en-US"/>
        </w:rPr>
        <w:t> Bannier e.a. (2008), p. 17-18.</w:t>
      </w:r>
    </w:p>
  </w:footnote>
  <w:footnote w:id="78">
    <w:p w:rsidR="00D65307" w:rsidRPr="00511669" w:rsidRDefault="00D65307" w:rsidP="0095693E">
      <w:pPr>
        <w:pStyle w:val="Voetnoottekst"/>
        <w:rPr>
          <w:rFonts w:ascii="Verdana" w:hAnsi="Verdana"/>
          <w:sz w:val="16"/>
          <w:szCs w:val="16"/>
          <w:lang w:val="en-US"/>
        </w:rPr>
      </w:pPr>
      <w:r w:rsidRPr="00511669">
        <w:rPr>
          <w:rStyle w:val="Voetnootmarkering"/>
          <w:rFonts w:ascii="Verdana" w:hAnsi="Verdana"/>
          <w:sz w:val="16"/>
          <w:szCs w:val="16"/>
        </w:rPr>
        <w:footnoteRef/>
      </w:r>
      <w:r w:rsidRPr="00511669">
        <w:rPr>
          <w:rFonts w:ascii="Verdana" w:hAnsi="Verdana"/>
          <w:sz w:val="16"/>
          <w:szCs w:val="16"/>
          <w:lang w:val="en-US"/>
        </w:rPr>
        <w:t xml:space="preserve"> Art. 213 lid 2 Sv. </w:t>
      </w:r>
    </w:p>
  </w:footnote>
  <w:footnote w:id="79">
    <w:p w:rsidR="00D65307" w:rsidRPr="00511669" w:rsidRDefault="00D65307" w:rsidP="0095693E">
      <w:pPr>
        <w:pStyle w:val="Voetnoottekst"/>
        <w:rPr>
          <w:rFonts w:ascii="Verdana" w:hAnsi="Verdana"/>
          <w:sz w:val="16"/>
          <w:szCs w:val="16"/>
          <w:lang w:val="en-US"/>
        </w:rPr>
      </w:pPr>
      <w:r w:rsidRPr="00511669">
        <w:rPr>
          <w:rStyle w:val="Voetnootmarkering"/>
          <w:rFonts w:ascii="Verdana" w:hAnsi="Verdana"/>
          <w:sz w:val="16"/>
          <w:szCs w:val="16"/>
        </w:rPr>
        <w:footnoteRef/>
      </w:r>
      <w:r w:rsidRPr="00511669">
        <w:rPr>
          <w:rFonts w:ascii="Verdana" w:hAnsi="Verdana"/>
          <w:sz w:val="16"/>
          <w:szCs w:val="16"/>
          <w:lang w:val="en-US"/>
        </w:rPr>
        <w:t xml:space="preserve"> Art. 221 lid 1 Sv. </w:t>
      </w:r>
    </w:p>
  </w:footnote>
  <w:footnote w:id="80">
    <w:p w:rsidR="00D65307" w:rsidRPr="00740DFD" w:rsidRDefault="00D65307" w:rsidP="0095693E">
      <w:pPr>
        <w:pStyle w:val="Voetnoottekst"/>
        <w:rPr>
          <w:lang w:val="en-US"/>
        </w:rPr>
      </w:pPr>
      <w:r w:rsidRPr="00511669">
        <w:rPr>
          <w:rStyle w:val="Voetnootmarkering"/>
          <w:rFonts w:ascii="Verdana" w:hAnsi="Verdana"/>
          <w:sz w:val="16"/>
          <w:szCs w:val="16"/>
        </w:rPr>
        <w:footnoteRef/>
      </w:r>
      <w:r w:rsidRPr="00511669">
        <w:rPr>
          <w:rFonts w:ascii="Verdana" w:hAnsi="Verdana"/>
          <w:sz w:val="16"/>
          <w:szCs w:val="16"/>
          <w:lang w:val="en-US"/>
        </w:rPr>
        <w:t xml:space="preserve"> Art. 216 lid 2 Sv.</w:t>
      </w:r>
    </w:p>
  </w:footnote>
  <w:footnote w:id="81">
    <w:p w:rsidR="00D65307" w:rsidRPr="00511669" w:rsidRDefault="00D65307" w:rsidP="0095693E">
      <w:pPr>
        <w:pStyle w:val="Voetnoottekst"/>
        <w:rPr>
          <w:rFonts w:ascii="Verdana" w:hAnsi="Verdana"/>
          <w:sz w:val="16"/>
          <w:szCs w:val="16"/>
          <w:lang w:val="en-US"/>
        </w:rPr>
      </w:pPr>
      <w:r w:rsidRPr="00511669">
        <w:rPr>
          <w:rStyle w:val="Voetnootmarkering"/>
          <w:rFonts w:ascii="Verdana" w:hAnsi="Verdana"/>
          <w:sz w:val="16"/>
          <w:szCs w:val="16"/>
        </w:rPr>
        <w:footnoteRef/>
      </w:r>
      <w:r w:rsidRPr="00511669">
        <w:rPr>
          <w:rFonts w:ascii="Verdana" w:hAnsi="Verdana"/>
          <w:sz w:val="16"/>
          <w:szCs w:val="16"/>
          <w:lang w:val="en-US"/>
        </w:rPr>
        <w:t xml:space="preserve"> Hof Amsterdam 21 december 1989, ECLI:NL:GHAMS:1989:AD0986, </w:t>
      </w:r>
      <w:r w:rsidRPr="00511669">
        <w:rPr>
          <w:rFonts w:ascii="Verdana" w:hAnsi="Verdana"/>
          <w:i/>
          <w:sz w:val="16"/>
          <w:szCs w:val="16"/>
          <w:lang w:val="en-US"/>
        </w:rPr>
        <w:t>NJ</w:t>
      </w:r>
      <w:r>
        <w:rPr>
          <w:rFonts w:ascii="Verdana" w:hAnsi="Verdana"/>
          <w:sz w:val="16"/>
          <w:szCs w:val="16"/>
          <w:lang w:val="en-US"/>
        </w:rPr>
        <w:t xml:space="preserve"> 1990/</w:t>
      </w:r>
      <w:r w:rsidRPr="00511669">
        <w:rPr>
          <w:rFonts w:ascii="Verdana" w:hAnsi="Verdana"/>
          <w:sz w:val="16"/>
          <w:szCs w:val="16"/>
          <w:lang w:val="en-US"/>
        </w:rPr>
        <w:t>805.</w:t>
      </w:r>
    </w:p>
  </w:footnote>
  <w:footnote w:id="82">
    <w:p w:rsidR="00D65307" w:rsidRPr="00E1766A" w:rsidRDefault="00D65307" w:rsidP="0095693E">
      <w:pPr>
        <w:pStyle w:val="Voetnoottekst"/>
        <w:rPr>
          <w:rFonts w:ascii="Verdana" w:hAnsi="Verdana"/>
          <w:sz w:val="16"/>
          <w:szCs w:val="16"/>
          <w:lang w:val="en-US"/>
        </w:rPr>
      </w:pPr>
      <w:r w:rsidRPr="008D4CE9">
        <w:rPr>
          <w:rStyle w:val="Voetnootmarkering"/>
          <w:rFonts w:ascii="Verdana" w:hAnsi="Verdana"/>
          <w:sz w:val="16"/>
          <w:szCs w:val="16"/>
        </w:rPr>
        <w:footnoteRef/>
      </w:r>
      <w:r w:rsidRPr="008D4CE9">
        <w:rPr>
          <w:rFonts w:ascii="Verdana" w:hAnsi="Verdana"/>
          <w:sz w:val="16"/>
          <w:szCs w:val="16"/>
          <w:lang w:val="en-US"/>
        </w:rPr>
        <w:t> Duijst (2005-I), p. 104.</w:t>
      </w:r>
    </w:p>
  </w:footnote>
  <w:footnote w:id="83">
    <w:p w:rsidR="00D65307" w:rsidRPr="00E1766A" w:rsidRDefault="00D65307" w:rsidP="009E043A">
      <w:pPr>
        <w:spacing w:after="0" w:line="22" w:lineRule="atLeast"/>
        <w:rPr>
          <w:rFonts w:ascii="Verdana" w:hAnsi="Verdana"/>
          <w:sz w:val="16"/>
          <w:szCs w:val="16"/>
          <w:lang w:val="en-US"/>
        </w:rPr>
      </w:pPr>
      <w:r w:rsidRPr="00511669">
        <w:rPr>
          <w:rStyle w:val="Voetnootmarkering"/>
          <w:rFonts w:ascii="Verdana" w:hAnsi="Verdana"/>
          <w:sz w:val="16"/>
          <w:szCs w:val="16"/>
        </w:rPr>
        <w:footnoteRef/>
      </w:r>
      <w:r w:rsidRPr="00E1766A">
        <w:rPr>
          <w:rFonts w:ascii="Verdana" w:hAnsi="Verdana"/>
          <w:sz w:val="16"/>
          <w:szCs w:val="16"/>
          <w:lang w:val="en-US"/>
        </w:rPr>
        <w:t xml:space="preserve"> HR 1 maart 1985, ECLI:NL:HR:1985:AC9066</w:t>
      </w:r>
      <w:r w:rsidRPr="0050397C">
        <w:rPr>
          <w:rFonts w:ascii="Verdana" w:hAnsi="Verdana"/>
          <w:sz w:val="16"/>
          <w:szCs w:val="16"/>
          <w:lang w:val="en-US"/>
        </w:rPr>
        <w:t xml:space="preserve">, </w:t>
      </w:r>
      <w:r w:rsidRPr="0050397C">
        <w:rPr>
          <w:rFonts w:ascii="Verdana" w:hAnsi="Verdana"/>
          <w:i/>
          <w:sz w:val="16"/>
          <w:szCs w:val="16"/>
          <w:lang w:val="en-US"/>
        </w:rPr>
        <w:t>NJ</w:t>
      </w:r>
      <w:r>
        <w:rPr>
          <w:rFonts w:ascii="Verdana" w:hAnsi="Verdana"/>
          <w:sz w:val="16"/>
          <w:szCs w:val="16"/>
          <w:lang w:val="en-US"/>
        </w:rPr>
        <w:t xml:space="preserve"> 1986/173</w:t>
      </w:r>
      <w:r w:rsidRPr="00E1766A">
        <w:rPr>
          <w:rFonts w:ascii="Verdana" w:hAnsi="Verdana"/>
          <w:sz w:val="16"/>
          <w:szCs w:val="16"/>
          <w:lang w:val="en-US"/>
        </w:rPr>
        <w:t xml:space="preserve">; HR 14 oktober 1986, ECLI:NL:HR:1986:AC3769, </w:t>
      </w:r>
      <w:r w:rsidRPr="00E1766A">
        <w:rPr>
          <w:rFonts w:ascii="Verdana" w:hAnsi="Verdana"/>
          <w:i/>
          <w:sz w:val="16"/>
          <w:szCs w:val="16"/>
          <w:lang w:val="en-US"/>
        </w:rPr>
        <w:t>NJ</w:t>
      </w:r>
      <w:r w:rsidRPr="00E1766A">
        <w:rPr>
          <w:rFonts w:ascii="Verdana" w:hAnsi="Verdana"/>
          <w:sz w:val="16"/>
          <w:szCs w:val="16"/>
          <w:lang w:val="en-US"/>
        </w:rPr>
        <w:t xml:space="preserve"> 19</w:t>
      </w:r>
      <w:r>
        <w:rPr>
          <w:rFonts w:ascii="Verdana" w:hAnsi="Verdana"/>
          <w:sz w:val="16"/>
          <w:szCs w:val="16"/>
          <w:lang w:val="en-US"/>
        </w:rPr>
        <w:t>87/</w:t>
      </w:r>
      <w:r w:rsidRPr="00E1766A">
        <w:rPr>
          <w:rFonts w:ascii="Verdana" w:hAnsi="Verdana"/>
          <w:sz w:val="16"/>
          <w:szCs w:val="16"/>
          <w:lang w:val="en-US"/>
        </w:rPr>
        <w:t>490; HR 30 november 1999, ECLI:NL:HR:</w:t>
      </w:r>
      <w:r w:rsidRPr="004D313B">
        <w:rPr>
          <w:rFonts w:ascii="Verdana" w:hAnsi="Verdana"/>
          <w:sz w:val="16"/>
          <w:szCs w:val="16"/>
          <w:lang w:val="en-US"/>
        </w:rPr>
        <w:t>1999:ZD7280,</w:t>
      </w:r>
      <w:r>
        <w:rPr>
          <w:rFonts w:ascii="Verdana" w:hAnsi="Verdana"/>
          <w:sz w:val="16"/>
          <w:szCs w:val="16"/>
          <w:lang w:val="en-US"/>
        </w:rPr>
        <w:t> </w:t>
      </w:r>
      <w:r w:rsidRPr="0050397C">
        <w:rPr>
          <w:rFonts w:ascii="Verdana" w:hAnsi="Verdana"/>
          <w:i/>
          <w:sz w:val="16"/>
          <w:szCs w:val="16"/>
          <w:lang w:val="en-US"/>
        </w:rPr>
        <w:t>NJ</w:t>
      </w:r>
      <w:r>
        <w:rPr>
          <w:rFonts w:ascii="Verdana" w:hAnsi="Verdana"/>
          <w:sz w:val="16"/>
          <w:szCs w:val="16"/>
          <w:lang w:val="en-US"/>
        </w:rPr>
        <w:t xml:space="preserve"> 2002/</w:t>
      </w:r>
      <w:r w:rsidRPr="0050397C">
        <w:rPr>
          <w:rFonts w:ascii="Verdana" w:hAnsi="Verdana"/>
          <w:sz w:val="16"/>
          <w:szCs w:val="16"/>
          <w:lang w:val="en-US"/>
        </w:rPr>
        <w:t>438 m.nt. Y. Buruma</w:t>
      </w:r>
      <w:r>
        <w:rPr>
          <w:rFonts w:ascii="Verdana" w:hAnsi="Verdana"/>
          <w:sz w:val="16"/>
          <w:szCs w:val="16"/>
          <w:lang w:val="en-US"/>
        </w:rPr>
        <w:t>.</w:t>
      </w:r>
    </w:p>
  </w:footnote>
  <w:footnote w:id="84">
    <w:p w:rsidR="00D65307" w:rsidRPr="00511669" w:rsidRDefault="00D65307" w:rsidP="0095693E">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Kantonrechter Nijmegen 20 januari 1969, ECLI:NL:KTGNMG:1969:AB5357, </w:t>
      </w:r>
      <w:r w:rsidRPr="00511669">
        <w:rPr>
          <w:rFonts w:ascii="Verdana" w:hAnsi="Verdana"/>
          <w:i/>
          <w:sz w:val="16"/>
          <w:szCs w:val="16"/>
        </w:rPr>
        <w:t>NJ</w:t>
      </w:r>
      <w:r>
        <w:rPr>
          <w:rFonts w:ascii="Verdana" w:hAnsi="Verdana"/>
          <w:sz w:val="16"/>
          <w:szCs w:val="16"/>
        </w:rPr>
        <w:t xml:space="preserve"> 1970/</w:t>
      </w:r>
      <w:r w:rsidRPr="00511669">
        <w:rPr>
          <w:rFonts w:ascii="Verdana" w:hAnsi="Verdana"/>
          <w:sz w:val="16"/>
          <w:szCs w:val="16"/>
        </w:rPr>
        <w:t>20.</w:t>
      </w:r>
    </w:p>
  </w:footnote>
  <w:footnote w:id="85">
    <w:p w:rsidR="00D65307" w:rsidRPr="00104FA3" w:rsidRDefault="00D65307">
      <w:pPr>
        <w:pStyle w:val="Voetnoottekst"/>
        <w:rPr>
          <w:rFonts w:ascii="Verdana" w:hAnsi="Verdana"/>
          <w:sz w:val="18"/>
          <w:szCs w:val="18"/>
          <w:lang w:val="en-US"/>
        </w:rPr>
      </w:pPr>
      <w:r w:rsidRPr="00511669">
        <w:rPr>
          <w:rStyle w:val="Voetnootmarkering"/>
          <w:rFonts w:ascii="Verdana" w:hAnsi="Verdana"/>
          <w:sz w:val="16"/>
          <w:szCs w:val="16"/>
        </w:rPr>
        <w:footnoteRef/>
      </w:r>
      <w:r>
        <w:rPr>
          <w:rFonts w:ascii="Verdana" w:hAnsi="Verdana"/>
          <w:sz w:val="16"/>
          <w:szCs w:val="16"/>
          <w:lang w:val="en-US"/>
        </w:rPr>
        <w:t> </w:t>
      </w:r>
      <w:r w:rsidRPr="00511669">
        <w:rPr>
          <w:rFonts w:ascii="Verdana" w:hAnsi="Verdana"/>
          <w:sz w:val="16"/>
          <w:szCs w:val="16"/>
          <w:lang w:val="en-US"/>
        </w:rPr>
        <w:t>Bannier</w:t>
      </w:r>
      <w:r>
        <w:rPr>
          <w:rFonts w:ascii="Verdana" w:hAnsi="Verdana"/>
          <w:sz w:val="16"/>
          <w:szCs w:val="16"/>
          <w:lang w:val="en-US"/>
        </w:rPr>
        <w:t> </w:t>
      </w:r>
      <w:r w:rsidRPr="00511669">
        <w:rPr>
          <w:rFonts w:ascii="Verdana" w:hAnsi="Verdana"/>
          <w:sz w:val="16"/>
          <w:szCs w:val="16"/>
          <w:lang w:val="en-US"/>
        </w:rPr>
        <w:t>e.a. (2008), p. 21</w:t>
      </w:r>
      <w:r>
        <w:rPr>
          <w:rFonts w:ascii="Verdana" w:hAnsi="Verdana"/>
          <w:sz w:val="16"/>
          <w:szCs w:val="16"/>
          <w:lang w:val="en-US"/>
        </w:rPr>
        <w:t>.</w:t>
      </w:r>
    </w:p>
  </w:footnote>
  <w:footnote w:id="86">
    <w:p w:rsidR="00D65307" w:rsidRPr="00511669" w:rsidRDefault="00D65307">
      <w:pPr>
        <w:pStyle w:val="Voetnoottekst"/>
        <w:rPr>
          <w:rFonts w:ascii="Verdana" w:hAnsi="Verdana"/>
          <w:sz w:val="16"/>
          <w:szCs w:val="16"/>
          <w:lang w:val="en-US"/>
        </w:rPr>
      </w:pPr>
      <w:r w:rsidRPr="00511669">
        <w:rPr>
          <w:rStyle w:val="Voetnootmarkering"/>
          <w:rFonts w:ascii="Verdana" w:hAnsi="Verdana"/>
          <w:sz w:val="16"/>
          <w:szCs w:val="16"/>
        </w:rPr>
        <w:footnoteRef/>
      </w:r>
      <w:r w:rsidRPr="00511669">
        <w:rPr>
          <w:rFonts w:ascii="Verdana" w:hAnsi="Verdana"/>
          <w:sz w:val="16"/>
          <w:szCs w:val="16"/>
          <w:lang w:val="en-US"/>
        </w:rPr>
        <w:t xml:space="preserve"> Art. 3 lid 1 Awbi. </w:t>
      </w:r>
    </w:p>
  </w:footnote>
  <w:footnote w:id="87">
    <w:p w:rsidR="00D65307" w:rsidRPr="00511669" w:rsidRDefault="00D65307">
      <w:pPr>
        <w:pStyle w:val="Voetnoottekst"/>
        <w:rPr>
          <w:rFonts w:ascii="Verdana" w:hAnsi="Verdana"/>
          <w:sz w:val="16"/>
          <w:szCs w:val="16"/>
        </w:rPr>
      </w:pPr>
      <w:r w:rsidRPr="00473F49">
        <w:rPr>
          <w:rStyle w:val="Voetnootmarkering"/>
          <w:rFonts w:ascii="Verdana" w:hAnsi="Verdana"/>
          <w:sz w:val="16"/>
          <w:szCs w:val="16"/>
        </w:rPr>
        <w:footnoteRef/>
      </w:r>
      <w:r w:rsidRPr="00473F49">
        <w:rPr>
          <w:rFonts w:ascii="Verdana" w:hAnsi="Verdana"/>
          <w:sz w:val="16"/>
          <w:szCs w:val="16"/>
        </w:rPr>
        <w:t xml:space="preserve"> HR 30 maart 2004, ECLI:NL:HR:2004:</w:t>
      </w:r>
      <w:r>
        <w:rPr>
          <w:rFonts w:ascii="Verdana" w:hAnsi="Verdana"/>
          <w:sz w:val="16"/>
          <w:szCs w:val="16"/>
        </w:rPr>
        <w:t xml:space="preserve">AM2533, </w:t>
      </w:r>
      <w:r>
        <w:rPr>
          <w:rFonts w:ascii="Verdana" w:hAnsi="Verdana"/>
          <w:i/>
          <w:sz w:val="16"/>
          <w:szCs w:val="16"/>
        </w:rPr>
        <w:t>NJ</w:t>
      </w:r>
      <w:r>
        <w:rPr>
          <w:rFonts w:ascii="Verdana" w:hAnsi="Verdana"/>
          <w:sz w:val="16"/>
          <w:szCs w:val="16"/>
        </w:rPr>
        <w:t xml:space="preserve"> 2004/376, m.nt. Y. Buruma (in deze rechtszaak werd het lostrekken van een pijp aangemerkt als doorzoeking).</w:t>
      </w:r>
    </w:p>
  </w:footnote>
  <w:footnote w:id="88">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Pr>
          <w:rFonts w:ascii="Verdana" w:hAnsi="Verdana"/>
          <w:sz w:val="16"/>
          <w:szCs w:val="16"/>
        </w:rPr>
        <w:t> </w:t>
      </w:r>
      <w:r w:rsidRPr="00511669">
        <w:rPr>
          <w:rFonts w:ascii="Verdana" w:hAnsi="Verdana"/>
          <w:sz w:val="16"/>
          <w:szCs w:val="16"/>
        </w:rPr>
        <w:t>Bannier e.a. (2008), p. 21.</w:t>
      </w:r>
    </w:p>
  </w:footnote>
  <w:footnote w:id="89">
    <w:p w:rsidR="00D65307" w:rsidRPr="00511669" w:rsidRDefault="00D65307" w:rsidP="0095693E">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Zie art. 110 lid 1 Sv. </w:t>
      </w:r>
    </w:p>
  </w:footnote>
  <w:footnote w:id="90">
    <w:p w:rsidR="00D65307" w:rsidRPr="00511669" w:rsidRDefault="00D65307" w:rsidP="0095693E">
      <w:pPr>
        <w:pStyle w:val="Voetnoottekst"/>
        <w:rPr>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Zie art. 97 lid 4 Sv.</w:t>
      </w:r>
    </w:p>
  </w:footnote>
  <w:footnote w:id="91">
    <w:p w:rsidR="00D65307" w:rsidRPr="000A04FC" w:rsidRDefault="00D65307" w:rsidP="0095693E">
      <w:pPr>
        <w:pStyle w:val="Voetnoottekst"/>
      </w:pPr>
      <w:r w:rsidRPr="00511669">
        <w:rPr>
          <w:rStyle w:val="Voetnootmarkering"/>
          <w:rFonts w:ascii="Verdana" w:hAnsi="Verdana"/>
          <w:sz w:val="16"/>
          <w:szCs w:val="16"/>
        </w:rPr>
        <w:footnoteRef/>
      </w:r>
      <w:r w:rsidRPr="00511669">
        <w:rPr>
          <w:rFonts w:ascii="Verdana" w:hAnsi="Verdana"/>
          <w:sz w:val="16"/>
          <w:szCs w:val="16"/>
        </w:rPr>
        <w:t xml:space="preserve"> HR 10 dece</w:t>
      </w:r>
      <w:r>
        <w:rPr>
          <w:rFonts w:ascii="Verdana" w:hAnsi="Verdana"/>
          <w:sz w:val="16"/>
          <w:szCs w:val="16"/>
        </w:rPr>
        <w:t>mber 2013, ECLI:NL:HR:2013:1740, </w:t>
      </w:r>
      <w:r>
        <w:rPr>
          <w:rFonts w:ascii="Verdana" w:hAnsi="Verdana"/>
          <w:i/>
          <w:sz w:val="16"/>
          <w:szCs w:val="16"/>
        </w:rPr>
        <w:t>NJ</w:t>
      </w:r>
      <w:r>
        <w:rPr>
          <w:rFonts w:ascii="Verdana" w:hAnsi="Verdana"/>
          <w:sz w:val="16"/>
          <w:szCs w:val="16"/>
        </w:rPr>
        <w:t xml:space="preserve"> 2014/93, m.nt. F. Vellinga-Schootstra.</w:t>
      </w:r>
    </w:p>
  </w:footnote>
  <w:footnote w:id="92">
    <w:p w:rsidR="00D65307" w:rsidRPr="00511669" w:rsidRDefault="00D65307" w:rsidP="0095693E">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14 oktober 1986, ECLI:NL:HR:</w:t>
      </w:r>
      <w:r>
        <w:rPr>
          <w:rFonts w:ascii="Verdana" w:hAnsi="Verdana"/>
          <w:sz w:val="16"/>
          <w:szCs w:val="16"/>
        </w:rPr>
        <w:t>1986:</w:t>
      </w:r>
      <w:r w:rsidRPr="00511669">
        <w:rPr>
          <w:rFonts w:ascii="Verdana" w:hAnsi="Verdana"/>
          <w:sz w:val="16"/>
          <w:szCs w:val="16"/>
        </w:rPr>
        <w:t xml:space="preserve">AC3769, </w:t>
      </w:r>
      <w:r w:rsidRPr="00511669">
        <w:rPr>
          <w:rFonts w:ascii="Verdana" w:hAnsi="Verdana"/>
          <w:i/>
          <w:sz w:val="16"/>
          <w:szCs w:val="16"/>
        </w:rPr>
        <w:t>NJ</w:t>
      </w:r>
      <w:r>
        <w:rPr>
          <w:rFonts w:ascii="Verdana" w:hAnsi="Verdana"/>
          <w:sz w:val="16"/>
          <w:szCs w:val="16"/>
        </w:rPr>
        <w:t xml:space="preserve"> 1987/</w:t>
      </w:r>
      <w:r w:rsidRPr="00511669">
        <w:rPr>
          <w:rFonts w:ascii="Verdana" w:hAnsi="Verdana"/>
          <w:sz w:val="16"/>
          <w:szCs w:val="16"/>
        </w:rPr>
        <w:t xml:space="preserve">490; HR 22 november 1991, ECLI:NL:HR:1991:ZC0422, </w:t>
      </w:r>
      <w:r w:rsidRPr="00AE3217">
        <w:rPr>
          <w:rFonts w:ascii="Verdana" w:hAnsi="Verdana"/>
          <w:i/>
          <w:sz w:val="16"/>
          <w:szCs w:val="16"/>
        </w:rPr>
        <w:t>NJ</w:t>
      </w:r>
      <w:r>
        <w:rPr>
          <w:rFonts w:ascii="Verdana" w:hAnsi="Verdana"/>
          <w:sz w:val="16"/>
          <w:szCs w:val="16"/>
        </w:rPr>
        <w:t xml:space="preserve"> 1992/</w:t>
      </w:r>
      <w:r w:rsidRPr="00AE3217">
        <w:rPr>
          <w:rFonts w:ascii="Verdana" w:hAnsi="Verdana"/>
          <w:sz w:val="16"/>
          <w:szCs w:val="16"/>
        </w:rPr>
        <w:t>315</w:t>
      </w:r>
      <w:r>
        <w:rPr>
          <w:rFonts w:ascii="Verdana" w:hAnsi="Verdana"/>
          <w:sz w:val="16"/>
          <w:szCs w:val="16"/>
        </w:rPr>
        <w:t>, m.nt. E.A. Alkema &amp; Th.W. van Veen.</w:t>
      </w:r>
    </w:p>
  </w:footnote>
  <w:footnote w:id="93">
    <w:p w:rsidR="00D65307" w:rsidRPr="00FB0182" w:rsidRDefault="00D65307" w:rsidP="0095693E">
      <w:pPr>
        <w:pStyle w:val="Voetnoottekst"/>
      </w:pPr>
      <w:r w:rsidRPr="00511669">
        <w:rPr>
          <w:rStyle w:val="Voetnootmarkering"/>
          <w:rFonts w:ascii="Verdana" w:hAnsi="Verdana"/>
          <w:sz w:val="16"/>
          <w:szCs w:val="16"/>
        </w:rPr>
        <w:footnoteRef/>
      </w:r>
      <w:r w:rsidRPr="00511669">
        <w:rPr>
          <w:rFonts w:ascii="Verdana" w:hAnsi="Verdana"/>
          <w:sz w:val="16"/>
          <w:szCs w:val="16"/>
        </w:rPr>
        <w:t xml:space="preserve"> HR 1 maart 1985, ECLI:NL:HR:1985:AC9066, </w:t>
      </w:r>
      <w:r w:rsidRPr="00511669">
        <w:rPr>
          <w:rFonts w:ascii="Verdana" w:hAnsi="Verdana"/>
          <w:i/>
          <w:sz w:val="16"/>
          <w:szCs w:val="16"/>
        </w:rPr>
        <w:t>NJ</w:t>
      </w:r>
      <w:r>
        <w:rPr>
          <w:rFonts w:ascii="Verdana" w:hAnsi="Verdana"/>
          <w:sz w:val="16"/>
          <w:szCs w:val="16"/>
        </w:rPr>
        <w:t xml:space="preserve"> 1986/173</w:t>
      </w:r>
      <w:r w:rsidRPr="00511669">
        <w:rPr>
          <w:rFonts w:ascii="Verdana" w:hAnsi="Verdana"/>
          <w:sz w:val="16"/>
          <w:szCs w:val="16"/>
        </w:rPr>
        <w:t xml:space="preserve">; HR 14 oktober 1986, ECLI:NL:HR:1986:AC3769, </w:t>
      </w:r>
      <w:r w:rsidRPr="00511669">
        <w:rPr>
          <w:rFonts w:ascii="Verdana" w:hAnsi="Verdana"/>
          <w:i/>
          <w:sz w:val="16"/>
          <w:szCs w:val="16"/>
        </w:rPr>
        <w:t>NJ</w:t>
      </w:r>
      <w:r>
        <w:rPr>
          <w:rFonts w:ascii="Verdana" w:hAnsi="Verdana"/>
          <w:sz w:val="16"/>
          <w:szCs w:val="16"/>
        </w:rPr>
        <w:t xml:space="preserve"> 1987/</w:t>
      </w:r>
      <w:r w:rsidRPr="00511669">
        <w:rPr>
          <w:rFonts w:ascii="Verdana" w:hAnsi="Verdana"/>
          <w:sz w:val="16"/>
          <w:szCs w:val="16"/>
        </w:rPr>
        <w:t>490.</w:t>
      </w:r>
    </w:p>
  </w:footnote>
  <w:footnote w:id="94">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w:t>
      </w:r>
      <w:r>
        <w:rPr>
          <w:rFonts w:ascii="Verdana" w:hAnsi="Verdana"/>
          <w:sz w:val="16"/>
          <w:szCs w:val="16"/>
        </w:rPr>
        <w:t>09 mei 2006, ECLI:NL:HR:2006:AV</w:t>
      </w:r>
      <w:r w:rsidRPr="00511669">
        <w:rPr>
          <w:rFonts w:ascii="Verdana" w:hAnsi="Verdana"/>
          <w:sz w:val="16"/>
          <w:szCs w:val="16"/>
        </w:rPr>
        <w:t xml:space="preserve">2386, </w:t>
      </w:r>
      <w:r w:rsidRPr="00511669">
        <w:rPr>
          <w:rFonts w:ascii="Verdana" w:hAnsi="Verdana"/>
          <w:i/>
          <w:sz w:val="16"/>
          <w:szCs w:val="16"/>
        </w:rPr>
        <w:t xml:space="preserve">NJ </w:t>
      </w:r>
      <w:r>
        <w:rPr>
          <w:rFonts w:ascii="Verdana" w:hAnsi="Verdana"/>
          <w:sz w:val="16"/>
          <w:szCs w:val="16"/>
        </w:rPr>
        <w:t>2006/62</w:t>
      </w:r>
      <w:r w:rsidRPr="00511669">
        <w:rPr>
          <w:rFonts w:ascii="Verdana" w:hAnsi="Verdana"/>
          <w:sz w:val="16"/>
          <w:szCs w:val="16"/>
        </w:rPr>
        <w:t xml:space="preserve">2, m.nt. </w:t>
      </w:r>
      <w:r>
        <w:rPr>
          <w:rFonts w:ascii="Verdana" w:hAnsi="Verdana"/>
          <w:sz w:val="16"/>
          <w:szCs w:val="16"/>
        </w:rPr>
        <w:t>J. d</w:t>
      </w:r>
      <w:r w:rsidRPr="00511669">
        <w:rPr>
          <w:rFonts w:ascii="Verdana" w:hAnsi="Verdana"/>
          <w:sz w:val="16"/>
          <w:szCs w:val="16"/>
        </w:rPr>
        <w:t>e Boer.</w:t>
      </w:r>
    </w:p>
  </w:footnote>
  <w:footnote w:id="95">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’s-Gravenhage 12 juli 2007, ECLI:NL:RBSGR:2007:BB0281. </w:t>
      </w:r>
    </w:p>
  </w:footnote>
  <w:footnote w:id="96">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26 mei 2009, ECLI:NL:HR:2009:BG5979, </w:t>
      </w:r>
      <w:r w:rsidRPr="00511669">
        <w:rPr>
          <w:rFonts w:ascii="Verdana" w:hAnsi="Verdana"/>
          <w:i/>
          <w:sz w:val="16"/>
          <w:szCs w:val="16"/>
        </w:rPr>
        <w:t>NJ</w:t>
      </w:r>
      <w:r>
        <w:rPr>
          <w:rFonts w:ascii="Verdana" w:hAnsi="Verdana"/>
          <w:sz w:val="16"/>
          <w:szCs w:val="16"/>
        </w:rPr>
        <w:t xml:space="preserve"> 2009/</w:t>
      </w:r>
      <w:r w:rsidRPr="00511669">
        <w:rPr>
          <w:rFonts w:ascii="Verdana" w:hAnsi="Verdana"/>
          <w:sz w:val="16"/>
          <w:szCs w:val="16"/>
        </w:rPr>
        <w:t xml:space="preserve">263, m.nt. </w:t>
      </w:r>
      <w:r>
        <w:rPr>
          <w:rFonts w:ascii="Verdana" w:hAnsi="Verdana"/>
          <w:sz w:val="16"/>
          <w:szCs w:val="16"/>
        </w:rPr>
        <w:t xml:space="preserve">J. </w:t>
      </w:r>
      <w:r w:rsidRPr="00511669">
        <w:rPr>
          <w:rFonts w:ascii="Verdana" w:hAnsi="Verdana"/>
          <w:sz w:val="16"/>
          <w:szCs w:val="16"/>
        </w:rPr>
        <w:t>Legemaate.</w:t>
      </w:r>
    </w:p>
  </w:footnote>
  <w:footnote w:id="97">
    <w:p w:rsidR="00D65307" w:rsidRPr="00EE0736" w:rsidRDefault="00D65307">
      <w:pPr>
        <w:pStyle w:val="Voetnoottekst"/>
        <w:rPr>
          <w:rFonts w:ascii="Verdana" w:hAnsi="Verdana"/>
          <w:sz w:val="16"/>
          <w:szCs w:val="16"/>
        </w:rPr>
      </w:pPr>
      <w:r w:rsidRPr="00EE0736">
        <w:rPr>
          <w:rStyle w:val="Voetnootmarkering"/>
          <w:rFonts w:ascii="Verdana" w:hAnsi="Verdana"/>
          <w:sz w:val="16"/>
          <w:szCs w:val="16"/>
        </w:rPr>
        <w:footnoteRef/>
      </w:r>
      <w:r w:rsidRPr="00EE0736">
        <w:rPr>
          <w:rFonts w:ascii="Verdana" w:hAnsi="Verdana"/>
          <w:sz w:val="16"/>
          <w:szCs w:val="16"/>
        </w:rPr>
        <w:t xml:space="preserve"> Kastelein, </w:t>
      </w:r>
      <w:r w:rsidRPr="00EE0736">
        <w:rPr>
          <w:rFonts w:ascii="Verdana" w:hAnsi="Verdana"/>
          <w:i/>
          <w:sz w:val="16"/>
          <w:szCs w:val="16"/>
        </w:rPr>
        <w:t>TvGR</w:t>
      </w:r>
      <w:r w:rsidRPr="00EE0736">
        <w:rPr>
          <w:rFonts w:ascii="Verdana" w:hAnsi="Verdana"/>
          <w:sz w:val="16"/>
          <w:szCs w:val="16"/>
        </w:rPr>
        <w:t xml:space="preserve"> 2013, afl. 8, p. 764 t/m 773.</w:t>
      </w:r>
    </w:p>
  </w:footnote>
  <w:footnote w:id="98">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29 juni 2004, ECLI:NL:HR:2004:AO5070, </w:t>
      </w:r>
      <w:r w:rsidRPr="00511669">
        <w:rPr>
          <w:rFonts w:ascii="Verdana" w:hAnsi="Verdana"/>
          <w:i/>
          <w:sz w:val="16"/>
          <w:szCs w:val="16"/>
        </w:rPr>
        <w:t>NJ</w:t>
      </w:r>
      <w:r>
        <w:rPr>
          <w:rFonts w:ascii="Verdana" w:hAnsi="Verdana"/>
          <w:sz w:val="16"/>
          <w:szCs w:val="16"/>
        </w:rPr>
        <w:t xml:space="preserve"> 2005/273, m.nt. G. Knigge</w:t>
      </w:r>
      <w:r w:rsidRPr="00511669">
        <w:rPr>
          <w:rFonts w:ascii="Verdana" w:hAnsi="Verdana"/>
          <w:sz w:val="16"/>
          <w:szCs w:val="16"/>
        </w:rPr>
        <w:t xml:space="preserve">. </w:t>
      </w:r>
    </w:p>
  </w:footnote>
  <w:footnote w:id="99">
    <w:p w:rsidR="00D65307" w:rsidRPr="0077692A" w:rsidRDefault="00D65307">
      <w:pPr>
        <w:pStyle w:val="Voetnoottekst"/>
        <w:rPr>
          <w:rFonts w:ascii="Verdana" w:hAnsi="Verdana"/>
          <w:sz w:val="18"/>
          <w:szCs w:val="18"/>
        </w:rPr>
      </w:pPr>
      <w:r w:rsidRPr="00511669">
        <w:rPr>
          <w:rStyle w:val="Voetnootmarkering"/>
          <w:rFonts w:ascii="Verdana" w:hAnsi="Verdana"/>
          <w:sz w:val="16"/>
          <w:szCs w:val="16"/>
        </w:rPr>
        <w:footnoteRef/>
      </w:r>
      <w:r w:rsidRPr="00511669">
        <w:rPr>
          <w:rFonts w:ascii="Verdana" w:hAnsi="Verdana"/>
          <w:sz w:val="16"/>
          <w:szCs w:val="16"/>
        </w:rPr>
        <w:t xml:space="preserve"> HR 14 mei 2013, ECLI:NL:HR:2013:BZ9943, </w:t>
      </w:r>
      <w:r>
        <w:rPr>
          <w:rFonts w:ascii="Verdana" w:hAnsi="Verdana"/>
          <w:i/>
          <w:sz w:val="16"/>
          <w:szCs w:val="16"/>
        </w:rPr>
        <w:t xml:space="preserve">NJ </w:t>
      </w:r>
      <w:r>
        <w:rPr>
          <w:rFonts w:ascii="Verdana" w:hAnsi="Verdana"/>
          <w:sz w:val="16"/>
          <w:szCs w:val="16"/>
        </w:rPr>
        <w:t>2013/561, m.nt. J. Legemaate</w:t>
      </w:r>
      <w:r w:rsidRPr="00511669">
        <w:rPr>
          <w:rFonts w:ascii="Verdana" w:hAnsi="Verdana"/>
          <w:sz w:val="16"/>
          <w:szCs w:val="16"/>
        </w:rPr>
        <w:t>.</w:t>
      </w:r>
    </w:p>
  </w:footnote>
  <w:footnote w:id="100">
    <w:p w:rsidR="00D65307" w:rsidRPr="00511669" w:rsidRDefault="00D65307">
      <w:pPr>
        <w:pStyle w:val="Voetnoottekst"/>
        <w:rPr>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09 mei 2006, ECLI:NL:HR:2006:AV2386, </w:t>
      </w:r>
      <w:r w:rsidRPr="00511669">
        <w:rPr>
          <w:rFonts w:ascii="Verdana" w:hAnsi="Verdana"/>
          <w:i/>
          <w:sz w:val="16"/>
          <w:szCs w:val="16"/>
        </w:rPr>
        <w:t xml:space="preserve">NJ </w:t>
      </w:r>
      <w:r>
        <w:rPr>
          <w:rFonts w:ascii="Verdana" w:hAnsi="Verdana"/>
          <w:sz w:val="16"/>
          <w:szCs w:val="16"/>
        </w:rPr>
        <w:t>2006/62</w:t>
      </w:r>
      <w:r w:rsidRPr="00511669">
        <w:rPr>
          <w:rFonts w:ascii="Verdana" w:hAnsi="Verdana"/>
          <w:sz w:val="16"/>
          <w:szCs w:val="16"/>
        </w:rPr>
        <w:t xml:space="preserve">2, m.nt. </w:t>
      </w:r>
      <w:r>
        <w:rPr>
          <w:rFonts w:ascii="Verdana" w:hAnsi="Verdana"/>
          <w:sz w:val="16"/>
          <w:szCs w:val="16"/>
        </w:rPr>
        <w:t>J. d</w:t>
      </w:r>
      <w:r w:rsidRPr="00511669">
        <w:rPr>
          <w:rFonts w:ascii="Verdana" w:hAnsi="Verdana"/>
          <w:sz w:val="16"/>
          <w:szCs w:val="16"/>
        </w:rPr>
        <w:t>e Boer.</w:t>
      </w:r>
    </w:p>
  </w:footnote>
  <w:footnote w:id="101">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26 mei 2009, ECLI:NL:HR:2009:BG5979, </w:t>
      </w:r>
      <w:r w:rsidRPr="00511669">
        <w:rPr>
          <w:rFonts w:ascii="Verdana" w:hAnsi="Verdana"/>
          <w:i/>
          <w:sz w:val="16"/>
          <w:szCs w:val="16"/>
        </w:rPr>
        <w:t>NJ</w:t>
      </w:r>
      <w:r>
        <w:rPr>
          <w:rFonts w:ascii="Verdana" w:hAnsi="Verdana"/>
          <w:sz w:val="16"/>
          <w:szCs w:val="16"/>
        </w:rPr>
        <w:t xml:space="preserve"> 2009/</w:t>
      </w:r>
      <w:r w:rsidRPr="00511669">
        <w:rPr>
          <w:rFonts w:ascii="Verdana" w:hAnsi="Verdana"/>
          <w:sz w:val="16"/>
          <w:szCs w:val="16"/>
        </w:rPr>
        <w:t xml:space="preserve">263, m.nt. </w:t>
      </w:r>
      <w:r>
        <w:rPr>
          <w:rFonts w:ascii="Verdana" w:hAnsi="Verdana"/>
          <w:sz w:val="16"/>
          <w:szCs w:val="16"/>
        </w:rPr>
        <w:t xml:space="preserve">J. </w:t>
      </w:r>
      <w:r w:rsidRPr="00511669">
        <w:rPr>
          <w:rFonts w:ascii="Verdana" w:hAnsi="Verdana"/>
          <w:sz w:val="16"/>
          <w:szCs w:val="16"/>
        </w:rPr>
        <w:t xml:space="preserve">Legemaate. </w:t>
      </w:r>
    </w:p>
  </w:footnote>
  <w:footnote w:id="102">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28 februari 2012, ECLI:NL:HR:2012:BU6088, </w:t>
      </w:r>
      <w:r w:rsidRPr="00511669">
        <w:rPr>
          <w:rFonts w:ascii="Verdana" w:hAnsi="Verdana"/>
          <w:i/>
          <w:sz w:val="16"/>
          <w:szCs w:val="16"/>
        </w:rPr>
        <w:t>NJ</w:t>
      </w:r>
      <w:r>
        <w:rPr>
          <w:rFonts w:ascii="Verdana" w:hAnsi="Verdana"/>
          <w:sz w:val="16"/>
          <w:szCs w:val="16"/>
        </w:rPr>
        <w:t xml:space="preserve"> 2012/</w:t>
      </w:r>
      <w:r w:rsidRPr="00511669">
        <w:rPr>
          <w:rFonts w:ascii="Verdana" w:hAnsi="Verdana"/>
          <w:sz w:val="16"/>
          <w:szCs w:val="16"/>
        </w:rPr>
        <w:t xml:space="preserve">537, m.nt. </w:t>
      </w:r>
      <w:r>
        <w:rPr>
          <w:rFonts w:ascii="Verdana" w:hAnsi="Verdana"/>
          <w:sz w:val="16"/>
          <w:szCs w:val="16"/>
        </w:rPr>
        <w:t xml:space="preserve">J. </w:t>
      </w:r>
      <w:r w:rsidRPr="00511669">
        <w:rPr>
          <w:rFonts w:ascii="Verdana" w:hAnsi="Verdana"/>
          <w:sz w:val="16"/>
          <w:szCs w:val="16"/>
        </w:rPr>
        <w:t xml:space="preserve">Legemaate. </w:t>
      </w:r>
    </w:p>
  </w:footnote>
  <w:footnote w:id="103">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21 oktober 2008, ECLI:NL:</w:t>
      </w:r>
      <w:r>
        <w:rPr>
          <w:rFonts w:ascii="Verdana" w:hAnsi="Verdana"/>
          <w:sz w:val="16"/>
          <w:szCs w:val="16"/>
        </w:rPr>
        <w:t>HR:</w:t>
      </w:r>
      <w:r w:rsidRPr="00511669">
        <w:rPr>
          <w:rFonts w:ascii="Verdana" w:hAnsi="Verdana"/>
          <w:sz w:val="16"/>
          <w:szCs w:val="16"/>
        </w:rPr>
        <w:t xml:space="preserve">2008:BD7817, </w:t>
      </w:r>
      <w:r w:rsidRPr="00511669">
        <w:rPr>
          <w:rFonts w:ascii="Verdana" w:hAnsi="Verdana"/>
          <w:i/>
          <w:sz w:val="16"/>
          <w:szCs w:val="16"/>
        </w:rPr>
        <w:t>NJ</w:t>
      </w:r>
      <w:r>
        <w:rPr>
          <w:rFonts w:ascii="Verdana" w:hAnsi="Verdana"/>
          <w:sz w:val="16"/>
          <w:szCs w:val="16"/>
        </w:rPr>
        <w:t xml:space="preserve"> 2008/630, m.nt. J. Legemaate.</w:t>
      </w:r>
    </w:p>
  </w:footnote>
  <w:footnote w:id="104">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05 juli 2011, ECLI:NL:HR:2011:BP6141, </w:t>
      </w:r>
      <w:r w:rsidRPr="00511669">
        <w:rPr>
          <w:rFonts w:ascii="Verdana" w:hAnsi="Verdana"/>
          <w:i/>
          <w:sz w:val="16"/>
          <w:szCs w:val="16"/>
        </w:rPr>
        <w:t>NJ</w:t>
      </w:r>
      <w:r>
        <w:rPr>
          <w:rFonts w:ascii="Verdana" w:hAnsi="Verdana"/>
          <w:sz w:val="16"/>
          <w:szCs w:val="16"/>
        </w:rPr>
        <w:t xml:space="preserve"> 2011/</w:t>
      </w:r>
      <w:r w:rsidRPr="00511669">
        <w:rPr>
          <w:rFonts w:ascii="Verdana" w:hAnsi="Verdana"/>
          <w:sz w:val="16"/>
          <w:szCs w:val="16"/>
        </w:rPr>
        <w:t>416, m.nt.</w:t>
      </w:r>
      <w:r>
        <w:rPr>
          <w:rFonts w:ascii="Verdana" w:hAnsi="Verdana"/>
          <w:sz w:val="16"/>
          <w:szCs w:val="16"/>
        </w:rPr>
        <w:t xml:space="preserve"> J. </w:t>
      </w:r>
      <w:r w:rsidRPr="00511669">
        <w:rPr>
          <w:rFonts w:ascii="Verdana" w:hAnsi="Verdana"/>
          <w:sz w:val="16"/>
          <w:szCs w:val="16"/>
        </w:rPr>
        <w:t>Legemaate.</w:t>
      </w:r>
    </w:p>
  </w:footnote>
  <w:footnote w:id="105">
    <w:p w:rsidR="00D65307" w:rsidRPr="00BE63A0" w:rsidRDefault="00D65307">
      <w:pPr>
        <w:pStyle w:val="Voetnoottekst"/>
        <w:rPr>
          <w:rFonts w:ascii="Verdana" w:hAnsi="Verdana"/>
          <w:sz w:val="18"/>
          <w:szCs w:val="18"/>
        </w:rPr>
      </w:pPr>
      <w:r w:rsidRPr="00511669">
        <w:rPr>
          <w:rStyle w:val="Voetnootmarkering"/>
          <w:rFonts w:ascii="Verdana" w:hAnsi="Verdana"/>
          <w:sz w:val="16"/>
          <w:szCs w:val="16"/>
        </w:rPr>
        <w:footnoteRef/>
      </w:r>
      <w:r w:rsidRPr="00511669">
        <w:rPr>
          <w:rFonts w:ascii="Verdana" w:hAnsi="Verdana"/>
          <w:sz w:val="16"/>
          <w:szCs w:val="16"/>
        </w:rPr>
        <w:t xml:space="preserve"> HR 12 februa</w:t>
      </w:r>
      <w:r>
        <w:rPr>
          <w:rFonts w:ascii="Verdana" w:hAnsi="Verdana"/>
          <w:sz w:val="16"/>
          <w:szCs w:val="16"/>
        </w:rPr>
        <w:t xml:space="preserve">ri 2013, ECLI:NL:HR:2013:BX4284, </w:t>
      </w:r>
      <w:r>
        <w:rPr>
          <w:rFonts w:ascii="Verdana" w:hAnsi="Verdana"/>
          <w:i/>
          <w:sz w:val="16"/>
          <w:szCs w:val="16"/>
        </w:rPr>
        <w:t>NJ</w:t>
      </w:r>
      <w:r>
        <w:rPr>
          <w:rFonts w:ascii="Verdana" w:hAnsi="Verdana"/>
          <w:sz w:val="16"/>
          <w:szCs w:val="16"/>
        </w:rPr>
        <w:t xml:space="preserve"> 2014/92, m.nt. F. Vellinga-Schootstra.</w:t>
      </w:r>
    </w:p>
  </w:footnote>
  <w:footnote w:id="106">
    <w:p w:rsidR="00D65307" w:rsidRPr="00511669" w:rsidRDefault="00D65307">
      <w:pPr>
        <w:pStyle w:val="Voetnoottekst"/>
        <w:rPr>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w:t>
      </w:r>
      <w:r>
        <w:rPr>
          <w:rFonts w:ascii="Verdana" w:hAnsi="Verdana"/>
          <w:sz w:val="16"/>
          <w:szCs w:val="16"/>
        </w:rPr>
        <w:t>09 mei 2006, ECLI:NL:HR:2006:AV</w:t>
      </w:r>
      <w:r w:rsidRPr="00511669">
        <w:rPr>
          <w:rFonts w:ascii="Verdana" w:hAnsi="Verdana"/>
          <w:sz w:val="16"/>
          <w:szCs w:val="16"/>
        </w:rPr>
        <w:t xml:space="preserve">2386, </w:t>
      </w:r>
      <w:r w:rsidRPr="00511669">
        <w:rPr>
          <w:rFonts w:ascii="Verdana" w:hAnsi="Verdana"/>
          <w:i/>
          <w:sz w:val="16"/>
          <w:szCs w:val="16"/>
        </w:rPr>
        <w:t xml:space="preserve">NJ </w:t>
      </w:r>
      <w:r>
        <w:rPr>
          <w:rFonts w:ascii="Verdana" w:hAnsi="Verdana"/>
          <w:sz w:val="16"/>
          <w:szCs w:val="16"/>
        </w:rPr>
        <w:t>2006/62</w:t>
      </w:r>
      <w:r w:rsidRPr="00511669">
        <w:rPr>
          <w:rFonts w:ascii="Verdana" w:hAnsi="Verdana"/>
          <w:sz w:val="16"/>
          <w:szCs w:val="16"/>
        </w:rPr>
        <w:t xml:space="preserve">2, m.nt. </w:t>
      </w:r>
      <w:r>
        <w:rPr>
          <w:rFonts w:ascii="Verdana" w:hAnsi="Verdana"/>
          <w:sz w:val="16"/>
          <w:szCs w:val="16"/>
        </w:rPr>
        <w:t>J. d</w:t>
      </w:r>
      <w:r w:rsidRPr="00511669">
        <w:rPr>
          <w:rFonts w:ascii="Verdana" w:hAnsi="Verdana"/>
          <w:sz w:val="16"/>
          <w:szCs w:val="16"/>
        </w:rPr>
        <w:t>e Boer.</w:t>
      </w:r>
    </w:p>
  </w:footnote>
  <w:footnote w:id="107">
    <w:p w:rsidR="00D65307" w:rsidRPr="00511669" w:rsidRDefault="00D65307" w:rsidP="008C693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30 november </w:t>
      </w:r>
      <w:r w:rsidRPr="003C46EB">
        <w:rPr>
          <w:rFonts w:ascii="Verdana" w:hAnsi="Verdana"/>
          <w:sz w:val="16"/>
          <w:szCs w:val="16"/>
        </w:rPr>
        <w:t xml:space="preserve">1999, ECLI:NL:HR:1999:ZD7280, </w:t>
      </w:r>
      <w:r w:rsidRPr="003C46EB">
        <w:rPr>
          <w:rFonts w:ascii="Verdana" w:hAnsi="Verdana"/>
          <w:i/>
          <w:sz w:val="16"/>
          <w:szCs w:val="16"/>
        </w:rPr>
        <w:t>NJ</w:t>
      </w:r>
      <w:r>
        <w:rPr>
          <w:rFonts w:ascii="Verdana" w:hAnsi="Verdana"/>
          <w:sz w:val="16"/>
          <w:szCs w:val="16"/>
        </w:rPr>
        <w:t xml:space="preserve"> 2002/</w:t>
      </w:r>
      <w:r w:rsidRPr="003C46EB">
        <w:rPr>
          <w:rFonts w:ascii="Verdana" w:hAnsi="Verdana"/>
          <w:sz w:val="16"/>
          <w:szCs w:val="16"/>
        </w:rPr>
        <w:t>438, m.nt. Y. Buruma</w:t>
      </w:r>
      <w:r w:rsidRPr="00511669">
        <w:rPr>
          <w:rFonts w:ascii="Verdana" w:hAnsi="Verdana"/>
          <w:sz w:val="16"/>
          <w:szCs w:val="16"/>
        </w:rPr>
        <w:t>; HR 27 mei 2008, ECLI:NL:HR:2008:BC1369</w:t>
      </w:r>
      <w:r>
        <w:rPr>
          <w:rFonts w:ascii="Verdana" w:hAnsi="Verdana"/>
          <w:sz w:val="16"/>
          <w:szCs w:val="16"/>
        </w:rPr>
        <w:t xml:space="preserve">, </w:t>
      </w:r>
      <w:r>
        <w:rPr>
          <w:rFonts w:ascii="Verdana" w:hAnsi="Verdana"/>
          <w:i/>
          <w:sz w:val="16"/>
          <w:szCs w:val="16"/>
        </w:rPr>
        <w:t>NJ</w:t>
      </w:r>
      <w:r>
        <w:rPr>
          <w:rFonts w:ascii="Verdana" w:hAnsi="Verdana"/>
          <w:sz w:val="16"/>
          <w:szCs w:val="16"/>
        </w:rPr>
        <w:t xml:space="preserve"> 2008/407, m.nt. J. Legemaate</w:t>
      </w:r>
      <w:r w:rsidRPr="00511669">
        <w:rPr>
          <w:rFonts w:ascii="Verdana" w:hAnsi="Verdana"/>
          <w:sz w:val="16"/>
          <w:szCs w:val="16"/>
        </w:rPr>
        <w:t>; HR 10 december 2013, ECLI:NL:HR</w:t>
      </w:r>
      <w:r>
        <w:rPr>
          <w:rFonts w:ascii="Verdana" w:hAnsi="Verdana"/>
          <w:sz w:val="16"/>
          <w:szCs w:val="16"/>
        </w:rPr>
        <w:t>:</w:t>
      </w:r>
      <w:r w:rsidRPr="00511669">
        <w:rPr>
          <w:rFonts w:ascii="Verdana" w:hAnsi="Verdana"/>
          <w:sz w:val="16"/>
          <w:szCs w:val="16"/>
        </w:rPr>
        <w:t>2013:1740</w:t>
      </w:r>
      <w:r>
        <w:rPr>
          <w:rFonts w:ascii="Verdana" w:hAnsi="Verdana"/>
          <w:sz w:val="16"/>
          <w:szCs w:val="16"/>
        </w:rPr>
        <w:t xml:space="preserve">, </w:t>
      </w:r>
      <w:r>
        <w:rPr>
          <w:rFonts w:ascii="Verdana" w:hAnsi="Verdana"/>
          <w:i/>
          <w:sz w:val="16"/>
          <w:szCs w:val="16"/>
        </w:rPr>
        <w:t>NJ</w:t>
      </w:r>
      <w:r>
        <w:rPr>
          <w:rFonts w:ascii="Verdana" w:hAnsi="Verdana"/>
          <w:sz w:val="16"/>
          <w:szCs w:val="16"/>
        </w:rPr>
        <w:t xml:space="preserve"> 2014/93, m.nt. F. Vellinga-Schootstra</w:t>
      </w:r>
      <w:r w:rsidRPr="00511669">
        <w:rPr>
          <w:rFonts w:ascii="Verdana" w:hAnsi="Verdana"/>
          <w:sz w:val="16"/>
          <w:szCs w:val="16"/>
        </w:rPr>
        <w:t>.</w:t>
      </w:r>
    </w:p>
  </w:footnote>
  <w:footnote w:id="108">
    <w:p w:rsidR="00D65307" w:rsidRPr="00BA68C6" w:rsidRDefault="00D65307">
      <w:pPr>
        <w:pStyle w:val="Voetnoottekst"/>
        <w:rPr>
          <w:rFonts w:ascii="Verdana" w:hAnsi="Verdana"/>
          <w:sz w:val="18"/>
          <w:szCs w:val="18"/>
        </w:rPr>
      </w:pPr>
      <w:r w:rsidRPr="00511669">
        <w:rPr>
          <w:rStyle w:val="Voetnootmarkering"/>
          <w:rFonts w:ascii="Verdana" w:hAnsi="Verdana"/>
          <w:sz w:val="16"/>
          <w:szCs w:val="16"/>
        </w:rPr>
        <w:footnoteRef/>
      </w:r>
      <w:r w:rsidRPr="00511669">
        <w:rPr>
          <w:rFonts w:ascii="Verdana" w:hAnsi="Verdana"/>
          <w:sz w:val="16"/>
          <w:szCs w:val="16"/>
        </w:rPr>
        <w:t xml:space="preserve"> HR 10 december 2013, ECLI:NL:HR</w:t>
      </w:r>
      <w:r>
        <w:rPr>
          <w:rFonts w:ascii="Verdana" w:hAnsi="Verdana"/>
          <w:sz w:val="16"/>
          <w:szCs w:val="16"/>
        </w:rPr>
        <w:t>:</w:t>
      </w:r>
      <w:r w:rsidRPr="00511669">
        <w:rPr>
          <w:rFonts w:ascii="Verdana" w:hAnsi="Verdana"/>
          <w:sz w:val="16"/>
          <w:szCs w:val="16"/>
        </w:rPr>
        <w:t>2013:1740</w:t>
      </w:r>
      <w:r>
        <w:rPr>
          <w:rFonts w:ascii="Verdana" w:hAnsi="Verdana"/>
          <w:sz w:val="16"/>
          <w:szCs w:val="16"/>
        </w:rPr>
        <w:t>, </w:t>
      </w:r>
      <w:r>
        <w:rPr>
          <w:rFonts w:ascii="Verdana" w:hAnsi="Verdana"/>
          <w:i/>
          <w:sz w:val="16"/>
          <w:szCs w:val="16"/>
        </w:rPr>
        <w:t>NJ</w:t>
      </w:r>
      <w:r>
        <w:rPr>
          <w:rFonts w:ascii="Verdana" w:hAnsi="Verdana"/>
          <w:sz w:val="16"/>
          <w:szCs w:val="16"/>
        </w:rPr>
        <w:t xml:space="preserve"> 2014/93, m.nt. F. Vellinga-Schootstra; Schmelzer &amp; Rense, </w:t>
      </w:r>
      <w:r>
        <w:rPr>
          <w:rFonts w:ascii="Verdana" w:hAnsi="Verdana"/>
          <w:i/>
          <w:sz w:val="16"/>
          <w:szCs w:val="16"/>
        </w:rPr>
        <w:t>TVSO</w:t>
      </w:r>
      <w:r>
        <w:rPr>
          <w:rFonts w:ascii="Verdana" w:hAnsi="Verdana"/>
          <w:sz w:val="16"/>
          <w:szCs w:val="16"/>
        </w:rPr>
        <w:t xml:space="preserve"> 2015, afl. 4, p. 146 t/m 159. </w:t>
      </w:r>
    </w:p>
  </w:footnote>
  <w:footnote w:id="109">
    <w:p w:rsidR="00D65307" w:rsidRPr="00511669" w:rsidRDefault="00D65307" w:rsidP="00631EEB">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Kastelein, </w:t>
      </w:r>
      <w:r w:rsidRPr="00511669">
        <w:rPr>
          <w:rFonts w:ascii="Verdana" w:hAnsi="Verdana"/>
          <w:i/>
          <w:sz w:val="16"/>
          <w:szCs w:val="16"/>
        </w:rPr>
        <w:t>TvGR</w:t>
      </w:r>
      <w:r w:rsidRPr="00511669">
        <w:rPr>
          <w:rFonts w:ascii="Verdana" w:hAnsi="Verdana"/>
          <w:sz w:val="16"/>
          <w:szCs w:val="16"/>
        </w:rPr>
        <w:t xml:space="preserve"> 2013, afl. 8, p. 764 t/m 773.</w:t>
      </w:r>
    </w:p>
  </w:footnote>
  <w:footnote w:id="110">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05 jul</w:t>
      </w:r>
      <w:r>
        <w:rPr>
          <w:rFonts w:ascii="Verdana" w:hAnsi="Verdana"/>
          <w:sz w:val="16"/>
          <w:szCs w:val="16"/>
        </w:rPr>
        <w:t xml:space="preserve">i 2011 , ECLI:NL:HR:2011:BP6141, </w:t>
      </w:r>
      <w:r>
        <w:rPr>
          <w:rFonts w:ascii="Verdana" w:hAnsi="Verdana"/>
          <w:i/>
          <w:sz w:val="16"/>
          <w:szCs w:val="16"/>
        </w:rPr>
        <w:t>NJ</w:t>
      </w:r>
      <w:r>
        <w:rPr>
          <w:rFonts w:ascii="Verdana" w:hAnsi="Verdana"/>
          <w:sz w:val="16"/>
          <w:szCs w:val="16"/>
        </w:rPr>
        <w:t xml:space="preserve"> 2011/416, m.nt. J. Legemaate; Schmelzer &amp; Rense, </w:t>
      </w:r>
      <w:r>
        <w:rPr>
          <w:rFonts w:ascii="Verdana" w:hAnsi="Verdana"/>
          <w:i/>
          <w:sz w:val="16"/>
          <w:szCs w:val="16"/>
        </w:rPr>
        <w:t>TVSO</w:t>
      </w:r>
      <w:r>
        <w:rPr>
          <w:rFonts w:ascii="Verdana" w:hAnsi="Verdana"/>
          <w:sz w:val="16"/>
          <w:szCs w:val="16"/>
        </w:rPr>
        <w:t xml:space="preserve"> 2015, afl. 4, p. 146 t/m 159.</w:t>
      </w:r>
    </w:p>
  </w:footnote>
  <w:footnote w:id="111">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HR </w:t>
      </w:r>
      <w:r>
        <w:rPr>
          <w:rFonts w:ascii="Verdana" w:hAnsi="Verdana"/>
          <w:sz w:val="16"/>
          <w:szCs w:val="16"/>
        </w:rPr>
        <w:t>09 mei 2006, ECLI:NL:HR:2006:AV</w:t>
      </w:r>
      <w:r w:rsidRPr="00511669">
        <w:rPr>
          <w:rFonts w:ascii="Verdana" w:hAnsi="Verdana"/>
          <w:sz w:val="16"/>
          <w:szCs w:val="16"/>
        </w:rPr>
        <w:t xml:space="preserve">2386, </w:t>
      </w:r>
      <w:r w:rsidRPr="00511669">
        <w:rPr>
          <w:rFonts w:ascii="Verdana" w:hAnsi="Verdana"/>
          <w:i/>
          <w:sz w:val="16"/>
          <w:szCs w:val="16"/>
        </w:rPr>
        <w:t xml:space="preserve">NJ </w:t>
      </w:r>
      <w:r>
        <w:rPr>
          <w:rFonts w:ascii="Verdana" w:hAnsi="Verdana"/>
          <w:sz w:val="16"/>
          <w:szCs w:val="16"/>
        </w:rPr>
        <w:t>2006/622, m.nt. J. d</w:t>
      </w:r>
      <w:r w:rsidRPr="00511669">
        <w:rPr>
          <w:rFonts w:ascii="Verdana" w:hAnsi="Verdana"/>
          <w:sz w:val="16"/>
          <w:szCs w:val="16"/>
        </w:rPr>
        <w:t>e Boer.</w:t>
      </w:r>
    </w:p>
  </w:footnote>
  <w:footnote w:id="112">
    <w:p w:rsidR="00D65307" w:rsidRDefault="00D65307">
      <w:pPr>
        <w:pStyle w:val="Voetnoottekst"/>
      </w:pPr>
      <w:r w:rsidRPr="00511669">
        <w:rPr>
          <w:rStyle w:val="Voetnootmarkering"/>
          <w:rFonts w:ascii="Verdana" w:hAnsi="Verdana"/>
          <w:sz w:val="16"/>
          <w:szCs w:val="16"/>
        </w:rPr>
        <w:footnoteRef/>
      </w:r>
      <w:r w:rsidRPr="00511669">
        <w:rPr>
          <w:rFonts w:ascii="Verdana" w:hAnsi="Verdana"/>
          <w:sz w:val="16"/>
          <w:szCs w:val="16"/>
        </w:rPr>
        <w:t xml:space="preserve"> HR 26 mei 2009, ECLI:NL:HR:2009:BG5979, </w:t>
      </w:r>
      <w:r w:rsidRPr="00511669">
        <w:rPr>
          <w:rFonts w:ascii="Verdana" w:hAnsi="Verdana"/>
          <w:i/>
          <w:sz w:val="16"/>
          <w:szCs w:val="16"/>
        </w:rPr>
        <w:t>NJ</w:t>
      </w:r>
      <w:r>
        <w:rPr>
          <w:rFonts w:ascii="Verdana" w:hAnsi="Verdana"/>
          <w:sz w:val="16"/>
          <w:szCs w:val="16"/>
        </w:rPr>
        <w:t xml:space="preserve"> 2009/</w:t>
      </w:r>
      <w:r w:rsidRPr="00511669">
        <w:rPr>
          <w:rFonts w:ascii="Verdana" w:hAnsi="Verdana"/>
          <w:sz w:val="16"/>
          <w:szCs w:val="16"/>
        </w:rPr>
        <w:t xml:space="preserve">263, m.nt. </w:t>
      </w:r>
      <w:r>
        <w:rPr>
          <w:rFonts w:ascii="Verdana" w:hAnsi="Verdana"/>
          <w:sz w:val="16"/>
          <w:szCs w:val="16"/>
        </w:rPr>
        <w:t xml:space="preserve">J. </w:t>
      </w:r>
      <w:r w:rsidRPr="00511669">
        <w:rPr>
          <w:rFonts w:ascii="Verdana" w:hAnsi="Verdana"/>
          <w:sz w:val="16"/>
          <w:szCs w:val="16"/>
        </w:rPr>
        <w:t>Legemaate.</w:t>
      </w:r>
    </w:p>
  </w:footnote>
  <w:footnote w:id="113">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Kastelein, </w:t>
      </w:r>
      <w:r w:rsidRPr="00511669">
        <w:rPr>
          <w:rFonts w:ascii="Verdana" w:hAnsi="Verdana"/>
          <w:i/>
          <w:sz w:val="16"/>
          <w:szCs w:val="16"/>
        </w:rPr>
        <w:t>TvGR</w:t>
      </w:r>
      <w:r w:rsidRPr="00511669">
        <w:rPr>
          <w:rFonts w:ascii="Verdana" w:hAnsi="Verdana"/>
          <w:sz w:val="16"/>
          <w:szCs w:val="16"/>
        </w:rPr>
        <w:t xml:space="preserve"> 2013, afl. 8, p. 764 t/m 773.</w:t>
      </w:r>
    </w:p>
  </w:footnote>
  <w:footnote w:id="114">
    <w:p w:rsidR="00D65307" w:rsidRDefault="00D65307" w:rsidP="007F063C">
      <w:pPr>
        <w:pStyle w:val="Voetnoottekst"/>
        <w:rPr>
          <w:rFonts w:ascii="Verdana" w:hAnsi="Verdana"/>
          <w:sz w:val="16"/>
          <w:szCs w:val="16"/>
        </w:rPr>
      </w:pPr>
      <w:r w:rsidRPr="00764656">
        <w:rPr>
          <w:rStyle w:val="Voetnootmarkering"/>
          <w:rFonts w:ascii="Verdana" w:hAnsi="Verdana"/>
          <w:sz w:val="16"/>
          <w:szCs w:val="16"/>
        </w:rPr>
        <w:footnoteRef/>
      </w:r>
      <w:r w:rsidRPr="00764656">
        <w:rPr>
          <w:rFonts w:ascii="Verdana" w:hAnsi="Verdana"/>
          <w:sz w:val="16"/>
          <w:szCs w:val="16"/>
        </w:rPr>
        <w:t xml:space="preserve"> Rechtbank Overijssel 10 februari 2016, ECLI:NL:RBOVE:2016:606; Rechtbank Limburg 01 mei 2015, ECLI:NL:RBLIM:2015:3781; Rechtbank Amsterdam 19 maart 2015, ECLI:NL:RBAMS:2015:2183; Rechtbank Amsterdam 19 maart 2015, ECLI:NL:RBAMS:2015:1775; Rechtbank Den Haag 02 december 2014, ECLI:NL:</w:t>
      </w:r>
    </w:p>
    <w:p w:rsidR="00D65307" w:rsidRPr="00D02678" w:rsidRDefault="00D65307" w:rsidP="007F063C">
      <w:pPr>
        <w:pStyle w:val="Voetnoottekst"/>
        <w:rPr>
          <w:rFonts w:ascii="Verdana" w:hAnsi="Verdana"/>
          <w:sz w:val="16"/>
          <w:szCs w:val="16"/>
        </w:rPr>
      </w:pPr>
      <w:r w:rsidRPr="00764656">
        <w:rPr>
          <w:rFonts w:ascii="Verdana" w:hAnsi="Verdana"/>
          <w:sz w:val="16"/>
          <w:szCs w:val="16"/>
        </w:rPr>
        <w:t xml:space="preserve">RBDHA:2014:16273; Rechtbank Den Haag 25 november 2014, ECLI:NL:RBDHA:2014:14545; Rechtbank </w:t>
      </w:r>
      <w:r w:rsidRPr="00D02678">
        <w:rPr>
          <w:rFonts w:ascii="Verdana" w:hAnsi="Verdana"/>
          <w:sz w:val="16"/>
          <w:szCs w:val="16"/>
        </w:rPr>
        <w:t>Amsterdam 24 april 2014, ECLI:NL:RBAMS:2014:9256; Rechtbank Amsterdam 29 november 2013, ECLI:NL:</w:t>
      </w:r>
    </w:p>
    <w:p w:rsidR="00D65307" w:rsidRPr="00D02678" w:rsidRDefault="00D65307" w:rsidP="007F063C">
      <w:pPr>
        <w:pStyle w:val="Voetnoottekst"/>
        <w:rPr>
          <w:rFonts w:ascii="Verdana" w:hAnsi="Verdana"/>
          <w:sz w:val="16"/>
          <w:szCs w:val="16"/>
        </w:rPr>
      </w:pPr>
      <w:r w:rsidRPr="00D02678">
        <w:rPr>
          <w:rFonts w:ascii="Verdana" w:hAnsi="Verdana"/>
          <w:sz w:val="16"/>
          <w:szCs w:val="16"/>
        </w:rPr>
        <w:t>RBAMS:2013:9923; Rechtbank Noord-Nederland 28 november 2013, ECLI:NL:RBNNE:2013:7364; Rechtbank Den Haag 16 juli 2013, ECLI:NL:RBDHA:2013:8654; Rechtbank Noord-Nederland 26 april 2013, ECLI:NL:</w:t>
      </w:r>
    </w:p>
    <w:p w:rsidR="00D65307" w:rsidRPr="00D02678" w:rsidRDefault="00D65307" w:rsidP="007F063C">
      <w:pPr>
        <w:pStyle w:val="Voetnoottekst"/>
        <w:rPr>
          <w:rFonts w:ascii="Verdana" w:hAnsi="Verdana"/>
          <w:sz w:val="16"/>
          <w:szCs w:val="16"/>
        </w:rPr>
      </w:pPr>
      <w:r w:rsidRPr="00D02678">
        <w:rPr>
          <w:rFonts w:ascii="Verdana" w:hAnsi="Verdana"/>
          <w:sz w:val="16"/>
          <w:szCs w:val="16"/>
        </w:rPr>
        <w:t>RBDHA:2013:BZ9199; Rechtbank Rotterdam 25 juli 2012, ECLI:NL:RBROT:2012:BX5773; Rechtbank ’s-Gravenhage 03 april 2012, ECLI:NL:RBSGR:2012:BW7051; Rechtbank ’s-Gravenhage 31 mei 2011, ECLI:</w:t>
      </w:r>
    </w:p>
    <w:p w:rsidR="00D65307" w:rsidRPr="00D02678" w:rsidRDefault="00D65307" w:rsidP="007F063C">
      <w:pPr>
        <w:pStyle w:val="Voetnoottekst"/>
        <w:rPr>
          <w:rFonts w:ascii="Verdana" w:hAnsi="Verdana"/>
          <w:sz w:val="16"/>
          <w:szCs w:val="16"/>
        </w:rPr>
      </w:pPr>
      <w:r w:rsidRPr="00D02678">
        <w:rPr>
          <w:rFonts w:ascii="Verdana" w:hAnsi="Verdana"/>
          <w:sz w:val="16"/>
          <w:szCs w:val="16"/>
        </w:rPr>
        <w:t>NL:RBSGR:2011:BQ7702.</w:t>
      </w:r>
    </w:p>
  </w:footnote>
  <w:footnote w:id="115">
    <w:p w:rsidR="00D65307" w:rsidRDefault="00D65307" w:rsidP="00B50AF5">
      <w:pPr>
        <w:pStyle w:val="Voetnoottekst"/>
      </w:pPr>
      <w:r w:rsidRPr="00D02678">
        <w:rPr>
          <w:rStyle w:val="Voetnootmarkering"/>
          <w:rFonts w:ascii="Verdana" w:hAnsi="Verdana"/>
          <w:sz w:val="16"/>
          <w:szCs w:val="16"/>
        </w:rPr>
        <w:footnoteRef/>
      </w:r>
      <w:r w:rsidRPr="00D02678">
        <w:rPr>
          <w:rFonts w:ascii="Verdana" w:hAnsi="Verdana"/>
          <w:sz w:val="16"/>
          <w:szCs w:val="16"/>
        </w:rPr>
        <w:t xml:space="preserve"> Rechtbank Limburg 01 mei 2015, ECLI:NL:RBLIM:2015:3781; Rechtbank Amsterdam 19 maart 2015, ECLI:NL:RBAMS:2015:1775 (ten aanzien van de mail); Rechtbank Den Haag 02 december 2014, ECLI:NL:RBDHA:2014:16273; Rechtbank Den Haag 25 november 2014, ECLI:NL:RBDHA:2014:14545;  Rechtbank Noord-Nederland 28 november 2013, ECLI:NL:RBNNE:2013:7364; Rechtbank ’s-Gravenhage 31 mei 2011, ECLI:NL:RBSGR:2011:BQ7702.</w:t>
      </w:r>
    </w:p>
  </w:footnote>
  <w:footnote w:id="116">
    <w:p w:rsidR="00D65307" w:rsidRDefault="00D65307">
      <w:pPr>
        <w:pStyle w:val="Voetnoottekst"/>
        <w:rPr>
          <w:rFonts w:ascii="Verdana" w:hAnsi="Verdana"/>
          <w:sz w:val="16"/>
          <w:szCs w:val="16"/>
        </w:rPr>
      </w:pPr>
      <w:r w:rsidRPr="008547BA">
        <w:rPr>
          <w:rStyle w:val="Voetnootmarkering"/>
          <w:rFonts w:ascii="Verdana" w:hAnsi="Verdana"/>
          <w:sz w:val="16"/>
          <w:szCs w:val="16"/>
        </w:rPr>
        <w:footnoteRef/>
      </w:r>
      <w:r w:rsidRPr="008547BA">
        <w:rPr>
          <w:rFonts w:ascii="Verdana" w:hAnsi="Verdana"/>
          <w:sz w:val="16"/>
          <w:szCs w:val="16"/>
        </w:rPr>
        <w:t xml:space="preserve"> Rechtbank Amsterdam 19 maart 2015, ECLI:NL:RBAMS:2015:1775; Rechtbank Den Haag 25 november 2014, ECLI:NL:RBDHA:2014:14545; Rechtbank Noord-Nederland 28 november 2013, ECLI:NL:RBNNE:2013:</w:t>
      </w:r>
    </w:p>
    <w:p w:rsidR="00D65307" w:rsidRPr="008547BA" w:rsidRDefault="00D65307">
      <w:pPr>
        <w:pStyle w:val="Voetnoottekst"/>
        <w:rPr>
          <w:rFonts w:ascii="Verdana" w:hAnsi="Verdana"/>
          <w:sz w:val="16"/>
          <w:szCs w:val="16"/>
        </w:rPr>
      </w:pPr>
      <w:r w:rsidRPr="008547BA">
        <w:rPr>
          <w:rFonts w:ascii="Verdana" w:hAnsi="Verdana"/>
          <w:sz w:val="16"/>
          <w:szCs w:val="16"/>
        </w:rPr>
        <w:t xml:space="preserve">7364; Rechtbank Noord-Nederland 26 april 2013, ECLI:NL:RBNNE:2013:BZ9199; Rechtbank Rotterdam 25 juli 2012, ECLI:NL:RBROT:2012:BX5773 (ten aanzien van dossier 1 en 2); Rechtbank ’s-Gravenhage 03 april 2012, ECLI:NL:RBSGR:2012:BW7051; Rechtbank ’s-Gravenhage 35 mei 2011, ECLI:NL:RBSGR:2011:BQ7702. </w:t>
      </w:r>
    </w:p>
  </w:footnote>
  <w:footnote w:id="117">
    <w:p w:rsidR="00D65307" w:rsidRDefault="00D65307" w:rsidP="00971680">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Noord-Holland 20 november 2015, ECLI:NL:RBNHO:2015:11814;</w:t>
      </w:r>
      <w:r>
        <w:rPr>
          <w:rFonts w:ascii="Verdana" w:hAnsi="Verdana"/>
          <w:sz w:val="16"/>
          <w:szCs w:val="16"/>
        </w:rPr>
        <w:t xml:space="preserve"> Rechtbank </w:t>
      </w:r>
      <w:r w:rsidRPr="00511669">
        <w:rPr>
          <w:rFonts w:ascii="Verdana" w:hAnsi="Verdana"/>
          <w:sz w:val="16"/>
          <w:szCs w:val="16"/>
        </w:rPr>
        <w:t xml:space="preserve">Oost-Brabant 06 februari 2015, </w:t>
      </w:r>
      <w:r>
        <w:rPr>
          <w:rFonts w:ascii="Verdana" w:hAnsi="Verdana"/>
          <w:sz w:val="16"/>
          <w:szCs w:val="16"/>
        </w:rPr>
        <w:t>E</w:t>
      </w:r>
      <w:r w:rsidRPr="00511669">
        <w:rPr>
          <w:rFonts w:ascii="Verdana" w:hAnsi="Verdana"/>
          <w:sz w:val="16"/>
          <w:szCs w:val="16"/>
        </w:rPr>
        <w:t xml:space="preserve">CLI:NL:RBOBR:2015:731; </w:t>
      </w:r>
      <w:r w:rsidRPr="00511669">
        <w:rPr>
          <w:rFonts w:ascii="Verdana" w:eastAsia="Times New Roman" w:hAnsi="Verdana" w:cs="Times New Roman"/>
          <w:color w:val="000000"/>
          <w:sz w:val="16"/>
          <w:szCs w:val="16"/>
          <w:lang w:eastAsia="nl-NL"/>
        </w:rPr>
        <w:t>Rechtbank Den Haag 02 december 2014, ECLI:NL:</w:t>
      </w:r>
      <w:r w:rsidRPr="00511669">
        <w:rPr>
          <w:rFonts w:ascii="Verdana" w:hAnsi="Verdana"/>
          <w:sz w:val="16"/>
          <w:szCs w:val="16"/>
        </w:rPr>
        <w:t>RBDHA:2014:</w:t>
      </w:r>
    </w:p>
    <w:p w:rsidR="00D65307" w:rsidRPr="00CD183F" w:rsidRDefault="00D65307" w:rsidP="00971680">
      <w:pPr>
        <w:pStyle w:val="Voetnoottekst"/>
        <w:rPr>
          <w:rFonts w:ascii="Verdana" w:eastAsia="Times New Roman" w:hAnsi="Verdana" w:cs="Times New Roman"/>
          <w:color w:val="000000"/>
          <w:sz w:val="16"/>
          <w:szCs w:val="16"/>
          <w:lang w:eastAsia="nl-NL"/>
        </w:rPr>
      </w:pPr>
      <w:r w:rsidRPr="00511669">
        <w:rPr>
          <w:rFonts w:ascii="Verdana" w:hAnsi="Verdana"/>
          <w:sz w:val="16"/>
          <w:szCs w:val="16"/>
        </w:rPr>
        <w:t>16273;</w:t>
      </w:r>
      <w:r>
        <w:rPr>
          <w:rFonts w:ascii="Verdana" w:hAnsi="Verdana"/>
          <w:sz w:val="16"/>
          <w:szCs w:val="16"/>
        </w:rPr>
        <w:t> </w:t>
      </w:r>
      <w:r w:rsidRPr="00511669">
        <w:rPr>
          <w:rFonts w:ascii="Verdana" w:hAnsi="Verdana"/>
          <w:sz w:val="16"/>
          <w:szCs w:val="16"/>
        </w:rPr>
        <w:t>Rechtbank Den Haag 16 juli 2013,</w:t>
      </w:r>
      <w:r w:rsidRPr="00511669">
        <w:rPr>
          <w:rFonts w:ascii="Verdana" w:eastAsia="Times New Roman" w:hAnsi="Verdana" w:cs="Times New Roman"/>
          <w:color w:val="000000"/>
          <w:sz w:val="16"/>
          <w:szCs w:val="16"/>
          <w:lang w:eastAsia="nl-NL"/>
        </w:rPr>
        <w:t xml:space="preserve"> ECLI:NL:RBDHA:2013:8654;</w:t>
      </w:r>
      <w:r>
        <w:rPr>
          <w:rFonts w:ascii="Verdana" w:eastAsia="Times New Roman" w:hAnsi="Verdana" w:cs="Times New Roman"/>
          <w:color w:val="000000"/>
          <w:sz w:val="16"/>
          <w:szCs w:val="16"/>
          <w:lang w:eastAsia="nl-NL"/>
        </w:rPr>
        <w:t> </w:t>
      </w:r>
      <w:r w:rsidRPr="00511669">
        <w:rPr>
          <w:rFonts w:ascii="Verdana" w:eastAsia="Times New Roman" w:hAnsi="Verdana" w:cs="Times New Roman"/>
          <w:color w:val="000000"/>
          <w:sz w:val="16"/>
          <w:szCs w:val="16"/>
          <w:lang w:eastAsia="nl-NL"/>
        </w:rPr>
        <w:t>Rechtbank Noord-Nederland 26 april 2013, ECLI:NL:RBNNE:2013:BZ9199; Rechtbank Overijssel 24 april 2013,</w:t>
      </w:r>
      <w:r>
        <w:rPr>
          <w:rFonts w:ascii="Verdana" w:eastAsia="Times New Roman" w:hAnsi="Verdana" w:cs="Times New Roman"/>
          <w:color w:val="000000"/>
          <w:sz w:val="16"/>
          <w:szCs w:val="16"/>
          <w:lang w:eastAsia="nl-NL"/>
        </w:rPr>
        <w:t> </w:t>
      </w:r>
      <w:r w:rsidRPr="00511669">
        <w:rPr>
          <w:rFonts w:ascii="Verdana" w:eastAsia="Times New Roman" w:hAnsi="Verdana" w:cs="Times New Roman"/>
          <w:color w:val="000000"/>
          <w:sz w:val="16"/>
          <w:szCs w:val="16"/>
          <w:lang w:eastAsia="nl-NL"/>
        </w:rPr>
        <w:t xml:space="preserve">ECLI:NL:RBOVE:2013:BZ9109; </w:t>
      </w:r>
      <w:r>
        <w:rPr>
          <w:rFonts w:ascii="Verdana" w:eastAsia="Times New Roman" w:hAnsi="Verdana" w:cs="Times New Roman"/>
          <w:color w:val="000000"/>
          <w:sz w:val="16"/>
          <w:szCs w:val="16"/>
          <w:lang w:eastAsia="nl-NL"/>
        </w:rPr>
        <w:t xml:space="preserve">Rechtbank ‘s-Gravenhage 03 april 2012, ECLI:NL:RBSGR:2012:BW7051; </w:t>
      </w:r>
      <w:r w:rsidRPr="00511669">
        <w:rPr>
          <w:rFonts w:ascii="Verdana" w:eastAsia="Times New Roman" w:hAnsi="Verdana" w:cs="Times New Roman"/>
          <w:color w:val="000000"/>
          <w:sz w:val="16"/>
          <w:szCs w:val="16"/>
          <w:lang w:eastAsia="nl-NL"/>
        </w:rPr>
        <w:t>Rechtbank Rotterdam 07 februari 2012, ECLI:NL:RBROT:2012:BV3772; Rechtbank Maastricht 29 juli 2011, ECLI:NL:RBMAA:2011:BR3970; Rechtbank ’s-Gravenhage 31 mei 2011, ECLI:NL:RBSGR:2011:BQ7702.</w:t>
      </w:r>
    </w:p>
  </w:footnote>
  <w:footnote w:id="118">
    <w:p w:rsidR="00D65307" w:rsidRPr="00511669" w:rsidRDefault="00D65307" w:rsidP="002A41B4">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Overijssel 10 februari 2016, ECLI:NL:RBOVE:2016:606; Rechtbank Oost-Brabant 02 oktober 2015, ECLI:NL:RBOBR:2015:5650; Rechtbank ’s-Gravenhage 31 mei 2011, ECLI:NL:RBSGR:2011:BQ7702. </w:t>
      </w:r>
    </w:p>
  </w:footnote>
  <w:footnote w:id="119">
    <w:p w:rsidR="00D65307" w:rsidRDefault="00D65307" w:rsidP="0077477F">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Noord-Holland 20 november 2015, ECLI:NL:RBNHO:2015:11814; Rechtbank Oost-Brabant 24 april 2015, ECLI:NL:RBOBR:2015:2390; Rechtbank Den Haag 03 februari 2015, ECLI:NL:RBDHA:2015:1139; Rechtbank Den Haag 28 april 2014, ECLI:NL:RBDHA:2014:5203; Rechtbank Amsterdam 01 november 2013, ECLI:NL:RBAMS:2013:9938</w:t>
      </w:r>
      <w:r w:rsidRPr="00356C0E">
        <w:rPr>
          <w:rFonts w:ascii="Verdana" w:hAnsi="Verdana"/>
          <w:sz w:val="16"/>
          <w:szCs w:val="16"/>
        </w:rPr>
        <w:t>; Rechtbank Den Haag 16 juli 2013, ECLI:NL:RBDHA:2013:8654; Rechtbank Amsterdam 28 november 2012, ECLI:NL:RBAMS:2012:BY8626; Rechtbank ’s-Gravenhage 27</w:t>
      </w:r>
      <w:r w:rsidRPr="00511669">
        <w:rPr>
          <w:rFonts w:ascii="Verdana" w:hAnsi="Verdana"/>
          <w:sz w:val="16"/>
          <w:szCs w:val="16"/>
        </w:rPr>
        <w:t xml:space="preserve"> november 2012, ECLI:NL:RBSGR:2012:BY5600; Rechtbank ’s-Gravenhage 03 april </w:t>
      </w:r>
      <w:r w:rsidRPr="00356C0E">
        <w:rPr>
          <w:rFonts w:ascii="Verdana" w:hAnsi="Verdana"/>
          <w:sz w:val="16"/>
          <w:szCs w:val="16"/>
        </w:rPr>
        <w:t>2012, ECLI:NL:RBSGR:2012:BW7051; Rechtbank Roermond 13 maart 2012, ECLI:NL:RBROE:2012:18; Rechtbank Arnhem 29 februari 2012, ECLI:NL:</w:t>
      </w:r>
    </w:p>
    <w:p w:rsidR="00D65307" w:rsidRDefault="00D65307" w:rsidP="0077477F">
      <w:pPr>
        <w:pStyle w:val="Voetnoottekst"/>
        <w:rPr>
          <w:rFonts w:ascii="Verdana" w:hAnsi="Verdana"/>
          <w:sz w:val="16"/>
          <w:szCs w:val="16"/>
        </w:rPr>
      </w:pPr>
      <w:r w:rsidRPr="00356C0E">
        <w:rPr>
          <w:rFonts w:ascii="Verdana" w:hAnsi="Verdana"/>
          <w:sz w:val="16"/>
          <w:szCs w:val="16"/>
        </w:rPr>
        <w:t>RBARN:2012:BV7385; Rechtbank Maastricht 29 juli 2011, ECLI:NL:RBMAA:2011:BR3970; Rechtbank ’s-Gravenhage 15 maart 2011, ECLI:NL:RBSGR:2011:BQ4108; Rechtbank Utrecht</w:t>
      </w:r>
      <w:r w:rsidRPr="00511669">
        <w:rPr>
          <w:rFonts w:ascii="Verdana" w:hAnsi="Verdana"/>
          <w:sz w:val="16"/>
          <w:szCs w:val="16"/>
        </w:rPr>
        <w:t xml:space="preserve"> 30 juli 2010, ECLI:NL:RBUTR:</w:t>
      </w:r>
    </w:p>
    <w:p w:rsidR="00D65307" w:rsidRPr="00511669" w:rsidRDefault="00D65307" w:rsidP="0077477F">
      <w:pPr>
        <w:pStyle w:val="Voetnoottekst"/>
        <w:rPr>
          <w:rFonts w:ascii="Verdana" w:hAnsi="Verdana"/>
          <w:sz w:val="16"/>
          <w:szCs w:val="16"/>
        </w:rPr>
      </w:pPr>
      <w:r w:rsidRPr="00511669">
        <w:rPr>
          <w:rFonts w:ascii="Verdana" w:hAnsi="Verdana"/>
          <w:sz w:val="16"/>
          <w:szCs w:val="16"/>
        </w:rPr>
        <w:t xml:space="preserve">2010:BN8673. </w:t>
      </w:r>
    </w:p>
  </w:footnote>
  <w:footnote w:id="120">
    <w:p w:rsidR="00D65307" w:rsidRPr="00C53EE1" w:rsidRDefault="00D65307" w:rsidP="00C53EE1">
      <w:pPr>
        <w:pStyle w:val="Voetnoottekst"/>
        <w:rPr>
          <w:rFonts w:ascii="Verdana" w:hAnsi="Verdana"/>
          <w:sz w:val="16"/>
          <w:szCs w:val="16"/>
        </w:rPr>
      </w:pPr>
      <w:r w:rsidRPr="00C53EE1">
        <w:rPr>
          <w:rStyle w:val="Voetnootmarkering"/>
          <w:rFonts w:ascii="Verdana" w:hAnsi="Verdana"/>
          <w:sz w:val="16"/>
          <w:szCs w:val="16"/>
        </w:rPr>
        <w:footnoteRef/>
      </w:r>
      <w:r w:rsidRPr="00C53EE1">
        <w:rPr>
          <w:rFonts w:ascii="Verdana" w:hAnsi="Verdana"/>
          <w:sz w:val="16"/>
          <w:szCs w:val="16"/>
        </w:rPr>
        <w:t xml:space="preserve"> Rechtbank Oost-Brabant 24 april 2015, ECLI:NL:RBOBR:2015:2390; Rechtbank Den Haag 28 april 2014, ECLI:NL:RBDHA:2014:5203; Rechtbank Amsterdam 28 november 2012, ECLI:NL:RBAMS:2012:BY8626; Rechtbank Roermond 13 maart 2012, ECLI:NL:RBROE:2012:18; Rechtbank Arnhem 29 februari 2012, ECLI:NL:</w:t>
      </w:r>
    </w:p>
    <w:p w:rsidR="00D65307" w:rsidRDefault="00D65307" w:rsidP="00C53EE1">
      <w:pPr>
        <w:pStyle w:val="Voetnoottekst"/>
      </w:pPr>
      <w:r w:rsidRPr="00C53EE1">
        <w:rPr>
          <w:rFonts w:ascii="Verdana" w:hAnsi="Verdana"/>
          <w:sz w:val="16"/>
          <w:szCs w:val="16"/>
        </w:rPr>
        <w:t>RBARN:2012:BV7385.</w:t>
      </w:r>
    </w:p>
  </w:footnote>
  <w:footnote w:id="121">
    <w:p w:rsidR="00D65307" w:rsidRPr="00126D20" w:rsidRDefault="00D65307">
      <w:pPr>
        <w:pStyle w:val="Voetnoottekst"/>
        <w:rPr>
          <w:rFonts w:ascii="Verdana" w:hAnsi="Verdana"/>
          <w:sz w:val="16"/>
          <w:szCs w:val="16"/>
        </w:rPr>
      </w:pPr>
      <w:r w:rsidRPr="00126D20">
        <w:rPr>
          <w:rStyle w:val="Voetnootmarkering"/>
          <w:rFonts w:ascii="Verdana" w:hAnsi="Verdana"/>
          <w:sz w:val="16"/>
          <w:szCs w:val="16"/>
        </w:rPr>
        <w:footnoteRef/>
      </w:r>
      <w:r w:rsidRPr="00126D20">
        <w:rPr>
          <w:rFonts w:ascii="Verdana" w:hAnsi="Verdana"/>
          <w:sz w:val="16"/>
          <w:szCs w:val="16"/>
        </w:rPr>
        <w:t xml:space="preserve"> Rechtbank Noord-Holland 20 november 2015, ECLI:NL:RBNHO:2015:11814; Rechtbank Den Haag 03 februari 2015, ECLI:NL:RBDHA:2015:1139; Rechtbank Amsterdam 28 november 2012, ECLI:NL:RBAMS:2012:</w:t>
      </w:r>
    </w:p>
    <w:p w:rsidR="00D65307" w:rsidRDefault="00D65307" w:rsidP="00126D20">
      <w:pPr>
        <w:pStyle w:val="Voetnoottekst"/>
      </w:pPr>
      <w:r w:rsidRPr="00126D20">
        <w:rPr>
          <w:rFonts w:ascii="Verdana" w:hAnsi="Verdana"/>
          <w:sz w:val="16"/>
          <w:szCs w:val="16"/>
        </w:rPr>
        <w:t>BY8626; Rechtbank Maastricht 29 juli 2011, ECLI:NL:RBMAA:2011:BR3790.</w:t>
      </w:r>
    </w:p>
  </w:footnote>
  <w:footnote w:id="122">
    <w:p w:rsidR="00D65307" w:rsidRPr="00126D20" w:rsidRDefault="00D65307">
      <w:pPr>
        <w:pStyle w:val="Voetnoottekst"/>
        <w:rPr>
          <w:rFonts w:ascii="Verdana" w:hAnsi="Verdana"/>
          <w:sz w:val="16"/>
          <w:szCs w:val="16"/>
        </w:rPr>
      </w:pPr>
      <w:r w:rsidRPr="00126D20">
        <w:rPr>
          <w:rStyle w:val="Voetnootmarkering"/>
          <w:rFonts w:ascii="Verdana" w:hAnsi="Verdana"/>
          <w:sz w:val="16"/>
          <w:szCs w:val="16"/>
        </w:rPr>
        <w:footnoteRef/>
      </w:r>
      <w:r w:rsidRPr="00126D20">
        <w:rPr>
          <w:rFonts w:ascii="Verdana" w:hAnsi="Verdana"/>
          <w:sz w:val="16"/>
          <w:szCs w:val="16"/>
        </w:rPr>
        <w:t xml:space="preserve"> Rechtbank Amsterdam 01 november 2013, ECLI:NL:RBAMS:2013:9938; Rechtbank Roermond 13 maart 2012, ECLI:NL:RBROE:2012:18. </w:t>
      </w:r>
    </w:p>
  </w:footnote>
  <w:footnote w:id="123">
    <w:p w:rsidR="00D65307" w:rsidRDefault="00D65307" w:rsidP="00104FA3">
      <w:pPr>
        <w:pStyle w:val="Voetnoottekst"/>
      </w:pPr>
      <w:r w:rsidRPr="00511669">
        <w:rPr>
          <w:rStyle w:val="Voetnootmarkering"/>
          <w:rFonts w:ascii="Verdana" w:hAnsi="Verdana"/>
          <w:sz w:val="16"/>
          <w:szCs w:val="16"/>
        </w:rPr>
        <w:footnoteRef/>
      </w:r>
      <w:r w:rsidRPr="00511669">
        <w:rPr>
          <w:rFonts w:ascii="Verdana" w:hAnsi="Verdana"/>
          <w:sz w:val="16"/>
          <w:szCs w:val="16"/>
        </w:rPr>
        <w:t xml:space="preserve"> Rechtbank ’s-Gravenhage 27 november 2012, ECLI:NL:RBSGR:2012:BY5600; Rechtbank Utrecht 30 juli 2010, ECLI:NL:RBUTR:2010:BN8673.</w:t>
      </w:r>
    </w:p>
  </w:footnote>
  <w:footnote w:id="124">
    <w:p w:rsidR="00D65307" w:rsidRDefault="00D65307" w:rsidP="00E81F2A">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Noo</w:t>
      </w:r>
      <w:r>
        <w:rPr>
          <w:rFonts w:ascii="Verdana" w:hAnsi="Verdana"/>
          <w:sz w:val="16"/>
          <w:szCs w:val="16"/>
        </w:rPr>
        <w:t>r</w:t>
      </w:r>
      <w:r w:rsidRPr="00511669">
        <w:rPr>
          <w:rFonts w:ascii="Verdana" w:hAnsi="Verdana"/>
          <w:sz w:val="16"/>
          <w:szCs w:val="16"/>
        </w:rPr>
        <w:t>d-Holland 20 november 2015, ECLI:NL:RBNHO:2015:11814; Rechtbank Oost-Brabant 02 oktober 2015, ECLI:NL:RBOBR:2015:56</w:t>
      </w:r>
      <w:r>
        <w:rPr>
          <w:rFonts w:ascii="Verdana" w:hAnsi="Verdana"/>
          <w:sz w:val="16"/>
          <w:szCs w:val="16"/>
        </w:rPr>
        <w:t>5</w:t>
      </w:r>
      <w:r w:rsidRPr="00511669">
        <w:rPr>
          <w:rFonts w:ascii="Verdana" w:hAnsi="Verdana"/>
          <w:sz w:val="16"/>
          <w:szCs w:val="16"/>
        </w:rPr>
        <w:t>0; Rechtbank Limburg 01 mei 2015, ECLI:NL:RBLIM:2015:3781; Rechtbank Oost-Brabant 24 april 2015, ECLI:NL:RBOBR:2015:2390; Rechtbank Amsterdam 19 maart 2015, ECLI:NL:RBAMS:2015:1775; Rechtbank Den Haag 03 februari 2015, ECLI:NL:RBDHA:2015:1139; Rechtbank Noord-Nederland 26 april 2013, ECLI:NL:RBNNE:2013:BZ9199; Rechtbank Overijssel 24 april 2013, ECLI:NL:</w:t>
      </w:r>
    </w:p>
    <w:p w:rsidR="00D65307" w:rsidRDefault="00D65307" w:rsidP="00E81F2A">
      <w:pPr>
        <w:pStyle w:val="Voetnoottekst"/>
        <w:rPr>
          <w:rFonts w:ascii="Verdana" w:hAnsi="Verdana"/>
          <w:sz w:val="16"/>
          <w:szCs w:val="16"/>
        </w:rPr>
      </w:pPr>
      <w:r w:rsidRPr="00511669">
        <w:rPr>
          <w:rFonts w:ascii="Verdana" w:hAnsi="Verdana"/>
          <w:sz w:val="16"/>
          <w:szCs w:val="16"/>
        </w:rPr>
        <w:t>RBOVE:2013:BZ9109; Rechtbank Amsterdam 28 november 2012, ECLI:NL:RBAMS:2012:BY8626; Rechtbank ’s-Gravenhage 27 november 2012, ECLI:NL:RBSGR:2012:BY5600; Rechtbank Roermond 13 maart 2012, ECLI:NL:RBROE:2012:18; Rechtbank Arnhem 29 februa</w:t>
      </w:r>
      <w:r>
        <w:rPr>
          <w:rFonts w:ascii="Verdana" w:hAnsi="Verdana"/>
          <w:sz w:val="16"/>
          <w:szCs w:val="16"/>
        </w:rPr>
        <w:t>ri 2012, ECLI:NL:RBARN:2012:</w:t>
      </w:r>
      <w:r w:rsidRPr="00511669">
        <w:rPr>
          <w:rFonts w:ascii="Verdana" w:hAnsi="Verdana"/>
          <w:sz w:val="16"/>
          <w:szCs w:val="16"/>
        </w:rPr>
        <w:t>BV7385; Rechtbank Rotterdam 07 februari 2012, ECLI:NL:RBROT:2012:BV3772; Rechtbank Maastricht 29 juli 2011, ECLI:NL:</w:t>
      </w:r>
    </w:p>
    <w:p w:rsidR="00D65307" w:rsidRPr="00511669" w:rsidRDefault="00D65307" w:rsidP="00E81F2A">
      <w:pPr>
        <w:pStyle w:val="Voetnoottekst"/>
        <w:rPr>
          <w:rFonts w:ascii="Verdana" w:hAnsi="Verdana"/>
          <w:sz w:val="16"/>
          <w:szCs w:val="16"/>
        </w:rPr>
      </w:pPr>
      <w:r w:rsidRPr="00511669">
        <w:rPr>
          <w:rFonts w:ascii="Verdana" w:hAnsi="Verdana"/>
          <w:sz w:val="16"/>
          <w:szCs w:val="16"/>
        </w:rPr>
        <w:t>RBMAA:2011:BR3790; Rechtbank ’s-Gravenhage 15 maart 2011, ECLI:NL:RBSGR:2011:BQ4108; Rechtbank Utrecht 30 juli 2010, ECLI:NL:RBUTR:2010:BN8673.</w:t>
      </w:r>
    </w:p>
  </w:footnote>
  <w:footnote w:id="125">
    <w:p w:rsidR="00D65307" w:rsidRPr="00511669" w:rsidRDefault="00D65307" w:rsidP="00A426AF">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’s-Gravenhage 15 maart 2011, ECLI:NL:RBSGR:2011:BQ4108. </w:t>
      </w:r>
    </w:p>
  </w:footnote>
  <w:footnote w:id="126">
    <w:p w:rsidR="00D65307" w:rsidRDefault="00D65307" w:rsidP="00410279">
      <w:pPr>
        <w:pStyle w:val="Voetnoottekst"/>
        <w:rPr>
          <w:rFonts w:ascii="Verdana" w:hAnsi="Verdana"/>
          <w:sz w:val="16"/>
          <w:szCs w:val="16"/>
        </w:rPr>
      </w:pPr>
      <w:r w:rsidRPr="003F080B">
        <w:rPr>
          <w:rStyle w:val="Voetnootmarkering"/>
          <w:rFonts w:ascii="Verdana" w:hAnsi="Verdana"/>
          <w:sz w:val="16"/>
          <w:szCs w:val="16"/>
        </w:rPr>
        <w:footnoteRef/>
      </w:r>
      <w:r w:rsidRPr="003F080B">
        <w:rPr>
          <w:rFonts w:ascii="Verdana" w:hAnsi="Verdana"/>
          <w:sz w:val="16"/>
          <w:szCs w:val="16"/>
        </w:rPr>
        <w:t xml:space="preserve"> Rechtbank Den Haag 02 december 2014, ECLI:NL:RBDHA:2014:16273; Rechtbank Den Haag 25 november 2014, ECLI:NL:RBDHA:2014:14545; Rechtbank Den Haag 16 juli 2013, ECLI:NL:RBDHA:2013:8654;</w:t>
      </w:r>
      <w:r>
        <w:rPr>
          <w:rFonts w:ascii="Verdana" w:hAnsi="Verdana"/>
          <w:sz w:val="16"/>
          <w:szCs w:val="16"/>
        </w:rPr>
        <w:t>Rechtbank Overijssel 24 april 2013, ECLI:NL:RBOVE:2013:BZ9109; Rechtbank ’s-Gravenhage 03 april 2012, ECLI:NL:</w:t>
      </w:r>
    </w:p>
    <w:p w:rsidR="00D65307" w:rsidRDefault="00D65307" w:rsidP="00410279">
      <w:pPr>
        <w:pStyle w:val="Voetnoottekst"/>
        <w:rPr>
          <w:rFonts w:ascii="Verdana" w:hAnsi="Verdana"/>
          <w:sz w:val="16"/>
          <w:szCs w:val="16"/>
        </w:rPr>
      </w:pPr>
      <w:r>
        <w:rPr>
          <w:rFonts w:ascii="Verdana" w:hAnsi="Verdana"/>
          <w:sz w:val="16"/>
          <w:szCs w:val="16"/>
        </w:rPr>
        <w:t>RBSGR:2012:BW7051;</w:t>
      </w:r>
      <w:r w:rsidRPr="003F080B">
        <w:rPr>
          <w:rFonts w:ascii="Verdana" w:hAnsi="Verdana"/>
          <w:sz w:val="16"/>
          <w:szCs w:val="16"/>
        </w:rPr>
        <w:t xml:space="preserve"> Rechtbank Arnhem 29 februari </w:t>
      </w:r>
      <w:r>
        <w:rPr>
          <w:rFonts w:ascii="Verdana" w:hAnsi="Verdana"/>
          <w:sz w:val="16"/>
          <w:szCs w:val="16"/>
        </w:rPr>
        <w:t>2012, ECLI:NL:RBARN:2012:BV7385; Rechtbank ’s-Gravenhage 31 mei 2011, ECLI:NL:RBSGR:2011:BQ7702; Rechtbank ’s-Gravenhage 15 maart 2011, ECLI:NL:</w:t>
      </w:r>
    </w:p>
    <w:p w:rsidR="00D65307" w:rsidRPr="00511669" w:rsidRDefault="00D65307" w:rsidP="00410279">
      <w:pPr>
        <w:pStyle w:val="Voetnoottekst"/>
        <w:rPr>
          <w:rFonts w:ascii="Verdana" w:hAnsi="Verdana"/>
          <w:sz w:val="16"/>
          <w:szCs w:val="16"/>
        </w:rPr>
      </w:pPr>
      <w:r>
        <w:rPr>
          <w:rFonts w:ascii="Verdana" w:hAnsi="Verdana"/>
          <w:sz w:val="16"/>
          <w:szCs w:val="16"/>
        </w:rPr>
        <w:t xml:space="preserve">RBSGR:2011:BQ4108. </w:t>
      </w:r>
    </w:p>
  </w:footnote>
  <w:footnote w:id="127">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Den Haag 02 december 2014, ECLI:NL:RBDHA:2014:16273. </w:t>
      </w:r>
    </w:p>
  </w:footnote>
  <w:footnote w:id="128">
    <w:p w:rsidR="00D65307" w:rsidRDefault="00D65307">
      <w:pPr>
        <w:pStyle w:val="Voetnoottekst"/>
      </w:pPr>
      <w:r w:rsidRPr="00511669">
        <w:rPr>
          <w:rStyle w:val="Voetnootmarkering"/>
          <w:rFonts w:ascii="Verdana" w:hAnsi="Verdana"/>
          <w:sz w:val="16"/>
          <w:szCs w:val="16"/>
        </w:rPr>
        <w:footnoteRef/>
      </w:r>
      <w:r w:rsidRPr="00511669">
        <w:rPr>
          <w:rFonts w:ascii="Verdana" w:hAnsi="Verdana"/>
          <w:sz w:val="16"/>
          <w:szCs w:val="16"/>
        </w:rPr>
        <w:t xml:space="preserve"> Rechtbank Den Haag 25 november 2014, ECLI:NL:RBDHA:2014:14545.</w:t>
      </w:r>
    </w:p>
  </w:footnote>
  <w:footnote w:id="129">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Den Haag 16 juli 2013, ECLI:NL:RBDHA:2013:8654; Rechtbank ’s-Gravenhage 03 april 2012, ECLI:NL:RBSGR:2012:BW7051; Rechtbank ’s-Gravenhage 31 mei 2011, ECLI:NL:RBSGR:2011:BQ7702; Rechtbank ’s-Gravenhage 15 maart 2011, ECLI:NL:RBSGR:2011:BQ4108.</w:t>
      </w:r>
    </w:p>
  </w:footnote>
  <w:footnote w:id="130">
    <w:p w:rsidR="00D65307" w:rsidRDefault="00D65307" w:rsidP="00982FB4">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Oost-Brabant 02 oktober 2015, ECLI:NL:RBOBR:2015:5650; Rechtbank Den Haag 02 december 2014, ECLI:NL:RBDHA:2014:16273; Rechtbank Noord-Nederland 28 november 2013, ECLI:NL:RBNNE:2013:</w:t>
      </w:r>
    </w:p>
    <w:p w:rsidR="00D65307" w:rsidRPr="00511669" w:rsidRDefault="00D65307" w:rsidP="00982FB4">
      <w:pPr>
        <w:pStyle w:val="Voetnoottekst"/>
        <w:rPr>
          <w:rFonts w:ascii="Verdana" w:hAnsi="Verdana"/>
          <w:sz w:val="16"/>
          <w:szCs w:val="16"/>
        </w:rPr>
      </w:pPr>
      <w:r w:rsidRPr="00511669">
        <w:rPr>
          <w:rFonts w:ascii="Verdana" w:hAnsi="Verdana"/>
          <w:sz w:val="16"/>
          <w:szCs w:val="16"/>
        </w:rPr>
        <w:t>7364; Rechtbank ’s-Gravenhage 0</w:t>
      </w:r>
      <w:r>
        <w:rPr>
          <w:rFonts w:ascii="Verdana" w:hAnsi="Verdana"/>
          <w:sz w:val="16"/>
          <w:szCs w:val="16"/>
        </w:rPr>
        <w:t>4 december 2012, ECLI:NL:RBSGR:</w:t>
      </w:r>
      <w:r w:rsidRPr="00511669">
        <w:rPr>
          <w:rFonts w:ascii="Verdana" w:hAnsi="Verdana"/>
          <w:sz w:val="16"/>
          <w:szCs w:val="16"/>
        </w:rPr>
        <w:t>2012:BY9421.</w:t>
      </w:r>
    </w:p>
  </w:footnote>
  <w:footnote w:id="131">
    <w:p w:rsidR="00D65307" w:rsidRPr="00511669" w:rsidRDefault="00D65307">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Amsterdam 24 april 2014, ECLI:NL:RBAMS:2014:9256. </w:t>
      </w:r>
    </w:p>
  </w:footnote>
  <w:footnote w:id="132">
    <w:p w:rsidR="00D65307" w:rsidRPr="00050729" w:rsidRDefault="00D65307">
      <w:pPr>
        <w:pStyle w:val="Voetnoottekst"/>
        <w:rPr>
          <w:rFonts w:ascii="Verdana" w:hAnsi="Verdana"/>
          <w:sz w:val="16"/>
          <w:szCs w:val="16"/>
        </w:rPr>
      </w:pPr>
      <w:r w:rsidRPr="00050729">
        <w:rPr>
          <w:rStyle w:val="Voetnootmarkering"/>
          <w:rFonts w:ascii="Verdana" w:hAnsi="Verdana"/>
          <w:sz w:val="16"/>
          <w:szCs w:val="16"/>
        </w:rPr>
        <w:footnoteRef/>
      </w:r>
      <w:r w:rsidRPr="00050729">
        <w:rPr>
          <w:rFonts w:ascii="Verdana" w:hAnsi="Verdana"/>
          <w:sz w:val="16"/>
          <w:szCs w:val="16"/>
        </w:rPr>
        <w:t xml:space="preserve"> Rechtbank Noord-Holland 20 november 2015, ECLI:NL:RBNNO:2015:11814; Rechtbank Den Haag 03 februari 2015, ECLI:NL:RBDHA:2015:1139; Rechtbank Amsterdam 28 november 2012, ECLI:NL:RBAMS:2012:BY8626; Rechtbank Maastricht 29 juli 2011, ECLI:NL:RBMAA:2011:BR3970. </w:t>
      </w:r>
    </w:p>
  </w:footnote>
  <w:footnote w:id="133">
    <w:p w:rsidR="00D65307" w:rsidRDefault="00D65307" w:rsidP="00F1095A">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Oost-Brabant 24 april 2015, ECLI:NL:RBOBR:2015:2390; Rechtbank Amsterdam 19 maart 2015, ECLI:NL:RBAMS:2015:2183; Rechtbank Noord-Ne</w:t>
      </w:r>
      <w:r>
        <w:rPr>
          <w:rFonts w:ascii="Verdana" w:hAnsi="Verdana"/>
          <w:sz w:val="16"/>
          <w:szCs w:val="16"/>
        </w:rPr>
        <w:t>derland 28 november 2013, ECLI:</w:t>
      </w:r>
      <w:r w:rsidRPr="00511669">
        <w:rPr>
          <w:rFonts w:ascii="Verdana" w:hAnsi="Verdana"/>
          <w:sz w:val="16"/>
          <w:szCs w:val="16"/>
        </w:rPr>
        <w:t>NL:RBNNE:2013:7364; Rechtbank Amsterdam 01 november 2013, ECLI:NL:RBAMS:2013:9938; Rechtbank Rotterdam 07 februari 2012, ECLI:NL:RBROT:2012:BV3772; Rechtbank ’s-Gravenhage 15 maart 2011, ECLI:NL:RBSGR:2011:</w:t>
      </w:r>
    </w:p>
    <w:p w:rsidR="00D65307" w:rsidRPr="00511669" w:rsidRDefault="00D65307" w:rsidP="00F1095A">
      <w:pPr>
        <w:pStyle w:val="Voetnoottekst"/>
        <w:rPr>
          <w:rFonts w:ascii="Verdana" w:hAnsi="Verdana"/>
          <w:sz w:val="16"/>
          <w:szCs w:val="16"/>
        </w:rPr>
      </w:pPr>
      <w:r w:rsidRPr="00511669">
        <w:rPr>
          <w:rFonts w:ascii="Verdana" w:hAnsi="Verdana"/>
          <w:sz w:val="16"/>
          <w:szCs w:val="16"/>
        </w:rPr>
        <w:t>BQ4108; Rechtbank Am</w:t>
      </w:r>
      <w:r>
        <w:rPr>
          <w:rFonts w:ascii="Verdana" w:hAnsi="Verdana"/>
          <w:sz w:val="16"/>
          <w:szCs w:val="16"/>
        </w:rPr>
        <w:t>sterdam 14 april 2010, ECLI:NL:</w:t>
      </w:r>
      <w:r w:rsidRPr="00511669">
        <w:rPr>
          <w:rFonts w:ascii="Verdana" w:hAnsi="Verdana"/>
          <w:sz w:val="16"/>
          <w:szCs w:val="16"/>
        </w:rPr>
        <w:t xml:space="preserve">RBAMS:2010:8569. </w:t>
      </w:r>
    </w:p>
  </w:footnote>
  <w:footnote w:id="134">
    <w:p w:rsidR="00D65307" w:rsidRPr="00511669" w:rsidRDefault="00D65307" w:rsidP="00F1095A">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Oost-Brabant 06 april 2015, ECLI:NL:RBOBR:2015:731. </w:t>
      </w:r>
    </w:p>
  </w:footnote>
  <w:footnote w:id="135">
    <w:p w:rsidR="00D65307" w:rsidRPr="00511669" w:rsidRDefault="00D65307" w:rsidP="00380C58">
      <w:pPr>
        <w:pStyle w:val="Voetnoottekst"/>
        <w:rPr>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’s-Gravenhage 27 november 2012, ECLI:NL:RBSGR:2012:BY5600.</w:t>
      </w:r>
    </w:p>
  </w:footnote>
  <w:footnote w:id="136">
    <w:p w:rsidR="00D65307" w:rsidRDefault="00D65307" w:rsidP="00A56665">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Noord-Holland 20 november 2015, ECLI:NL:RBNHO:2015:11814; Rechtbank Oost-Brabant 24 april 2015, ECLI:NL:RBOBR:2015:2390; Rechtbank Den Haag 03 februari 2015, ECLI:NL:RBDHA:2015:1139; Rechtbank Den Haag 02 dec</w:t>
      </w:r>
      <w:r>
        <w:rPr>
          <w:rFonts w:ascii="Verdana" w:hAnsi="Verdana"/>
          <w:sz w:val="16"/>
          <w:szCs w:val="16"/>
        </w:rPr>
        <w:t>ember 2014, ECLI:NL:RBDHA:2014:</w:t>
      </w:r>
      <w:r w:rsidRPr="00511669">
        <w:rPr>
          <w:rFonts w:ascii="Verdana" w:hAnsi="Verdana"/>
          <w:sz w:val="16"/>
          <w:szCs w:val="16"/>
        </w:rPr>
        <w:t>16273 (ten aanzien van de medicatiegegevens van patiënt X); Rechtbank Den Haag 25 november 2014, ECLI:NL:RBDHA:2014:14545; Rechtbank Rotterdam 24</w:t>
      </w:r>
      <w:r>
        <w:rPr>
          <w:rFonts w:ascii="Verdana" w:hAnsi="Verdana"/>
          <w:sz w:val="16"/>
          <w:szCs w:val="16"/>
        </w:rPr>
        <w:t xml:space="preserve"> juni 2014, ECLI:NL:RBROT:2014:</w:t>
      </w:r>
      <w:r w:rsidRPr="00511669">
        <w:rPr>
          <w:rFonts w:ascii="Verdana" w:hAnsi="Verdana"/>
          <w:sz w:val="16"/>
          <w:szCs w:val="16"/>
        </w:rPr>
        <w:t>10885; Rechtb</w:t>
      </w:r>
      <w:r>
        <w:rPr>
          <w:rFonts w:ascii="Verdana" w:hAnsi="Verdana"/>
          <w:sz w:val="16"/>
          <w:szCs w:val="16"/>
        </w:rPr>
        <w:t xml:space="preserve">ank Amsterdam 01 november 2013, </w:t>
      </w:r>
      <w:r w:rsidRPr="00511669">
        <w:rPr>
          <w:rFonts w:ascii="Verdana" w:hAnsi="Verdana"/>
          <w:sz w:val="16"/>
          <w:szCs w:val="16"/>
        </w:rPr>
        <w:t>ECLI:NL:RBAMS:2013:</w:t>
      </w:r>
    </w:p>
    <w:p w:rsidR="00D65307" w:rsidRPr="00511669" w:rsidRDefault="00D65307" w:rsidP="00A56665">
      <w:pPr>
        <w:pStyle w:val="Voetnoottekst"/>
        <w:rPr>
          <w:rFonts w:ascii="Verdana" w:hAnsi="Verdana"/>
          <w:sz w:val="16"/>
          <w:szCs w:val="16"/>
        </w:rPr>
      </w:pPr>
      <w:r w:rsidRPr="00511669">
        <w:rPr>
          <w:rFonts w:ascii="Verdana" w:hAnsi="Verdana"/>
          <w:sz w:val="16"/>
          <w:szCs w:val="16"/>
        </w:rPr>
        <w:t>9938; Rechtbank Den Haag 16 juli 2013, ECLI:NL:RBDHA:2013:8654; Rechtbank ’s-Gra</w:t>
      </w:r>
      <w:r>
        <w:rPr>
          <w:rFonts w:ascii="Verdana" w:hAnsi="Verdana"/>
          <w:sz w:val="16"/>
          <w:szCs w:val="16"/>
        </w:rPr>
        <w:t>venhage 03 april 2012, ECLI:NL:</w:t>
      </w:r>
      <w:r w:rsidRPr="00511669">
        <w:rPr>
          <w:rFonts w:ascii="Verdana" w:hAnsi="Verdana"/>
          <w:sz w:val="16"/>
          <w:szCs w:val="16"/>
        </w:rPr>
        <w:t xml:space="preserve">RBSGR:2012:BW7051; Rechtbank Arnhem 29 februari 2012, ECLI:NL:RBARN:2012:BV7385; Rechtbank Rotterdam 07 februari 2012, ECLI:NL:RBROT:2012:BV3772; Rechtbank ’s-Gravenhage 15 maart 2011, ECLI:NL:RBSGR:2011:BQ4108. </w:t>
      </w:r>
    </w:p>
  </w:footnote>
  <w:footnote w:id="137">
    <w:p w:rsidR="00D65307" w:rsidRDefault="00D65307" w:rsidP="00A56665">
      <w:pPr>
        <w:pStyle w:val="Voetnoottekst"/>
        <w:rPr>
          <w:rFonts w:ascii="Verdana" w:hAnsi="Verdana"/>
          <w:sz w:val="16"/>
          <w:szCs w:val="16"/>
        </w:rPr>
      </w:pPr>
      <w:r w:rsidRPr="004567D3">
        <w:rPr>
          <w:rStyle w:val="Voetnootmarkering"/>
          <w:rFonts w:ascii="Verdana" w:hAnsi="Verdana"/>
          <w:sz w:val="16"/>
          <w:szCs w:val="16"/>
        </w:rPr>
        <w:footnoteRef/>
      </w:r>
      <w:r w:rsidRPr="004567D3">
        <w:rPr>
          <w:rFonts w:ascii="Verdana" w:hAnsi="Verdana"/>
          <w:sz w:val="16"/>
          <w:szCs w:val="16"/>
        </w:rPr>
        <w:t xml:space="preserve"> Rechtbank Limburg 01 mei 2015, ECLI:NL:RBLIM:2015:3781; Rechtbank Den Haag 02 december 2014, ECLI:NL:RBDHA:2014:16273 (ten aanzien van de persoonsgegevens); Rechtbank Noord-Nederland 26 april 2013, ECLI:NL:RBNNE:2013:BZ9199; Rechtbank ’s-Gravenhage 27 november 2012, ECLI:NL:RBSGR:2012:</w:t>
      </w:r>
    </w:p>
    <w:p w:rsidR="00D65307" w:rsidRPr="004567D3" w:rsidRDefault="00D65307" w:rsidP="00A56665">
      <w:pPr>
        <w:pStyle w:val="Voetnoottekst"/>
        <w:rPr>
          <w:rFonts w:ascii="Verdana" w:hAnsi="Verdana"/>
          <w:sz w:val="16"/>
          <w:szCs w:val="16"/>
        </w:rPr>
      </w:pPr>
      <w:r w:rsidRPr="004567D3">
        <w:rPr>
          <w:rFonts w:ascii="Verdana" w:hAnsi="Verdana"/>
          <w:sz w:val="16"/>
          <w:szCs w:val="16"/>
        </w:rPr>
        <w:t>BY5600; Rechtbank R</w:t>
      </w:r>
      <w:r>
        <w:rPr>
          <w:rFonts w:ascii="Verdana" w:hAnsi="Verdana"/>
          <w:sz w:val="16"/>
          <w:szCs w:val="16"/>
        </w:rPr>
        <w:t>otterdam 25 juli 2012, ECLI:NL:</w:t>
      </w:r>
      <w:r w:rsidRPr="004567D3">
        <w:rPr>
          <w:rFonts w:ascii="Verdana" w:hAnsi="Verdana"/>
          <w:sz w:val="16"/>
          <w:szCs w:val="16"/>
        </w:rPr>
        <w:t>RBROT:2012:BX5773 (ten a</w:t>
      </w:r>
      <w:r>
        <w:rPr>
          <w:rFonts w:ascii="Verdana" w:hAnsi="Verdana"/>
          <w:sz w:val="16"/>
          <w:szCs w:val="16"/>
        </w:rPr>
        <w:t>anzien van de overige gegevens)</w:t>
      </w:r>
      <w:r w:rsidRPr="004567D3">
        <w:rPr>
          <w:rFonts w:ascii="Verdana" w:hAnsi="Verdana"/>
          <w:sz w:val="16"/>
          <w:szCs w:val="16"/>
        </w:rPr>
        <w:t>.</w:t>
      </w:r>
    </w:p>
  </w:footnote>
  <w:footnote w:id="138">
    <w:p w:rsidR="00D65307" w:rsidRPr="004567D3" w:rsidRDefault="00D65307" w:rsidP="00B07C9F">
      <w:pPr>
        <w:pStyle w:val="Voetnoottekst"/>
        <w:rPr>
          <w:sz w:val="16"/>
          <w:szCs w:val="16"/>
        </w:rPr>
      </w:pPr>
      <w:r w:rsidRPr="004567D3">
        <w:rPr>
          <w:rStyle w:val="Voetnootmarkering"/>
          <w:rFonts w:ascii="Verdana" w:hAnsi="Verdana"/>
          <w:sz w:val="16"/>
          <w:szCs w:val="16"/>
        </w:rPr>
        <w:footnoteRef/>
      </w:r>
      <w:r w:rsidRPr="004567D3">
        <w:rPr>
          <w:rFonts w:ascii="Verdana" w:hAnsi="Verdana"/>
          <w:sz w:val="16"/>
          <w:szCs w:val="16"/>
        </w:rPr>
        <w:t xml:space="preserve"> Rechtbank Rotterdam 25 juli 2012, ECLI:NL:RBROT:2012:BX5773 (ten aanzien van de corpora- et instrumenta delicti). </w:t>
      </w:r>
    </w:p>
  </w:footnote>
  <w:footnote w:id="139">
    <w:p w:rsidR="00D65307" w:rsidRDefault="00D65307" w:rsidP="009143C6">
      <w:pPr>
        <w:pStyle w:val="Voetnoottekst"/>
        <w:rPr>
          <w:rFonts w:ascii="Verdana" w:hAnsi="Verdana"/>
          <w:sz w:val="16"/>
          <w:szCs w:val="16"/>
        </w:rPr>
      </w:pPr>
      <w:r w:rsidRPr="004567D3">
        <w:rPr>
          <w:rStyle w:val="Voetnootmarkering"/>
          <w:rFonts w:ascii="Verdana" w:hAnsi="Verdana"/>
          <w:sz w:val="16"/>
          <w:szCs w:val="16"/>
        </w:rPr>
        <w:footnoteRef/>
      </w:r>
      <w:r w:rsidRPr="004567D3">
        <w:rPr>
          <w:rFonts w:ascii="Verdana" w:hAnsi="Verdana"/>
          <w:sz w:val="16"/>
          <w:szCs w:val="16"/>
        </w:rPr>
        <w:t xml:space="preserve"> Rechtbank Overijssel 10 februari 2016, ECLI:NL:RBOVE:2016:606; Rechtbank Oost-Brabant 02 oktober 2015, ECLI:NL:RBOBR:2015:5650; Rechtbank Am</w:t>
      </w:r>
      <w:r>
        <w:rPr>
          <w:rFonts w:ascii="Verdana" w:hAnsi="Verdana"/>
          <w:sz w:val="16"/>
          <w:szCs w:val="16"/>
        </w:rPr>
        <w:t>sterdam 19 maart 2015, ECLI:NL:</w:t>
      </w:r>
      <w:r w:rsidRPr="004567D3">
        <w:rPr>
          <w:rFonts w:ascii="Verdana" w:hAnsi="Verdana"/>
          <w:sz w:val="16"/>
          <w:szCs w:val="16"/>
        </w:rPr>
        <w:t xml:space="preserve">RBAMS:2015:1775; Rechtbank Amsterdam 29 november 2013, ECLI:NL:RBAMS:2013:9923, Rechtbank </w:t>
      </w:r>
      <w:r>
        <w:rPr>
          <w:rFonts w:ascii="Verdana" w:hAnsi="Verdana"/>
          <w:sz w:val="16"/>
          <w:szCs w:val="16"/>
        </w:rPr>
        <w:t>Noord-Nederland 28 november 2013</w:t>
      </w:r>
      <w:r w:rsidRPr="004567D3">
        <w:rPr>
          <w:rFonts w:ascii="Verdana" w:hAnsi="Verdana"/>
          <w:sz w:val="16"/>
          <w:szCs w:val="16"/>
        </w:rPr>
        <w:t>, ECLI:NL:RBNNE:2013:7364; Rechtbank ’s-Gravenhage 04 december 2012, ECLI:NL:</w:t>
      </w:r>
    </w:p>
    <w:p w:rsidR="00D65307" w:rsidRPr="004567D3" w:rsidRDefault="00D65307" w:rsidP="009143C6">
      <w:pPr>
        <w:pStyle w:val="Voetnoottekst"/>
        <w:rPr>
          <w:rFonts w:ascii="Verdana" w:hAnsi="Verdana"/>
          <w:sz w:val="16"/>
          <w:szCs w:val="16"/>
        </w:rPr>
      </w:pPr>
      <w:r w:rsidRPr="004567D3">
        <w:rPr>
          <w:rFonts w:ascii="Verdana" w:hAnsi="Verdana"/>
          <w:sz w:val="16"/>
          <w:szCs w:val="16"/>
        </w:rPr>
        <w:t xml:space="preserve">RBSGR:2012:BY9421; Rechtbank ’s-Gravenhage 31 mei 2011, ECLI:NL:RBSGR:2011:BQ7702. </w:t>
      </w:r>
    </w:p>
  </w:footnote>
  <w:footnote w:id="140">
    <w:p w:rsidR="00D65307" w:rsidRDefault="00D65307">
      <w:pPr>
        <w:pStyle w:val="Voetnoottekst"/>
        <w:rPr>
          <w:rFonts w:ascii="Verdana" w:hAnsi="Verdana"/>
          <w:sz w:val="16"/>
          <w:szCs w:val="16"/>
        </w:rPr>
      </w:pPr>
      <w:r w:rsidRPr="004567D3">
        <w:rPr>
          <w:rStyle w:val="Voetnootmarkering"/>
          <w:rFonts w:ascii="Verdana" w:hAnsi="Verdana"/>
          <w:sz w:val="16"/>
          <w:szCs w:val="16"/>
        </w:rPr>
        <w:footnoteRef/>
      </w:r>
      <w:r w:rsidRPr="004567D3">
        <w:rPr>
          <w:rFonts w:ascii="Verdana" w:hAnsi="Verdana"/>
          <w:sz w:val="16"/>
          <w:szCs w:val="16"/>
        </w:rPr>
        <w:t xml:space="preserve"> Rechtbank Den Haag 02 december 2014, ECLI:NL:RBDHA:2014:16273; Rechtbank Den Haag 25 november 2014, ECLI:NL:RBDHA:2014:14545; Rechtbank </w:t>
      </w:r>
      <w:r>
        <w:rPr>
          <w:rFonts w:ascii="Verdana" w:hAnsi="Verdana"/>
          <w:sz w:val="16"/>
          <w:szCs w:val="16"/>
        </w:rPr>
        <w:t>Den Haag 16 juli 2013, ECLI:NL:</w:t>
      </w:r>
      <w:r w:rsidRPr="004567D3">
        <w:rPr>
          <w:rFonts w:ascii="Verdana" w:hAnsi="Verdana"/>
          <w:sz w:val="16"/>
          <w:szCs w:val="16"/>
        </w:rPr>
        <w:t>RBDHA:2013:8654; Rechtbank Arnhem 29 februari 2012, ECLI:NL:RBARN:2012:BV7385; Rechtbank ’s-Gravenhage 15 maart 2011, ECLI:NL:</w:t>
      </w:r>
    </w:p>
    <w:p w:rsidR="00D65307" w:rsidRPr="004567D3" w:rsidRDefault="00D65307">
      <w:pPr>
        <w:pStyle w:val="Voetnoottekst"/>
        <w:rPr>
          <w:rFonts w:ascii="Verdana" w:hAnsi="Verdana"/>
          <w:sz w:val="16"/>
          <w:szCs w:val="16"/>
        </w:rPr>
      </w:pPr>
      <w:r w:rsidRPr="004567D3">
        <w:rPr>
          <w:rFonts w:ascii="Verdana" w:hAnsi="Verdana"/>
          <w:sz w:val="16"/>
          <w:szCs w:val="16"/>
        </w:rPr>
        <w:t xml:space="preserve">RBSGR:2011:BQ4108. </w:t>
      </w:r>
    </w:p>
  </w:footnote>
  <w:footnote w:id="141">
    <w:p w:rsidR="00D65307" w:rsidRPr="00C239C6" w:rsidRDefault="00D65307" w:rsidP="009143C6">
      <w:pPr>
        <w:pStyle w:val="Voetnoottekst"/>
        <w:rPr>
          <w:rFonts w:ascii="Verdana" w:hAnsi="Verdana"/>
          <w:sz w:val="18"/>
          <w:szCs w:val="18"/>
        </w:rPr>
      </w:pPr>
      <w:r w:rsidRPr="004567D3">
        <w:rPr>
          <w:rStyle w:val="Voetnootmarkering"/>
          <w:rFonts w:ascii="Verdana" w:hAnsi="Verdana"/>
          <w:sz w:val="16"/>
          <w:szCs w:val="16"/>
        </w:rPr>
        <w:footnoteRef/>
      </w:r>
      <w:r w:rsidRPr="004567D3">
        <w:rPr>
          <w:rFonts w:ascii="Verdana" w:hAnsi="Verdana"/>
          <w:sz w:val="16"/>
          <w:szCs w:val="16"/>
        </w:rPr>
        <w:t xml:space="preserve"> Rechtbank Overijssel 24 april 2013, ECLI:NL:RBOVE:2013:BZ9109.</w:t>
      </w:r>
    </w:p>
  </w:footnote>
  <w:footnote w:id="142">
    <w:p w:rsidR="00D65307" w:rsidRPr="004567D3" w:rsidRDefault="00D65307" w:rsidP="009143C6">
      <w:pPr>
        <w:pStyle w:val="Voetnoottekst"/>
        <w:rPr>
          <w:sz w:val="16"/>
          <w:szCs w:val="16"/>
        </w:rPr>
      </w:pPr>
      <w:r w:rsidRPr="004567D3">
        <w:rPr>
          <w:rStyle w:val="Voetnootmarkering"/>
          <w:rFonts w:ascii="Verdana" w:hAnsi="Verdana"/>
          <w:sz w:val="16"/>
          <w:szCs w:val="16"/>
        </w:rPr>
        <w:footnoteRef/>
      </w:r>
      <w:r w:rsidRPr="004567D3">
        <w:rPr>
          <w:rFonts w:ascii="Verdana" w:hAnsi="Verdana"/>
          <w:sz w:val="16"/>
          <w:szCs w:val="16"/>
        </w:rPr>
        <w:t xml:space="preserve"> Rechtbank ’s-Gravenhage 03 april 2012, ECLI:NL:RBSGR:2012:BW7051.</w:t>
      </w:r>
    </w:p>
  </w:footnote>
  <w:footnote w:id="143">
    <w:p w:rsidR="00D65307" w:rsidRDefault="00D65307">
      <w:pPr>
        <w:pStyle w:val="Voetnoottekst"/>
        <w:rPr>
          <w:rFonts w:ascii="Verdana" w:hAnsi="Verdana"/>
          <w:sz w:val="16"/>
          <w:szCs w:val="16"/>
        </w:rPr>
      </w:pPr>
      <w:r w:rsidRPr="0079091E">
        <w:rPr>
          <w:rStyle w:val="Voetnootmarkering"/>
          <w:rFonts w:ascii="Verdana" w:hAnsi="Verdana"/>
          <w:sz w:val="16"/>
          <w:szCs w:val="16"/>
        </w:rPr>
        <w:footnoteRef/>
      </w:r>
      <w:r w:rsidRPr="0079091E">
        <w:rPr>
          <w:rFonts w:ascii="Verdana" w:hAnsi="Verdana"/>
          <w:sz w:val="16"/>
          <w:szCs w:val="16"/>
        </w:rPr>
        <w:t xml:space="preserve"> Rechtbank Oost-Brabant 02 oktober 2015, ECLI:NL:RBOBR:2015:5650; Rechtbank Oost-Brabant 06 februari 2015, ECLI:NL:RBOBR:2015:731; Rechtbank Den Haag 03 februari 2015, ECLI:NL:RBDHA:2015:1139; Rechtbank Rotterdam 24 juni 2014, ECLI:NL:RBROT:2014:10885; Rechtbank Den Haag 16 juli 2013, ECLI:NL:</w:t>
      </w:r>
    </w:p>
    <w:p w:rsidR="00D65307" w:rsidRDefault="00D65307">
      <w:pPr>
        <w:pStyle w:val="Voetnoottekst"/>
        <w:rPr>
          <w:rFonts w:ascii="Verdana" w:hAnsi="Verdana"/>
          <w:sz w:val="16"/>
          <w:szCs w:val="16"/>
        </w:rPr>
      </w:pPr>
      <w:r w:rsidRPr="0079091E">
        <w:rPr>
          <w:rFonts w:ascii="Verdana" w:hAnsi="Verdana"/>
          <w:sz w:val="16"/>
          <w:szCs w:val="16"/>
        </w:rPr>
        <w:t>RBDHA:2013:8654; Rechtbank Overijssel 24 april 2013, ECLI:NL:RBOVE:2013:BZ9109; Rechtbank ’s-Gravenhage 04 december 2012, ECLI:NL:RBSGR:2012:BY9421; Rechtbank Arnhem 29 februari 2012, ECLI:NL:</w:t>
      </w:r>
    </w:p>
    <w:p w:rsidR="00D65307" w:rsidRDefault="00D65307">
      <w:pPr>
        <w:pStyle w:val="Voetnoottekst"/>
        <w:rPr>
          <w:rFonts w:ascii="Verdana" w:hAnsi="Verdana"/>
          <w:sz w:val="16"/>
          <w:szCs w:val="16"/>
        </w:rPr>
      </w:pPr>
      <w:r w:rsidRPr="0079091E">
        <w:rPr>
          <w:rFonts w:ascii="Verdana" w:hAnsi="Verdana"/>
          <w:sz w:val="16"/>
          <w:szCs w:val="16"/>
        </w:rPr>
        <w:t>RBARN:2012:BV7385; Rechtbank ’s-Gravenhage 31 mei 2011, ECLI:NL:RBSGR:2011:BQ7702; Rechtbank ’s-Gravenhage 15 maart 2011, ECLI:NL:RBSGR:2011:BQ4108; Rechtbank Utrecht 30 juli 2010, ECLI:NL:RBUTR:</w:t>
      </w:r>
    </w:p>
    <w:p w:rsidR="00D65307" w:rsidRPr="0079091E" w:rsidRDefault="00D65307">
      <w:pPr>
        <w:pStyle w:val="Voetnoottekst"/>
        <w:rPr>
          <w:rFonts w:ascii="Verdana" w:hAnsi="Verdana"/>
          <w:sz w:val="16"/>
          <w:szCs w:val="16"/>
        </w:rPr>
      </w:pPr>
      <w:r w:rsidRPr="0079091E">
        <w:rPr>
          <w:rFonts w:ascii="Verdana" w:hAnsi="Verdana"/>
          <w:sz w:val="16"/>
          <w:szCs w:val="16"/>
        </w:rPr>
        <w:t xml:space="preserve">2010:BN8673; Rechtbank ’s-Gravenhage 30 november 2010, ECLI:NL:RBSGR:2010:BP0708; Rechtbank Amsterdam 14 april 2010, ECLI:NL:RBAMS:2010:8569. </w:t>
      </w:r>
    </w:p>
  </w:footnote>
  <w:footnote w:id="144">
    <w:p w:rsidR="00D65307" w:rsidRPr="005B7394" w:rsidRDefault="00D65307" w:rsidP="005B7394">
      <w:pPr>
        <w:pStyle w:val="Voetnoottekst"/>
        <w:rPr>
          <w:rFonts w:ascii="Verdana" w:hAnsi="Verdana"/>
          <w:sz w:val="16"/>
          <w:szCs w:val="16"/>
        </w:rPr>
      </w:pPr>
      <w:r w:rsidRPr="005B7394">
        <w:rPr>
          <w:rStyle w:val="Voetnootmarkering"/>
          <w:rFonts w:ascii="Verdana" w:hAnsi="Verdana"/>
          <w:sz w:val="16"/>
          <w:szCs w:val="16"/>
        </w:rPr>
        <w:footnoteRef/>
      </w:r>
      <w:r w:rsidRPr="005B7394">
        <w:rPr>
          <w:rFonts w:ascii="Verdana" w:hAnsi="Verdana"/>
          <w:sz w:val="16"/>
          <w:szCs w:val="16"/>
        </w:rPr>
        <w:t xml:space="preserve"> Rechtbank Den Haag 16 juli 2013, ECLI:NL:RBDHA:2013:8654; Rechtbank Arnhem 29 februari 2012, ECLI:NL:RBARN:2012:BV7385; Rechtbank ’s-Gravenhage 15 maart 2011, ECLI:NL:RBSGR:2011:BQ4108.</w:t>
      </w:r>
    </w:p>
  </w:footnote>
  <w:footnote w:id="145">
    <w:p w:rsidR="00D65307" w:rsidRPr="00C318D0" w:rsidRDefault="00D65307">
      <w:pPr>
        <w:pStyle w:val="Voetnoottekst"/>
        <w:rPr>
          <w:rFonts w:ascii="Verdana" w:hAnsi="Verdana"/>
          <w:sz w:val="18"/>
          <w:szCs w:val="18"/>
        </w:rPr>
      </w:pPr>
      <w:r w:rsidRPr="0079091E">
        <w:rPr>
          <w:rStyle w:val="Voetnootmarkering"/>
          <w:rFonts w:ascii="Verdana" w:hAnsi="Verdana"/>
          <w:sz w:val="16"/>
          <w:szCs w:val="16"/>
        </w:rPr>
        <w:footnoteRef/>
      </w:r>
      <w:r w:rsidRPr="0079091E">
        <w:rPr>
          <w:rFonts w:ascii="Verdana" w:hAnsi="Verdana"/>
          <w:sz w:val="16"/>
          <w:szCs w:val="16"/>
        </w:rPr>
        <w:t xml:space="preserve"> Rechtbank ’s-Gravenhage 31 mei 2011, ECLI:NL:RBSGR:2011:BQ7702.</w:t>
      </w:r>
    </w:p>
  </w:footnote>
  <w:footnote w:id="146">
    <w:p w:rsidR="00D65307" w:rsidRPr="0079091E" w:rsidRDefault="00D65307">
      <w:pPr>
        <w:pStyle w:val="Voetnoottekst"/>
        <w:rPr>
          <w:rFonts w:ascii="Verdana" w:hAnsi="Verdana"/>
          <w:sz w:val="16"/>
          <w:szCs w:val="16"/>
        </w:rPr>
      </w:pPr>
      <w:r w:rsidRPr="0079091E">
        <w:rPr>
          <w:rStyle w:val="Voetnootmarkering"/>
          <w:rFonts w:ascii="Verdana" w:hAnsi="Verdana"/>
          <w:sz w:val="16"/>
          <w:szCs w:val="16"/>
        </w:rPr>
        <w:footnoteRef/>
      </w:r>
      <w:r w:rsidRPr="0079091E">
        <w:rPr>
          <w:rFonts w:ascii="Verdana" w:hAnsi="Verdana"/>
          <w:sz w:val="16"/>
          <w:szCs w:val="16"/>
        </w:rPr>
        <w:t xml:space="preserve"> Rechtbank ’s-Gravenhage 30 november 2010, ECLI:NL:RBSGR:2010:BP0708. </w:t>
      </w:r>
    </w:p>
  </w:footnote>
  <w:footnote w:id="147">
    <w:p w:rsidR="00D65307" w:rsidRDefault="00D65307" w:rsidP="008460C5">
      <w:pPr>
        <w:pStyle w:val="Voetnoottekst"/>
        <w:rPr>
          <w:rFonts w:ascii="Verdana" w:hAnsi="Verdana"/>
          <w:sz w:val="16"/>
          <w:szCs w:val="16"/>
        </w:rPr>
      </w:pPr>
      <w:r w:rsidRPr="008547BA">
        <w:rPr>
          <w:rStyle w:val="Voetnootmarkering"/>
          <w:rFonts w:ascii="Verdana" w:hAnsi="Verdana"/>
          <w:sz w:val="16"/>
          <w:szCs w:val="16"/>
        </w:rPr>
        <w:footnoteRef/>
      </w:r>
      <w:r w:rsidRPr="008547BA">
        <w:rPr>
          <w:rFonts w:ascii="Verdana" w:hAnsi="Verdana"/>
          <w:sz w:val="16"/>
          <w:szCs w:val="16"/>
        </w:rPr>
        <w:t xml:space="preserve"> Rechtbank Amsterdam 19 maart 2015, ECLI:NL:RBAMS:2015:1775; Rechtbank Den Haag 25 november 2014, ECLI:NL:RBDHA:2014:14545; Rechtbank Noord-Nederland 28 november 2013, ECLI:NL:RBNNE:2013:</w:t>
      </w:r>
    </w:p>
    <w:p w:rsidR="00D65307" w:rsidRPr="008547BA" w:rsidRDefault="00D65307" w:rsidP="008460C5">
      <w:pPr>
        <w:pStyle w:val="Voetnoottekst"/>
        <w:rPr>
          <w:rFonts w:ascii="Verdana" w:hAnsi="Verdana"/>
          <w:sz w:val="16"/>
          <w:szCs w:val="16"/>
        </w:rPr>
      </w:pPr>
      <w:r w:rsidRPr="008547BA">
        <w:rPr>
          <w:rFonts w:ascii="Verdana" w:hAnsi="Verdana"/>
          <w:sz w:val="16"/>
          <w:szCs w:val="16"/>
        </w:rPr>
        <w:t xml:space="preserve">7364; Rechtbank Noord-Nederland 26 april 2013, ECLI:NL:RBNNE:2013:BZ9199; Rechtbank Rotterdam 25 juli 2012, ECLI:NL:RBROT:2012:BX5773 (ten aanzien van dossier 1 en 2); Rechtbank ’s-Gravenhage 03 april 2012, ECLI:NL:RBSGR:2012:BW7051; Rechtbank ’s-Gravenhage 35 mei 2011, ECLI:NL:RBSGR:2011:BQ7702. </w:t>
      </w:r>
    </w:p>
  </w:footnote>
  <w:footnote w:id="148">
    <w:p w:rsidR="00D65307" w:rsidRDefault="00D65307" w:rsidP="002543FD">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Noord-Holland 20 november 2015, ECLI:NL:RBNHO:2015:11814; Rechtbank Oost-Brabant 24 april 2015, ECLI:NL:RBOBR:2015:2390; Rechtbank Den Haag 03 februari 2015, ECLI:NL:RBDHA:2015:1139; Rechtbank Den Haag 28 april 2014, ECLI:NL:RBDHA:2014:5203; Rechtbank Amsterdam 01 november 2013, ECLI:NL:RBAMS:2013:9938</w:t>
      </w:r>
      <w:r w:rsidRPr="00356C0E">
        <w:rPr>
          <w:rFonts w:ascii="Verdana" w:hAnsi="Verdana"/>
          <w:sz w:val="16"/>
          <w:szCs w:val="16"/>
        </w:rPr>
        <w:t>; Rechtbank Den Haag 16 juli 2013, ECLI:NL:RBDHA:2013:8654; Rechtbank Amsterdam 28 november 2012, ECLI:NL:RBAMS:2012:BY8626; Rechtbank ’s-Gravenhage 27</w:t>
      </w:r>
      <w:r w:rsidRPr="00511669">
        <w:rPr>
          <w:rFonts w:ascii="Verdana" w:hAnsi="Verdana"/>
          <w:sz w:val="16"/>
          <w:szCs w:val="16"/>
        </w:rPr>
        <w:t xml:space="preserve"> november 2012, ECLI:NL:RBSGR:2012:BY5600; Rechtbank ’s-Gravenhage 03 april </w:t>
      </w:r>
      <w:r w:rsidRPr="00356C0E">
        <w:rPr>
          <w:rFonts w:ascii="Verdana" w:hAnsi="Verdana"/>
          <w:sz w:val="16"/>
          <w:szCs w:val="16"/>
        </w:rPr>
        <w:t>2012, ECLI:NL:RBSGR:2012:BW7051; Rechtbank Roermond 13 maart 2012, ECLI:NL:RBROE:2012:18; Rechtbank Arnhem 29 februari 2012, ECLI:NL:</w:t>
      </w:r>
    </w:p>
    <w:p w:rsidR="00D65307" w:rsidRDefault="00D65307" w:rsidP="002543FD">
      <w:pPr>
        <w:pStyle w:val="Voetnoottekst"/>
        <w:rPr>
          <w:rFonts w:ascii="Verdana" w:hAnsi="Verdana"/>
          <w:sz w:val="16"/>
          <w:szCs w:val="16"/>
        </w:rPr>
      </w:pPr>
      <w:r w:rsidRPr="00356C0E">
        <w:rPr>
          <w:rFonts w:ascii="Verdana" w:hAnsi="Verdana"/>
          <w:sz w:val="16"/>
          <w:szCs w:val="16"/>
        </w:rPr>
        <w:t>RBARN:2012:BV7385; Rechtbank Maastricht 29 juli 2011, ECLI:NL:RBMAA:2011:BR3970; Rechtbank ’s-Gravenhage 15 maart 2011, ECLI:NL:RBSGR:2011:BQ4108; Rechtbank Utrecht</w:t>
      </w:r>
      <w:r w:rsidRPr="00511669">
        <w:rPr>
          <w:rFonts w:ascii="Verdana" w:hAnsi="Verdana"/>
          <w:sz w:val="16"/>
          <w:szCs w:val="16"/>
        </w:rPr>
        <w:t xml:space="preserve"> 30 juli 2010, ECLI:NL:RBUTR:</w:t>
      </w:r>
    </w:p>
    <w:p w:rsidR="00D65307" w:rsidRPr="00511669" w:rsidRDefault="00D65307" w:rsidP="002543FD">
      <w:pPr>
        <w:pStyle w:val="Voetnoottekst"/>
        <w:rPr>
          <w:rFonts w:ascii="Verdana" w:hAnsi="Verdana"/>
          <w:sz w:val="16"/>
          <w:szCs w:val="16"/>
        </w:rPr>
      </w:pPr>
      <w:r w:rsidRPr="00511669">
        <w:rPr>
          <w:rFonts w:ascii="Verdana" w:hAnsi="Verdana"/>
          <w:sz w:val="16"/>
          <w:szCs w:val="16"/>
        </w:rPr>
        <w:t xml:space="preserve">2010:BN8673. </w:t>
      </w:r>
    </w:p>
  </w:footnote>
  <w:footnote w:id="149">
    <w:p w:rsidR="00D65307" w:rsidRPr="00E959C8" w:rsidRDefault="00D65307">
      <w:pPr>
        <w:pStyle w:val="Voetnoottekst"/>
        <w:rPr>
          <w:rFonts w:ascii="Verdana" w:hAnsi="Verdana"/>
          <w:sz w:val="16"/>
          <w:szCs w:val="16"/>
        </w:rPr>
      </w:pPr>
      <w:r w:rsidRPr="00E959C8">
        <w:rPr>
          <w:rStyle w:val="Voetnootmarkering"/>
          <w:rFonts w:ascii="Verdana" w:hAnsi="Verdana"/>
          <w:sz w:val="16"/>
          <w:szCs w:val="16"/>
        </w:rPr>
        <w:footnoteRef/>
      </w:r>
      <w:r w:rsidRPr="00E959C8">
        <w:rPr>
          <w:rFonts w:ascii="Verdana" w:hAnsi="Verdana"/>
          <w:sz w:val="16"/>
          <w:szCs w:val="16"/>
        </w:rPr>
        <w:t xml:space="preserve"> Rechtbank Noord-Holland 20 november 2015, ECLI:NL:RBNHO:2015:11814; Rechtbank Oost-Brabant 24 april 2015, ECLI:NL:RBOBR:2015:2390; Rechtbank Den Haag 03 februari 2015, ECLI:NL:RBDHA:2015:1139; Rechtbank Den Haag 28 april 2014, ECLI:NL:RBDHA:2014:5203; Rechtbank Amsterdam 01 november 2013, ECLI:NL:RBAMS:2013:9938; Rechtbank Amsterdam 28 november 2012, ECLI:NL:RBAMS:2012:BY8626; Rechtbank Roermond 13 maart 2012, ECLI:NL:RBROE:2012:18; Rechtbank Maastricht 29 juli 2011, ECLI:NL:RBMAA:2011:BR3790. </w:t>
      </w:r>
    </w:p>
  </w:footnote>
  <w:footnote w:id="150">
    <w:p w:rsidR="00D65307" w:rsidRPr="00E959C8" w:rsidRDefault="00D65307" w:rsidP="007C52B5">
      <w:pPr>
        <w:pStyle w:val="Voetnoottekst"/>
        <w:rPr>
          <w:rFonts w:ascii="Verdana" w:hAnsi="Verdana"/>
          <w:sz w:val="16"/>
          <w:szCs w:val="16"/>
        </w:rPr>
      </w:pPr>
      <w:r w:rsidRPr="00E959C8">
        <w:rPr>
          <w:rStyle w:val="Voetnootmarkering"/>
          <w:rFonts w:ascii="Verdana" w:hAnsi="Verdana"/>
          <w:sz w:val="16"/>
          <w:szCs w:val="16"/>
        </w:rPr>
        <w:footnoteRef/>
      </w:r>
      <w:r w:rsidRPr="00E959C8">
        <w:rPr>
          <w:rFonts w:ascii="Verdana" w:hAnsi="Verdana"/>
          <w:sz w:val="16"/>
          <w:szCs w:val="16"/>
        </w:rPr>
        <w:t xml:space="preserve"> Rechtbank Arnhem 29 februari 2012, ECLI:NL:RBARN:2012:BV7385.</w:t>
      </w:r>
    </w:p>
  </w:footnote>
  <w:footnote w:id="151">
    <w:p w:rsidR="00D65307" w:rsidRDefault="00D65307" w:rsidP="00643E14">
      <w:pPr>
        <w:pStyle w:val="Voetnoottekst"/>
      </w:pPr>
      <w:r w:rsidRPr="00511669">
        <w:rPr>
          <w:rStyle w:val="Voetnootmarkering"/>
          <w:rFonts w:ascii="Verdana" w:hAnsi="Verdana"/>
          <w:sz w:val="16"/>
          <w:szCs w:val="16"/>
        </w:rPr>
        <w:footnoteRef/>
      </w:r>
      <w:r w:rsidRPr="00511669">
        <w:rPr>
          <w:rFonts w:ascii="Verdana" w:hAnsi="Verdana"/>
          <w:sz w:val="16"/>
          <w:szCs w:val="16"/>
        </w:rPr>
        <w:t xml:space="preserve"> Rechtbank Den Haag 25 november 2014, ECLI:NL:RBDHA:2014:14545.</w:t>
      </w:r>
    </w:p>
  </w:footnote>
  <w:footnote w:id="152">
    <w:p w:rsidR="00D65307" w:rsidRPr="00511669" w:rsidRDefault="00D65307" w:rsidP="00643E14">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Den Haag 02 december 2014, ECLI:NL:RBDHA:2014:16273. </w:t>
      </w:r>
    </w:p>
  </w:footnote>
  <w:footnote w:id="153">
    <w:p w:rsidR="00D65307" w:rsidRPr="0079091E" w:rsidRDefault="00D65307" w:rsidP="00384A08">
      <w:pPr>
        <w:pStyle w:val="Voetnoottekst"/>
        <w:rPr>
          <w:rFonts w:ascii="Verdana" w:hAnsi="Verdana"/>
          <w:sz w:val="16"/>
          <w:szCs w:val="16"/>
        </w:rPr>
      </w:pPr>
      <w:r w:rsidRPr="0079091E">
        <w:rPr>
          <w:rStyle w:val="Voetnootmarkering"/>
          <w:rFonts w:ascii="Verdana" w:hAnsi="Verdana"/>
          <w:sz w:val="16"/>
          <w:szCs w:val="16"/>
        </w:rPr>
        <w:footnoteRef/>
      </w:r>
      <w:r w:rsidRPr="0079091E">
        <w:rPr>
          <w:rFonts w:ascii="Verdana" w:hAnsi="Verdana"/>
          <w:sz w:val="16"/>
          <w:szCs w:val="16"/>
        </w:rPr>
        <w:t xml:space="preserve"> Rechtbank ’s-Gravenhage 15 maart 2011, ECLI:NL:RBSGR:2011:BQ4108. </w:t>
      </w:r>
    </w:p>
  </w:footnote>
  <w:footnote w:id="154">
    <w:p w:rsidR="00D65307" w:rsidRPr="00511669" w:rsidRDefault="00D65307" w:rsidP="007B2E53">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Amsterdam 24 april 2014, ECLI:NL:RBAMS:2014:9256. </w:t>
      </w:r>
    </w:p>
  </w:footnote>
  <w:footnote w:id="155">
    <w:p w:rsidR="00D65307" w:rsidRPr="00050729" w:rsidRDefault="00D65307" w:rsidP="007B2E53">
      <w:pPr>
        <w:pStyle w:val="Voetnoottekst"/>
        <w:rPr>
          <w:rFonts w:ascii="Verdana" w:hAnsi="Verdana"/>
          <w:sz w:val="16"/>
          <w:szCs w:val="16"/>
        </w:rPr>
      </w:pPr>
      <w:r w:rsidRPr="00050729">
        <w:rPr>
          <w:rStyle w:val="Voetnootmarkering"/>
          <w:rFonts w:ascii="Verdana" w:hAnsi="Verdana"/>
          <w:sz w:val="16"/>
          <w:szCs w:val="16"/>
        </w:rPr>
        <w:footnoteRef/>
      </w:r>
      <w:r w:rsidRPr="00050729">
        <w:rPr>
          <w:rFonts w:ascii="Verdana" w:hAnsi="Verdana"/>
          <w:sz w:val="16"/>
          <w:szCs w:val="16"/>
        </w:rPr>
        <w:t xml:space="preserve"> Rechtbank Noord-Holland 20 november 2015, ECLI:NL:RBNNO:2015:11814; Rechtbank Den Haag 03 februari 2015, ECLI:NL:RBDHA:2015:1139; Rechtbank Amsterdam 28 november 2012, ECLI:NL:RBAMS:2012:BY8626; Rechtbank Maastricht 29 juli 2011, ECLI:NL:RBMAA:2011:BR3970. </w:t>
      </w:r>
    </w:p>
  </w:footnote>
  <w:footnote w:id="156">
    <w:p w:rsidR="00D65307" w:rsidRDefault="00D65307" w:rsidP="00952685">
      <w:pPr>
        <w:pStyle w:val="Voetnoottekst"/>
        <w:rPr>
          <w:rFonts w:ascii="Verdana" w:hAnsi="Verdana"/>
          <w:sz w:val="16"/>
          <w:szCs w:val="16"/>
        </w:rPr>
      </w:pPr>
      <w:r w:rsidRPr="0079091E">
        <w:rPr>
          <w:rStyle w:val="Voetnootmarkering"/>
          <w:rFonts w:ascii="Verdana" w:hAnsi="Verdana"/>
          <w:sz w:val="16"/>
          <w:szCs w:val="16"/>
        </w:rPr>
        <w:footnoteRef/>
      </w:r>
      <w:r w:rsidRPr="0079091E">
        <w:rPr>
          <w:rFonts w:ascii="Verdana" w:hAnsi="Verdana"/>
          <w:sz w:val="16"/>
          <w:szCs w:val="16"/>
        </w:rPr>
        <w:t xml:space="preserve"> Rechtbank Oost-Brabant 24 april 2015, ECLI:NL:RBOBR:2015:2390; Rechtbank Amsterdam 19 maart 2015, ECLI:NL:RBAMS:2015:2183; Rechtbank Noord-Ne</w:t>
      </w:r>
      <w:r>
        <w:rPr>
          <w:rFonts w:ascii="Verdana" w:hAnsi="Verdana"/>
          <w:sz w:val="16"/>
          <w:szCs w:val="16"/>
        </w:rPr>
        <w:t>derland 28 november 2013, ECLI:</w:t>
      </w:r>
      <w:r w:rsidRPr="0079091E">
        <w:rPr>
          <w:rFonts w:ascii="Verdana" w:hAnsi="Verdana"/>
          <w:sz w:val="16"/>
          <w:szCs w:val="16"/>
        </w:rPr>
        <w:t>NL:RBNNE:2013:7364; Rechtbank Amsterdam 01 november 2013, ECLI:NL:RBAMS:2013:9938; Rechtbank Rotterdam 07 februari 2012, ECLI:NL:RBROT:2012:BV3772; Rechtbank ’s-Gravenhage 15 maart 2011, ECLI:NL:RBSGR:2011:</w:t>
      </w:r>
    </w:p>
    <w:p w:rsidR="00D65307" w:rsidRPr="0079091E" w:rsidRDefault="00D65307" w:rsidP="00952685">
      <w:pPr>
        <w:pStyle w:val="Voetnoottekst"/>
        <w:rPr>
          <w:rFonts w:ascii="Verdana" w:hAnsi="Verdana"/>
          <w:sz w:val="16"/>
          <w:szCs w:val="16"/>
        </w:rPr>
      </w:pPr>
      <w:r w:rsidRPr="0079091E">
        <w:rPr>
          <w:rFonts w:ascii="Verdana" w:hAnsi="Verdana"/>
          <w:sz w:val="16"/>
          <w:szCs w:val="16"/>
        </w:rPr>
        <w:t>BQ4108; Rechtbank Am</w:t>
      </w:r>
      <w:r>
        <w:rPr>
          <w:rFonts w:ascii="Verdana" w:hAnsi="Verdana"/>
          <w:sz w:val="16"/>
          <w:szCs w:val="16"/>
        </w:rPr>
        <w:t>sterdam 14 april 2010, ECLI:NL:</w:t>
      </w:r>
      <w:r w:rsidRPr="0079091E">
        <w:rPr>
          <w:rFonts w:ascii="Verdana" w:hAnsi="Verdana"/>
          <w:sz w:val="16"/>
          <w:szCs w:val="16"/>
        </w:rPr>
        <w:t xml:space="preserve">RBAMS:2010:8569. </w:t>
      </w:r>
    </w:p>
  </w:footnote>
  <w:footnote w:id="157">
    <w:p w:rsidR="00D65307" w:rsidRPr="0079091E" w:rsidRDefault="00D65307" w:rsidP="00952685">
      <w:pPr>
        <w:pStyle w:val="Voetnoottekst"/>
        <w:rPr>
          <w:sz w:val="16"/>
          <w:szCs w:val="16"/>
        </w:rPr>
      </w:pPr>
      <w:r w:rsidRPr="0079091E">
        <w:rPr>
          <w:rStyle w:val="Voetnootmarkering"/>
          <w:rFonts w:ascii="Verdana" w:hAnsi="Verdana"/>
          <w:sz w:val="16"/>
          <w:szCs w:val="16"/>
        </w:rPr>
        <w:footnoteRef/>
      </w:r>
      <w:r w:rsidRPr="0079091E">
        <w:rPr>
          <w:rFonts w:ascii="Verdana" w:hAnsi="Verdana"/>
          <w:sz w:val="16"/>
          <w:szCs w:val="16"/>
        </w:rPr>
        <w:t xml:space="preserve"> Rechtbank ’s-Gravenhage 27 november 2012, ECLI:NL:RBSGR:2012:BY5600.</w:t>
      </w:r>
    </w:p>
  </w:footnote>
  <w:footnote w:id="158">
    <w:p w:rsidR="00D65307" w:rsidRDefault="00D65307" w:rsidP="00952685">
      <w:pPr>
        <w:pStyle w:val="Voetnoottekst"/>
        <w:rPr>
          <w:rFonts w:ascii="Verdana" w:hAnsi="Verdana"/>
          <w:sz w:val="16"/>
          <w:szCs w:val="16"/>
        </w:rPr>
      </w:pPr>
      <w:r w:rsidRPr="003D02E5">
        <w:rPr>
          <w:rStyle w:val="Voetnootmarkering"/>
          <w:rFonts w:ascii="Verdana" w:hAnsi="Verdana"/>
          <w:sz w:val="16"/>
          <w:szCs w:val="16"/>
        </w:rPr>
        <w:footnoteRef/>
      </w:r>
      <w:r w:rsidRPr="003D02E5">
        <w:rPr>
          <w:rFonts w:ascii="Verdana" w:hAnsi="Verdana"/>
          <w:sz w:val="16"/>
          <w:szCs w:val="16"/>
        </w:rPr>
        <w:t xml:space="preserve"> Rechtbank Noord-Holland 20 november 2015, ECLI:NL:RBNHO:2015:11814; Rechtbank Oost-Brabant 24 april 2015, ECLI:NL:RBOBR:2015:2390; Rechtbank Den Haag 03 februari 2015, ECLI:NL:RBDHA:2015:1139; Rechtbank Den Haag 02 december 2014, ECLI:NL:RBDHA:2</w:t>
      </w:r>
      <w:r>
        <w:rPr>
          <w:rFonts w:ascii="Verdana" w:hAnsi="Verdana"/>
          <w:sz w:val="16"/>
          <w:szCs w:val="16"/>
        </w:rPr>
        <w:t>014:</w:t>
      </w:r>
      <w:r w:rsidRPr="003D02E5">
        <w:rPr>
          <w:rFonts w:ascii="Verdana" w:hAnsi="Verdana"/>
          <w:sz w:val="16"/>
          <w:szCs w:val="16"/>
        </w:rPr>
        <w:t>16273 (ten aanzien van de medicatiegegevens van patiënt X); Rechtbank Den Haag 25 november 2014, ECLI:NL:RBDHA:2014:14545; Rechtbank Rotterdam 24</w:t>
      </w:r>
      <w:r>
        <w:rPr>
          <w:rFonts w:ascii="Verdana" w:hAnsi="Verdana"/>
          <w:sz w:val="16"/>
          <w:szCs w:val="16"/>
        </w:rPr>
        <w:t xml:space="preserve"> juni 2014, ECLI:NL:RBROT:2014:</w:t>
      </w:r>
      <w:r w:rsidRPr="003D02E5">
        <w:rPr>
          <w:rFonts w:ascii="Verdana" w:hAnsi="Verdana"/>
          <w:sz w:val="16"/>
          <w:szCs w:val="16"/>
        </w:rPr>
        <w:t>10885; Recht</w:t>
      </w:r>
      <w:r>
        <w:rPr>
          <w:rFonts w:ascii="Verdana" w:hAnsi="Verdana"/>
          <w:sz w:val="16"/>
          <w:szCs w:val="16"/>
        </w:rPr>
        <w:t>bank Amsterdam 01 november 2013,</w:t>
      </w:r>
      <w:r w:rsidRPr="003D02E5">
        <w:rPr>
          <w:rFonts w:ascii="Verdana" w:hAnsi="Verdana"/>
          <w:sz w:val="16"/>
          <w:szCs w:val="16"/>
        </w:rPr>
        <w:t xml:space="preserve"> ECLI:NL:RBAMS:2013:</w:t>
      </w:r>
    </w:p>
    <w:p w:rsidR="00D65307" w:rsidRPr="003D02E5" w:rsidRDefault="00D65307" w:rsidP="00952685">
      <w:pPr>
        <w:pStyle w:val="Voetnoottekst"/>
        <w:rPr>
          <w:rFonts w:ascii="Verdana" w:hAnsi="Verdana"/>
          <w:sz w:val="16"/>
          <w:szCs w:val="16"/>
        </w:rPr>
      </w:pPr>
      <w:r w:rsidRPr="003D02E5">
        <w:rPr>
          <w:rFonts w:ascii="Verdana" w:hAnsi="Verdana"/>
          <w:sz w:val="16"/>
          <w:szCs w:val="16"/>
        </w:rPr>
        <w:t>9938; Rechtbank Den Haag 16 juli 2013, ECLI:NL:RBDHA:2013:8654; Rechtbank ’s-Gra</w:t>
      </w:r>
      <w:r>
        <w:rPr>
          <w:rFonts w:ascii="Verdana" w:hAnsi="Verdana"/>
          <w:sz w:val="16"/>
          <w:szCs w:val="16"/>
        </w:rPr>
        <w:t>venhage 03 april 2012, ECLI:NL:</w:t>
      </w:r>
      <w:r w:rsidRPr="003D02E5">
        <w:rPr>
          <w:rFonts w:ascii="Verdana" w:hAnsi="Verdana"/>
          <w:sz w:val="16"/>
          <w:szCs w:val="16"/>
        </w:rPr>
        <w:t xml:space="preserve">RBSGR:2012:BW7051; Rechtbank Arnhem 29 februari 2012, ECLI:NL:RBARN:2012:BV7385; Rechtbank Rotterdam 07 februari 2012, ECLI:NL:RBROT:2012:BV3772; Rechtbank ’s-Gravenhage 15 maart 2011, ECLI:NL:RBSGR:2011:BQ4108. </w:t>
      </w:r>
    </w:p>
  </w:footnote>
  <w:footnote w:id="159">
    <w:p w:rsidR="00D65307" w:rsidRDefault="00D65307" w:rsidP="00952685">
      <w:pPr>
        <w:pStyle w:val="Voetnoottekst"/>
        <w:rPr>
          <w:rFonts w:ascii="Verdana" w:hAnsi="Verdana"/>
          <w:sz w:val="16"/>
          <w:szCs w:val="16"/>
        </w:rPr>
      </w:pPr>
      <w:r w:rsidRPr="003D02E5">
        <w:rPr>
          <w:rStyle w:val="Voetnootmarkering"/>
          <w:rFonts w:ascii="Verdana" w:hAnsi="Verdana"/>
          <w:sz w:val="16"/>
          <w:szCs w:val="16"/>
        </w:rPr>
        <w:footnoteRef/>
      </w:r>
      <w:r w:rsidRPr="003D02E5">
        <w:rPr>
          <w:rFonts w:ascii="Verdana" w:hAnsi="Verdana"/>
          <w:sz w:val="16"/>
          <w:szCs w:val="16"/>
        </w:rPr>
        <w:t xml:space="preserve"> Rechtbank Limburg 01 mei 2015, ECLI:NL:RBLIM:2015:3781; Rechtbank Den Haag 02 december 2014, ECLI:NL:RBDHA:2014:16273 (ten aanzien van de persoonsgegevens); Rechtbank Noord-Nederland 26 april 2013, ECLI:NL:RBNNE:2013:BZ9199; Rechtbank ’s-Gravenhage 27 november 2012, ECLI:NL:RBSGR:2012:</w:t>
      </w:r>
    </w:p>
    <w:p w:rsidR="00D65307" w:rsidRPr="003D02E5" w:rsidRDefault="00D65307" w:rsidP="00952685">
      <w:pPr>
        <w:pStyle w:val="Voetnoottekst"/>
        <w:rPr>
          <w:rFonts w:ascii="Verdana" w:hAnsi="Verdana"/>
          <w:sz w:val="16"/>
          <w:szCs w:val="16"/>
        </w:rPr>
      </w:pPr>
      <w:r w:rsidRPr="003D02E5">
        <w:rPr>
          <w:rFonts w:ascii="Verdana" w:hAnsi="Verdana"/>
          <w:sz w:val="16"/>
          <w:szCs w:val="16"/>
        </w:rPr>
        <w:t>BY5600; Rechtbank R</w:t>
      </w:r>
      <w:r>
        <w:rPr>
          <w:rFonts w:ascii="Verdana" w:hAnsi="Verdana"/>
          <w:sz w:val="16"/>
          <w:szCs w:val="16"/>
        </w:rPr>
        <w:t>otterdam 25 juli 2012, ECLI:NL:</w:t>
      </w:r>
      <w:r w:rsidRPr="003D02E5">
        <w:rPr>
          <w:rFonts w:ascii="Verdana" w:hAnsi="Verdana"/>
          <w:sz w:val="16"/>
          <w:szCs w:val="16"/>
        </w:rPr>
        <w:t>RBROT:2012:BX5773 (ten a</w:t>
      </w:r>
      <w:r>
        <w:rPr>
          <w:rFonts w:ascii="Verdana" w:hAnsi="Verdana"/>
          <w:sz w:val="16"/>
          <w:szCs w:val="16"/>
        </w:rPr>
        <w:t>anzien van de overige gegevens)</w:t>
      </w:r>
      <w:r w:rsidRPr="003D02E5">
        <w:rPr>
          <w:rFonts w:ascii="Verdana" w:hAnsi="Verdana"/>
          <w:sz w:val="16"/>
          <w:szCs w:val="16"/>
        </w:rPr>
        <w:t>.</w:t>
      </w:r>
    </w:p>
  </w:footnote>
  <w:footnote w:id="160">
    <w:p w:rsidR="00D65307" w:rsidRPr="003D02E5" w:rsidRDefault="00D65307" w:rsidP="00952685">
      <w:pPr>
        <w:pStyle w:val="Voetnoottekst"/>
        <w:rPr>
          <w:sz w:val="16"/>
          <w:szCs w:val="16"/>
        </w:rPr>
      </w:pPr>
      <w:r w:rsidRPr="003D02E5">
        <w:rPr>
          <w:rStyle w:val="Voetnootmarkering"/>
          <w:rFonts w:ascii="Verdana" w:hAnsi="Verdana"/>
          <w:sz w:val="16"/>
          <w:szCs w:val="16"/>
        </w:rPr>
        <w:footnoteRef/>
      </w:r>
      <w:r w:rsidRPr="003D02E5">
        <w:rPr>
          <w:rFonts w:ascii="Verdana" w:hAnsi="Verdana"/>
          <w:sz w:val="16"/>
          <w:szCs w:val="16"/>
        </w:rPr>
        <w:t xml:space="preserve"> Rechtbank Rotterdam 25 juli 2012, ECLI:NL:RBROT:2012:BX5773 (ten aanzien van de corpora- et instrumenta delicti). </w:t>
      </w:r>
    </w:p>
  </w:footnote>
  <w:footnote w:id="161">
    <w:p w:rsidR="00D65307" w:rsidRDefault="00D65307" w:rsidP="00677B7A">
      <w:pPr>
        <w:pStyle w:val="Voetnoottekst"/>
        <w:rPr>
          <w:rFonts w:ascii="Verdana" w:hAnsi="Verdana"/>
          <w:sz w:val="16"/>
          <w:szCs w:val="16"/>
        </w:rPr>
      </w:pPr>
      <w:r w:rsidRPr="004567D3">
        <w:rPr>
          <w:rStyle w:val="Voetnootmarkering"/>
          <w:rFonts w:ascii="Verdana" w:hAnsi="Verdana"/>
          <w:sz w:val="16"/>
          <w:szCs w:val="16"/>
        </w:rPr>
        <w:footnoteRef/>
      </w:r>
      <w:r w:rsidRPr="004567D3">
        <w:rPr>
          <w:rFonts w:ascii="Verdana" w:hAnsi="Verdana"/>
          <w:sz w:val="16"/>
          <w:szCs w:val="16"/>
        </w:rPr>
        <w:t xml:space="preserve"> Rechtbank Den Haag 02 december 2014, ECLI:NL:RBDHA:2014:16273; Rechtbank Den Haag 25 november 2014, ECLI:NL:RBDHA:2014:14545; Rechtbank </w:t>
      </w:r>
      <w:r>
        <w:rPr>
          <w:rFonts w:ascii="Verdana" w:hAnsi="Verdana"/>
          <w:sz w:val="16"/>
          <w:szCs w:val="16"/>
        </w:rPr>
        <w:t>Den Haag 16 juli 2013, ECLI:NL:</w:t>
      </w:r>
      <w:r w:rsidRPr="004567D3">
        <w:rPr>
          <w:rFonts w:ascii="Verdana" w:hAnsi="Verdana"/>
          <w:sz w:val="16"/>
          <w:szCs w:val="16"/>
        </w:rPr>
        <w:t>RBDHA:2013:8654; Rechtbank Arnhem 29 februari 2012, ECLI:NL:RBARN:2012:BV7385; Rechtbank ’s-Gravenhage 15 maart 2011, ECLI:NL:</w:t>
      </w:r>
    </w:p>
    <w:p w:rsidR="00D65307" w:rsidRPr="004567D3" w:rsidRDefault="00D65307" w:rsidP="00677B7A">
      <w:pPr>
        <w:pStyle w:val="Voetnoottekst"/>
        <w:rPr>
          <w:rFonts w:ascii="Verdana" w:hAnsi="Verdana"/>
          <w:sz w:val="16"/>
          <w:szCs w:val="16"/>
        </w:rPr>
      </w:pPr>
      <w:r w:rsidRPr="004567D3">
        <w:rPr>
          <w:rFonts w:ascii="Verdana" w:hAnsi="Verdana"/>
          <w:sz w:val="16"/>
          <w:szCs w:val="16"/>
        </w:rPr>
        <w:t xml:space="preserve">RBSGR:2011:BQ4108. </w:t>
      </w:r>
    </w:p>
  </w:footnote>
  <w:footnote w:id="162">
    <w:p w:rsidR="00D65307" w:rsidRPr="004567D3" w:rsidRDefault="00D65307" w:rsidP="001568CE">
      <w:pPr>
        <w:pStyle w:val="Voetnoottekst"/>
        <w:rPr>
          <w:sz w:val="16"/>
          <w:szCs w:val="16"/>
        </w:rPr>
      </w:pPr>
      <w:r w:rsidRPr="004567D3">
        <w:rPr>
          <w:rStyle w:val="Voetnootmarkering"/>
          <w:rFonts w:ascii="Verdana" w:hAnsi="Verdana"/>
          <w:sz w:val="16"/>
          <w:szCs w:val="16"/>
        </w:rPr>
        <w:footnoteRef/>
      </w:r>
      <w:r w:rsidRPr="004567D3">
        <w:rPr>
          <w:rFonts w:ascii="Verdana" w:hAnsi="Verdana"/>
          <w:sz w:val="16"/>
          <w:szCs w:val="16"/>
        </w:rPr>
        <w:t xml:space="preserve"> Rechtbank ’s-Gravenhage 03 april 2012, ECLI:NL:RBSGR:2012:BW7051.</w:t>
      </w:r>
    </w:p>
  </w:footnote>
  <w:footnote w:id="163">
    <w:p w:rsidR="00D65307" w:rsidRPr="005B7394" w:rsidRDefault="00D65307" w:rsidP="00F7379E">
      <w:pPr>
        <w:pStyle w:val="Voetnoottekst"/>
        <w:rPr>
          <w:rFonts w:ascii="Verdana" w:hAnsi="Verdana"/>
          <w:sz w:val="16"/>
          <w:szCs w:val="16"/>
        </w:rPr>
      </w:pPr>
      <w:r w:rsidRPr="005B7394">
        <w:rPr>
          <w:rStyle w:val="Voetnootmarkering"/>
          <w:rFonts w:ascii="Verdana" w:hAnsi="Verdana"/>
          <w:sz w:val="16"/>
          <w:szCs w:val="16"/>
        </w:rPr>
        <w:footnoteRef/>
      </w:r>
      <w:r w:rsidRPr="005B7394">
        <w:rPr>
          <w:rFonts w:ascii="Verdana" w:hAnsi="Verdana"/>
          <w:sz w:val="16"/>
          <w:szCs w:val="16"/>
        </w:rPr>
        <w:t xml:space="preserve"> Rechtbank Den Haag 16 juli 2013, ECLI:NL:RBDHA:2013:8654; Rechtbank Arnhem 29 februari 2012, ECLI:NL:RBARN:2012:BV7385; Rechtbank ’s-Gravenhage 15 maart 2011, ECLI:NL:RBSGR:2011:BQ4108.</w:t>
      </w:r>
    </w:p>
  </w:footnote>
  <w:footnote w:id="164">
    <w:p w:rsidR="00D65307" w:rsidRDefault="00D65307" w:rsidP="008460C5">
      <w:pPr>
        <w:pStyle w:val="Voetnoottekst"/>
        <w:rPr>
          <w:rFonts w:ascii="Verdana" w:hAnsi="Verdana"/>
          <w:sz w:val="16"/>
          <w:szCs w:val="16"/>
        </w:rPr>
      </w:pPr>
      <w:r w:rsidRPr="008547BA">
        <w:rPr>
          <w:rStyle w:val="Voetnootmarkering"/>
          <w:rFonts w:ascii="Verdana" w:hAnsi="Verdana"/>
          <w:sz w:val="16"/>
          <w:szCs w:val="16"/>
        </w:rPr>
        <w:footnoteRef/>
      </w:r>
      <w:r w:rsidRPr="008547BA">
        <w:rPr>
          <w:rFonts w:ascii="Verdana" w:hAnsi="Verdana"/>
          <w:sz w:val="16"/>
          <w:szCs w:val="16"/>
        </w:rPr>
        <w:t xml:space="preserve"> Rechtbank Amsterdam 19 maart 2015, ECLI:NL:RBAMS:2015:1775; Rechtbank Den Haag 25 november 2014, ECLI:NL:RBDHA:2014:14545; Rechtbank Noord-Nederland 28 november 2013, ECLI:NL:RBNNE:2013:</w:t>
      </w:r>
    </w:p>
    <w:p w:rsidR="00D65307" w:rsidRPr="008547BA" w:rsidRDefault="00D65307" w:rsidP="008460C5">
      <w:pPr>
        <w:pStyle w:val="Voetnoottekst"/>
        <w:rPr>
          <w:rFonts w:ascii="Verdana" w:hAnsi="Verdana"/>
          <w:sz w:val="16"/>
          <w:szCs w:val="16"/>
        </w:rPr>
      </w:pPr>
      <w:r w:rsidRPr="008547BA">
        <w:rPr>
          <w:rFonts w:ascii="Verdana" w:hAnsi="Verdana"/>
          <w:sz w:val="16"/>
          <w:szCs w:val="16"/>
        </w:rPr>
        <w:t xml:space="preserve">7364; Rechtbank Noord-Nederland 26 april 2013, ECLI:NL:RBNNE:2013:BZ9199; Rechtbank Rotterdam 25 juli 2012, ECLI:NL:RBROT:2012:BX5773 (ten aanzien van dossier 1 en 2); Rechtbank ’s-Gravenhage 03 april 2012, ECLI:NL:RBSGR:2012:BW7051; Rechtbank ’s-Gravenhage 35 mei 2011, ECLI:NL:RBSGR:2011:BQ7702. </w:t>
      </w:r>
    </w:p>
  </w:footnote>
  <w:footnote w:id="165">
    <w:p w:rsidR="00D65307" w:rsidRDefault="00D65307" w:rsidP="002543FD">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Noord-Holland 20 november 2015, ECLI:NL:RBNHO:2015:11814; Rechtbank Oost-Brabant 24 april 2015, ECLI:NL:RBOBR:2015:2390; Rechtbank Den Haag 03 februari 2015, ECLI:NL:RBDHA:2015:1139; Rechtbank Den Haag 28 april 2014, ECLI:NL:RBDHA:2014:5203; Rechtbank Amsterdam 01 november 2013, ECLI:NL:RBAMS:2013:9938</w:t>
      </w:r>
      <w:r w:rsidRPr="00356C0E">
        <w:rPr>
          <w:rFonts w:ascii="Verdana" w:hAnsi="Verdana"/>
          <w:sz w:val="16"/>
          <w:szCs w:val="16"/>
        </w:rPr>
        <w:t>; Rechtbank Den Haag 16 juli 2013, ECLI:NL:RBDHA:2013:8654; Rechtbank Amsterdam 28 november 2012, ECLI:NL:RBAMS:2012:BY8626; Rechtbank ’s-Gravenhage 27</w:t>
      </w:r>
      <w:r w:rsidRPr="00511669">
        <w:rPr>
          <w:rFonts w:ascii="Verdana" w:hAnsi="Verdana"/>
          <w:sz w:val="16"/>
          <w:szCs w:val="16"/>
        </w:rPr>
        <w:t xml:space="preserve"> november 2012, ECLI:NL:RBSGR:2012:BY5600; Rechtbank ’s-Gravenhage 03 april </w:t>
      </w:r>
      <w:r w:rsidRPr="00356C0E">
        <w:rPr>
          <w:rFonts w:ascii="Verdana" w:hAnsi="Verdana"/>
          <w:sz w:val="16"/>
          <w:szCs w:val="16"/>
        </w:rPr>
        <w:t>2012, ECLI:NL:RBSGR:2012:BW7051; Rechtbank Roermond 13 maart 2012, ECLI:NL:RBROE:2012:18; Rechtbank Arnhem 29 februari 2012, ECLI:NL:</w:t>
      </w:r>
    </w:p>
    <w:p w:rsidR="00D65307" w:rsidRDefault="00D65307" w:rsidP="002543FD">
      <w:pPr>
        <w:pStyle w:val="Voetnoottekst"/>
        <w:rPr>
          <w:rFonts w:ascii="Verdana" w:hAnsi="Verdana"/>
          <w:sz w:val="16"/>
          <w:szCs w:val="16"/>
        </w:rPr>
      </w:pPr>
      <w:r w:rsidRPr="00356C0E">
        <w:rPr>
          <w:rFonts w:ascii="Verdana" w:hAnsi="Verdana"/>
          <w:sz w:val="16"/>
          <w:szCs w:val="16"/>
        </w:rPr>
        <w:t>RBARN:2012:BV7385; Rechtbank Maastricht 29 juli 2011, ECLI:NL:RBMAA:2011:BR3970; Rechtbank ’s-Gravenhage 15 maart 2011, ECLI:NL:RBSGR:2011:BQ4108; Rechtbank Utrecht</w:t>
      </w:r>
      <w:r w:rsidRPr="00511669">
        <w:rPr>
          <w:rFonts w:ascii="Verdana" w:hAnsi="Verdana"/>
          <w:sz w:val="16"/>
          <w:szCs w:val="16"/>
        </w:rPr>
        <w:t xml:space="preserve"> 30 juli 2010, ECLI:NL:RBUTR:</w:t>
      </w:r>
    </w:p>
    <w:p w:rsidR="00D65307" w:rsidRPr="00511669" w:rsidRDefault="00D65307" w:rsidP="002543FD">
      <w:pPr>
        <w:pStyle w:val="Voetnoottekst"/>
        <w:rPr>
          <w:rFonts w:ascii="Verdana" w:hAnsi="Verdana"/>
          <w:sz w:val="16"/>
          <w:szCs w:val="16"/>
        </w:rPr>
      </w:pPr>
      <w:r w:rsidRPr="00511669">
        <w:rPr>
          <w:rFonts w:ascii="Verdana" w:hAnsi="Verdana"/>
          <w:sz w:val="16"/>
          <w:szCs w:val="16"/>
        </w:rPr>
        <w:t xml:space="preserve">2010:BN8673. </w:t>
      </w:r>
    </w:p>
  </w:footnote>
  <w:footnote w:id="166">
    <w:p w:rsidR="00D65307" w:rsidRPr="00E959C8" w:rsidRDefault="00D65307" w:rsidP="0054100B">
      <w:pPr>
        <w:pStyle w:val="Voetnoottekst"/>
        <w:rPr>
          <w:rFonts w:ascii="Verdana" w:hAnsi="Verdana"/>
          <w:sz w:val="16"/>
          <w:szCs w:val="16"/>
        </w:rPr>
      </w:pPr>
      <w:r w:rsidRPr="00E959C8">
        <w:rPr>
          <w:rStyle w:val="Voetnootmarkering"/>
          <w:rFonts w:ascii="Verdana" w:hAnsi="Verdana"/>
          <w:sz w:val="16"/>
          <w:szCs w:val="16"/>
        </w:rPr>
        <w:footnoteRef/>
      </w:r>
      <w:r w:rsidRPr="00E959C8">
        <w:rPr>
          <w:rFonts w:ascii="Verdana" w:hAnsi="Verdana"/>
          <w:sz w:val="16"/>
          <w:szCs w:val="16"/>
        </w:rPr>
        <w:t xml:space="preserve"> Rechtbank Noord-Holland 20 november 2015, ECLI:NL:RBNHO:2015:11814; Rechtbank Oost-Brabant 24 april 2015, ECLI:NL:RBOBR:2015:2390; Rechtbank Den Haag 03 februari 2015, ECLI:NL:RBDHA:2015:1139; Rechtbank Den Haag 28 april 2014, ECLI:NL:RBDHA:2014:5203; Rechtbank Amsterdam 01 november 2013, ECLI:NL:RBAMS:2013:9938; Rechtbank Amsterdam 28 november 2012, ECLI:NL:RBAMS:2012:BY8626; Rechtbank Roermond 13 maart 2012, ECLI:NL:RBROE:2012:18; Rechtbank Maastricht 29 juli 2011, ECLI:NL:RBMAA:2011:BR3790. </w:t>
      </w:r>
    </w:p>
  </w:footnote>
  <w:footnote w:id="167">
    <w:p w:rsidR="00D65307" w:rsidRPr="00E959C8" w:rsidRDefault="00D65307" w:rsidP="00FF26D9">
      <w:pPr>
        <w:pStyle w:val="Voetnoottekst"/>
        <w:rPr>
          <w:rFonts w:ascii="Verdana" w:hAnsi="Verdana"/>
          <w:sz w:val="16"/>
          <w:szCs w:val="16"/>
        </w:rPr>
      </w:pPr>
      <w:r w:rsidRPr="00E959C8">
        <w:rPr>
          <w:rStyle w:val="Voetnootmarkering"/>
          <w:rFonts w:ascii="Verdana" w:hAnsi="Verdana"/>
          <w:sz w:val="16"/>
          <w:szCs w:val="16"/>
        </w:rPr>
        <w:footnoteRef/>
      </w:r>
      <w:r w:rsidRPr="00E959C8">
        <w:rPr>
          <w:rFonts w:ascii="Verdana" w:hAnsi="Verdana"/>
          <w:sz w:val="16"/>
          <w:szCs w:val="16"/>
        </w:rPr>
        <w:t xml:space="preserve"> Rechtbank Arnhem 29 februari 2012, ECLI:NL:RBARN:2012:BV7385.</w:t>
      </w:r>
    </w:p>
  </w:footnote>
  <w:footnote w:id="168">
    <w:p w:rsidR="00D65307" w:rsidRDefault="00D65307" w:rsidP="00CA112E">
      <w:pPr>
        <w:pStyle w:val="Voetnoottekst"/>
      </w:pPr>
      <w:r w:rsidRPr="00511669">
        <w:rPr>
          <w:rStyle w:val="Voetnootmarkering"/>
          <w:rFonts w:ascii="Verdana" w:hAnsi="Verdana"/>
          <w:sz w:val="16"/>
          <w:szCs w:val="16"/>
        </w:rPr>
        <w:footnoteRef/>
      </w:r>
      <w:r w:rsidRPr="00511669">
        <w:rPr>
          <w:rFonts w:ascii="Verdana" w:hAnsi="Verdana"/>
          <w:sz w:val="16"/>
          <w:szCs w:val="16"/>
        </w:rPr>
        <w:t xml:space="preserve"> Rechtbank Den Haag 25 november 2014, ECLI:NL:RBDHA:2014:14545.</w:t>
      </w:r>
    </w:p>
  </w:footnote>
  <w:footnote w:id="169">
    <w:p w:rsidR="00D65307" w:rsidRPr="00511669" w:rsidRDefault="00D65307" w:rsidP="00CA112E">
      <w:pPr>
        <w:pStyle w:val="Voetnoottekst"/>
        <w:rPr>
          <w:rFonts w:ascii="Verdana" w:hAnsi="Verdana"/>
          <w:sz w:val="16"/>
          <w:szCs w:val="16"/>
        </w:rPr>
      </w:pPr>
      <w:r w:rsidRPr="00511669">
        <w:rPr>
          <w:rStyle w:val="Voetnootmarkering"/>
          <w:rFonts w:ascii="Verdana" w:hAnsi="Verdana"/>
          <w:sz w:val="16"/>
          <w:szCs w:val="16"/>
        </w:rPr>
        <w:footnoteRef/>
      </w:r>
      <w:r w:rsidRPr="00511669">
        <w:rPr>
          <w:rFonts w:ascii="Verdana" w:hAnsi="Verdana"/>
          <w:sz w:val="16"/>
          <w:szCs w:val="16"/>
        </w:rPr>
        <w:t xml:space="preserve"> Rechtbank Den Haag 02 december 2014, ECLI:NL:RBDHA:2014:16273. </w:t>
      </w:r>
    </w:p>
  </w:footnote>
  <w:footnote w:id="170">
    <w:p w:rsidR="00D65307" w:rsidRPr="0079091E" w:rsidRDefault="00D65307" w:rsidP="00CA112E">
      <w:pPr>
        <w:pStyle w:val="Voetnoottekst"/>
        <w:rPr>
          <w:rFonts w:ascii="Verdana" w:hAnsi="Verdana"/>
          <w:sz w:val="16"/>
          <w:szCs w:val="16"/>
        </w:rPr>
      </w:pPr>
      <w:r w:rsidRPr="0079091E">
        <w:rPr>
          <w:rStyle w:val="Voetnootmarkering"/>
          <w:rFonts w:ascii="Verdana" w:hAnsi="Verdana"/>
          <w:sz w:val="16"/>
          <w:szCs w:val="16"/>
        </w:rPr>
        <w:footnoteRef/>
      </w:r>
      <w:r w:rsidRPr="0079091E">
        <w:rPr>
          <w:rFonts w:ascii="Verdana" w:hAnsi="Verdana"/>
          <w:sz w:val="16"/>
          <w:szCs w:val="16"/>
        </w:rPr>
        <w:t xml:space="preserve"> Rechtbank ’s-Gravenhage 15 maart 2011, ECLI:NL:RBSGR:2011:BQ4108. </w:t>
      </w:r>
    </w:p>
  </w:footnote>
  <w:footnote w:id="171">
    <w:p w:rsidR="00D65307" w:rsidRPr="00E959C8" w:rsidRDefault="00D65307" w:rsidP="00FF0F90">
      <w:pPr>
        <w:pStyle w:val="Voetnoottekst"/>
        <w:rPr>
          <w:rFonts w:ascii="Verdana" w:hAnsi="Verdana"/>
          <w:sz w:val="16"/>
          <w:szCs w:val="16"/>
        </w:rPr>
      </w:pPr>
      <w:r w:rsidRPr="00E959C8">
        <w:rPr>
          <w:rStyle w:val="Voetnootmarkering"/>
          <w:rFonts w:ascii="Verdana" w:hAnsi="Verdana"/>
          <w:sz w:val="16"/>
          <w:szCs w:val="16"/>
        </w:rPr>
        <w:footnoteRef/>
      </w:r>
      <w:r w:rsidRPr="00E959C8">
        <w:rPr>
          <w:rFonts w:ascii="Verdana" w:hAnsi="Verdana"/>
          <w:sz w:val="16"/>
          <w:szCs w:val="16"/>
        </w:rPr>
        <w:t xml:space="preserve"> Rechtbank Amsterdam 24 april 2014, ECLI:NL:RBAMS:2014:9256. </w:t>
      </w:r>
    </w:p>
  </w:footnote>
  <w:footnote w:id="172">
    <w:p w:rsidR="00D65307" w:rsidRPr="00050729" w:rsidRDefault="00D65307" w:rsidP="00FF0F90">
      <w:pPr>
        <w:pStyle w:val="Voetnoottekst"/>
        <w:rPr>
          <w:rFonts w:ascii="Verdana" w:hAnsi="Verdana"/>
          <w:sz w:val="16"/>
          <w:szCs w:val="16"/>
        </w:rPr>
      </w:pPr>
      <w:r w:rsidRPr="00E959C8">
        <w:rPr>
          <w:rStyle w:val="Voetnootmarkering"/>
          <w:rFonts w:ascii="Verdana" w:hAnsi="Verdana"/>
          <w:sz w:val="16"/>
          <w:szCs w:val="16"/>
        </w:rPr>
        <w:footnoteRef/>
      </w:r>
      <w:r w:rsidRPr="00E959C8">
        <w:rPr>
          <w:rFonts w:ascii="Verdana" w:hAnsi="Verdana"/>
          <w:sz w:val="16"/>
          <w:szCs w:val="16"/>
        </w:rPr>
        <w:t xml:space="preserve"> Rechtbank Noord-Holland 20 november 2015, ECLI:NL:RBNNO:2015:11814; Rechtbank Den Haag 03 februari 2015, ECLI:NL:RBDHA:2015:1139; Rechtbank Amsterdam 28 november 2012, ECLI:NL:RBAMS:2012:BY8626; Rechtbank Maastricht 29 juli 2011, ECLI:NL:RBMAA:2011:BR3970. </w:t>
      </w:r>
    </w:p>
  </w:footnote>
  <w:footnote w:id="173">
    <w:p w:rsidR="00D65307" w:rsidRDefault="00D65307" w:rsidP="00800C39">
      <w:pPr>
        <w:pStyle w:val="Voetnoottekst"/>
        <w:rPr>
          <w:rFonts w:ascii="Verdana" w:hAnsi="Verdana"/>
          <w:sz w:val="16"/>
          <w:szCs w:val="16"/>
        </w:rPr>
      </w:pPr>
      <w:r w:rsidRPr="003D02E5">
        <w:rPr>
          <w:rStyle w:val="Voetnootmarkering"/>
          <w:rFonts w:ascii="Verdana" w:hAnsi="Verdana"/>
          <w:sz w:val="16"/>
          <w:szCs w:val="16"/>
        </w:rPr>
        <w:footnoteRef/>
      </w:r>
      <w:r w:rsidRPr="003D02E5">
        <w:rPr>
          <w:rFonts w:ascii="Verdana" w:hAnsi="Verdana"/>
          <w:sz w:val="16"/>
          <w:szCs w:val="16"/>
        </w:rPr>
        <w:t xml:space="preserve"> Rechtbank Limburg 01 mei 2015, ECLI:NL:RBLIM:2015:3781; Rechtbank Den Haag 02 december 2014, ECLI:NL:RBDHA:2014:16273 (ten aanzien van de persoonsgegevens); Rechtbank Noord-Nederland 26 april 2013, ECLI:NL:RBNNE:2013:BZ9199; Rechtbank ’s-Gravenhage 27 november 2012, ECLI:NL:RBSGR:2012:</w:t>
      </w:r>
    </w:p>
    <w:p w:rsidR="00D65307" w:rsidRPr="003D02E5" w:rsidRDefault="00D65307" w:rsidP="00800C39">
      <w:pPr>
        <w:pStyle w:val="Voetnoottekst"/>
        <w:rPr>
          <w:rFonts w:ascii="Verdana" w:hAnsi="Verdana"/>
          <w:sz w:val="16"/>
          <w:szCs w:val="16"/>
        </w:rPr>
      </w:pPr>
      <w:r w:rsidRPr="003D02E5">
        <w:rPr>
          <w:rFonts w:ascii="Verdana" w:hAnsi="Verdana"/>
          <w:sz w:val="16"/>
          <w:szCs w:val="16"/>
        </w:rPr>
        <w:t>BY5600; Rechtbank R</w:t>
      </w:r>
      <w:r>
        <w:rPr>
          <w:rFonts w:ascii="Verdana" w:hAnsi="Verdana"/>
          <w:sz w:val="16"/>
          <w:szCs w:val="16"/>
        </w:rPr>
        <w:t>otterdam 25 juli 2012, ECLI:NL:</w:t>
      </w:r>
      <w:r w:rsidRPr="003D02E5">
        <w:rPr>
          <w:rFonts w:ascii="Verdana" w:hAnsi="Verdana"/>
          <w:sz w:val="16"/>
          <w:szCs w:val="16"/>
        </w:rPr>
        <w:t>RBROT:2012:BX5773 (ten a</w:t>
      </w:r>
      <w:r>
        <w:rPr>
          <w:rFonts w:ascii="Verdana" w:hAnsi="Verdana"/>
          <w:sz w:val="16"/>
          <w:szCs w:val="16"/>
        </w:rPr>
        <w:t>anzien van de overige gegevens)</w:t>
      </w:r>
      <w:r w:rsidRPr="003D02E5">
        <w:rPr>
          <w:rFonts w:ascii="Verdana" w:hAnsi="Verdana"/>
          <w:sz w:val="16"/>
          <w:szCs w:val="16"/>
        </w:rPr>
        <w:t>.</w:t>
      </w:r>
    </w:p>
  </w:footnote>
  <w:footnote w:id="174">
    <w:p w:rsidR="00D65307" w:rsidRPr="0079091E" w:rsidRDefault="00D65307" w:rsidP="00800C39">
      <w:pPr>
        <w:pStyle w:val="Voetnoottekst"/>
        <w:rPr>
          <w:sz w:val="16"/>
          <w:szCs w:val="16"/>
        </w:rPr>
      </w:pPr>
      <w:r w:rsidRPr="0079091E">
        <w:rPr>
          <w:rStyle w:val="Voetnootmarkering"/>
          <w:rFonts w:ascii="Verdana" w:hAnsi="Verdana"/>
          <w:sz w:val="16"/>
          <w:szCs w:val="16"/>
        </w:rPr>
        <w:footnoteRef/>
      </w:r>
      <w:r w:rsidRPr="0079091E">
        <w:rPr>
          <w:rFonts w:ascii="Verdana" w:hAnsi="Verdana"/>
          <w:sz w:val="16"/>
          <w:szCs w:val="16"/>
        </w:rPr>
        <w:t xml:space="preserve"> Rechtbank ’s-Gravenhage 27 november 2012, ECLI:NL:RBSGR:2012:BY5600.</w:t>
      </w:r>
    </w:p>
  </w:footnote>
  <w:footnote w:id="175">
    <w:p w:rsidR="00D65307" w:rsidRPr="0079091E" w:rsidRDefault="00D65307" w:rsidP="00800C39">
      <w:pPr>
        <w:pStyle w:val="Voetnoottekst"/>
        <w:rPr>
          <w:sz w:val="16"/>
          <w:szCs w:val="16"/>
        </w:rPr>
      </w:pPr>
      <w:r w:rsidRPr="0079091E">
        <w:rPr>
          <w:rStyle w:val="Voetnootmarkering"/>
          <w:rFonts w:ascii="Verdana" w:hAnsi="Verdana"/>
          <w:sz w:val="16"/>
          <w:szCs w:val="16"/>
        </w:rPr>
        <w:footnoteRef/>
      </w:r>
      <w:r w:rsidRPr="0079091E">
        <w:rPr>
          <w:rFonts w:ascii="Verdana" w:hAnsi="Verdana"/>
          <w:sz w:val="16"/>
          <w:szCs w:val="16"/>
        </w:rPr>
        <w:t xml:space="preserve"> Rechtbank ’s-Gravenhage 27 november 2012, ECLI:NL:RBSGR:2012:BY5600.</w:t>
      </w:r>
    </w:p>
  </w:footnote>
  <w:footnote w:id="176">
    <w:p w:rsidR="00D65307" w:rsidRPr="00C239C6" w:rsidRDefault="00D65307" w:rsidP="00677B7A">
      <w:pPr>
        <w:pStyle w:val="Voetnoottekst"/>
        <w:rPr>
          <w:rFonts w:ascii="Verdana" w:hAnsi="Verdana"/>
          <w:sz w:val="18"/>
          <w:szCs w:val="18"/>
        </w:rPr>
      </w:pPr>
      <w:r w:rsidRPr="004567D3">
        <w:rPr>
          <w:rStyle w:val="Voetnootmarkering"/>
          <w:rFonts w:ascii="Verdana" w:hAnsi="Verdana"/>
          <w:sz w:val="16"/>
          <w:szCs w:val="16"/>
        </w:rPr>
        <w:footnoteRef/>
      </w:r>
      <w:r w:rsidRPr="004567D3">
        <w:rPr>
          <w:rFonts w:ascii="Verdana" w:hAnsi="Verdana"/>
          <w:sz w:val="16"/>
          <w:szCs w:val="16"/>
        </w:rPr>
        <w:t xml:space="preserve"> Rechtbank Overijssel 24 april 2013, ECLI:NL:RBOVE:2013:BZ9109.</w:t>
      </w:r>
    </w:p>
  </w:footnote>
  <w:footnote w:id="177">
    <w:p w:rsidR="00D65307" w:rsidRDefault="00D65307" w:rsidP="00677B7A">
      <w:pPr>
        <w:pStyle w:val="Voetnoottekst"/>
        <w:rPr>
          <w:rFonts w:ascii="Verdana" w:hAnsi="Verdana"/>
          <w:sz w:val="16"/>
          <w:szCs w:val="16"/>
        </w:rPr>
      </w:pPr>
      <w:r w:rsidRPr="004567D3">
        <w:rPr>
          <w:rStyle w:val="Voetnootmarkering"/>
          <w:rFonts w:ascii="Verdana" w:hAnsi="Verdana"/>
          <w:sz w:val="16"/>
          <w:szCs w:val="16"/>
        </w:rPr>
        <w:footnoteRef/>
      </w:r>
      <w:r w:rsidRPr="004567D3">
        <w:rPr>
          <w:rFonts w:ascii="Verdana" w:hAnsi="Verdana"/>
          <w:sz w:val="16"/>
          <w:szCs w:val="16"/>
        </w:rPr>
        <w:t xml:space="preserve"> Rechtbank Den Haag 02 december 2014, ECLI:NL:RBDHA:2014:16273; Rechtbank Den Haag 25 november 2014, ECLI:NL:RBDHA:2014:14545; Rechtbank </w:t>
      </w:r>
      <w:r>
        <w:rPr>
          <w:rFonts w:ascii="Verdana" w:hAnsi="Verdana"/>
          <w:sz w:val="16"/>
          <w:szCs w:val="16"/>
        </w:rPr>
        <w:t>Den Haag 16 juli 2013, ECLI:NL:</w:t>
      </w:r>
      <w:r w:rsidRPr="004567D3">
        <w:rPr>
          <w:rFonts w:ascii="Verdana" w:hAnsi="Verdana"/>
          <w:sz w:val="16"/>
          <w:szCs w:val="16"/>
        </w:rPr>
        <w:t>RBDHA:2013:8654; Rechtbank Arnhem 29 februari 2012, ECLI:NL:RBARN:2012:BV7385; Rechtbank ’s-Gravenhage 15 maart 2011, ECLI:NL:</w:t>
      </w:r>
    </w:p>
    <w:p w:rsidR="00D65307" w:rsidRPr="004567D3" w:rsidRDefault="00D65307" w:rsidP="00677B7A">
      <w:pPr>
        <w:pStyle w:val="Voetnoottekst"/>
        <w:rPr>
          <w:rFonts w:ascii="Verdana" w:hAnsi="Verdana"/>
          <w:sz w:val="16"/>
          <w:szCs w:val="16"/>
        </w:rPr>
      </w:pPr>
      <w:r w:rsidRPr="004567D3">
        <w:rPr>
          <w:rFonts w:ascii="Verdana" w:hAnsi="Verdana"/>
          <w:sz w:val="16"/>
          <w:szCs w:val="16"/>
        </w:rPr>
        <w:t xml:space="preserve">RBSGR:2011:BQ4108. </w:t>
      </w:r>
    </w:p>
  </w:footnote>
  <w:footnote w:id="178">
    <w:p w:rsidR="00D65307" w:rsidRPr="004567D3" w:rsidRDefault="00D65307" w:rsidP="00EA6D17">
      <w:pPr>
        <w:pStyle w:val="Voetnoottekst"/>
        <w:rPr>
          <w:sz w:val="16"/>
          <w:szCs w:val="16"/>
        </w:rPr>
      </w:pPr>
      <w:r w:rsidRPr="004567D3">
        <w:rPr>
          <w:rStyle w:val="Voetnootmarkering"/>
          <w:rFonts w:ascii="Verdana" w:hAnsi="Verdana"/>
          <w:sz w:val="16"/>
          <w:szCs w:val="16"/>
        </w:rPr>
        <w:footnoteRef/>
      </w:r>
      <w:r w:rsidRPr="004567D3">
        <w:rPr>
          <w:rFonts w:ascii="Verdana" w:hAnsi="Verdana"/>
          <w:sz w:val="16"/>
          <w:szCs w:val="16"/>
        </w:rPr>
        <w:t xml:space="preserve"> Rechtbank ’s-Gravenhage 03 april 2012, ECLI:NL:RBSGR:2012:BW7051.</w:t>
      </w:r>
    </w:p>
  </w:footnote>
  <w:footnote w:id="179">
    <w:p w:rsidR="00D65307" w:rsidRPr="005B7394" w:rsidRDefault="00D65307" w:rsidP="00315375">
      <w:pPr>
        <w:pStyle w:val="Voetnoottekst"/>
        <w:rPr>
          <w:rFonts w:ascii="Verdana" w:hAnsi="Verdana"/>
          <w:sz w:val="16"/>
          <w:szCs w:val="16"/>
        </w:rPr>
      </w:pPr>
      <w:r w:rsidRPr="005B7394">
        <w:rPr>
          <w:rStyle w:val="Voetnootmarkering"/>
          <w:rFonts w:ascii="Verdana" w:hAnsi="Verdana"/>
          <w:sz w:val="16"/>
          <w:szCs w:val="16"/>
        </w:rPr>
        <w:footnoteRef/>
      </w:r>
      <w:r w:rsidRPr="005B7394">
        <w:rPr>
          <w:rFonts w:ascii="Verdana" w:hAnsi="Verdana"/>
          <w:sz w:val="16"/>
          <w:szCs w:val="16"/>
        </w:rPr>
        <w:t xml:space="preserve"> Rechtbank Den Haag 16 juli 2013, ECLI:NL:RBDHA:2013:8654; Rechtbank Arnhem 29 februari 2012, ECLI:NL:RBARN:2012:BV7385; Rechtbank ’s-Gravenhage 15 maart 2011, ECLI:NL:RBSGR:2011:BQ4108.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CAB4F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4137215"/>
    <w:multiLevelType w:val="hybridMultilevel"/>
    <w:tmpl w:val="BBAAE22C"/>
    <w:lvl w:ilvl="0" w:tplc="D174DE64">
      <w:start w:val="23"/>
      <w:numFmt w:val="bullet"/>
      <w:lvlText w:val="-"/>
      <w:lvlJc w:val="left"/>
      <w:pPr>
        <w:ind w:left="720" w:hanging="360"/>
      </w:pPr>
      <w:rPr>
        <w:rFonts w:ascii="Calibri" w:eastAsiaTheme="minorHAnsi" w:hAnsi="Calibri" w:cstheme="minorBidi"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0853F1"/>
    <w:multiLevelType w:val="hybridMultilevel"/>
    <w:tmpl w:val="2BF01E2C"/>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050950"/>
    <w:multiLevelType w:val="hybridMultilevel"/>
    <w:tmpl w:val="F3D03C0E"/>
    <w:lvl w:ilvl="0" w:tplc="D174DE64">
      <w:start w:val="23"/>
      <w:numFmt w:val="bullet"/>
      <w:lvlText w:val="-"/>
      <w:lvlJc w:val="left"/>
      <w:pPr>
        <w:ind w:left="720" w:hanging="360"/>
      </w:pPr>
      <w:rPr>
        <w:rFonts w:ascii="Calibri" w:eastAsiaTheme="minorHAnsi" w:hAnsi="Calibri" w:cstheme="minorBidi"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347A4D"/>
    <w:multiLevelType w:val="hybridMultilevel"/>
    <w:tmpl w:val="4D5E99B8"/>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2B6881"/>
    <w:multiLevelType w:val="hybridMultilevel"/>
    <w:tmpl w:val="DB0E4D5C"/>
    <w:lvl w:ilvl="0" w:tplc="D174DE64">
      <w:start w:val="23"/>
      <w:numFmt w:val="bullet"/>
      <w:lvlText w:val="-"/>
      <w:lvlJc w:val="left"/>
      <w:pPr>
        <w:ind w:left="720" w:hanging="360"/>
      </w:pPr>
      <w:rPr>
        <w:rFonts w:ascii="Calibri" w:eastAsiaTheme="minorHAnsi" w:hAnsi="Calibri" w:cstheme="minorBidi"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4C44D4"/>
    <w:multiLevelType w:val="hybridMultilevel"/>
    <w:tmpl w:val="63C6FBD2"/>
    <w:lvl w:ilvl="0" w:tplc="D174DE64">
      <w:start w:val="23"/>
      <w:numFmt w:val="bullet"/>
      <w:lvlText w:val="-"/>
      <w:lvlJc w:val="left"/>
      <w:pPr>
        <w:ind w:left="720" w:hanging="360"/>
      </w:pPr>
      <w:rPr>
        <w:rFonts w:ascii="Calibri" w:eastAsiaTheme="minorHAnsi" w:hAnsi="Calibri" w:cstheme="minorBidi"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0C0018"/>
    <w:multiLevelType w:val="hybridMultilevel"/>
    <w:tmpl w:val="7C9AA420"/>
    <w:lvl w:ilvl="0" w:tplc="0DEA130C">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4209C5"/>
    <w:multiLevelType w:val="hybridMultilevel"/>
    <w:tmpl w:val="1CE29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700358"/>
    <w:multiLevelType w:val="hybridMultilevel"/>
    <w:tmpl w:val="E104DF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351EF3"/>
    <w:multiLevelType w:val="hybridMultilevel"/>
    <w:tmpl w:val="20326CBA"/>
    <w:lvl w:ilvl="0" w:tplc="0DEA130C">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10"/>
  </w:num>
  <w:num w:numId="5">
    <w:abstractNumId w:val="9"/>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7"/>
  </w:num>
  <w:num w:numId="10">
    <w:abstractNumId w:val="6"/>
  </w:num>
  <w:num w:numId="11">
    <w:abstractNumId w:val="5"/>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AD274F"/>
    <w:rsid w:val="000009D8"/>
    <w:rsid w:val="000041F5"/>
    <w:rsid w:val="00006247"/>
    <w:rsid w:val="00007D43"/>
    <w:rsid w:val="00012223"/>
    <w:rsid w:val="00012705"/>
    <w:rsid w:val="00012B8D"/>
    <w:rsid w:val="0001378F"/>
    <w:rsid w:val="0001464E"/>
    <w:rsid w:val="000168EC"/>
    <w:rsid w:val="000170C9"/>
    <w:rsid w:val="000173A3"/>
    <w:rsid w:val="00017CCF"/>
    <w:rsid w:val="00023719"/>
    <w:rsid w:val="00023740"/>
    <w:rsid w:val="000237C4"/>
    <w:rsid w:val="000256F9"/>
    <w:rsid w:val="000267FE"/>
    <w:rsid w:val="00026BF7"/>
    <w:rsid w:val="000271ED"/>
    <w:rsid w:val="00030FED"/>
    <w:rsid w:val="00035F9F"/>
    <w:rsid w:val="00037C3C"/>
    <w:rsid w:val="00045700"/>
    <w:rsid w:val="0004655A"/>
    <w:rsid w:val="00046A39"/>
    <w:rsid w:val="00047784"/>
    <w:rsid w:val="00050729"/>
    <w:rsid w:val="000525B8"/>
    <w:rsid w:val="00054E24"/>
    <w:rsid w:val="00055657"/>
    <w:rsid w:val="000607C8"/>
    <w:rsid w:val="00060D30"/>
    <w:rsid w:val="00061655"/>
    <w:rsid w:val="00061CC8"/>
    <w:rsid w:val="000625E6"/>
    <w:rsid w:val="00062DB6"/>
    <w:rsid w:val="00067D33"/>
    <w:rsid w:val="00070EBC"/>
    <w:rsid w:val="00071282"/>
    <w:rsid w:val="0007415B"/>
    <w:rsid w:val="000756EF"/>
    <w:rsid w:val="000805B0"/>
    <w:rsid w:val="000816DA"/>
    <w:rsid w:val="00084039"/>
    <w:rsid w:val="00084B20"/>
    <w:rsid w:val="0008514F"/>
    <w:rsid w:val="00085A0F"/>
    <w:rsid w:val="00086E63"/>
    <w:rsid w:val="00087282"/>
    <w:rsid w:val="00087522"/>
    <w:rsid w:val="00087F4F"/>
    <w:rsid w:val="00090772"/>
    <w:rsid w:val="00090E68"/>
    <w:rsid w:val="000930B2"/>
    <w:rsid w:val="00093224"/>
    <w:rsid w:val="00094D67"/>
    <w:rsid w:val="00094D73"/>
    <w:rsid w:val="000967EE"/>
    <w:rsid w:val="000A04FC"/>
    <w:rsid w:val="000A1D02"/>
    <w:rsid w:val="000A3334"/>
    <w:rsid w:val="000B0A6A"/>
    <w:rsid w:val="000B0F9E"/>
    <w:rsid w:val="000B32CF"/>
    <w:rsid w:val="000B37CB"/>
    <w:rsid w:val="000B4B8B"/>
    <w:rsid w:val="000B4F21"/>
    <w:rsid w:val="000B751F"/>
    <w:rsid w:val="000C0CDE"/>
    <w:rsid w:val="000C164F"/>
    <w:rsid w:val="000C28E2"/>
    <w:rsid w:val="000C2ADB"/>
    <w:rsid w:val="000C2F5B"/>
    <w:rsid w:val="000C4760"/>
    <w:rsid w:val="000C4EB7"/>
    <w:rsid w:val="000C60F1"/>
    <w:rsid w:val="000C7E21"/>
    <w:rsid w:val="000C7EB2"/>
    <w:rsid w:val="000D06A4"/>
    <w:rsid w:val="000D25A4"/>
    <w:rsid w:val="000D25D9"/>
    <w:rsid w:val="000D2C0F"/>
    <w:rsid w:val="000D376F"/>
    <w:rsid w:val="000D4D04"/>
    <w:rsid w:val="000D7AC0"/>
    <w:rsid w:val="000E0D55"/>
    <w:rsid w:val="000E2800"/>
    <w:rsid w:val="000E2AF7"/>
    <w:rsid w:val="000E32E5"/>
    <w:rsid w:val="000E34B8"/>
    <w:rsid w:val="000E479B"/>
    <w:rsid w:val="000E6892"/>
    <w:rsid w:val="000E7CEA"/>
    <w:rsid w:val="000E7FE9"/>
    <w:rsid w:val="000F0354"/>
    <w:rsid w:val="000F17F1"/>
    <w:rsid w:val="000F2238"/>
    <w:rsid w:val="000F2BA4"/>
    <w:rsid w:val="000F3365"/>
    <w:rsid w:val="000F4E94"/>
    <w:rsid w:val="001007FD"/>
    <w:rsid w:val="0010133B"/>
    <w:rsid w:val="00101C32"/>
    <w:rsid w:val="0010271E"/>
    <w:rsid w:val="00104FA3"/>
    <w:rsid w:val="001052D5"/>
    <w:rsid w:val="00107BE9"/>
    <w:rsid w:val="00110657"/>
    <w:rsid w:val="001115BB"/>
    <w:rsid w:val="00114DA1"/>
    <w:rsid w:val="00114E8D"/>
    <w:rsid w:val="00120041"/>
    <w:rsid w:val="00120385"/>
    <w:rsid w:val="001206EE"/>
    <w:rsid w:val="00120794"/>
    <w:rsid w:val="0012146C"/>
    <w:rsid w:val="0012363B"/>
    <w:rsid w:val="00125788"/>
    <w:rsid w:val="00126889"/>
    <w:rsid w:val="00126D20"/>
    <w:rsid w:val="00127606"/>
    <w:rsid w:val="00134AFE"/>
    <w:rsid w:val="00140293"/>
    <w:rsid w:val="00140495"/>
    <w:rsid w:val="0014219F"/>
    <w:rsid w:val="00142EC8"/>
    <w:rsid w:val="00142ED9"/>
    <w:rsid w:val="00144B1C"/>
    <w:rsid w:val="00145AE8"/>
    <w:rsid w:val="0015065B"/>
    <w:rsid w:val="00151572"/>
    <w:rsid w:val="00154121"/>
    <w:rsid w:val="001545EC"/>
    <w:rsid w:val="00155925"/>
    <w:rsid w:val="001568CE"/>
    <w:rsid w:val="00157118"/>
    <w:rsid w:val="001610EA"/>
    <w:rsid w:val="001671C9"/>
    <w:rsid w:val="0017026C"/>
    <w:rsid w:val="00170F14"/>
    <w:rsid w:val="001716F4"/>
    <w:rsid w:val="001717BD"/>
    <w:rsid w:val="00176201"/>
    <w:rsid w:val="00177B23"/>
    <w:rsid w:val="001801B5"/>
    <w:rsid w:val="001814D6"/>
    <w:rsid w:val="001906D6"/>
    <w:rsid w:val="00190BF3"/>
    <w:rsid w:val="00193293"/>
    <w:rsid w:val="001937E1"/>
    <w:rsid w:val="00195CC7"/>
    <w:rsid w:val="00196ACE"/>
    <w:rsid w:val="00197AC4"/>
    <w:rsid w:val="001A0039"/>
    <w:rsid w:val="001A1612"/>
    <w:rsid w:val="001A1BCB"/>
    <w:rsid w:val="001A206A"/>
    <w:rsid w:val="001A2593"/>
    <w:rsid w:val="001A3309"/>
    <w:rsid w:val="001A5084"/>
    <w:rsid w:val="001A682E"/>
    <w:rsid w:val="001B185A"/>
    <w:rsid w:val="001B2CED"/>
    <w:rsid w:val="001B3885"/>
    <w:rsid w:val="001B3E03"/>
    <w:rsid w:val="001B5E4A"/>
    <w:rsid w:val="001B7514"/>
    <w:rsid w:val="001B7F72"/>
    <w:rsid w:val="001C10B4"/>
    <w:rsid w:val="001C46D6"/>
    <w:rsid w:val="001C47D7"/>
    <w:rsid w:val="001C5851"/>
    <w:rsid w:val="001C6343"/>
    <w:rsid w:val="001C69AE"/>
    <w:rsid w:val="001C7AE3"/>
    <w:rsid w:val="001D163B"/>
    <w:rsid w:val="001D1DEE"/>
    <w:rsid w:val="001D43E5"/>
    <w:rsid w:val="001D7FAE"/>
    <w:rsid w:val="001E0770"/>
    <w:rsid w:val="001E0E44"/>
    <w:rsid w:val="001E153C"/>
    <w:rsid w:val="001E2615"/>
    <w:rsid w:val="001E4EFA"/>
    <w:rsid w:val="001E7E1C"/>
    <w:rsid w:val="001F18C1"/>
    <w:rsid w:val="001F1B0A"/>
    <w:rsid w:val="001F1B2F"/>
    <w:rsid w:val="001F31AC"/>
    <w:rsid w:val="001F4875"/>
    <w:rsid w:val="001F4977"/>
    <w:rsid w:val="001F57ED"/>
    <w:rsid w:val="001F5BAD"/>
    <w:rsid w:val="00200AE9"/>
    <w:rsid w:val="00200E1A"/>
    <w:rsid w:val="0021085A"/>
    <w:rsid w:val="0021264B"/>
    <w:rsid w:val="00213FC6"/>
    <w:rsid w:val="0021476E"/>
    <w:rsid w:val="002159D9"/>
    <w:rsid w:val="00216DE5"/>
    <w:rsid w:val="00217FF4"/>
    <w:rsid w:val="0022008B"/>
    <w:rsid w:val="002232F5"/>
    <w:rsid w:val="00226F1B"/>
    <w:rsid w:val="00227C2E"/>
    <w:rsid w:val="00231DA6"/>
    <w:rsid w:val="002321D9"/>
    <w:rsid w:val="00234DFE"/>
    <w:rsid w:val="002354E9"/>
    <w:rsid w:val="00237B53"/>
    <w:rsid w:val="00237EC4"/>
    <w:rsid w:val="0024338F"/>
    <w:rsid w:val="00244162"/>
    <w:rsid w:val="00244BF1"/>
    <w:rsid w:val="00246933"/>
    <w:rsid w:val="00251A9C"/>
    <w:rsid w:val="00251D84"/>
    <w:rsid w:val="002539F7"/>
    <w:rsid w:val="00253EC5"/>
    <w:rsid w:val="002543FD"/>
    <w:rsid w:val="00255781"/>
    <w:rsid w:val="00257D0D"/>
    <w:rsid w:val="002614D5"/>
    <w:rsid w:val="00261F4D"/>
    <w:rsid w:val="002642A8"/>
    <w:rsid w:val="00264305"/>
    <w:rsid w:val="00266135"/>
    <w:rsid w:val="00270231"/>
    <w:rsid w:val="00270558"/>
    <w:rsid w:val="0027084F"/>
    <w:rsid w:val="00270B0A"/>
    <w:rsid w:val="002730FB"/>
    <w:rsid w:val="002734F3"/>
    <w:rsid w:val="00273AA7"/>
    <w:rsid w:val="00275FBF"/>
    <w:rsid w:val="00276B16"/>
    <w:rsid w:val="0027788B"/>
    <w:rsid w:val="002829FB"/>
    <w:rsid w:val="00282EFE"/>
    <w:rsid w:val="00285E31"/>
    <w:rsid w:val="00287A9C"/>
    <w:rsid w:val="0029064E"/>
    <w:rsid w:val="00290929"/>
    <w:rsid w:val="00292113"/>
    <w:rsid w:val="00293E68"/>
    <w:rsid w:val="00294BA8"/>
    <w:rsid w:val="00296304"/>
    <w:rsid w:val="00296480"/>
    <w:rsid w:val="002A0D2D"/>
    <w:rsid w:val="002A150A"/>
    <w:rsid w:val="002A1CBB"/>
    <w:rsid w:val="002A2887"/>
    <w:rsid w:val="002A321B"/>
    <w:rsid w:val="002A41B4"/>
    <w:rsid w:val="002A4356"/>
    <w:rsid w:val="002A4A5F"/>
    <w:rsid w:val="002A6FE5"/>
    <w:rsid w:val="002B0489"/>
    <w:rsid w:val="002B2FD6"/>
    <w:rsid w:val="002B3F88"/>
    <w:rsid w:val="002B4136"/>
    <w:rsid w:val="002B42E2"/>
    <w:rsid w:val="002B47B1"/>
    <w:rsid w:val="002B568F"/>
    <w:rsid w:val="002B7CCE"/>
    <w:rsid w:val="002C09F3"/>
    <w:rsid w:val="002C2F56"/>
    <w:rsid w:val="002C6801"/>
    <w:rsid w:val="002C749F"/>
    <w:rsid w:val="002C74CD"/>
    <w:rsid w:val="002C7C8F"/>
    <w:rsid w:val="002D0C45"/>
    <w:rsid w:val="002D2E67"/>
    <w:rsid w:val="002D6D86"/>
    <w:rsid w:val="002D77D5"/>
    <w:rsid w:val="002E0B6C"/>
    <w:rsid w:val="002E1D5D"/>
    <w:rsid w:val="002E23D8"/>
    <w:rsid w:val="002E2891"/>
    <w:rsid w:val="002E44D7"/>
    <w:rsid w:val="002E6D12"/>
    <w:rsid w:val="002F0350"/>
    <w:rsid w:val="002F106B"/>
    <w:rsid w:val="002F2317"/>
    <w:rsid w:val="002F399A"/>
    <w:rsid w:val="002F4443"/>
    <w:rsid w:val="002F5D43"/>
    <w:rsid w:val="002F6E8A"/>
    <w:rsid w:val="002F7B77"/>
    <w:rsid w:val="002F7BAF"/>
    <w:rsid w:val="003026A9"/>
    <w:rsid w:val="00303EB4"/>
    <w:rsid w:val="00304A17"/>
    <w:rsid w:val="00306AFE"/>
    <w:rsid w:val="00307324"/>
    <w:rsid w:val="003079DE"/>
    <w:rsid w:val="00307F51"/>
    <w:rsid w:val="0031083C"/>
    <w:rsid w:val="00310A92"/>
    <w:rsid w:val="00310F14"/>
    <w:rsid w:val="00310FF9"/>
    <w:rsid w:val="00311177"/>
    <w:rsid w:val="0031249A"/>
    <w:rsid w:val="00313523"/>
    <w:rsid w:val="0031394D"/>
    <w:rsid w:val="003139A7"/>
    <w:rsid w:val="00315375"/>
    <w:rsid w:val="00315434"/>
    <w:rsid w:val="00320E01"/>
    <w:rsid w:val="00321939"/>
    <w:rsid w:val="00327B7F"/>
    <w:rsid w:val="00327D7D"/>
    <w:rsid w:val="003305E1"/>
    <w:rsid w:val="00330B82"/>
    <w:rsid w:val="00332C77"/>
    <w:rsid w:val="00334AA0"/>
    <w:rsid w:val="003366D6"/>
    <w:rsid w:val="00336FDE"/>
    <w:rsid w:val="00342641"/>
    <w:rsid w:val="003427EE"/>
    <w:rsid w:val="0034419F"/>
    <w:rsid w:val="003451AF"/>
    <w:rsid w:val="00345962"/>
    <w:rsid w:val="00350338"/>
    <w:rsid w:val="00350574"/>
    <w:rsid w:val="00350FA6"/>
    <w:rsid w:val="00353518"/>
    <w:rsid w:val="0035427B"/>
    <w:rsid w:val="00355869"/>
    <w:rsid w:val="00356658"/>
    <w:rsid w:val="00356881"/>
    <w:rsid w:val="00356C0E"/>
    <w:rsid w:val="00357C3C"/>
    <w:rsid w:val="00357C74"/>
    <w:rsid w:val="00360DE1"/>
    <w:rsid w:val="00367D4F"/>
    <w:rsid w:val="00367EE9"/>
    <w:rsid w:val="003709AE"/>
    <w:rsid w:val="00370A2E"/>
    <w:rsid w:val="003728B6"/>
    <w:rsid w:val="003752E7"/>
    <w:rsid w:val="00375B9F"/>
    <w:rsid w:val="00376B00"/>
    <w:rsid w:val="0037744B"/>
    <w:rsid w:val="00380C58"/>
    <w:rsid w:val="00381F74"/>
    <w:rsid w:val="00382AB3"/>
    <w:rsid w:val="00384A08"/>
    <w:rsid w:val="003854BF"/>
    <w:rsid w:val="003915BA"/>
    <w:rsid w:val="0039205F"/>
    <w:rsid w:val="003930E1"/>
    <w:rsid w:val="00394A31"/>
    <w:rsid w:val="003969B9"/>
    <w:rsid w:val="003A0F76"/>
    <w:rsid w:val="003A1A7A"/>
    <w:rsid w:val="003A6DA4"/>
    <w:rsid w:val="003A751E"/>
    <w:rsid w:val="003A79FA"/>
    <w:rsid w:val="003B1E7A"/>
    <w:rsid w:val="003B3953"/>
    <w:rsid w:val="003B3C5B"/>
    <w:rsid w:val="003B6C7F"/>
    <w:rsid w:val="003B762F"/>
    <w:rsid w:val="003B7E22"/>
    <w:rsid w:val="003C0084"/>
    <w:rsid w:val="003C1385"/>
    <w:rsid w:val="003C15A7"/>
    <w:rsid w:val="003C2C61"/>
    <w:rsid w:val="003C46EB"/>
    <w:rsid w:val="003C4A8E"/>
    <w:rsid w:val="003C5752"/>
    <w:rsid w:val="003C625A"/>
    <w:rsid w:val="003D02E5"/>
    <w:rsid w:val="003D0A00"/>
    <w:rsid w:val="003D105E"/>
    <w:rsid w:val="003D1619"/>
    <w:rsid w:val="003D2507"/>
    <w:rsid w:val="003D5A66"/>
    <w:rsid w:val="003D5EE1"/>
    <w:rsid w:val="003D61C1"/>
    <w:rsid w:val="003D74FB"/>
    <w:rsid w:val="003E139A"/>
    <w:rsid w:val="003E18E2"/>
    <w:rsid w:val="003E3462"/>
    <w:rsid w:val="003E65A1"/>
    <w:rsid w:val="003F080B"/>
    <w:rsid w:val="003F0E39"/>
    <w:rsid w:val="003F0F12"/>
    <w:rsid w:val="003F1454"/>
    <w:rsid w:val="003F2112"/>
    <w:rsid w:val="003F21AD"/>
    <w:rsid w:val="003F4D80"/>
    <w:rsid w:val="004012FF"/>
    <w:rsid w:val="00401948"/>
    <w:rsid w:val="00401CE5"/>
    <w:rsid w:val="00402523"/>
    <w:rsid w:val="00403DAB"/>
    <w:rsid w:val="00405C6F"/>
    <w:rsid w:val="00410279"/>
    <w:rsid w:val="00410C10"/>
    <w:rsid w:val="004121C2"/>
    <w:rsid w:val="00414CE1"/>
    <w:rsid w:val="004157FD"/>
    <w:rsid w:val="0042409F"/>
    <w:rsid w:val="00424FA5"/>
    <w:rsid w:val="004257D6"/>
    <w:rsid w:val="00426C2C"/>
    <w:rsid w:val="00430D8C"/>
    <w:rsid w:val="00430E22"/>
    <w:rsid w:val="004360E6"/>
    <w:rsid w:val="00437E5E"/>
    <w:rsid w:val="00437FED"/>
    <w:rsid w:val="004405D8"/>
    <w:rsid w:val="00440615"/>
    <w:rsid w:val="00445AB7"/>
    <w:rsid w:val="00447308"/>
    <w:rsid w:val="004515E5"/>
    <w:rsid w:val="00453947"/>
    <w:rsid w:val="0045654C"/>
    <w:rsid w:val="004567D3"/>
    <w:rsid w:val="004576AD"/>
    <w:rsid w:val="004578CF"/>
    <w:rsid w:val="00464970"/>
    <w:rsid w:val="0046564F"/>
    <w:rsid w:val="0047134D"/>
    <w:rsid w:val="0047368E"/>
    <w:rsid w:val="004736CF"/>
    <w:rsid w:val="00473F49"/>
    <w:rsid w:val="004776D2"/>
    <w:rsid w:val="004777CF"/>
    <w:rsid w:val="004800E7"/>
    <w:rsid w:val="00480805"/>
    <w:rsid w:val="00481E40"/>
    <w:rsid w:val="004826B6"/>
    <w:rsid w:val="004830DD"/>
    <w:rsid w:val="00483907"/>
    <w:rsid w:val="004847E6"/>
    <w:rsid w:val="00485A48"/>
    <w:rsid w:val="00486B24"/>
    <w:rsid w:val="00486F4A"/>
    <w:rsid w:val="0049361E"/>
    <w:rsid w:val="00494032"/>
    <w:rsid w:val="004962C1"/>
    <w:rsid w:val="004969E7"/>
    <w:rsid w:val="004A0498"/>
    <w:rsid w:val="004A07D2"/>
    <w:rsid w:val="004A0D5D"/>
    <w:rsid w:val="004A1137"/>
    <w:rsid w:val="004A20D5"/>
    <w:rsid w:val="004A3BE4"/>
    <w:rsid w:val="004A5875"/>
    <w:rsid w:val="004A79D0"/>
    <w:rsid w:val="004B03B0"/>
    <w:rsid w:val="004B2859"/>
    <w:rsid w:val="004B7342"/>
    <w:rsid w:val="004C54C0"/>
    <w:rsid w:val="004C7992"/>
    <w:rsid w:val="004C7F82"/>
    <w:rsid w:val="004D2780"/>
    <w:rsid w:val="004D2946"/>
    <w:rsid w:val="004D313B"/>
    <w:rsid w:val="004D3DA0"/>
    <w:rsid w:val="004D408A"/>
    <w:rsid w:val="004D6368"/>
    <w:rsid w:val="004D664E"/>
    <w:rsid w:val="004E0154"/>
    <w:rsid w:val="004E346A"/>
    <w:rsid w:val="004E3DEF"/>
    <w:rsid w:val="004E5FD7"/>
    <w:rsid w:val="004F0738"/>
    <w:rsid w:val="004F3DA7"/>
    <w:rsid w:val="004F52F5"/>
    <w:rsid w:val="004F5E96"/>
    <w:rsid w:val="004F6798"/>
    <w:rsid w:val="004F717C"/>
    <w:rsid w:val="005016D6"/>
    <w:rsid w:val="005029D8"/>
    <w:rsid w:val="0050397C"/>
    <w:rsid w:val="005044DB"/>
    <w:rsid w:val="005059EA"/>
    <w:rsid w:val="00506AE2"/>
    <w:rsid w:val="00507BA7"/>
    <w:rsid w:val="005103CD"/>
    <w:rsid w:val="00511669"/>
    <w:rsid w:val="00517CC7"/>
    <w:rsid w:val="00521882"/>
    <w:rsid w:val="00522896"/>
    <w:rsid w:val="005259E2"/>
    <w:rsid w:val="00525EBC"/>
    <w:rsid w:val="00526434"/>
    <w:rsid w:val="00527830"/>
    <w:rsid w:val="005278A3"/>
    <w:rsid w:val="005360F1"/>
    <w:rsid w:val="00536C50"/>
    <w:rsid w:val="00536FD9"/>
    <w:rsid w:val="00537414"/>
    <w:rsid w:val="00537E3F"/>
    <w:rsid w:val="00540DD8"/>
    <w:rsid w:val="0054100B"/>
    <w:rsid w:val="00542469"/>
    <w:rsid w:val="00543381"/>
    <w:rsid w:val="005443FF"/>
    <w:rsid w:val="00544682"/>
    <w:rsid w:val="00544DC0"/>
    <w:rsid w:val="00545E86"/>
    <w:rsid w:val="005463F3"/>
    <w:rsid w:val="0054650A"/>
    <w:rsid w:val="005532EE"/>
    <w:rsid w:val="005534E4"/>
    <w:rsid w:val="00554F06"/>
    <w:rsid w:val="00555351"/>
    <w:rsid w:val="0055608C"/>
    <w:rsid w:val="0056164B"/>
    <w:rsid w:val="005639CB"/>
    <w:rsid w:val="00563F4F"/>
    <w:rsid w:val="00564087"/>
    <w:rsid w:val="00564B85"/>
    <w:rsid w:val="00564BBF"/>
    <w:rsid w:val="00564CC2"/>
    <w:rsid w:val="00565879"/>
    <w:rsid w:val="00566CC6"/>
    <w:rsid w:val="00570FCB"/>
    <w:rsid w:val="005726E6"/>
    <w:rsid w:val="00572EB5"/>
    <w:rsid w:val="005748B4"/>
    <w:rsid w:val="005757B5"/>
    <w:rsid w:val="00575F21"/>
    <w:rsid w:val="00577D6C"/>
    <w:rsid w:val="0058319C"/>
    <w:rsid w:val="00583445"/>
    <w:rsid w:val="005838CD"/>
    <w:rsid w:val="005841F8"/>
    <w:rsid w:val="00584503"/>
    <w:rsid w:val="005858AF"/>
    <w:rsid w:val="005871F2"/>
    <w:rsid w:val="005908EC"/>
    <w:rsid w:val="005955D5"/>
    <w:rsid w:val="00596A2E"/>
    <w:rsid w:val="005A256C"/>
    <w:rsid w:val="005A2C4D"/>
    <w:rsid w:val="005B1E90"/>
    <w:rsid w:val="005B3784"/>
    <w:rsid w:val="005B3DB2"/>
    <w:rsid w:val="005B4550"/>
    <w:rsid w:val="005B4E2A"/>
    <w:rsid w:val="005B5500"/>
    <w:rsid w:val="005B5B30"/>
    <w:rsid w:val="005B623E"/>
    <w:rsid w:val="005B6A3D"/>
    <w:rsid w:val="005B72E9"/>
    <w:rsid w:val="005B7394"/>
    <w:rsid w:val="005C00AC"/>
    <w:rsid w:val="005C0993"/>
    <w:rsid w:val="005C0B86"/>
    <w:rsid w:val="005C0C3A"/>
    <w:rsid w:val="005C1164"/>
    <w:rsid w:val="005C1448"/>
    <w:rsid w:val="005C3DA2"/>
    <w:rsid w:val="005C50C8"/>
    <w:rsid w:val="005C6C39"/>
    <w:rsid w:val="005D1A80"/>
    <w:rsid w:val="005D25E5"/>
    <w:rsid w:val="005D2F17"/>
    <w:rsid w:val="005D590A"/>
    <w:rsid w:val="005D5E25"/>
    <w:rsid w:val="005E0B1F"/>
    <w:rsid w:val="005E3165"/>
    <w:rsid w:val="005E3436"/>
    <w:rsid w:val="005E383F"/>
    <w:rsid w:val="005E4BB3"/>
    <w:rsid w:val="005E57B0"/>
    <w:rsid w:val="005E6F5A"/>
    <w:rsid w:val="005E757A"/>
    <w:rsid w:val="005F3974"/>
    <w:rsid w:val="005F5401"/>
    <w:rsid w:val="0060000F"/>
    <w:rsid w:val="006011F7"/>
    <w:rsid w:val="0060229C"/>
    <w:rsid w:val="00603E40"/>
    <w:rsid w:val="00604C14"/>
    <w:rsid w:val="00604CBE"/>
    <w:rsid w:val="00605B5A"/>
    <w:rsid w:val="006116D2"/>
    <w:rsid w:val="00615634"/>
    <w:rsid w:val="00616598"/>
    <w:rsid w:val="00620420"/>
    <w:rsid w:val="00631862"/>
    <w:rsid w:val="00631EEB"/>
    <w:rsid w:val="00631F65"/>
    <w:rsid w:val="0063687A"/>
    <w:rsid w:val="00637104"/>
    <w:rsid w:val="00637D63"/>
    <w:rsid w:val="00637E31"/>
    <w:rsid w:val="0064132A"/>
    <w:rsid w:val="0064206A"/>
    <w:rsid w:val="00642946"/>
    <w:rsid w:val="00642B70"/>
    <w:rsid w:val="00643E14"/>
    <w:rsid w:val="00644F30"/>
    <w:rsid w:val="006474E8"/>
    <w:rsid w:val="006503FE"/>
    <w:rsid w:val="00650F47"/>
    <w:rsid w:val="00651E3D"/>
    <w:rsid w:val="006524BD"/>
    <w:rsid w:val="006536DE"/>
    <w:rsid w:val="0065533C"/>
    <w:rsid w:val="0065607F"/>
    <w:rsid w:val="0065647C"/>
    <w:rsid w:val="006564C8"/>
    <w:rsid w:val="00660D60"/>
    <w:rsid w:val="00660E53"/>
    <w:rsid w:val="00661B81"/>
    <w:rsid w:val="006622CF"/>
    <w:rsid w:val="00663216"/>
    <w:rsid w:val="006645AB"/>
    <w:rsid w:val="00666F56"/>
    <w:rsid w:val="00670119"/>
    <w:rsid w:val="00670645"/>
    <w:rsid w:val="006724A0"/>
    <w:rsid w:val="006742DD"/>
    <w:rsid w:val="0067559E"/>
    <w:rsid w:val="00677B7A"/>
    <w:rsid w:val="006839F9"/>
    <w:rsid w:val="00684046"/>
    <w:rsid w:val="00685AEA"/>
    <w:rsid w:val="006865E3"/>
    <w:rsid w:val="00687878"/>
    <w:rsid w:val="00687E0E"/>
    <w:rsid w:val="0069045B"/>
    <w:rsid w:val="0069113B"/>
    <w:rsid w:val="006933E6"/>
    <w:rsid w:val="0069425F"/>
    <w:rsid w:val="00694E2C"/>
    <w:rsid w:val="0069642D"/>
    <w:rsid w:val="00696F33"/>
    <w:rsid w:val="006A5157"/>
    <w:rsid w:val="006A5708"/>
    <w:rsid w:val="006A6FBF"/>
    <w:rsid w:val="006B08A9"/>
    <w:rsid w:val="006B0A24"/>
    <w:rsid w:val="006B1A76"/>
    <w:rsid w:val="006B366D"/>
    <w:rsid w:val="006B3D41"/>
    <w:rsid w:val="006B50E6"/>
    <w:rsid w:val="006B6658"/>
    <w:rsid w:val="006B7B44"/>
    <w:rsid w:val="006C39BC"/>
    <w:rsid w:val="006C53E7"/>
    <w:rsid w:val="006C5A39"/>
    <w:rsid w:val="006C7B3F"/>
    <w:rsid w:val="006D3D6D"/>
    <w:rsid w:val="006D5D9D"/>
    <w:rsid w:val="006F0602"/>
    <w:rsid w:val="006F1F46"/>
    <w:rsid w:val="006F3610"/>
    <w:rsid w:val="006F4CF0"/>
    <w:rsid w:val="00701B98"/>
    <w:rsid w:val="007031D6"/>
    <w:rsid w:val="0070668D"/>
    <w:rsid w:val="00713A30"/>
    <w:rsid w:val="007150B8"/>
    <w:rsid w:val="007214CD"/>
    <w:rsid w:val="00721530"/>
    <w:rsid w:val="007229AD"/>
    <w:rsid w:val="00733BCB"/>
    <w:rsid w:val="00734050"/>
    <w:rsid w:val="00734495"/>
    <w:rsid w:val="007349E2"/>
    <w:rsid w:val="00735B22"/>
    <w:rsid w:val="00736315"/>
    <w:rsid w:val="00737397"/>
    <w:rsid w:val="00740DFD"/>
    <w:rsid w:val="00742314"/>
    <w:rsid w:val="007428A8"/>
    <w:rsid w:val="00744A56"/>
    <w:rsid w:val="00745FF0"/>
    <w:rsid w:val="00746A4F"/>
    <w:rsid w:val="00747CA6"/>
    <w:rsid w:val="00747D06"/>
    <w:rsid w:val="00753FB4"/>
    <w:rsid w:val="007544A5"/>
    <w:rsid w:val="00756811"/>
    <w:rsid w:val="00757C0E"/>
    <w:rsid w:val="00762C9A"/>
    <w:rsid w:val="00764656"/>
    <w:rsid w:val="007663DF"/>
    <w:rsid w:val="00771D67"/>
    <w:rsid w:val="00774094"/>
    <w:rsid w:val="0077477F"/>
    <w:rsid w:val="007750B8"/>
    <w:rsid w:val="00775637"/>
    <w:rsid w:val="0077692A"/>
    <w:rsid w:val="00776E1D"/>
    <w:rsid w:val="007804F6"/>
    <w:rsid w:val="00780B08"/>
    <w:rsid w:val="007823AC"/>
    <w:rsid w:val="00783CFB"/>
    <w:rsid w:val="007870F3"/>
    <w:rsid w:val="00787B57"/>
    <w:rsid w:val="007903E1"/>
    <w:rsid w:val="0079091E"/>
    <w:rsid w:val="00791888"/>
    <w:rsid w:val="0079243C"/>
    <w:rsid w:val="00793944"/>
    <w:rsid w:val="00794F1C"/>
    <w:rsid w:val="00795487"/>
    <w:rsid w:val="00795732"/>
    <w:rsid w:val="007A0A80"/>
    <w:rsid w:val="007A2966"/>
    <w:rsid w:val="007A2F05"/>
    <w:rsid w:val="007A31F8"/>
    <w:rsid w:val="007B0981"/>
    <w:rsid w:val="007B2208"/>
    <w:rsid w:val="007B2459"/>
    <w:rsid w:val="007B2E53"/>
    <w:rsid w:val="007B2F05"/>
    <w:rsid w:val="007B30C2"/>
    <w:rsid w:val="007C1B3D"/>
    <w:rsid w:val="007C1F7C"/>
    <w:rsid w:val="007C52B5"/>
    <w:rsid w:val="007C5621"/>
    <w:rsid w:val="007C5853"/>
    <w:rsid w:val="007C59BD"/>
    <w:rsid w:val="007C5CFB"/>
    <w:rsid w:val="007C6002"/>
    <w:rsid w:val="007D030E"/>
    <w:rsid w:val="007D25E7"/>
    <w:rsid w:val="007D2AB1"/>
    <w:rsid w:val="007D5058"/>
    <w:rsid w:val="007D64E8"/>
    <w:rsid w:val="007D7621"/>
    <w:rsid w:val="007E05BD"/>
    <w:rsid w:val="007E1DFA"/>
    <w:rsid w:val="007E3496"/>
    <w:rsid w:val="007E55E2"/>
    <w:rsid w:val="007F063C"/>
    <w:rsid w:val="007F0D5E"/>
    <w:rsid w:val="007F10E5"/>
    <w:rsid w:val="007F241C"/>
    <w:rsid w:val="007F59D5"/>
    <w:rsid w:val="007F60D2"/>
    <w:rsid w:val="007F7C64"/>
    <w:rsid w:val="00800C39"/>
    <w:rsid w:val="00800F77"/>
    <w:rsid w:val="00802314"/>
    <w:rsid w:val="008026E4"/>
    <w:rsid w:val="008033D6"/>
    <w:rsid w:val="00803F2D"/>
    <w:rsid w:val="008055EC"/>
    <w:rsid w:val="00806716"/>
    <w:rsid w:val="00807126"/>
    <w:rsid w:val="0081086D"/>
    <w:rsid w:val="00812EB7"/>
    <w:rsid w:val="00812FEB"/>
    <w:rsid w:val="00813692"/>
    <w:rsid w:val="00813807"/>
    <w:rsid w:val="008146DC"/>
    <w:rsid w:val="00817151"/>
    <w:rsid w:val="00821B1A"/>
    <w:rsid w:val="00822C63"/>
    <w:rsid w:val="00822DAE"/>
    <w:rsid w:val="00823A6A"/>
    <w:rsid w:val="008252C0"/>
    <w:rsid w:val="008253F7"/>
    <w:rsid w:val="00827E8D"/>
    <w:rsid w:val="0083196C"/>
    <w:rsid w:val="00837620"/>
    <w:rsid w:val="00843849"/>
    <w:rsid w:val="00844E99"/>
    <w:rsid w:val="008460C5"/>
    <w:rsid w:val="00846400"/>
    <w:rsid w:val="00847051"/>
    <w:rsid w:val="00850B6D"/>
    <w:rsid w:val="00850BD7"/>
    <w:rsid w:val="008531F0"/>
    <w:rsid w:val="008547BA"/>
    <w:rsid w:val="008559E4"/>
    <w:rsid w:val="00855D27"/>
    <w:rsid w:val="0085628F"/>
    <w:rsid w:val="008573D3"/>
    <w:rsid w:val="00860843"/>
    <w:rsid w:val="00860B30"/>
    <w:rsid w:val="00862764"/>
    <w:rsid w:val="00863565"/>
    <w:rsid w:val="0086399F"/>
    <w:rsid w:val="00863D7A"/>
    <w:rsid w:val="00864C4E"/>
    <w:rsid w:val="00866290"/>
    <w:rsid w:val="008668D7"/>
    <w:rsid w:val="00867F13"/>
    <w:rsid w:val="00874D79"/>
    <w:rsid w:val="0087653E"/>
    <w:rsid w:val="008776D2"/>
    <w:rsid w:val="00885A68"/>
    <w:rsid w:val="0088734E"/>
    <w:rsid w:val="00890608"/>
    <w:rsid w:val="0089538A"/>
    <w:rsid w:val="00896ADB"/>
    <w:rsid w:val="00897E8B"/>
    <w:rsid w:val="008A3E19"/>
    <w:rsid w:val="008A4437"/>
    <w:rsid w:val="008A4767"/>
    <w:rsid w:val="008A4CF2"/>
    <w:rsid w:val="008A5E95"/>
    <w:rsid w:val="008A78E2"/>
    <w:rsid w:val="008A7DFB"/>
    <w:rsid w:val="008B1F33"/>
    <w:rsid w:val="008B2B8D"/>
    <w:rsid w:val="008B3F53"/>
    <w:rsid w:val="008C0956"/>
    <w:rsid w:val="008C113E"/>
    <w:rsid w:val="008C2091"/>
    <w:rsid w:val="008C235A"/>
    <w:rsid w:val="008C3B78"/>
    <w:rsid w:val="008C51E0"/>
    <w:rsid w:val="008C5230"/>
    <w:rsid w:val="008C6937"/>
    <w:rsid w:val="008C77C0"/>
    <w:rsid w:val="008D0140"/>
    <w:rsid w:val="008D4CE9"/>
    <w:rsid w:val="008D56C5"/>
    <w:rsid w:val="008D5D67"/>
    <w:rsid w:val="008D70CE"/>
    <w:rsid w:val="008D71D4"/>
    <w:rsid w:val="008E1BEB"/>
    <w:rsid w:val="008E2DD7"/>
    <w:rsid w:val="008E3453"/>
    <w:rsid w:val="008E52C0"/>
    <w:rsid w:val="008E699C"/>
    <w:rsid w:val="008F00E7"/>
    <w:rsid w:val="008F05A6"/>
    <w:rsid w:val="008F2C8B"/>
    <w:rsid w:val="008F3474"/>
    <w:rsid w:val="008F4F97"/>
    <w:rsid w:val="008F56BF"/>
    <w:rsid w:val="008F6250"/>
    <w:rsid w:val="008F72BA"/>
    <w:rsid w:val="008F7C5C"/>
    <w:rsid w:val="00901369"/>
    <w:rsid w:val="0090336C"/>
    <w:rsid w:val="0090388D"/>
    <w:rsid w:val="009042DE"/>
    <w:rsid w:val="00904E23"/>
    <w:rsid w:val="0090675E"/>
    <w:rsid w:val="00906CD2"/>
    <w:rsid w:val="0090741B"/>
    <w:rsid w:val="00907BCD"/>
    <w:rsid w:val="00910F7F"/>
    <w:rsid w:val="00912C4C"/>
    <w:rsid w:val="00913D8C"/>
    <w:rsid w:val="009143C6"/>
    <w:rsid w:val="00914837"/>
    <w:rsid w:val="00916101"/>
    <w:rsid w:val="00922237"/>
    <w:rsid w:val="00922BA5"/>
    <w:rsid w:val="00923346"/>
    <w:rsid w:val="00923CFF"/>
    <w:rsid w:val="0092413B"/>
    <w:rsid w:val="00924A3A"/>
    <w:rsid w:val="00924B07"/>
    <w:rsid w:val="0092501F"/>
    <w:rsid w:val="00930539"/>
    <w:rsid w:val="00930CAF"/>
    <w:rsid w:val="00932421"/>
    <w:rsid w:val="00933087"/>
    <w:rsid w:val="00934F7F"/>
    <w:rsid w:val="00935080"/>
    <w:rsid w:val="009355FB"/>
    <w:rsid w:val="009362D1"/>
    <w:rsid w:val="00940615"/>
    <w:rsid w:val="00943D19"/>
    <w:rsid w:val="00944532"/>
    <w:rsid w:val="00945B07"/>
    <w:rsid w:val="0094610C"/>
    <w:rsid w:val="0094631B"/>
    <w:rsid w:val="0094697E"/>
    <w:rsid w:val="00952659"/>
    <w:rsid w:val="00952685"/>
    <w:rsid w:val="009529FF"/>
    <w:rsid w:val="00953361"/>
    <w:rsid w:val="0095364C"/>
    <w:rsid w:val="009536CA"/>
    <w:rsid w:val="009537FF"/>
    <w:rsid w:val="00954077"/>
    <w:rsid w:val="009544A7"/>
    <w:rsid w:val="009545FC"/>
    <w:rsid w:val="0095693E"/>
    <w:rsid w:val="0096009F"/>
    <w:rsid w:val="00960FD3"/>
    <w:rsid w:val="0096414C"/>
    <w:rsid w:val="00964603"/>
    <w:rsid w:val="00964820"/>
    <w:rsid w:val="0096662F"/>
    <w:rsid w:val="00971680"/>
    <w:rsid w:val="009725C1"/>
    <w:rsid w:val="009761B4"/>
    <w:rsid w:val="00982A75"/>
    <w:rsid w:val="00982FB4"/>
    <w:rsid w:val="00984F76"/>
    <w:rsid w:val="00987094"/>
    <w:rsid w:val="00987E85"/>
    <w:rsid w:val="0099355C"/>
    <w:rsid w:val="009948C4"/>
    <w:rsid w:val="00996D9F"/>
    <w:rsid w:val="00997118"/>
    <w:rsid w:val="009A2649"/>
    <w:rsid w:val="009A3295"/>
    <w:rsid w:val="009A6CD0"/>
    <w:rsid w:val="009B01C9"/>
    <w:rsid w:val="009B1382"/>
    <w:rsid w:val="009B19D6"/>
    <w:rsid w:val="009B288E"/>
    <w:rsid w:val="009B4BE1"/>
    <w:rsid w:val="009B5B22"/>
    <w:rsid w:val="009B5D9E"/>
    <w:rsid w:val="009B7E2F"/>
    <w:rsid w:val="009C0239"/>
    <w:rsid w:val="009C0383"/>
    <w:rsid w:val="009C2AB6"/>
    <w:rsid w:val="009C57F9"/>
    <w:rsid w:val="009D00CE"/>
    <w:rsid w:val="009D0A03"/>
    <w:rsid w:val="009D1944"/>
    <w:rsid w:val="009D200C"/>
    <w:rsid w:val="009D2623"/>
    <w:rsid w:val="009D4C99"/>
    <w:rsid w:val="009D582D"/>
    <w:rsid w:val="009D5DEC"/>
    <w:rsid w:val="009D621E"/>
    <w:rsid w:val="009E043A"/>
    <w:rsid w:val="009E411E"/>
    <w:rsid w:val="009E4289"/>
    <w:rsid w:val="009E6C5C"/>
    <w:rsid w:val="009F36CD"/>
    <w:rsid w:val="009F3CB9"/>
    <w:rsid w:val="009F59E9"/>
    <w:rsid w:val="009F6A55"/>
    <w:rsid w:val="009F72F1"/>
    <w:rsid w:val="00A0203F"/>
    <w:rsid w:val="00A02C3F"/>
    <w:rsid w:val="00A02F89"/>
    <w:rsid w:val="00A045B8"/>
    <w:rsid w:val="00A04AE1"/>
    <w:rsid w:val="00A04C56"/>
    <w:rsid w:val="00A05561"/>
    <w:rsid w:val="00A06C8E"/>
    <w:rsid w:val="00A07829"/>
    <w:rsid w:val="00A1071C"/>
    <w:rsid w:val="00A13D75"/>
    <w:rsid w:val="00A14C9C"/>
    <w:rsid w:val="00A17A00"/>
    <w:rsid w:val="00A2009D"/>
    <w:rsid w:val="00A2015F"/>
    <w:rsid w:val="00A20404"/>
    <w:rsid w:val="00A2144E"/>
    <w:rsid w:val="00A227B8"/>
    <w:rsid w:val="00A22811"/>
    <w:rsid w:val="00A23D3A"/>
    <w:rsid w:val="00A243C1"/>
    <w:rsid w:val="00A2445A"/>
    <w:rsid w:val="00A26220"/>
    <w:rsid w:val="00A266E1"/>
    <w:rsid w:val="00A26C76"/>
    <w:rsid w:val="00A30A77"/>
    <w:rsid w:val="00A30C5E"/>
    <w:rsid w:val="00A30DE2"/>
    <w:rsid w:val="00A3255A"/>
    <w:rsid w:val="00A32BD9"/>
    <w:rsid w:val="00A33468"/>
    <w:rsid w:val="00A33FF7"/>
    <w:rsid w:val="00A36326"/>
    <w:rsid w:val="00A3706D"/>
    <w:rsid w:val="00A370A3"/>
    <w:rsid w:val="00A37AB5"/>
    <w:rsid w:val="00A40659"/>
    <w:rsid w:val="00A409A5"/>
    <w:rsid w:val="00A41C4F"/>
    <w:rsid w:val="00A426AF"/>
    <w:rsid w:val="00A4362A"/>
    <w:rsid w:val="00A455E7"/>
    <w:rsid w:val="00A459AF"/>
    <w:rsid w:val="00A50438"/>
    <w:rsid w:val="00A50CC0"/>
    <w:rsid w:val="00A510EE"/>
    <w:rsid w:val="00A53433"/>
    <w:rsid w:val="00A5382F"/>
    <w:rsid w:val="00A56665"/>
    <w:rsid w:val="00A5740E"/>
    <w:rsid w:val="00A63867"/>
    <w:rsid w:val="00A660E8"/>
    <w:rsid w:val="00A67CE1"/>
    <w:rsid w:val="00A67DBA"/>
    <w:rsid w:val="00A70EE5"/>
    <w:rsid w:val="00A74D2D"/>
    <w:rsid w:val="00A76D69"/>
    <w:rsid w:val="00A77176"/>
    <w:rsid w:val="00A77CF9"/>
    <w:rsid w:val="00A81FC2"/>
    <w:rsid w:val="00A82D00"/>
    <w:rsid w:val="00A83982"/>
    <w:rsid w:val="00A844C4"/>
    <w:rsid w:val="00A87FE6"/>
    <w:rsid w:val="00A906EE"/>
    <w:rsid w:val="00A9089C"/>
    <w:rsid w:val="00A90FCA"/>
    <w:rsid w:val="00A91A09"/>
    <w:rsid w:val="00A93379"/>
    <w:rsid w:val="00A94013"/>
    <w:rsid w:val="00A943DD"/>
    <w:rsid w:val="00A94C92"/>
    <w:rsid w:val="00AA2E07"/>
    <w:rsid w:val="00AA5912"/>
    <w:rsid w:val="00AA6209"/>
    <w:rsid w:val="00AB0849"/>
    <w:rsid w:val="00AB09FF"/>
    <w:rsid w:val="00AB0EFC"/>
    <w:rsid w:val="00AB257D"/>
    <w:rsid w:val="00AB30BC"/>
    <w:rsid w:val="00AB73E4"/>
    <w:rsid w:val="00AC02D7"/>
    <w:rsid w:val="00AC2CBB"/>
    <w:rsid w:val="00AC3A27"/>
    <w:rsid w:val="00AC4887"/>
    <w:rsid w:val="00AC5148"/>
    <w:rsid w:val="00AC5610"/>
    <w:rsid w:val="00AC7971"/>
    <w:rsid w:val="00AC7CC5"/>
    <w:rsid w:val="00AD0DD4"/>
    <w:rsid w:val="00AD274F"/>
    <w:rsid w:val="00AD286D"/>
    <w:rsid w:val="00AD3420"/>
    <w:rsid w:val="00AD3B90"/>
    <w:rsid w:val="00AD6E60"/>
    <w:rsid w:val="00AD7A2B"/>
    <w:rsid w:val="00AE03C0"/>
    <w:rsid w:val="00AE147F"/>
    <w:rsid w:val="00AE2155"/>
    <w:rsid w:val="00AE3217"/>
    <w:rsid w:val="00AE4069"/>
    <w:rsid w:val="00AE4CAC"/>
    <w:rsid w:val="00AE4E08"/>
    <w:rsid w:val="00AE602F"/>
    <w:rsid w:val="00AF00ED"/>
    <w:rsid w:val="00AF40BF"/>
    <w:rsid w:val="00AF4DAF"/>
    <w:rsid w:val="00AF78FD"/>
    <w:rsid w:val="00AF7D38"/>
    <w:rsid w:val="00B0067F"/>
    <w:rsid w:val="00B01BA7"/>
    <w:rsid w:val="00B02BA8"/>
    <w:rsid w:val="00B03272"/>
    <w:rsid w:val="00B03692"/>
    <w:rsid w:val="00B03C48"/>
    <w:rsid w:val="00B065EF"/>
    <w:rsid w:val="00B06E6C"/>
    <w:rsid w:val="00B070D6"/>
    <w:rsid w:val="00B0719A"/>
    <w:rsid w:val="00B07C9F"/>
    <w:rsid w:val="00B12951"/>
    <w:rsid w:val="00B14932"/>
    <w:rsid w:val="00B14F9C"/>
    <w:rsid w:val="00B15522"/>
    <w:rsid w:val="00B1594D"/>
    <w:rsid w:val="00B163F2"/>
    <w:rsid w:val="00B178FA"/>
    <w:rsid w:val="00B207DB"/>
    <w:rsid w:val="00B217CF"/>
    <w:rsid w:val="00B22AAC"/>
    <w:rsid w:val="00B24743"/>
    <w:rsid w:val="00B30EB9"/>
    <w:rsid w:val="00B31938"/>
    <w:rsid w:val="00B31D5C"/>
    <w:rsid w:val="00B3431B"/>
    <w:rsid w:val="00B345DF"/>
    <w:rsid w:val="00B35EEB"/>
    <w:rsid w:val="00B36E23"/>
    <w:rsid w:val="00B37AD2"/>
    <w:rsid w:val="00B40FAC"/>
    <w:rsid w:val="00B4178E"/>
    <w:rsid w:val="00B41A2F"/>
    <w:rsid w:val="00B421BB"/>
    <w:rsid w:val="00B43574"/>
    <w:rsid w:val="00B43A02"/>
    <w:rsid w:val="00B444C9"/>
    <w:rsid w:val="00B45609"/>
    <w:rsid w:val="00B50AF5"/>
    <w:rsid w:val="00B50F9E"/>
    <w:rsid w:val="00B5212F"/>
    <w:rsid w:val="00B54458"/>
    <w:rsid w:val="00B5718B"/>
    <w:rsid w:val="00B57E2C"/>
    <w:rsid w:val="00B60AD2"/>
    <w:rsid w:val="00B61306"/>
    <w:rsid w:val="00B62791"/>
    <w:rsid w:val="00B634AF"/>
    <w:rsid w:val="00B637EF"/>
    <w:rsid w:val="00B64408"/>
    <w:rsid w:val="00B644C3"/>
    <w:rsid w:val="00B65503"/>
    <w:rsid w:val="00B658D6"/>
    <w:rsid w:val="00B66EC3"/>
    <w:rsid w:val="00B73147"/>
    <w:rsid w:val="00B73DC3"/>
    <w:rsid w:val="00B73DE3"/>
    <w:rsid w:val="00B8134A"/>
    <w:rsid w:val="00B816E9"/>
    <w:rsid w:val="00B834C9"/>
    <w:rsid w:val="00B8435C"/>
    <w:rsid w:val="00B86FD2"/>
    <w:rsid w:val="00B918AE"/>
    <w:rsid w:val="00B93508"/>
    <w:rsid w:val="00BA5280"/>
    <w:rsid w:val="00BA653D"/>
    <w:rsid w:val="00BA68C6"/>
    <w:rsid w:val="00BA7F7C"/>
    <w:rsid w:val="00BB4DAB"/>
    <w:rsid w:val="00BB6AA2"/>
    <w:rsid w:val="00BB769D"/>
    <w:rsid w:val="00BB7885"/>
    <w:rsid w:val="00BC08B7"/>
    <w:rsid w:val="00BC1FDA"/>
    <w:rsid w:val="00BC234A"/>
    <w:rsid w:val="00BC286B"/>
    <w:rsid w:val="00BD120E"/>
    <w:rsid w:val="00BD1B19"/>
    <w:rsid w:val="00BD343F"/>
    <w:rsid w:val="00BD58DC"/>
    <w:rsid w:val="00BD6165"/>
    <w:rsid w:val="00BD7F88"/>
    <w:rsid w:val="00BE1D5D"/>
    <w:rsid w:val="00BE2270"/>
    <w:rsid w:val="00BE3594"/>
    <w:rsid w:val="00BE4226"/>
    <w:rsid w:val="00BE63A0"/>
    <w:rsid w:val="00BE7BC8"/>
    <w:rsid w:val="00BF11F0"/>
    <w:rsid w:val="00BF2C8A"/>
    <w:rsid w:val="00BF40D3"/>
    <w:rsid w:val="00BF4251"/>
    <w:rsid w:val="00BF4D71"/>
    <w:rsid w:val="00BF4FF6"/>
    <w:rsid w:val="00BF6D58"/>
    <w:rsid w:val="00BF747C"/>
    <w:rsid w:val="00C022A6"/>
    <w:rsid w:val="00C02E3C"/>
    <w:rsid w:val="00C042D3"/>
    <w:rsid w:val="00C0441F"/>
    <w:rsid w:val="00C048B7"/>
    <w:rsid w:val="00C04EBC"/>
    <w:rsid w:val="00C11BA6"/>
    <w:rsid w:val="00C124CD"/>
    <w:rsid w:val="00C1425B"/>
    <w:rsid w:val="00C1576A"/>
    <w:rsid w:val="00C23044"/>
    <w:rsid w:val="00C23485"/>
    <w:rsid w:val="00C235B5"/>
    <w:rsid w:val="00C239C6"/>
    <w:rsid w:val="00C25AA6"/>
    <w:rsid w:val="00C26071"/>
    <w:rsid w:val="00C274AE"/>
    <w:rsid w:val="00C30BCD"/>
    <w:rsid w:val="00C318D0"/>
    <w:rsid w:val="00C325EA"/>
    <w:rsid w:val="00C375E2"/>
    <w:rsid w:val="00C379BD"/>
    <w:rsid w:val="00C40001"/>
    <w:rsid w:val="00C4211E"/>
    <w:rsid w:val="00C434C7"/>
    <w:rsid w:val="00C45784"/>
    <w:rsid w:val="00C45F3C"/>
    <w:rsid w:val="00C46F4A"/>
    <w:rsid w:val="00C47EE5"/>
    <w:rsid w:val="00C5030A"/>
    <w:rsid w:val="00C51202"/>
    <w:rsid w:val="00C53EE1"/>
    <w:rsid w:val="00C54E41"/>
    <w:rsid w:val="00C551EA"/>
    <w:rsid w:val="00C55256"/>
    <w:rsid w:val="00C5550B"/>
    <w:rsid w:val="00C5616A"/>
    <w:rsid w:val="00C57B68"/>
    <w:rsid w:val="00C57ECB"/>
    <w:rsid w:val="00C60523"/>
    <w:rsid w:val="00C6304B"/>
    <w:rsid w:val="00C636DB"/>
    <w:rsid w:val="00C64D0C"/>
    <w:rsid w:val="00C65B2C"/>
    <w:rsid w:val="00C662C2"/>
    <w:rsid w:val="00C671ED"/>
    <w:rsid w:val="00C67399"/>
    <w:rsid w:val="00C673AE"/>
    <w:rsid w:val="00C71DF4"/>
    <w:rsid w:val="00C71EAA"/>
    <w:rsid w:val="00C74F2A"/>
    <w:rsid w:val="00C75F9B"/>
    <w:rsid w:val="00C76995"/>
    <w:rsid w:val="00C81CA6"/>
    <w:rsid w:val="00C82178"/>
    <w:rsid w:val="00C83A37"/>
    <w:rsid w:val="00C8723A"/>
    <w:rsid w:val="00C90BFE"/>
    <w:rsid w:val="00C92610"/>
    <w:rsid w:val="00C92907"/>
    <w:rsid w:val="00C929D0"/>
    <w:rsid w:val="00C9581B"/>
    <w:rsid w:val="00C96D5B"/>
    <w:rsid w:val="00C979F5"/>
    <w:rsid w:val="00CA01DB"/>
    <w:rsid w:val="00CA112E"/>
    <w:rsid w:val="00CA3B5F"/>
    <w:rsid w:val="00CA3D9D"/>
    <w:rsid w:val="00CA4784"/>
    <w:rsid w:val="00CA5D71"/>
    <w:rsid w:val="00CA7077"/>
    <w:rsid w:val="00CB072D"/>
    <w:rsid w:val="00CB170E"/>
    <w:rsid w:val="00CB1E09"/>
    <w:rsid w:val="00CB1FC0"/>
    <w:rsid w:val="00CB3F92"/>
    <w:rsid w:val="00CB4841"/>
    <w:rsid w:val="00CB4A88"/>
    <w:rsid w:val="00CB4FC3"/>
    <w:rsid w:val="00CB6607"/>
    <w:rsid w:val="00CB7D19"/>
    <w:rsid w:val="00CC0420"/>
    <w:rsid w:val="00CC07F0"/>
    <w:rsid w:val="00CC0CD3"/>
    <w:rsid w:val="00CC148C"/>
    <w:rsid w:val="00CC2A01"/>
    <w:rsid w:val="00CC2ADD"/>
    <w:rsid w:val="00CC2B57"/>
    <w:rsid w:val="00CC30C3"/>
    <w:rsid w:val="00CC548A"/>
    <w:rsid w:val="00CC61CA"/>
    <w:rsid w:val="00CC65EE"/>
    <w:rsid w:val="00CC6C77"/>
    <w:rsid w:val="00CC7954"/>
    <w:rsid w:val="00CD153B"/>
    <w:rsid w:val="00CD183F"/>
    <w:rsid w:val="00CD1DB3"/>
    <w:rsid w:val="00CD46F8"/>
    <w:rsid w:val="00CD5895"/>
    <w:rsid w:val="00CD6AB4"/>
    <w:rsid w:val="00CE0576"/>
    <w:rsid w:val="00CE18D5"/>
    <w:rsid w:val="00CE45C4"/>
    <w:rsid w:val="00CE67F6"/>
    <w:rsid w:val="00CE6D04"/>
    <w:rsid w:val="00CE7065"/>
    <w:rsid w:val="00CF06D3"/>
    <w:rsid w:val="00CF280B"/>
    <w:rsid w:val="00CF2DD5"/>
    <w:rsid w:val="00D00A51"/>
    <w:rsid w:val="00D00E08"/>
    <w:rsid w:val="00D012A7"/>
    <w:rsid w:val="00D02678"/>
    <w:rsid w:val="00D03FC9"/>
    <w:rsid w:val="00D05BC6"/>
    <w:rsid w:val="00D06C41"/>
    <w:rsid w:val="00D1422E"/>
    <w:rsid w:val="00D15EB8"/>
    <w:rsid w:val="00D16555"/>
    <w:rsid w:val="00D20E7C"/>
    <w:rsid w:val="00D21542"/>
    <w:rsid w:val="00D23DB9"/>
    <w:rsid w:val="00D24F9F"/>
    <w:rsid w:val="00D311AA"/>
    <w:rsid w:val="00D32A0A"/>
    <w:rsid w:val="00D330E9"/>
    <w:rsid w:val="00D3311B"/>
    <w:rsid w:val="00D34612"/>
    <w:rsid w:val="00D35B23"/>
    <w:rsid w:val="00D3692F"/>
    <w:rsid w:val="00D3761A"/>
    <w:rsid w:val="00D37AA3"/>
    <w:rsid w:val="00D41C34"/>
    <w:rsid w:val="00D41F10"/>
    <w:rsid w:val="00D44402"/>
    <w:rsid w:val="00D47D4E"/>
    <w:rsid w:val="00D52124"/>
    <w:rsid w:val="00D560A8"/>
    <w:rsid w:val="00D61D74"/>
    <w:rsid w:val="00D6340C"/>
    <w:rsid w:val="00D65307"/>
    <w:rsid w:val="00D6558D"/>
    <w:rsid w:val="00D67089"/>
    <w:rsid w:val="00D67550"/>
    <w:rsid w:val="00D67D74"/>
    <w:rsid w:val="00D70E7E"/>
    <w:rsid w:val="00D72725"/>
    <w:rsid w:val="00D73AFA"/>
    <w:rsid w:val="00D73B6B"/>
    <w:rsid w:val="00D748A8"/>
    <w:rsid w:val="00D77AFE"/>
    <w:rsid w:val="00D8006A"/>
    <w:rsid w:val="00D80D51"/>
    <w:rsid w:val="00D82097"/>
    <w:rsid w:val="00D82720"/>
    <w:rsid w:val="00D833C4"/>
    <w:rsid w:val="00D849A4"/>
    <w:rsid w:val="00D85C45"/>
    <w:rsid w:val="00D85D0B"/>
    <w:rsid w:val="00D900C3"/>
    <w:rsid w:val="00D90A98"/>
    <w:rsid w:val="00D938E6"/>
    <w:rsid w:val="00D94205"/>
    <w:rsid w:val="00D943BB"/>
    <w:rsid w:val="00D953BD"/>
    <w:rsid w:val="00D96A67"/>
    <w:rsid w:val="00DA1D5A"/>
    <w:rsid w:val="00DA2C29"/>
    <w:rsid w:val="00DA3259"/>
    <w:rsid w:val="00DA6682"/>
    <w:rsid w:val="00DA7D3B"/>
    <w:rsid w:val="00DB0050"/>
    <w:rsid w:val="00DB275A"/>
    <w:rsid w:val="00DB453F"/>
    <w:rsid w:val="00DB5B09"/>
    <w:rsid w:val="00DB5EBA"/>
    <w:rsid w:val="00DC0734"/>
    <w:rsid w:val="00DC0EB6"/>
    <w:rsid w:val="00DC127E"/>
    <w:rsid w:val="00DC3300"/>
    <w:rsid w:val="00DC4CA6"/>
    <w:rsid w:val="00DC5C76"/>
    <w:rsid w:val="00DD0952"/>
    <w:rsid w:val="00DD213A"/>
    <w:rsid w:val="00DD462B"/>
    <w:rsid w:val="00DD53F6"/>
    <w:rsid w:val="00DD6229"/>
    <w:rsid w:val="00DD65CF"/>
    <w:rsid w:val="00DE3F64"/>
    <w:rsid w:val="00DE4025"/>
    <w:rsid w:val="00DE4812"/>
    <w:rsid w:val="00DE4FCD"/>
    <w:rsid w:val="00DE526B"/>
    <w:rsid w:val="00DE5B91"/>
    <w:rsid w:val="00DE636D"/>
    <w:rsid w:val="00DE711A"/>
    <w:rsid w:val="00DE75F0"/>
    <w:rsid w:val="00DF226E"/>
    <w:rsid w:val="00DF2FED"/>
    <w:rsid w:val="00DF32DA"/>
    <w:rsid w:val="00DF3BB6"/>
    <w:rsid w:val="00DF634B"/>
    <w:rsid w:val="00DF6BEF"/>
    <w:rsid w:val="00E00196"/>
    <w:rsid w:val="00E028A5"/>
    <w:rsid w:val="00E04739"/>
    <w:rsid w:val="00E04AED"/>
    <w:rsid w:val="00E05D7F"/>
    <w:rsid w:val="00E06B8B"/>
    <w:rsid w:val="00E07370"/>
    <w:rsid w:val="00E0780F"/>
    <w:rsid w:val="00E126AC"/>
    <w:rsid w:val="00E13743"/>
    <w:rsid w:val="00E14207"/>
    <w:rsid w:val="00E16016"/>
    <w:rsid w:val="00E16986"/>
    <w:rsid w:val="00E16D80"/>
    <w:rsid w:val="00E1766A"/>
    <w:rsid w:val="00E2011C"/>
    <w:rsid w:val="00E225C0"/>
    <w:rsid w:val="00E24054"/>
    <w:rsid w:val="00E24583"/>
    <w:rsid w:val="00E2600A"/>
    <w:rsid w:val="00E26818"/>
    <w:rsid w:val="00E27017"/>
    <w:rsid w:val="00E27AD4"/>
    <w:rsid w:val="00E321D0"/>
    <w:rsid w:val="00E342D6"/>
    <w:rsid w:val="00E36DC6"/>
    <w:rsid w:val="00E3764B"/>
    <w:rsid w:val="00E37FA0"/>
    <w:rsid w:val="00E41E87"/>
    <w:rsid w:val="00E41FC9"/>
    <w:rsid w:val="00E424C2"/>
    <w:rsid w:val="00E42B19"/>
    <w:rsid w:val="00E43CEF"/>
    <w:rsid w:val="00E454C6"/>
    <w:rsid w:val="00E45558"/>
    <w:rsid w:val="00E4692A"/>
    <w:rsid w:val="00E50727"/>
    <w:rsid w:val="00E524F7"/>
    <w:rsid w:val="00E53F0F"/>
    <w:rsid w:val="00E53FDF"/>
    <w:rsid w:val="00E54A22"/>
    <w:rsid w:val="00E6217B"/>
    <w:rsid w:val="00E625A0"/>
    <w:rsid w:val="00E64748"/>
    <w:rsid w:val="00E71530"/>
    <w:rsid w:val="00E728BB"/>
    <w:rsid w:val="00E748C8"/>
    <w:rsid w:val="00E76EE2"/>
    <w:rsid w:val="00E772A5"/>
    <w:rsid w:val="00E775AE"/>
    <w:rsid w:val="00E77FB0"/>
    <w:rsid w:val="00E80573"/>
    <w:rsid w:val="00E8147C"/>
    <w:rsid w:val="00E81F2A"/>
    <w:rsid w:val="00E8213E"/>
    <w:rsid w:val="00E8255D"/>
    <w:rsid w:val="00E82A68"/>
    <w:rsid w:val="00E82D1B"/>
    <w:rsid w:val="00E83257"/>
    <w:rsid w:val="00E83464"/>
    <w:rsid w:val="00E84371"/>
    <w:rsid w:val="00E907FF"/>
    <w:rsid w:val="00E933ED"/>
    <w:rsid w:val="00E93537"/>
    <w:rsid w:val="00E95049"/>
    <w:rsid w:val="00E959C8"/>
    <w:rsid w:val="00E979F1"/>
    <w:rsid w:val="00EA2724"/>
    <w:rsid w:val="00EA6061"/>
    <w:rsid w:val="00EA6D17"/>
    <w:rsid w:val="00EB0839"/>
    <w:rsid w:val="00EB1523"/>
    <w:rsid w:val="00EB1789"/>
    <w:rsid w:val="00EB2321"/>
    <w:rsid w:val="00EB289B"/>
    <w:rsid w:val="00EB56B0"/>
    <w:rsid w:val="00EB643F"/>
    <w:rsid w:val="00EC1AB6"/>
    <w:rsid w:val="00EC29F0"/>
    <w:rsid w:val="00EC4186"/>
    <w:rsid w:val="00EC511F"/>
    <w:rsid w:val="00EC5148"/>
    <w:rsid w:val="00EC5DE5"/>
    <w:rsid w:val="00EC6C6C"/>
    <w:rsid w:val="00EC75DB"/>
    <w:rsid w:val="00EC7720"/>
    <w:rsid w:val="00ED1510"/>
    <w:rsid w:val="00ED1612"/>
    <w:rsid w:val="00ED26DC"/>
    <w:rsid w:val="00ED2E94"/>
    <w:rsid w:val="00ED33B0"/>
    <w:rsid w:val="00ED3F37"/>
    <w:rsid w:val="00ED56A9"/>
    <w:rsid w:val="00EE0736"/>
    <w:rsid w:val="00EE1DF9"/>
    <w:rsid w:val="00EE2EC9"/>
    <w:rsid w:val="00EE3B82"/>
    <w:rsid w:val="00EE3BAA"/>
    <w:rsid w:val="00EE40A8"/>
    <w:rsid w:val="00EE41F0"/>
    <w:rsid w:val="00EE5D68"/>
    <w:rsid w:val="00EE7D1C"/>
    <w:rsid w:val="00EE7DFC"/>
    <w:rsid w:val="00EF22E7"/>
    <w:rsid w:val="00EF3DD9"/>
    <w:rsid w:val="00EF4212"/>
    <w:rsid w:val="00EF4AAF"/>
    <w:rsid w:val="00EF61B4"/>
    <w:rsid w:val="00EF6208"/>
    <w:rsid w:val="00F00E7C"/>
    <w:rsid w:val="00F02B01"/>
    <w:rsid w:val="00F03C39"/>
    <w:rsid w:val="00F07C58"/>
    <w:rsid w:val="00F1026A"/>
    <w:rsid w:val="00F1095A"/>
    <w:rsid w:val="00F111F1"/>
    <w:rsid w:val="00F1137D"/>
    <w:rsid w:val="00F12A71"/>
    <w:rsid w:val="00F13DED"/>
    <w:rsid w:val="00F14594"/>
    <w:rsid w:val="00F145D9"/>
    <w:rsid w:val="00F15764"/>
    <w:rsid w:val="00F15972"/>
    <w:rsid w:val="00F1682E"/>
    <w:rsid w:val="00F211E0"/>
    <w:rsid w:val="00F21213"/>
    <w:rsid w:val="00F21609"/>
    <w:rsid w:val="00F21FA0"/>
    <w:rsid w:val="00F248F0"/>
    <w:rsid w:val="00F24F52"/>
    <w:rsid w:val="00F3042D"/>
    <w:rsid w:val="00F30F35"/>
    <w:rsid w:val="00F3271F"/>
    <w:rsid w:val="00F329C0"/>
    <w:rsid w:val="00F329FC"/>
    <w:rsid w:val="00F35D7F"/>
    <w:rsid w:val="00F36320"/>
    <w:rsid w:val="00F36EC5"/>
    <w:rsid w:val="00F40997"/>
    <w:rsid w:val="00F40E85"/>
    <w:rsid w:val="00F420B0"/>
    <w:rsid w:val="00F422BF"/>
    <w:rsid w:val="00F46B0C"/>
    <w:rsid w:val="00F46F46"/>
    <w:rsid w:val="00F47A89"/>
    <w:rsid w:val="00F5275C"/>
    <w:rsid w:val="00F52D1A"/>
    <w:rsid w:val="00F54845"/>
    <w:rsid w:val="00F5770F"/>
    <w:rsid w:val="00F61043"/>
    <w:rsid w:val="00F629C4"/>
    <w:rsid w:val="00F64988"/>
    <w:rsid w:val="00F657BA"/>
    <w:rsid w:val="00F658C4"/>
    <w:rsid w:val="00F66174"/>
    <w:rsid w:val="00F70DDD"/>
    <w:rsid w:val="00F7289F"/>
    <w:rsid w:val="00F7379E"/>
    <w:rsid w:val="00F740BD"/>
    <w:rsid w:val="00F749AA"/>
    <w:rsid w:val="00F761B0"/>
    <w:rsid w:val="00F771EB"/>
    <w:rsid w:val="00F77BC9"/>
    <w:rsid w:val="00F80BDE"/>
    <w:rsid w:val="00F80D7F"/>
    <w:rsid w:val="00F814CE"/>
    <w:rsid w:val="00F86E36"/>
    <w:rsid w:val="00F87898"/>
    <w:rsid w:val="00F9116C"/>
    <w:rsid w:val="00F92AE2"/>
    <w:rsid w:val="00F96706"/>
    <w:rsid w:val="00F96D2E"/>
    <w:rsid w:val="00F976A0"/>
    <w:rsid w:val="00FA2679"/>
    <w:rsid w:val="00FA3C5B"/>
    <w:rsid w:val="00FA54AC"/>
    <w:rsid w:val="00FB0182"/>
    <w:rsid w:val="00FB1D06"/>
    <w:rsid w:val="00FB2BB1"/>
    <w:rsid w:val="00FB4AB4"/>
    <w:rsid w:val="00FB538D"/>
    <w:rsid w:val="00FB55B3"/>
    <w:rsid w:val="00FB64B4"/>
    <w:rsid w:val="00FB745A"/>
    <w:rsid w:val="00FC15D4"/>
    <w:rsid w:val="00FC194A"/>
    <w:rsid w:val="00FC3619"/>
    <w:rsid w:val="00FC403E"/>
    <w:rsid w:val="00FC45E7"/>
    <w:rsid w:val="00FC46BB"/>
    <w:rsid w:val="00FC5599"/>
    <w:rsid w:val="00FD0C2F"/>
    <w:rsid w:val="00FD17F7"/>
    <w:rsid w:val="00FD18F7"/>
    <w:rsid w:val="00FD2641"/>
    <w:rsid w:val="00FD317B"/>
    <w:rsid w:val="00FD3758"/>
    <w:rsid w:val="00FD4AFE"/>
    <w:rsid w:val="00FD4DA5"/>
    <w:rsid w:val="00FD5E56"/>
    <w:rsid w:val="00FD656A"/>
    <w:rsid w:val="00FE2DE9"/>
    <w:rsid w:val="00FE4DA9"/>
    <w:rsid w:val="00FF0F90"/>
    <w:rsid w:val="00FF26D9"/>
    <w:rsid w:val="00FF30EE"/>
    <w:rsid w:val="00FF3699"/>
    <w:rsid w:val="00FF5F15"/>
    <w:rsid w:val="00FF7812"/>
    <w:rsid w:val="00FF7C8F"/>
    <w:rsid w:val="00FF7FD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74F"/>
    <w:pPr>
      <w:spacing w:after="160" w:line="259" w:lineRule="auto"/>
    </w:pPr>
  </w:style>
  <w:style w:type="paragraph" w:styleId="Kop1">
    <w:name w:val="heading 1"/>
    <w:basedOn w:val="Standaard"/>
    <w:next w:val="Standaard"/>
    <w:link w:val="Kop1Char"/>
    <w:uiPriority w:val="9"/>
    <w:qFormat/>
    <w:rsid w:val="00AD27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AD2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D274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E4FC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274F"/>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AD274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D274F"/>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unhideWhenUsed/>
    <w:qFormat/>
    <w:rsid w:val="00AD274F"/>
    <w:pPr>
      <w:outlineLvl w:val="9"/>
    </w:pPr>
    <w:rPr>
      <w:lang w:eastAsia="nl-NL"/>
    </w:rPr>
  </w:style>
  <w:style w:type="paragraph" w:styleId="Inhopg1">
    <w:name w:val="toc 1"/>
    <w:basedOn w:val="Standaard"/>
    <w:next w:val="Standaard"/>
    <w:autoRedefine/>
    <w:uiPriority w:val="39"/>
    <w:unhideWhenUsed/>
    <w:rsid w:val="00AD274F"/>
    <w:pPr>
      <w:tabs>
        <w:tab w:val="right" w:leader="dot" w:pos="9062"/>
      </w:tabs>
      <w:spacing w:after="0"/>
    </w:pPr>
  </w:style>
  <w:style w:type="character" w:styleId="Hyperlink">
    <w:name w:val="Hyperlink"/>
    <w:basedOn w:val="Standaardalinea-lettertype"/>
    <w:uiPriority w:val="99"/>
    <w:unhideWhenUsed/>
    <w:rsid w:val="00AD274F"/>
    <w:rPr>
      <w:color w:val="0000FF" w:themeColor="hyperlink"/>
      <w:u w:val="single"/>
    </w:rPr>
  </w:style>
  <w:style w:type="paragraph" w:styleId="Lijstalinea">
    <w:name w:val="List Paragraph"/>
    <w:basedOn w:val="Standaard"/>
    <w:uiPriority w:val="34"/>
    <w:qFormat/>
    <w:rsid w:val="00AD274F"/>
    <w:pPr>
      <w:ind w:left="720"/>
      <w:contextualSpacing/>
    </w:pPr>
  </w:style>
  <w:style w:type="paragraph" w:styleId="Voetnoottekst">
    <w:name w:val="footnote text"/>
    <w:basedOn w:val="Standaard"/>
    <w:link w:val="VoetnoottekstChar"/>
    <w:uiPriority w:val="99"/>
    <w:unhideWhenUsed/>
    <w:rsid w:val="00AD274F"/>
    <w:pPr>
      <w:spacing w:after="0" w:line="240" w:lineRule="auto"/>
    </w:pPr>
    <w:rPr>
      <w:sz w:val="20"/>
      <w:szCs w:val="20"/>
    </w:rPr>
  </w:style>
  <w:style w:type="character" w:customStyle="1" w:styleId="VoetnoottekstChar">
    <w:name w:val="Voetnoottekst Char"/>
    <w:basedOn w:val="Standaardalinea-lettertype"/>
    <w:link w:val="Voetnoottekst"/>
    <w:uiPriority w:val="99"/>
    <w:rsid w:val="00AD274F"/>
    <w:rPr>
      <w:sz w:val="20"/>
      <w:szCs w:val="20"/>
    </w:rPr>
  </w:style>
  <w:style w:type="character" w:styleId="Voetnootmarkering">
    <w:name w:val="footnote reference"/>
    <w:basedOn w:val="Standaardalinea-lettertype"/>
    <w:uiPriority w:val="99"/>
    <w:semiHidden/>
    <w:unhideWhenUsed/>
    <w:rsid w:val="00AD274F"/>
    <w:rPr>
      <w:vertAlign w:val="superscript"/>
    </w:rPr>
  </w:style>
  <w:style w:type="paragraph" w:styleId="Voettekst">
    <w:name w:val="footer"/>
    <w:basedOn w:val="Standaard"/>
    <w:link w:val="VoettekstChar"/>
    <w:uiPriority w:val="99"/>
    <w:unhideWhenUsed/>
    <w:rsid w:val="00AD27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274F"/>
  </w:style>
  <w:style w:type="paragraph" w:styleId="Inhopg2">
    <w:name w:val="toc 2"/>
    <w:basedOn w:val="Standaard"/>
    <w:next w:val="Standaard"/>
    <w:autoRedefine/>
    <w:uiPriority w:val="39"/>
    <w:unhideWhenUsed/>
    <w:rsid w:val="00AD274F"/>
    <w:pPr>
      <w:spacing w:after="100"/>
      <w:ind w:left="220"/>
    </w:pPr>
  </w:style>
  <w:style w:type="paragraph" w:styleId="Inhopg3">
    <w:name w:val="toc 3"/>
    <w:basedOn w:val="Standaard"/>
    <w:next w:val="Standaard"/>
    <w:autoRedefine/>
    <w:uiPriority w:val="39"/>
    <w:unhideWhenUsed/>
    <w:rsid w:val="00AD274F"/>
    <w:pPr>
      <w:spacing w:after="100"/>
      <w:ind w:left="440"/>
    </w:pPr>
  </w:style>
  <w:style w:type="paragraph" w:styleId="Ballontekst">
    <w:name w:val="Balloon Text"/>
    <w:basedOn w:val="Standaard"/>
    <w:link w:val="BallontekstChar"/>
    <w:uiPriority w:val="99"/>
    <w:semiHidden/>
    <w:unhideWhenUsed/>
    <w:rsid w:val="00AD27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274F"/>
    <w:rPr>
      <w:rFonts w:ascii="Tahoma" w:hAnsi="Tahoma" w:cs="Tahoma"/>
      <w:sz w:val="16"/>
      <w:szCs w:val="16"/>
    </w:rPr>
  </w:style>
  <w:style w:type="paragraph" w:styleId="Koptekst">
    <w:name w:val="header"/>
    <w:basedOn w:val="Standaard"/>
    <w:link w:val="KoptekstChar"/>
    <w:uiPriority w:val="99"/>
    <w:unhideWhenUsed/>
    <w:rsid w:val="00D943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43BB"/>
  </w:style>
  <w:style w:type="character" w:customStyle="1" w:styleId="close-note">
    <w:name w:val="close-note"/>
    <w:basedOn w:val="Standaardalinea-lettertype"/>
    <w:rsid w:val="008531F0"/>
  </w:style>
  <w:style w:type="character" w:customStyle="1" w:styleId="note-text">
    <w:name w:val="note-text"/>
    <w:basedOn w:val="Standaardalinea-lettertype"/>
    <w:rsid w:val="008531F0"/>
  </w:style>
  <w:style w:type="character" w:styleId="Nadruk">
    <w:name w:val="Emphasis"/>
    <w:basedOn w:val="Standaardalinea-lettertype"/>
    <w:uiPriority w:val="20"/>
    <w:qFormat/>
    <w:rsid w:val="008531F0"/>
    <w:rPr>
      <w:i/>
      <w:iCs/>
    </w:rPr>
  </w:style>
  <w:style w:type="paragraph" w:customStyle="1" w:styleId="Default">
    <w:name w:val="Default"/>
    <w:rsid w:val="00631EEB"/>
    <w:pPr>
      <w:autoSpaceDE w:val="0"/>
      <w:autoSpaceDN w:val="0"/>
      <w:adjustRightInd w:val="0"/>
      <w:spacing w:after="0" w:line="240" w:lineRule="auto"/>
    </w:pPr>
    <w:rPr>
      <w:rFonts w:ascii="Andada" w:hAnsi="Andada" w:cs="Andada"/>
      <w:color w:val="000000"/>
      <w:sz w:val="24"/>
      <w:szCs w:val="24"/>
    </w:rPr>
  </w:style>
  <w:style w:type="character" w:customStyle="1" w:styleId="A11">
    <w:name w:val="A11"/>
    <w:uiPriority w:val="99"/>
    <w:rsid w:val="00631EEB"/>
    <w:rPr>
      <w:rFonts w:cs="Andada"/>
      <w:color w:val="000000"/>
      <w:sz w:val="10"/>
      <w:szCs w:val="10"/>
    </w:rPr>
  </w:style>
  <w:style w:type="paragraph" w:customStyle="1" w:styleId="Pa5">
    <w:name w:val="Pa5"/>
    <w:basedOn w:val="Default"/>
    <w:next w:val="Default"/>
    <w:uiPriority w:val="99"/>
    <w:rsid w:val="00200E1A"/>
    <w:pPr>
      <w:spacing w:line="171" w:lineRule="atLeast"/>
    </w:pPr>
    <w:rPr>
      <w:rFonts w:cstheme="minorBidi"/>
      <w:color w:val="auto"/>
    </w:rPr>
  </w:style>
  <w:style w:type="character" w:customStyle="1" w:styleId="A7">
    <w:name w:val="A7"/>
    <w:uiPriority w:val="99"/>
    <w:rsid w:val="00200E1A"/>
    <w:rPr>
      <w:rFonts w:cs="Andada"/>
      <w:color w:val="000000"/>
      <w:sz w:val="17"/>
      <w:szCs w:val="17"/>
    </w:rPr>
  </w:style>
  <w:style w:type="character" w:styleId="Zwaar">
    <w:name w:val="Strong"/>
    <w:basedOn w:val="Standaardalinea-lettertype"/>
    <w:uiPriority w:val="22"/>
    <w:qFormat/>
    <w:rsid w:val="00195CC7"/>
    <w:rPr>
      <w:b/>
      <w:bCs/>
    </w:rPr>
  </w:style>
  <w:style w:type="character" w:customStyle="1" w:styleId="Kop4Char">
    <w:name w:val="Kop 4 Char"/>
    <w:basedOn w:val="Standaardalinea-lettertype"/>
    <w:link w:val="Kop4"/>
    <w:uiPriority w:val="9"/>
    <w:rsid w:val="00DE4FCD"/>
    <w:rPr>
      <w:rFonts w:asciiTheme="majorHAnsi" w:eastAsiaTheme="majorEastAsia" w:hAnsiTheme="majorHAnsi" w:cstheme="majorBidi"/>
      <w:i/>
      <w:iCs/>
      <w:color w:val="365F91" w:themeColor="accent1" w:themeShade="BF"/>
    </w:rPr>
  </w:style>
  <w:style w:type="paragraph" w:customStyle="1" w:styleId="lid3">
    <w:name w:val="lid3"/>
    <w:basedOn w:val="Standaard"/>
    <w:rsid w:val="00445AB7"/>
    <w:pPr>
      <w:spacing w:after="75" w:line="240" w:lineRule="auto"/>
    </w:pPr>
    <w:rPr>
      <w:rFonts w:ascii="Times New Roman" w:eastAsia="Times New Roman" w:hAnsi="Times New Roman" w:cs="Times New Roman"/>
      <w:sz w:val="24"/>
      <w:szCs w:val="24"/>
      <w:lang w:eastAsia="nl-NL"/>
    </w:rPr>
  </w:style>
  <w:style w:type="paragraph" w:customStyle="1" w:styleId="al9">
    <w:name w:val="al9"/>
    <w:basedOn w:val="Standaard"/>
    <w:rsid w:val="00445AB7"/>
    <w:pPr>
      <w:spacing w:after="225" w:line="240" w:lineRule="auto"/>
    </w:pPr>
    <w:rPr>
      <w:rFonts w:ascii="Times New Roman" w:eastAsia="Times New Roman" w:hAnsi="Times New Roman" w:cs="Times New Roman"/>
      <w:sz w:val="24"/>
      <w:szCs w:val="24"/>
      <w:lang w:eastAsia="nl-NL"/>
    </w:rPr>
  </w:style>
  <w:style w:type="paragraph" w:customStyle="1" w:styleId="labeled1">
    <w:name w:val="labeled1"/>
    <w:basedOn w:val="Standaard"/>
    <w:rsid w:val="00570FCB"/>
    <w:pPr>
      <w:spacing w:after="0" w:line="240" w:lineRule="auto"/>
      <w:ind w:left="1200"/>
    </w:pPr>
    <w:rPr>
      <w:rFonts w:ascii="Times New Roman" w:eastAsia="Times New Roman" w:hAnsi="Times New Roman" w:cs="Times New Roman"/>
      <w:sz w:val="24"/>
      <w:szCs w:val="24"/>
      <w:lang w:eastAsia="nl-NL"/>
    </w:rPr>
  </w:style>
  <w:style w:type="character" w:customStyle="1" w:styleId="ol1">
    <w:name w:val="ol1"/>
    <w:basedOn w:val="Standaardalinea-lettertype"/>
    <w:rsid w:val="00570FCB"/>
  </w:style>
  <w:style w:type="character" w:customStyle="1" w:styleId="gender">
    <w:name w:val="gender"/>
    <w:basedOn w:val="Standaardalinea-lettertype"/>
    <w:rsid w:val="00A5740E"/>
  </w:style>
  <w:style w:type="character" w:customStyle="1" w:styleId="titlesbefore">
    <w:name w:val="titlesbefore"/>
    <w:basedOn w:val="Standaardalinea-lettertype"/>
    <w:rsid w:val="00A5740E"/>
  </w:style>
  <w:style w:type="paragraph" w:styleId="Lijstopsomteken">
    <w:name w:val="List Bullet"/>
    <w:basedOn w:val="Standaard"/>
    <w:uiPriority w:val="99"/>
    <w:unhideWhenUsed/>
    <w:rsid w:val="007D64E8"/>
    <w:pPr>
      <w:numPr>
        <w:numId w:val="12"/>
      </w:numPr>
      <w:contextualSpacing/>
    </w:pPr>
  </w:style>
  <w:style w:type="character" w:customStyle="1" w:styleId="apple-converted-space">
    <w:name w:val="apple-converted-space"/>
    <w:basedOn w:val="Standaardalinea-lettertype"/>
    <w:rsid w:val="00BE63A0"/>
  </w:style>
  <w:style w:type="table" w:styleId="Tabelraster">
    <w:name w:val="Table Grid"/>
    <w:basedOn w:val="Standaardtabel"/>
    <w:uiPriority w:val="39"/>
    <w:rsid w:val="00273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2734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r2">
    <w:name w:val="nr2"/>
    <w:basedOn w:val="Standaardalinea-lettertype"/>
    <w:rsid w:val="002734F3"/>
    <w:rPr>
      <w:b/>
      <w:bCs/>
      <w:color w:val="333333"/>
    </w:rPr>
  </w:style>
  <w:style w:type="character" w:customStyle="1" w:styleId="mark1">
    <w:name w:val="mark1"/>
    <w:basedOn w:val="Standaardalinea-lettertype"/>
    <w:rsid w:val="002734F3"/>
  </w:style>
  <w:style w:type="character" w:customStyle="1" w:styleId="Nadruk1">
    <w:name w:val="Nadruk1"/>
    <w:basedOn w:val="Standaardalinea-lettertype"/>
    <w:rsid w:val="002734F3"/>
  </w:style>
  <w:style w:type="character" w:customStyle="1" w:styleId="Nadruk2">
    <w:name w:val="Nadruk2"/>
    <w:basedOn w:val="Standaardalinea-lettertype"/>
    <w:rsid w:val="002734F3"/>
  </w:style>
  <w:style w:type="character" w:customStyle="1" w:styleId="nr">
    <w:name w:val="nr"/>
    <w:basedOn w:val="Standaardalinea-lettertype"/>
    <w:rsid w:val="002734F3"/>
  </w:style>
  <w:style w:type="character" w:customStyle="1" w:styleId="mark">
    <w:name w:val="mark"/>
    <w:basedOn w:val="Standaardalinea-lettertype"/>
    <w:rsid w:val="002734F3"/>
  </w:style>
</w:styles>
</file>

<file path=word/webSettings.xml><?xml version="1.0" encoding="utf-8"?>
<w:webSettings xmlns:r="http://schemas.openxmlformats.org/officeDocument/2006/relationships" xmlns:w="http://schemas.openxmlformats.org/wordprocessingml/2006/main">
  <w:divs>
    <w:div w:id="38474901">
      <w:bodyDiv w:val="1"/>
      <w:marLeft w:val="0"/>
      <w:marRight w:val="0"/>
      <w:marTop w:val="0"/>
      <w:marBottom w:val="0"/>
      <w:divBdr>
        <w:top w:val="none" w:sz="0" w:space="0" w:color="auto"/>
        <w:left w:val="none" w:sz="0" w:space="0" w:color="auto"/>
        <w:bottom w:val="none" w:sz="0" w:space="0" w:color="auto"/>
        <w:right w:val="none" w:sz="0" w:space="0" w:color="auto"/>
      </w:divBdr>
    </w:div>
    <w:div w:id="227569086">
      <w:bodyDiv w:val="1"/>
      <w:marLeft w:val="300"/>
      <w:marRight w:val="0"/>
      <w:marTop w:val="0"/>
      <w:marBottom w:val="0"/>
      <w:divBdr>
        <w:top w:val="none" w:sz="0" w:space="0" w:color="auto"/>
        <w:left w:val="none" w:sz="0" w:space="0" w:color="auto"/>
        <w:bottom w:val="none" w:sz="0" w:space="0" w:color="auto"/>
        <w:right w:val="none" w:sz="0" w:space="0" w:color="auto"/>
      </w:divBdr>
      <w:divsChild>
        <w:div w:id="1120880221">
          <w:marLeft w:val="0"/>
          <w:marRight w:val="0"/>
          <w:marTop w:val="0"/>
          <w:marBottom w:val="0"/>
          <w:divBdr>
            <w:top w:val="none" w:sz="0" w:space="0" w:color="auto"/>
            <w:left w:val="none" w:sz="0" w:space="0" w:color="auto"/>
            <w:bottom w:val="none" w:sz="0" w:space="0" w:color="auto"/>
            <w:right w:val="none" w:sz="0" w:space="0" w:color="auto"/>
          </w:divBdr>
          <w:divsChild>
            <w:div w:id="1791703873">
              <w:marLeft w:val="0"/>
              <w:marRight w:val="0"/>
              <w:marTop w:val="0"/>
              <w:marBottom w:val="0"/>
              <w:divBdr>
                <w:top w:val="none" w:sz="0" w:space="0" w:color="auto"/>
                <w:left w:val="none" w:sz="0" w:space="0" w:color="auto"/>
                <w:bottom w:val="none" w:sz="0" w:space="0" w:color="auto"/>
                <w:right w:val="none" w:sz="0" w:space="0" w:color="auto"/>
              </w:divBdr>
              <w:divsChild>
                <w:div w:id="2000189675">
                  <w:marLeft w:val="0"/>
                  <w:marRight w:val="0"/>
                  <w:marTop w:val="0"/>
                  <w:marBottom w:val="0"/>
                  <w:divBdr>
                    <w:top w:val="none" w:sz="0" w:space="0" w:color="auto"/>
                    <w:left w:val="none" w:sz="0" w:space="0" w:color="auto"/>
                    <w:bottom w:val="none" w:sz="0" w:space="0" w:color="auto"/>
                    <w:right w:val="none" w:sz="0" w:space="0" w:color="auto"/>
                  </w:divBdr>
                  <w:divsChild>
                    <w:div w:id="1727220494">
                      <w:marLeft w:val="0"/>
                      <w:marRight w:val="0"/>
                      <w:marTop w:val="0"/>
                      <w:marBottom w:val="0"/>
                      <w:divBdr>
                        <w:top w:val="none" w:sz="0" w:space="0" w:color="auto"/>
                        <w:left w:val="none" w:sz="0" w:space="0" w:color="auto"/>
                        <w:bottom w:val="none" w:sz="0" w:space="0" w:color="auto"/>
                        <w:right w:val="none" w:sz="0" w:space="0" w:color="auto"/>
                      </w:divBdr>
                      <w:divsChild>
                        <w:div w:id="340742723">
                          <w:marLeft w:val="0"/>
                          <w:marRight w:val="0"/>
                          <w:marTop w:val="0"/>
                          <w:marBottom w:val="0"/>
                          <w:divBdr>
                            <w:top w:val="none" w:sz="0" w:space="0" w:color="auto"/>
                            <w:left w:val="none" w:sz="0" w:space="0" w:color="auto"/>
                            <w:bottom w:val="none" w:sz="0" w:space="0" w:color="auto"/>
                            <w:right w:val="none" w:sz="0" w:space="0" w:color="auto"/>
                          </w:divBdr>
                          <w:divsChild>
                            <w:div w:id="70540448">
                              <w:marLeft w:val="0"/>
                              <w:marRight w:val="0"/>
                              <w:marTop w:val="0"/>
                              <w:marBottom w:val="0"/>
                              <w:divBdr>
                                <w:top w:val="none" w:sz="0" w:space="0" w:color="auto"/>
                                <w:left w:val="none" w:sz="0" w:space="0" w:color="auto"/>
                                <w:bottom w:val="none" w:sz="0" w:space="0" w:color="auto"/>
                                <w:right w:val="none" w:sz="0" w:space="0" w:color="auto"/>
                              </w:divBdr>
                              <w:divsChild>
                                <w:div w:id="303122834">
                                  <w:marLeft w:val="0"/>
                                  <w:marRight w:val="0"/>
                                  <w:marTop w:val="0"/>
                                  <w:marBottom w:val="0"/>
                                  <w:divBdr>
                                    <w:top w:val="none" w:sz="0" w:space="0" w:color="auto"/>
                                    <w:left w:val="none" w:sz="0" w:space="0" w:color="auto"/>
                                    <w:bottom w:val="none" w:sz="0" w:space="0" w:color="auto"/>
                                    <w:right w:val="none" w:sz="0" w:space="0" w:color="auto"/>
                                  </w:divBdr>
                                  <w:divsChild>
                                    <w:div w:id="941492110">
                                      <w:marLeft w:val="0"/>
                                      <w:marRight w:val="0"/>
                                      <w:marTop w:val="0"/>
                                      <w:marBottom w:val="0"/>
                                      <w:divBdr>
                                        <w:top w:val="none" w:sz="0" w:space="0" w:color="auto"/>
                                        <w:left w:val="none" w:sz="0" w:space="0" w:color="auto"/>
                                        <w:bottom w:val="none" w:sz="0" w:space="0" w:color="auto"/>
                                        <w:right w:val="none" w:sz="0" w:space="0" w:color="auto"/>
                                      </w:divBdr>
                                    </w:div>
                                    <w:div w:id="1138231293">
                                      <w:marLeft w:val="0"/>
                                      <w:marRight w:val="0"/>
                                      <w:marTop w:val="0"/>
                                      <w:marBottom w:val="0"/>
                                      <w:divBdr>
                                        <w:top w:val="none" w:sz="0" w:space="0" w:color="auto"/>
                                        <w:left w:val="none" w:sz="0" w:space="0" w:color="auto"/>
                                        <w:bottom w:val="none" w:sz="0" w:space="0" w:color="auto"/>
                                        <w:right w:val="none" w:sz="0" w:space="0" w:color="auto"/>
                                      </w:divBdr>
                                      <w:divsChild>
                                        <w:div w:id="1122262208">
                                          <w:marLeft w:val="0"/>
                                          <w:marRight w:val="0"/>
                                          <w:marTop w:val="0"/>
                                          <w:marBottom w:val="0"/>
                                          <w:divBdr>
                                            <w:top w:val="none" w:sz="0" w:space="0" w:color="auto"/>
                                            <w:left w:val="none" w:sz="0" w:space="0" w:color="auto"/>
                                            <w:bottom w:val="none" w:sz="0" w:space="0" w:color="auto"/>
                                            <w:right w:val="none" w:sz="0" w:space="0" w:color="auto"/>
                                          </w:divBdr>
                                          <w:divsChild>
                                            <w:div w:id="840856139">
                                              <w:marLeft w:val="0"/>
                                              <w:marRight w:val="0"/>
                                              <w:marTop w:val="0"/>
                                              <w:marBottom w:val="0"/>
                                              <w:divBdr>
                                                <w:top w:val="none" w:sz="0" w:space="0" w:color="auto"/>
                                                <w:left w:val="none" w:sz="0" w:space="0" w:color="auto"/>
                                                <w:bottom w:val="none" w:sz="0" w:space="0" w:color="auto"/>
                                                <w:right w:val="none" w:sz="0" w:space="0" w:color="auto"/>
                                              </w:divBdr>
                                              <w:divsChild>
                                                <w:div w:id="294873777">
                                                  <w:marLeft w:val="0"/>
                                                  <w:marRight w:val="0"/>
                                                  <w:marTop w:val="0"/>
                                                  <w:marBottom w:val="0"/>
                                                  <w:divBdr>
                                                    <w:top w:val="none" w:sz="0" w:space="0" w:color="auto"/>
                                                    <w:left w:val="none" w:sz="0" w:space="0" w:color="auto"/>
                                                    <w:bottom w:val="none" w:sz="0" w:space="0" w:color="auto"/>
                                                    <w:right w:val="none" w:sz="0" w:space="0" w:color="auto"/>
                                                  </w:divBdr>
                                                  <w:divsChild>
                                                    <w:div w:id="1875118134">
                                                      <w:marLeft w:val="0"/>
                                                      <w:marRight w:val="0"/>
                                                      <w:marTop w:val="0"/>
                                                      <w:marBottom w:val="0"/>
                                                      <w:divBdr>
                                                        <w:top w:val="none" w:sz="0" w:space="0" w:color="auto"/>
                                                        <w:left w:val="none" w:sz="0" w:space="0" w:color="auto"/>
                                                        <w:bottom w:val="none" w:sz="0" w:space="0" w:color="auto"/>
                                                        <w:right w:val="none" w:sz="0" w:space="0" w:color="auto"/>
                                                      </w:divBdr>
                                                    </w:div>
                                                    <w:div w:id="72820937">
                                                      <w:marLeft w:val="0"/>
                                                      <w:marRight w:val="0"/>
                                                      <w:marTop w:val="0"/>
                                                      <w:marBottom w:val="0"/>
                                                      <w:divBdr>
                                                        <w:top w:val="none" w:sz="0" w:space="0" w:color="auto"/>
                                                        <w:left w:val="none" w:sz="0" w:space="0" w:color="auto"/>
                                                        <w:bottom w:val="none" w:sz="0" w:space="0" w:color="auto"/>
                                                        <w:right w:val="none" w:sz="0" w:space="0" w:color="auto"/>
                                                      </w:divBdr>
                                                    </w:div>
                                                    <w:div w:id="739333823">
                                                      <w:marLeft w:val="0"/>
                                                      <w:marRight w:val="0"/>
                                                      <w:marTop w:val="0"/>
                                                      <w:marBottom w:val="0"/>
                                                      <w:divBdr>
                                                        <w:top w:val="none" w:sz="0" w:space="0" w:color="auto"/>
                                                        <w:left w:val="none" w:sz="0" w:space="0" w:color="auto"/>
                                                        <w:bottom w:val="none" w:sz="0" w:space="0" w:color="auto"/>
                                                        <w:right w:val="none" w:sz="0" w:space="0" w:color="auto"/>
                                                      </w:divBdr>
                                                    </w:div>
                                                    <w:div w:id="83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526542">
      <w:bodyDiv w:val="1"/>
      <w:marLeft w:val="0"/>
      <w:marRight w:val="0"/>
      <w:marTop w:val="0"/>
      <w:marBottom w:val="0"/>
      <w:divBdr>
        <w:top w:val="none" w:sz="0" w:space="0" w:color="auto"/>
        <w:left w:val="none" w:sz="0" w:space="0" w:color="auto"/>
        <w:bottom w:val="none" w:sz="0" w:space="0" w:color="auto"/>
        <w:right w:val="none" w:sz="0" w:space="0" w:color="auto"/>
      </w:divBdr>
    </w:div>
    <w:div w:id="395199847">
      <w:bodyDiv w:val="1"/>
      <w:marLeft w:val="300"/>
      <w:marRight w:val="0"/>
      <w:marTop w:val="0"/>
      <w:marBottom w:val="0"/>
      <w:divBdr>
        <w:top w:val="none" w:sz="0" w:space="0" w:color="auto"/>
        <w:left w:val="none" w:sz="0" w:space="0" w:color="auto"/>
        <w:bottom w:val="none" w:sz="0" w:space="0" w:color="auto"/>
        <w:right w:val="none" w:sz="0" w:space="0" w:color="auto"/>
      </w:divBdr>
      <w:divsChild>
        <w:div w:id="1623731841">
          <w:marLeft w:val="0"/>
          <w:marRight w:val="0"/>
          <w:marTop w:val="0"/>
          <w:marBottom w:val="0"/>
          <w:divBdr>
            <w:top w:val="none" w:sz="0" w:space="0" w:color="auto"/>
            <w:left w:val="none" w:sz="0" w:space="0" w:color="auto"/>
            <w:bottom w:val="none" w:sz="0" w:space="0" w:color="auto"/>
            <w:right w:val="none" w:sz="0" w:space="0" w:color="auto"/>
          </w:divBdr>
          <w:divsChild>
            <w:div w:id="1906332126">
              <w:marLeft w:val="0"/>
              <w:marRight w:val="0"/>
              <w:marTop w:val="0"/>
              <w:marBottom w:val="0"/>
              <w:divBdr>
                <w:top w:val="none" w:sz="0" w:space="0" w:color="auto"/>
                <w:left w:val="none" w:sz="0" w:space="0" w:color="auto"/>
                <w:bottom w:val="none" w:sz="0" w:space="0" w:color="auto"/>
                <w:right w:val="none" w:sz="0" w:space="0" w:color="auto"/>
              </w:divBdr>
              <w:divsChild>
                <w:div w:id="88428399">
                  <w:marLeft w:val="0"/>
                  <w:marRight w:val="0"/>
                  <w:marTop w:val="0"/>
                  <w:marBottom w:val="0"/>
                  <w:divBdr>
                    <w:top w:val="none" w:sz="0" w:space="0" w:color="auto"/>
                    <w:left w:val="none" w:sz="0" w:space="0" w:color="auto"/>
                    <w:bottom w:val="none" w:sz="0" w:space="0" w:color="auto"/>
                    <w:right w:val="none" w:sz="0" w:space="0" w:color="auto"/>
                  </w:divBdr>
                  <w:divsChild>
                    <w:div w:id="1506750401">
                      <w:marLeft w:val="0"/>
                      <w:marRight w:val="0"/>
                      <w:marTop w:val="0"/>
                      <w:marBottom w:val="0"/>
                      <w:divBdr>
                        <w:top w:val="none" w:sz="0" w:space="0" w:color="auto"/>
                        <w:left w:val="none" w:sz="0" w:space="0" w:color="auto"/>
                        <w:bottom w:val="none" w:sz="0" w:space="0" w:color="auto"/>
                        <w:right w:val="none" w:sz="0" w:space="0" w:color="auto"/>
                      </w:divBdr>
                      <w:divsChild>
                        <w:div w:id="1646427290">
                          <w:marLeft w:val="0"/>
                          <w:marRight w:val="0"/>
                          <w:marTop w:val="0"/>
                          <w:marBottom w:val="0"/>
                          <w:divBdr>
                            <w:top w:val="none" w:sz="0" w:space="0" w:color="auto"/>
                            <w:left w:val="none" w:sz="0" w:space="0" w:color="auto"/>
                            <w:bottom w:val="none" w:sz="0" w:space="0" w:color="auto"/>
                            <w:right w:val="none" w:sz="0" w:space="0" w:color="auto"/>
                          </w:divBdr>
                          <w:divsChild>
                            <w:div w:id="693533977">
                              <w:marLeft w:val="0"/>
                              <w:marRight w:val="0"/>
                              <w:marTop w:val="0"/>
                              <w:marBottom w:val="0"/>
                              <w:divBdr>
                                <w:top w:val="none" w:sz="0" w:space="0" w:color="auto"/>
                                <w:left w:val="none" w:sz="0" w:space="0" w:color="auto"/>
                                <w:bottom w:val="none" w:sz="0" w:space="0" w:color="auto"/>
                                <w:right w:val="none" w:sz="0" w:space="0" w:color="auto"/>
                              </w:divBdr>
                              <w:divsChild>
                                <w:div w:id="7413640">
                                  <w:marLeft w:val="0"/>
                                  <w:marRight w:val="0"/>
                                  <w:marTop w:val="0"/>
                                  <w:marBottom w:val="0"/>
                                  <w:divBdr>
                                    <w:top w:val="none" w:sz="0" w:space="0" w:color="auto"/>
                                    <w:left w:val="none" w:sz="0" w:space="0" w:color="auto"/>
                                    <w:bottom w:val="none" w:sz="0" w:space="0" w:color="auto"/>
                                    <w:right w:val="none" w:sz="0" w:space="0" w:color="auto"/>
                                  </w:divBdr>
                                  <w:divsChild>
                                    <w:div w:id="2114662096">
                                      <w:marLeft w:val="0"/>
                                      <w:marRight w:val="0"/>
                                      <w:marTop w:val="0"/>
                                      <w:marBottom w:val="0"/>
                                      <w:divBdr>
                                        <w:top w:val="none" w:sz="0" w:space="0" w:color="auto"/>
                                        <w:left w:val="none" w:sz="0" w:space="0" w:color="auto"/>
                                        <w:bottom w:val="none" w:sz="0" w:space="0" w:color="auto"/>
                                        <w:right w:val="none" w:sz="0" w:space="0" w:color="auto"/>
                                      </w:divBdr>
                                      <w:divsChild>
                                        <w:div w:id="1998725869">
                                          <w:marLeft w:val="0"/>
                                          <w:marRight w:val="0"/>
                                          <w:marTop w:val="0"/>
                                          <w:marBottom w:val="0"/>
                                          <w:divBdr>
                                            <w:top w:val="none" w:sz="0" w:space="0" w:color="auto"/>
                                            <w:left w:val="none" w:sz="0" w:space="0" w:color="auto"/>
                                            <w:bottom w:val="none" w:sz="0" w:space="0" w:color="auto"/>
                                            <w:right w:val="none" w:sz="0" w:space="0" w:color="auto"/>
                                          </w:divBdr>
                                          <w:divsChild>
                                            <w:div w:id="591860066">
                                              <w:marLeft w:val="0"/>
                                              <w:marRight w:val="0"/>
                                              <w:marTop w:val="0"/>
                                              <w:marBottom w:val="0"/>
                                              <w:divBdr>
                                                <w:top w:val="none" w:sz="0" w:space="0" w:color="auto"/>
                                                <w:left w:val="none" w:sz="0" w:space="0" w:color="auto"/>
                                                <w:bottom w:val="none" w:sz="0" w:space="0" w:color="auto"/>
                                                <w:right w:val="none" w:sz="0" w:space="0" w:color="auto"/>
                                              </w:divBdr>
                                              <w:divsChild>
                                                <w:div w:id="1523975596">
                                                  <w:marLeft w:val="0"/>
                                                  <w:marRight w:val="0"/>
                                                  <w:marTop w:val="0"/>
                                                  <w:marBottom w:val="0"/>
                                                  <w:divBdr>
                                                    <w:top w:val="none" w:sz="0" w:space="0" w:color="auto"/>
                                                    <w:left w:val="none" w:sz="0" w:space="0" w:color="auto"/>
                                                    <w:bottom w:val="none" w:sz="0" w:space="0" w:color="auto"/>
                                                    <w:right w:val="none" w:sz="0" w:space="0" w:color="auto"/>
                                                  </w:divBdr>
                                                  <w:divsChild>
                                                    <w:div w:id="974723641">
                                                      <w:marLeft w:val="0"/>
                                                      <w:marRight w:val="0"/>
                                                      <w:marTop w:val="0"/>
                                                      <w:marBottom w:val="0"/>
                                                      <w:divBdr>
                                                        <w:top w:val="none" w:sz="0" w:space="0" w:color="auto"/>
                                                        <w:left w:val="none" w:sz="0" w:space="0" w:color="auto"/>
                                                        <w:bottom w:val="none" w:sz="0" w:space="0" w:color="auto"/>
                                                        <w:right w:val="none" w:sz="0" w:space="0" w:color="auto"/>
                                                      </w:divBdr>
                                                    </w:div>
                                                    <w:div w:id="450592367">
                                                      <w:marLeft w:val="0"/>
                                                      <w:marRight w:val="0"/>
                                                      <w:marTop w:val="0"/>
                                                      <w:marBottom w:val="0"/>
                                                      <w:divBdr>
                                                        <w:top w:val="none" w:sz="0" w:space="0" w:color="auto"/>
                                                        <w:left w:val="none" w:sz="0" w:space="0" w:color="auto"/>
                                                        <w:bottom w:val="none" w:sz="0" w:space="0" w:color="auto"/>
                                                        <w:right w:val="none" w:sz="0" w:space="0" w:color="auto"/>
                                                      </w:divBdr>
                                                    </w:div>
                                                    <w:div w:id="678771289">
                                                      <w:marLeft w:val="0"/>
                                                      <w:marRight w:val="0"/>
                                                      <w:marTop w:val="0"/>
                                                      <w:marBottom w:val="0"/>
                                                      <w:divBdr>
                                                        <w:top w:val="none" w:sz="0" w:space="0" w:color="auto"/>
                                                        <w:left w:val="none" w:sz="0" w:space="0" w:color="auto"/>
                                                        <w:bottom w:val="none" w:sz="0" w:space="0" w:color="auto"/>
                                                        <w:right w:val="none" w:sz="0" w:space="0" w:color="auto"/>
                                                      </w:divBdr>
                                                    </w:div>
                                                    <w:div w:id="2653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321662">
      <w:bodyDiv w:val="1"/>
      <w:marLeft w:val="0"/>
      <w:marRight w:val="0"/>
      <w:marTop w:val="0"/>
      <w:marBottom w:val="0"/>
      <w:divBdr>
        <w:top w:val="none" w:sz="0" w:space="0" w:color="auto"/>
        <w:left w:val="none" w:sz="0" w:space="0" w:color="auto"/>
        <w:bottom w:val="none" w:sz="0" w:space="0" w:color="auto"/>
        <w:right w:val="none" w:sz="0" w:space="0" w:color="auto"/>
      </w:divBdr>
    </w:div>
    <w:div w:id="523785233">
      <w:bodyDiv w:val="1"/>
      <w:marLeft w:val="300"/>
      <w:marRight w:val="0"/>
      <w:marTop w:val="0"/>
      <w:marBottom w:val="0"/>
      <w:divBdr>
        <w:top w:val="none" w:sz="0" w:space="0" w:color="auto"/>
        <w:left w:val="none" w:sz="0" w:space="0" w:color="auto"/>
        <w:bottom w:val="none" w:sz="0" w:space="0" w:color="auto"/>
        <w:right w:val="none" w:sz="0" w:space="0" w:color="auto"/>
      </w:divBdr>
      <w:divsChild>
        <w:div w:id="1053700677">
          <w:marLeft w:val="0"/>
          <w:marRight w:val="0"/>
          <w:marTop w:val="0"/>
          <w:marBottom w:val="0"/>
          <w:divBdr>
            <w:top w:val="none" w:sz="0" w:space="0" w:color="auto"/>
            <w:left w:val="none" w:sz="0" w:space="0" w:color="auto"/>
            <w:bottom w:val="none" w:sz="0" w:space="0" w:color="auto"/>
            <w:right w:val="none" w:sz="0" w:space="0" w:color="auto"/>
          </w:divBdr>
          <w:divsChild>
            <w:div w:id="999044545">
              <w:marLeft w:val="0"/>
              <w:marRight w:val="0"/>
              <w:marTop w:val="0"/>
              <w:marBottom w:val="0"/>
              <w:divBdr>
                <w:top w:val="none" w:sz="0" w:space="0" w:color="auto"/>
                <w:left w:val="none" w:sz="0" w:space="0" w:color="auto"/>
                <w:bottom w:val="none" w:sz="0" w:space="0" w:color="auto"/>
                <w:right w:val="none" w:sz="0" w:space="0" w:color="auto"/>
              </w:divBdr>
              <w:divsChild>
                <w:div w:id="2067993629">
                  <w:marLeft w:val="0"/>
                  <w:marRight w:val="0"/>
                  <w:marTop w:val="0"/>
                  <w:marBottom w:val="0"/>
                  <w:divBdr>
                    <w:top w:val="none" w:sz="0" w:space="0" w:color="auto"/>
                    <w:left w:val="none" w:sz="0" w:space="0" w:color="auto"/>
                    <w:bottom w:val="none" w:sz="0" w:space="0" w:color="auto"/>
                    <w:right w:val="none" w:sz="0" w:space="0" w:color="auto"/>
                  </w:divBdr>
                  <w:divsChild>
                    <w:div w:id="738753845">
                      <w:marLeft w:val="0"/>
                      <w:marRight w:val="0"/>
                      <w:marTop w:val="0"/>
                      <w:marBottom w:val="0"/>
                      <w:divBdr>
                        <w:top w:val="none" w:sz="0" w:space="0" w:color="auto"/>
                        <w:left w:val="none" w:sz="0" w:space="0" w:color="auto"/>
                        <w:bottom w:val="none" w:sz="0" w:space="0" w:color="auto"/>
                        <w:right w:val="none" w:sz="0" w:space="0" w:color="auto"/>
                      </w:divBdr>
                      <w:divsChild>
                        <w:div w:id="1152867996">
                          <w:marLeft w:val="0"/>
                          <w:marRight w:val="0"/>
                          <w:marTop w:val="0"/>
                          <w:marBottom w:val="0"/>
                          <w:divBdr>
                            <w:top w:val="none" w:sz="0" w:space="0" w:color="auto"/>
                            <w:left w:val="none" w:sz="0" w:space="0" w:color="auto"/>
                            <w:bottom w:val="none" w:sz="0" w:space="0" w:color="auto"/>
                            <w:right w:val="none" w:sz="0" w:space="0" w:color="auto"/>
                          </w:divBdr>
                          <w:divsChild>
                            <w:div w:id="396780382">
                              <w:marLeft w:val="0"/>
                              <w:marRight w:val="0"/>
                              <w:marTop w:val="0"/>
                              <w:marBottom w:val="0"/>
                              <w:divBdr>
                                <w:top w:val="none" w:sz="0" w:space="0" w:color="auto"/>
                                <w:left w:val="none" w:sz="0" w:space="0" w:color="auto"/>
                                <w:bottom w:val="none" w:sz="0" w:space="0" w:color="auto"/>
                                <w:right w:val="none" w:sz="0" w:space="0" w:color="auto"/>
                              </w:divBdr>
                              <w:divsChild>
                                <w:div w:id="528837116">
                                  <w:marLeft w:val="0"/>
                                  <w:marRight w:val="0"/>
                                  <w:marTop w:val="0"/>
                                  <w:marBottom w:val="0"/>
                                  <w:divBdr>
                                    <w:top w:val="none" w:sz="0" w:space="0" w:color="auto"/>
                                    <w:left w:val="none" w:sz="0" w:space="0" w:color="auto"/>
                                    <w:bottom w:val="none" w:sz="0" w:space="0" w:color="auto"/>
                                    <w:right w:val="none" w:sz="0" w:space="0" w:color="auto"/>
                                  </w:divBdr>
                                  <w:divsChild>
                                    <w:div w:id="2040860510">
                                      <w:marLeft w:val="0"/>
                                      <w:marRight w:val="0"/>
                                      <w:marTop w:val="0"/>
                                      <w:marBottom w:val="0"/>
                                      <w:divBdr>
                                        <w:top w:val="none" w:sz="0" w:space="0" w:color="auto"/>
                                        <w:left w:val="none" w:sz="0" w:space="0" w:color="auto"/>
                                        <w:bottom w:val="none" w:sz="0" w:space="0" w:color="auto"/>
                                        <w:right w:val="none" w:sz="0" w:space="0" w:color="auto"/>
                                      </w:divBdr>
                                      <w:divsChild>
                                        <w:div w:id="341788082">
                                          <w:marLeft w:val="0"/>
                                          <w:marRight w:val="0"/>
                                          <w:marTop w:val="0"/>
                                          <w:marBottom w:val="0"/>
                                          <w:divBdr>
                                            <w:top w:val="none" w:sz="0" w:space="0" w:color="auto"/>
                                            <w:left w:val="none" w:sz="0" w:space="0" w:color="auto"/>
                                            <w:bottom w:val="none" w:sz="0" w:space="0" w:color="auto"/>
                                            <w:right w:val="none" w:sz="0" w:space="0" w:color="auto"/>
                                          </w:divBdr>
                                          <w:divsChild>
                                            <w:div w:id="1787264096">
                                              <w:marLeft w:val="0"/>
                                              <w:marRight w:val="0"/>
                                              <w:marTop w:val="0"/>
                                              <w:marBottom w:val="0"/>
                                              <w:divBdr>
                                                <w:top w:val="none" w:sz="0" w:space="0" w:color="auto"/>
                                                <w:left w:val="none" w:sz="0" w:space="0" w:color="auto"/>
                                                <w:bottom w:val="none" w:sz="0" w:space="0" w:color="auto"/>
                                                <w:right w:val="none" w:sz="0" w:space="0" w:color="auto"/>
                                              </w:divBdr>
                                              <w:divsChild>
                                                <w:div w:id="943728532">
                                                  <w:marLeft w:val="0"/>
                                                  <w:marRight w:val="0"/>
                                                  <w:marTop w:val="0"/>
                                                  <w:marBottom w:val="0"/>
                                                  <w:divBdr>
                                                    <w:top w:val="none" w:sz="0" w:space="0" w:color="auto"/>
                                                    <w:left w:val="none" w:sz="0" w:space="0" w:color="auto"/>
                                                    <w:bottom w:val="none" w:sz="0" w:space="0" w:color="auto"/>
                                                    <w:right w:val="none" w:sz="0" w:space="0" w:color="auto"/>
                                                  </w:divBdr>
                                                  <w:divsChild>
                                                    <w:div w:id="1225526479">
                                                      <w:marLeft w:val="0"/>
                                                      <w:marRight w:val="0"/>
                                                      <w:marTop w:val="0"/>
                                                      <w:marBottom w:val="0"/>
                                                      <w:divBdr>
                                                        <w:top w:val="none" w:sz="0" w:space="0" w:color="auto"/>
                                                        <w:left w:val="none" w:sz="0" w:space="0" w:color="auto"/>
                                                        <w:bottom w:val="none" w:sz="0" w:space="0" w:color="auto"/>
                                                        <w:right w:val="none" w:sz="0" w:space="0" w:color="auto"/>
                                                      </w:divBdr>
                                                    </w:div>
                                                    <w:div w:id="1847591377">
                                                      <w:marLeft w:val="0"/>
                                                      <w:marRight w:val="0"/>
                                                      <w:marTop w:val="0"/>
                                                      <w:marBottom w:val="0"/>
                                                      <w:divBdr>
                                                        <w:top w:val="none" w:sz="0" w:space="0" w:color="auto"/>
                                                        <w:left w:val="none" w:sz="0" w:space="0" w:color="auto"/>
                                                        <w:bottom w:val="none" w:sz="0" w:space="0" w:color="auto"/>
                                                        <w:right w:val="none" w:sz="0" w:space="0" w:color="auto"/>
                                                      </w:divBdr>
                                                    </w:div>
                                                    <w:div w:id="849177045">
                                                      <w:marLeft w:val="0"/>
                                                      <w:marRight w:val="0"/>
                                                      <w:marTop w:val="0"/>
                                                      <w:marBottom w:val="0"/>
                                                      <w:divBdr>
                                                        <w:top w:val="none" w:sz="0" w:space="0" w:color="auto"/>
                                                        <w:left w:val="none" w:sz="0" w:space="0" w:color="auto"/>
                                                        <w:bottom w:val="none" w:sz="0" w:space="0" w:color="auto"/>
                                                        <w:right w:val="none" w:sz="0" w:space="0" w:color="auto"/>
                                                      </w:divBdr>
                                                    </w:div>
                                                    <w:div w:id="10198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633619">
      <w:bodyDiv w:val="1"/>
      <w:marLeft w:val="0"/>
      <w:marRight w:val="0"/>
      <w:marTop w:val="0"/>
      <w:marBottom w:val="0"/>
      <w:divBdr>
        <w:top w:val="none" w:sz="0" w:space="0" w:color="auto"/>
        <w:left w:val="none" w:sz="0" w:space="0" w:color="auto"/>
        <w:bottom w:val="none" w:sz="0" w:space="0" w:color="auto"/>
        <w:right w:val="none" w:sz="0" w:space="0" w:color="auto"/>
      </w:divBdr>
    </w:div>
    <w:div w:id="808666481">
      <w:bodyDiv w:val="1"/>
      <w:marLeft w:val="0"/>
      <w:marRight w:val="0"/>
      <w:marTop w:val="0"/>
      <w:marBottom w:val="0"/>
      <w:divBdr>
        <w:top w:val="none" w:sz="0" w:space="0" w:color="auto"/>
        <w:left w:val="none" w:sz="0" w:space="0" w:color="auto"/>
        <w:bottom w:val="none" w:sz="0" w:space="0" w:color="auto"/>
        <w:right w:val="none" w:sz="0" w:space="0" w:color="auto"/>
      </w:divBdr>
      <w:divsChild>
        <w:div w:id="1871914421">
          <w:marLeft w:val="0"/>
          <w:marRight w:val="0"/>
          <w:marTop w:val="0"/>
          <w:marBottom w:val="0"/>
          <w:divBdr>
            <w:top w:val="none" w:sz="0" w:space="0" w:color="auto"/>
            <w:left w:val="none" w:sz="0" w:space="0" w:color="auto"/>
            <w:bottom w:val="none" w:sz="0" w:space="0" w:color="auto"/>
            <w:right w:val="none" w:sz="0" w:space="0" w:color="auto"/>
          </w:divBdr>
          <w:divsChild>
            <w:div w:id="1704548895">
              <w:marLeft w:val="0"/>
              <w:marRight w:val="0"/>
              <w:marTop w:val="0"/>
              <w:marBottom w:val="0"/>
              <w:divBdr>
                <w:top w:val="none" w:sz="0" w:space="0" w:color="auto"/>
                <w:left w:val="none" w:sz="0" w:space="0" w:color="auto"/>
                <w:bottom w:val="none" w:sz="0" w:space="0" w:color="auto"/>
                <w:right w:val="none" w:sz="0" w:space="0" w:color="auto"/>
              </w:divBdr>
              <w:divsChild>
                <w:div w:id="2031684785">
                  <w:marLeft w:val="0"/>
                  <w:marRight w:val="0"/>
                  <w:marTop w:val="0"/>
                  <w:marBottom w:val="0"/>
                  <w:divBdr>
                    <w:top w:val="none" w:sz="0" w:space="0" w:color="auto"/>
                    <w:left w:val="none" w:sz="0" w:space="0" w:color="auto"/>
                    <w:bottom w:val="none" w:sz="0" w:space="0" w:color="auto"/>
                    <w:right w:val="none" w:sz="0" w:space="0" w:color="auto"/>
                  </w:divBdr>
                  <w:divsChild>
                    <w:div w:id="1829707514">
                      <w:marLeft w:val="0"/>
                      <w:marRight w:val="0"/>
                      <w:marTop w:val="0"/>
                      <w:marBottom w:val="0"/>
                      <w:divBdr>
                        <w:top w:val="none" w:sz="0" w:space="0" w:color="auto"/>
                        <w:left w:val="none" w:sz="0" w:space="0" w:color="auto"/>
                        <w:bottom w:val="none" w:sz="0" w:space="0" w:color="auto"/>
                        <w:right w:val="none" w:sz="0" w:space="0" w:color="auto"/>
                      </w:divBdr>
                      <w:divsChild>
                        <w:div w:id="990253243">
                          <w:marLeft w:val="0"/>
                          <w:marRight w:val="0"/>
                          <w:marTop w:val="0"/>
                          <w:marBottom w:val="0"/>
                          <w:divBdr>
                            <w:top w:val="none" w:sz="0" w:space="0" w:color="auto"/>
                            <w:left w:val="none" w:sz="0" w:space="0" w:color="auto"/>
                            <w:bottom w:val="none" w:sz="0" w:space="0" w:color="auto"/>
                            <w:right w:val="none" w:sz="0" w:space="0" w:color="auto"/>
                          </w:divBdr>
                          <w:divsChild>
                            <w:div w:id="79185132">
                              <w:marLeft w:val="0"/>
                              <w:marRight w:val="0"/>
                              <w:marTop w:val="0"/>
                              <w:marBottom w:val="0"/>
                              <w:divBdr>
                                <w:top w:val="none" w:sz="0" w:space="0" w:color="auto"/>
                                <w:left w:val="none" w:sz="0" w:space="0" w:color="auto"/>
                                <w:bottom w:val="none" w:sz="0" w:space="0" w:color="auto"/>
                                <w:right w:val="none" w:sz="0" w:space="0" w:color="auto"/>
                              </w:divBdr>
                              <w:divsChild>
                                <w:div w:id="601499617">
                                  <w:marLeft w:val="0"/>
                                  <w:marRight w:val="0"/>
                                  <w:marTop w:val="0"/>
                                  <w:marBottom w:val="240"/>
                                  <w:divBdr>
                                    <w:top w:val="none" w:sz="0" w:space="0" w:color="auto"/>
                                    <w:left w:val="none" w:sz="0" w:space="0" w:color="auto"/>
                                    <w:bottom w:val="none" w:sz="0" w:space="0" w:color="auto"/>
                                    <w:right w:val="none" w:sz="0" w:space="0" w:color="auto"/>
                                  </w:divBdr>
                                  <w:divsChild>
                                    <w:div w:id="18879096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637294">
      <w:bodyDiv w:val="1"/>
      <w:marLeft w:val="0"/>
      <w:marRight w:val="0"/>
      <w:marTop w:val="0"/>
      <w:marBottom w:val="0"/>
      <w:divBdr>
        <w:top w:val="none" w:sz="0" w:space="0" w:color="auto"/>
        <w:left w:val="none" w:sz="0" w:space="0" w:color="auto"/>
        <w:bottom w:val="none" w:sz="0" w:space="0" w:color="auto"/>
        <w:right w:val="none" w:sz="0" w:space="0" w:color="auto"/>
      </w:divBdr>
    </w:div>
    <w:div w:id="1068769931">
      <w:bodyDiv w:val="1"/>
      <w:marLeft w:val="0"/>
      <w:marRight w:val="0"/>
      <w:marTop w:val="0"/>
      <w:marBottom w:val="0"/>
      <w:divBdr>
        <w:top w:val="none" w:sz="0" w:space="0" w:color="auto"/>
        <w:left w:val="none" w:sz="0" w:space="0" w:color="auto"/>
        <w:bottom w:val="none" w:sz="0" w:space="0" w:color="auto"/>
        <w:right w:val="none" w:sz="0" w:space="0" w:color="auto"/>
      </w:divBdr>
    </w:div>
    <w:div w:id="1175994537">
      <w:bodyDiv w:val="1"/>
      <w:marLeft w:val="0"/>
      <w:marRight w:val="0"/>
      <w:marTop w:val="0"/>
      <w:marBottom w:val="0"/>
      <w:divBdr>
        <w:top w:val="none" w:sz="0" w:space="0" w:color="auto"/>
        <w:left w:val="none" w:sz="0" w:space="0" w:color="auto"/>
        <w:bottom w:val="none" w:sz="0" w:space="0" w:color="auto"/>
        <w:right w:val="none" w:sz="0" w:space="0" w:color="auto"/>
      </w:divBdr>
    </w:div>
    <w:div w:id="1227178408">
      <w:bodyDiv w:val="1"/>
      <w:marLeft w:val="0"/>
      <w:marRight w:val="0"/>
      <w:marTop w:val="0"/>
      <w:marBottom w:val="0"/>
      <w:divBdr>
        <w:top w:val="none" w:sz="0" w:space="0" w:color="auto"/>
        <w:left w:val="none" w:sz="0" w:space="0" w:color="auto"/>
        <w:bottom w:val="none" w:sz="0" w:space="0" w:color="auto"/>
        <w:right w:val="none" w:sz="0" w:space="0" w:color="auto"/>
      </w:divBdr>
    </w:div>
    <w:div w:id="1265845259">
      <w:bodyDiv w:val="1"/>
      <w:marLeft w:val="0"/>
      <w:marRight w:val="0"/>
      <w:marTop w:val="0"/>
      <w:marBottom w:val="0"/>
      <w:divBdr>
        <w:top w:val="none" w:sz="0" w:space="0" w:color="auto"/>
        <w:left w:val="none" w:sz="0" w:space="0" w:color="auto"/>
        <w:bottom w:val="none" w:sz="0" w:space="0" w:color="auto"/>
        <w:right w:val="none" w:sz="0" w:space="0" w:color="auto"/>
      </w:divBdr>
    </w:div>
    <w:div w:id="1298071965">
      <w:bodyDiv w:val="1"/>
      <w:marLeft w:val="0"/>
      <w:marRight w:val="0"/>
      <w:marTop w:val="0"/>
      <w:marBottom w:val="0"/>
      <w:divBdr>
        <w:top w:val="none" w:sz="0" w:space="0" w:color="auto"/>
        <w:left w:val="none" w:sz="0" w:space="0" w:color="auto"/>
        <w:bottom w:val="none" w:sz="0" w:space="0" w:color="auto"/>
        <w:right w:val="none" w:sz="0" w:space="0" w:color="auto"/>
      </w:divBdr>
    </w:div>
    <w:div w:id="1324313690">
      <w:bodyDiv w:val="1"/>
      <w:marLeft w:val="0"/>
      <w:marRight w:val="0"/>
      <w:marTop w:val="0"/>
      <w:marBottom w:val="0"/>
      <w:divBdr>
        <w:top w:val="none" w:sz="0" w:space="0" w:color="auto"/>
        <w:left w:val="none" w:sz="0" w:space="0" w:color="auto"/>
        <w:bottom w:val="none" w:sz="0" w:space="0" w:color="auto"/>
        <w:right w:val="none" w:sz="0" w:space="0" w:color="auto"/>
      </w:divBdr>
    </w:div>
    <w:div w:id="1404257786">
      <w:bodyDiv w:val="1"/>
      <w:marLeft w:val="0"/>
      <w:marRight w:val="0"/>
      <w:marTop w:val="0"/>
      <w:marBottom w:val="0"/>
      <w:divBdr>
        <w:top w:val="none" w:sz="0" w:space="0" w:color="auto"/>
        <w:left w:val="none" w:sz="0" w:space="0" w:color="auto"/>
        <w:bottom w:val="none" w:sz="0" w:space="0" w:color="auto"/>
        <w:right w:val="none" w:sz="0" w:space="0" w:color="auto"/>
      </w:divBdr>
    </w:div>
    <w:div w:id="1743136034">
      <w:bodyDiv w:val="1"/>
      <w:marLeft w:val="0"/>
      <w:marRight w:val="0"/>
      <w:marTop w:val="0"/>
      <w:marBottom w:val="0"/>
      <w:divBdr>
        <w:top w:val="none" w:sz="0" w:space="0" w:color="auto"/>
        <w:left w:val="none" w:sz="0" w:space="0" w:color="auto"/>
        <w:bottom w:val="none" w:sz="0" w:space="0" w:color="auto"/>
        <w:right w:val="none" w:sz="0" w:space="0" w:color="auto"/>
      </w:divBdr>
    </w:div>
    <w:div w:id="1889369756">
      <w:bodyDiv w:val="1"/>
      <w:marLeft w:val="0"/>
      <w:marRight w:val="0"/>
      <w:marTop w:val="0"/>
      <w:marBottom w:val="0"/>
      <w:divBdr>
        <w:top w:val="none" w:sz="0" w:space="0" w:color="auto"/>
        <w:left w:val="none" w:sz="0" w:space="0" w:color="auto"/>
        <w:bottom w:val="none" w:sz="0" w:space="0" w:color="auto"/>
        <w:right w:val="none" w:sz="0" w:space="0" w:color="auto"/>
      </w:divBdr>
    </w:div>
    <w:div w:id="1890677670">
      <w:bodyDiv w:val="1"/>
      <w:marLeft w:val="0"/>
      <w:marRight w:val="0"/>
      <w:marTop w:val="0"/>
      <w:marBottom w:val="0"/>
      <w:divBdr>
        <w:top w:val="none" w:sz="0" w:space="0" w:color="auto"/>
        <w:left w:val="none" w:sz="0" w:space="0" w:color="auto"/>
        <w:bottom w:val="none" w:sz="0" w:space="0" w:color="auto"/>
        <w:right w:val="none" w:sz="0" w:space="0" w:color="auto"/>
      </w:divBdr>
    </w:div>
    <w:div w:id="1919904469">
      <w:bodyDiv w:val="1"/>
      <w:marLeft w:val="0"/>
      <w:marRight w:val="0"/>
      <w:marTop w:val="0"/>
      <w:marBottom w:val="0"/>
      <w:divBdr>
        <w:top w:val="none" w:sz="0" w:space="0" w:color="auto"/>
        <w:left w:val="none" w:sz="0" w:space="0" w:color="auto"/>
        <w:bottom w:val="none" w:sz="0" w:space="0" w:color="auto"/>
        <w:right w:val="none" w:sz="0" w:space="0" w:color="auto"/>
      </w:divBdr>
    </w:div>
    <w:div w:id="1931621193">
      <w:bodyDiv w:val="1"/>
      <w:marLeft w:val="0"/>
      <w:marRight w:val="0"/>
      <w:marTop w:val="0"/>
      <w:marBottom w:val="0"/>
      <w:divBdr>
        <w:top w:val="none" w:sz="0" w:space="0" w:color="auto"/>
        <w:left w:val="none" w:sz="0" w:space="0" w:color="auto"/>
        <w:bottom w:val="none" w:sz="0" w:space="0" w:color="auto"/>
        <w:right w:val="none" w:sz="0" w:space="0" w:color="auto"/>
      </w:divBdr>
      <w:divsChild>
        <w:div w:id="527135662">
          <w:marLeft w:val="0"/>
          <w:marRight w:val="0"/>
          <w:marTop w:val="0"/>
          <w:marBottom w:val="0"/>
          <w:divBdr>
            <w:top w:val="none" w:sz="0" w:space="0" w:color="auto"/>
            <w:left w:val="none" w:sz="0" w:space="0" w:color="auto"/>
            <w:bottom w:val="none" w:sz="0" w:space="0" w:color="auto"/>
            <w:right w:val="none" w:sz="0" w:space="0" w:color="auto"/>
          </w:divBdr>
          <w:divsChild>
            <w:div w:id="686298021">
              <w:marLeft w:val="0"/>
              <w:marRight w:val="0"/>
              <w:marTop w:val="0"/>
              <w:marBottom w:val="0"/>
              <w:divBdr>
                <w:top w:val="none" w:sz="0" w:space="0" w:color="auto"/>
                <w:left w:val="none" w:sz="0" w:space="0" w:color="auto"/>
                <w:bottom w:val="none" w:sz="0" w:space="0" w:color="auto"/>
                <w:right w:val="none" w:sz="0" w:space="0" w:color="auto"/>
              </w:divBdr>
              <w:divsChild>
                <w:div w:id="1625963041">
                  <w:marLeft w:val="0"/>
                  <w:marRight w:val="0"/>
                  <w:marTop w:val="0"/>
                  <w:marBottom w:val="0"/>
                  <w:divBdr>
                    <w:top w:val="none" w:sz="0" w:space="0" w:color="auto"/>
                    <w:left w:val="none" w:sz="0" w:space="0" w:color="auto"/>
                    <w:bottom w:val="none" w:sz="0" w:space="0" w:color="auto"/>
                    <w:right w:val="none" w:sz="0" w:space="0" w:color="auto"/>
                  </w:divBdr>
                  <w:divsChild>
                    <w:div w:id="881477816">
                      <w:marLeft w:val="0"/>
                      <w:marRight w:val="0"/>
                      <w:marTop w:val="0"/>
                      <w:marBottom w:val="0"/>
                      <w:divBdr>
                        <w:top w:val="none" w:sz="0" w:space="0" w:color="auto"/>
                        <w:left w:val="none" w:sz="0" w:space="0" w:color="auto"/>
                        <w:bottom w:val="none" w:sz="0" w:space="0" w:color="auto"/>
                        <w:right w:val="none" w:sz="0" w:space="0" w:color="auto"/>
                      </w:divBdr>
                      <w:divsChild>
                        <w:div w:id="779762533">
                          <w:marLeft w:val="0"/>
                          <w:marRight w:val="0"/>
                          <w:marTop w:val="0"/>
                          <w:marBottom w:val="0"/>
                          <w:divBdr>
                            <w:top w:val="none" w:sz="0" w:space="0" w:color="auto"/>
                            <w:left w:val="none" w:sz="0" w:space="0" w:color="auto"/>
                            <w:bottom w:val="none" w:sz="0" w:space="0" w:color="auto"/>
                            <w:right w:val="none" w:sz="0" w:space="0" w:color="auto"/>
                          </w:divBdr>
                          <w:divsChild>
                            <w:div w:id="907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822">
      <w:bodyDiv w:val="1"/>
      <w:marLeft w:val="0"/>
      <w:marRight w:val="0"/>
      <w:marTop w:val="0"/>
      <w:marBottom w:val="0"/>
      <w:divBdr>
        <w:top w:val="none" w:sz="0" w:space="0" w:color="auto"/>
        <w:left w:val="none" w:sz="0" w:space="0" w:color="auto"/>
        <w:bottom w:val="none" w:sz="0" w:space="0" w:color="auto"/>
        <w:right w:val="none" w:sz="0" w:space="0" w:color="auto"/>
      </w:divBdr>
    </w:div>
    <w:div w:id="2121794514">
      <w:bodyDiv w:val="1"/>
      <w:marLeft w:val="0"/>
      <w:marRight w:val="0"/>
      <w:marTop w:val="0"/>
      <w:marBottom w:val="0"/>
      <w:divBdr>
        <w:top w:val="none" w:sz="0" w:space="0" w:color="auto"/>
        <w:left w:val="none" w:sz="0" w:space="0" w:color="auto"/>
        <w:bottom w:val="none" w:sz="0" w:space="0" w:color="auto"/>
        <w:right w:val="none" w:sz="0" w:space="0" w:color="auto"/>
      </w:divBdr>
    </w:div>
    <w:div w:id="2145269496">
      <w:bodyDiv w:val="1"/>
      <w:marLeft w:val="300"/>
      <w:marRight w:val="0"/>
      <w:marTop w:val="0"/>
      <w:marBottom w:val="0"/>
      <w:divBdr>
        <w:top w:val="none" w:sz="0" w:space="0" w:color="auto"/>
        <w:left w:val="none" w:sz="0" w:space="0" w:color="auto"/>
        <w:bottom w:val="none" w:sz="0" w:space="0" w:color="auto"/>
        <w:right w:val="none" w:sz="0" w:space="0" w:color="auto"/>
      </w:divBdr>
      <w:divsChild>
        <w:div w:id="72897188">
          <w:marLeft w:val="0"/>
          <w:marRight w:val="0"/>
          <w:marTop w:val="0"/>
          <w:marBottom w:val="0"/>
          <w:divBdr>
            <w:top w:val="none" w:sz="0" w:space="0" w:color="auto"/>
            <w:left w:val="none" w:sz="0" w:space="0" w:color="auto"/>
            <w:bottom w:val="none" w:sz="0" w:space="0" w:color="auto"/>
            <w:right w:val="none" w:sz="0" w:space="0" w:color="auto"/>
          </w:divBdr>
          <w:divsChild>
            <w:div w:id="1187328207">
              <w:marLeft w:val="0"/>
              <w:marRight w:val="0"/>
              <w:marTop w:val="0"/>
              <w:marBottom w:val="0"/>
              <w:divBdr>
                <w:top w:val="none" w:sz="0" w:space="0" w:color="auto"/>
                <w:left w:val="none" w:sz="0" w:space="0" w:color="auto"/>
                <w:bottom w:val="none" w:sz="0" w:space="0" w:color="auto"/>
                <w:right w:val="none" w:sz="0" w:space="0" w:color="auto"/>
              </w:divBdr>
              <w:divsChild>
                <w:div w:id="1865249038">
                  <w:marLeft w:val="0"/>
                  <w:marRight w:val="0"/>
                  <w:marTop w:val="0"/>
                  <w:marBottom w:val="0"/>
                  <w:divBdr>
                    <w:top w:val="none" w:sz="0" w:space="0" w:color="auto"/>
                    <w:left w:val="none" w:sz="0" w:space="0" w:color="auto"/>
                    <w:bottom w:val="none" w:sz="0" w:space="0" w:color="auto"/>
                    <w:right w:val="none" w:sz="0" w:space="0" w:color="auto"/>
                  </w:divBdr>
                  <w:divsChild>
                    <w:div w:id="1040398236">
                      <w:marLeft w:val="0"/>
                      <w:marRight w:val="0"/>
                      <w:marTop w:val="0"/>
                      <w:marBottom w:val="0"/>
                      <w:divBdr>
                        <w:top w:val="none" w:sz="0" w:space="0" w:color="auto"/>
                        <w:left w:val="none" w:sz="0" w:space="0" w:color="auto"/>
                        <w:bottom w:val="none" w:sz="0" w:space="0" w:color="auto"/>
                        <w:right w:val="none" w:sz="0" w:space="0" w:color="auto"/>
                      </w:divBdr>
                      <w:divsChild>
                        <w:div w:id="2129078697">
                          <w:marLeft w:val="0"/>
                          <w:marRight w:val="0"/>
                          <w:marTop w:val="0"/>
                          <w:marBottom w:val="0"/>
                          <w:divBdr>
                            <w:top w:val="none" w:sz="0" w:space="0" w:color="auto"/>
                            <w:left w:val="none" w:sz="0" w:space="0" w:color="auto"/>
                            <w:bottom w:val="none" w:sz="0" w:space="0" w:color="auto"/>
                            <w:right w:val="none" w:sz="0" w:space="0" w:color="auto"/>
                          </w:divBdr>
                          <w:divsChild>
                            <w:div w:id="1089542893">
                              <w:marLeft w:val="0"/>
                              <w:marRight w:val="0"/>
                              <w:marTop w:val="0"/>
                              <w:marBottom w:val="0"/>
                              <w:divBdr>
                                <w:top w:val="none" w:sz="0" w:space="0" w:color="auto"/>
                                <w:left w:val="none" w:sz="0" w:space="0" w:color="auto"/>
                                <w:bottom w:val="none" w:sz="0" w:space="0" w:color="auto"/>
                                <w:right w:val="none" w:sz="0" w:space="0" w:color="auto"/>
                              </w:divBdr>
                              <w:divsChild>
                                <w:div w:id="921184097">
                                  <w:marLeft w:val="0"/>
                                  <w:marRight w:val="0"/>
                                  <w:marTop w:val="0"/>
                                  <w:marBottom w:val="0"/>
                                  <w:divBdr>
                                    <w:top w:val="none" w:sz="0" w:space="0" w:color="auto"/>
                                    <w:left w:val="none" w:sz="0" w:space="0" w:color="auto"/>
                                    <w:bottom w:val="none" w:sz="0" w:space="0" w:color="auto"/>
                                    <w:right w:val="none" w:sz="0" w:space="0" w:color="auto"/>
                                  </w:divBdr>
                                  <w:divsChild>
                                    <w:div w:id="1635796334">
                                      <w:marLeft w:val="0"/>
                                      <w:marRight w:val="0"/>
                                      <w:marTop w:val="0"/>
                                      <w:marBottom w:val="0"/>
                                      <w:divBdr>
                                        <w:top w:val="none" w:sz="0" w:space="0" w:color="auto"/>
                                        <w:left w:val="none" w:sz="0" w:space="0" w:color="auto"/>
                                        <w:bottom w:val="none" w:sz="0" w:space="0" w:color="auto"/>
                                        <w:right w:val="none" w:sz="0" w:space="0" w:color="auto"/>
                                      </w:divBdr>
                                      <w:divsChild>
                                        <w:div w:id="2016954332">
                                          <w:marLeft w:val="0"/>
                                          <w:marRight w:val="0"/>
                                          <w:marTop w:val="0"/>
                                          <w:marBottom w:val="0"/>
                                          <w:divBdr>
                                            <w:top w:val="none" w:sz="0" w:space="0" w:color="auto"/>
                                            <w:left w:val="none" w:sz="0" w:space="0" w:color="auto"/>
                                            <w:bottom w:val="none" w:sz="0" w:space="0" w:color="auto"/>
                                            <w:right w:val="none" w:sz="0" w:space="0" w:color="auto"/>
                                          </w:divBdr>
                                          <w:divsChild>
                                            <w:div w:id="1221134827">
                                              <w:marLeft w:val="0"/>
                                              <w:marRight w:val="0"/>
                                              <w:marTop w:val="0"/>
                                              <w:marBottom w:val="0"/>
                                              <w:divBdr>
                                                <w:top w:val="none" w:sz="0" w:space="0" w:color="auto"/>
                                                <w:left w:val="none" w:sz="0" w:space="0" w:color="auto"/>
                                                <w:bottom w:val="none" w:sz="0" w:space="0" w:color="auto"/>
                                                <w:right w:val="none" w:sz="0" w:space="0" w:color="auto"/>
                                              </w:divBdr>
                                              <w:divsChild>
                                                <w:div w:id="1506549837">
                                                  <w:marLeft w:val="0"/>
                                                  <w:marRight w:val="0"/>
                                                  <w:marTop w:val="0"/>
                                                  <w:marBottom w:val="0"/>
                                                  <w:divBdr>
                                                    <w:top w:val="none" w:sz="0" w:space="0" w:color="auto"/>
                                                    <w:left w:val="none" w:sz="0" w:space="0" w:color="auto"/>
                                                    <w:bottom w:val="none" w:sz="0" w:space="0" w:color="auto"/>
                                                    <w:right w:val="none" w:sz="0" w:space="0" w:color="auto"/>
                                                  </w:divBdr>
                                                  <w:divsChild>
                                                    <w:div w:id="1413547685">
                                                      <w:marLeft w:val="0"/>
                                                      <w:marRight w:val="0"/>
                                                      <w:marTop w:val="0"/>
                                                      <w:marBottom w:val="0"/>
                                                      <w:divBdr>
                                                        <w:top w:val="none" w:sz="0" w:space="0" w:color="auto"/>
                                                        <w:left w:val="none" w:sz="0" w:space="0" w:color="auto"/>
                                                        <w:bottom w:val="none" w:sz="0" w:space="0" w:color="auto"/>
                                                        <w:right w:val="none" w:sz="0" w:space="0" w:color="auto"/>
                                                      </w:divBdr>
                                                    </w:div>
                                                    <w:div w:id="1936282422">
                                                      <w:marLeft w:val="0"/>
                                                      <w:marRight w:val="0"/>
                                                      <w:marTop w:val="0"/>
                                                      <w:marBottom w:val="0"/>
                                                      <w:divBdr>
                                                        <w:top w:val="none" w:sz="0" w:space="0" w:color="auto"/>
                                                        <w:left w:val="none" w:sz="0" w:space="0" w:color="auto"/>
                                                        <w:bottom w:val="none" w:sz="0" w:space="0" w:color="auto"/>
                                                        <w:right w:val="none" w:sz="0" w:space="0" w:color="auto"/>
                                                      </w:divBdr>
                                                    </w:div>
                                                    <w:div w:id="1326085211">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jksoverheid.n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ijksoverheid.nl" TargetMode="External"/><Relationship Id="rId1" Type="http://schemas.openxmlformats.org/officeDocument/2006/relationships/hyperlink" Target="http://www.rijksoverhei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8706-2A2B-4C3F-8F24-E44D9166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56</Pages>
  <Words>19914</Words>
  <Characters>109533</Characters>
  <Application>Microsoft Office Word</Application>
  <DocSecurity>0</DocSecurity>
  <Lines>912</Lines>
  <Paragraphs>258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Devilee</dc:creator>
  <cp:lastModifiedBy>Kirsten Devilee</cp:lastModifiedBy>
  <cp:revision>35</cp:revision>
  <cp:lastPrinted>2016-05-24T14:59:00Z</cp:lastPrinted>
  <dcterms:created xsi:type="dcterms:W3CDTF">2016-05-24T19:59:00Z</dcterms:created>
  <dcterms:modified xsi:type="dcterms:W3CDTF">2016-05-25T15:41:00Z</dcterms:modified>
</cp:coreProperties>
</file>