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DB3B36" w14:textId="08CD2002" w:rsidR="004B4801" w:rsidRPr="00FF4D4B" w:rsidRDefault="009D2422" w:rsidP="004B4801">
      <w:pPr>
        <w:jc w:val="center"/>
        <w:rPr>
          <w:rFonts w:cs="Times New Roman"/>
        </w:rPr>
      </w:pPr>
      <w:bookmarkStart w:id="0" w:name="_GoBack"/>
      <w:bookmarkEnd w:id="0"/>
      <w:r w:rsidRPr="00FF4D4B">
        <w:rPr>
          <w:rFonts w:cs="Times New Roman"/>
          <w:noProof/>
        </w:rPr>
        <mc:AlternateContent>
          <mc:Choice Requires="wps">
            <w:drawing>
              <wp:anchor distT="0" distB="0" distL="114300" distR="114300" simplePos="0" relativeHeight="251663360" behindDoc="0" locked="0" layoutInCell="1" allowOverlap="1" wp14:anchorId="2C23A617" wp14:editId="58E73980">
                <wp:simplePos x="0" y="0"/>
                <wp:positionH relativeFrom="column">
                  <wp:posOffset>800100</wp:posOffset>
                </wp:positionH>
                <wp:positionV relativeFrom="paragraph">
                  <wp:posOffset>-800100</wp:posOffset>
                </wp:positionV>
                <wp:extent cx="4163695" cy="892810"/>
                <wp:effectExtent l="0" t="0" r="1905" b="0"/>
                <wp:wrapNone/>
                <wp:docPr id="4" name="Text Box 4"/>
                <wp:cNvGraphicFramePr/>
                <a:graphic xmlns:a="http://schemas.openxmlformats.org/drawingml/2006/main">
                  <a:graphicData uri="http://schemas.microsoft.com/office/word/2010/wordprocessingShape">
                    <wps:wsp>
                      <wps:cNvSpPr txBox="1"/>
                      <wps:spPr>
                        <a:xfrm>
                          <a:off x="0" y="0"/>
                          <a:ext cx="4163695" cy="8928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8DBFA6C" w14:textId="77777777" w:rsidR="007E6AF9" w:rsidRPr="001412D9" w:rsidRDefault="007E6AF9" w:rsidP="004B4801">
                            <w:pPr>
                              <w:jc w:val="center"/>
                              <w:rPr>
                                <w:rFonts w:ascii="Segoe UI Light" w:hAnsi="Segoe UI Light"/>
                                <w:noProof/>
                                <w:sz w:val="72"/>
                                <w:szCs w:val="72"/>
                                <w14:textOutline w14:w="8890" w14:cap="flat" w14:cmpd="sng" w14:algn="ctr">
                                  <w14:noFill/>
                                  <w14:prstDash w14:val="solid"/>
                                  <w14:miter w14:lim="0"/>
                                </w14:textOutline>
                              </w:rPr>
                            </w:pPr>
                            <w:r w:rsidRPr="001412D9">
                              <w:rPr>
                                <w:rFonts w:ascii="Segoe UI Light" w:hAnsi="Segoe UI Light"/>
                                <w:noProof/>
                                <w:sz w:val="72"/>
                                <w:szCs w:val="72"/>
                                <w14:textOutline w14:w="8890" w14:cap="flat" w14:cmpd="sng" w14:algn="ctr">
                                  <w14:noFill/>
                                  <w14:prstDash w14:val="solid"/>
                                  <w14:miter w14:lim="0"/>
                                </w14:textOutline>
                              </w:rPr>
                              <w:t>BACHELOR THESIS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23A617" id="_x0000_t202" coordsize="21600,21600" o:spt="202" path="m,l,21600r21600,l21600,xe">
                <v:stroke joinstyle="miter"/>
                <v:path gradientshapeok="t" o:connecttype="rect"/>
              </v:shapetype>
              <v:shape id="Text Box 4" o:spid="_x0000_s1026" type="#_x0000_t202" style="position:absolute;left:0;text-align:left;margin-left:63pt;margin-top:-63pt;width:327.85pt;height:70.3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" fillcolor="white [3201]" stroked="f" strokeweight="2pt">
                <v:textbox>
                  <w:txbxContent>
                    <w:p w14:paraId="48DBFA6C" w14:textId="77777777" w:rsidR="007E6AF9" w:rsidRPr="001412D9" w:rsidRDefault="007E6AF9" w:rsidP="004B4801">
                      <w:pPr>
                        <w:jc w:val="center"/>
                        <w:rPr>
                          <w:rFonts w:ascii="Segoe UI Light" w:hAnsi="Segoe UI Light"/>
                          <w:noProof/>
                          <w:sz w:val="72"/>
                          <w:szCs w:val="72"/>
                          <w14:textOutline w14:w="8890" w14:cap="flat" w14:cmpd="sng" w14:algn="ctr">
                            <w14:noFill/>
                            <w14:prstDash w14:val="solid"/>
                            <w14:miter w14:lim="0"/>
                          </w14:textOutline>
                        </w:rPr>
                      </w:pPr>
                      <w:r w:rsidRPr="001412D9">
                        <w:rPr>
                          <w:rFonts w:ascii="Segoe UI Light" w:hAnsi="Segoe UI Light"/>
                          <w:noProof/>
                          <w:sz w:val="72"/>
                          <w:szCs w:val="72"/>
                          <w14:textOutline w14:w="8890" w14:cap="flat" w14:cmpd="sng" w14:algn="ctr">
                            <w14:noFill/>
                            <w14:prstDash w14:val="solid"/>
                            <w14:miter w14:lim="0"/>
                          </w14:textOutline>
                        </w:rPr>
                        <w:t>BACHELOR THESIS</w:t>
                      </w:r>
                    </w:p>
                  </w:txbxContent>
                </v:textbox>
              </v:shape>
            </w:pict>
          </mc:Fallback>
        </mc:AlternateContent>
      </w:r>
      <w:r w:rsidR="00391177" w:rsidRPr="00FF4D4B">
        <w:rPr>
          <w:rFonts w:cs="Times New Roman"/>
          <w:noProof/>
        </w:rPr>
        <w:drawing>
          <wp:anchor distT="0" distB="0" distL="114300" distR="114300" simplePos="0" relativeHeight="251662336" behindDoc="1" locked="0" layoutInCell="1" allowOverlap="1" wp14:anchorId="2A16386A" wp14:editId="40519723">
            <wp:simplePos x="0" y="0"/>
            <wp:positionH relativeFrom="column">
              <wp:posOffset>-1257300</wp:posOffset>
            </wp:positionH>
            <wp:positionV relativeFrom="paragraph">
              <wp:posOffset>228600</wp:posOffset>
            </wp:positionV>
            <wp:extent cx="8001000" cy="8001000"/>
            <wp:effectExtent l="0" t="0" r="0" b="0"/>
            <wp:wrapNone/>
            <wp:docPr id="3" name="Picture 3" descr="http://images0.tcdn.nl/incoming/article21291210.ece/ALTERNATES/sectionImage1500x1500/Beursple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0.tcdn.nl/incoming/article21291210.ece/ALTERNATES/sectionImage1500x1500/Beursplein+5.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a:ext>
                      </a:extLst>
                    </a:blip>
                    <a:srcRect/>
                    <a:stretch>
                      <a:fillRect/>
                    </a:stretch>
                  </pic:blipFill>
                  <pic:spPr bwMode="auto">
                    <a:xfrm>
                      <a:off x="0" y="0"/>
                      <a:ext cx="8001000"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B347A" w14:textId="77777777" w:rsidR="001D30C3" w:rsidRPr="00FF4D4B" w:rsidRDefault="001D30C3">
      <w:pPr>
        <w:rPr>
          <w:rFonts w:cs="Times New Roman"/>
        </w:rPr>
      </w:pPr>
    </w:p>
    <w:p w14:paraId="0F98E618" w14:textId="77777777" w:rsidR="001D30C3" w:rsidRPr="00FF4D4B" w:rsidRDefault="00796D1C">
      <w:pPr>
        <w:rPr>
          <w:rFonts w:cs="Times New Roman"/>
        </w:rPr>
      </w:pPr>
      <w:r w:rsidRPr="00FF4D4B">
        <w:rPr>
          <w:rFonts w:cs="Times New Roman"/>
          <w:noProof/>
          <w:color w:val="757575"/>
          <w:sz w:val="23"/>
          <w:szCs w:val="23"/>
        </w:rPr>
        <w:drawing>
          <wp:anchor distT="0" distB="0" distL="114300" distR="114300" simplePos="0" relativeHeight="251669504" behindDoc="0" locked="0" layoutInCell="1" allowOverlap="1" wp14:anchorId="6F541902" wp14:editId="085049CE">
            <wp:simplePos x="0" y="0"/>
            <wp:positionH relativeFrom="column">
              <wp:posOffset>2289175</wp:posOffset>
            </wp:positionH>
            <wp:positionV relativeFrom="paragraph">
              <wp:posOffset>182215</wp:posOffset>
            </wp:positionV>
            <wp:extent cx="1020445" cy="492125"/>
            <wp:effectExtent l="0" t="0" r="8255" b="3175"/>
            <wp:wrapNone/>
            <wp:docPr id="8" name="Picture 8" descr="http://www.issgovernance.com/file/2014/05/i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sgovernance.com/file/2014/05/iss-logo.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2044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FDBEA" w14:textId="77777777" w:rsidR="001D30C3" w:rsidRPr="00FF4D4B" w:rsidRDefault="001D30C3">
      <w:pPr>
        <w:rPr>
          <w:rFonts w:cs="Times New Roman"/>
        </w:rPr>
      </w:pPr>
    </w:p>
    <w:p w14:paraId="16649EDD" w14:textId="77777777" w:rsidR="001D30C3" w:rsidRPr="00FF4D4B" w:rsidRDefault="001D30C3">
      <w:pPr>
        <w:rPr>
          <w:rFonts w:cs="Times New Roman"/>
        </w:rPr>
      </w:pPr>
    </w:p>
    <w:p w14:paraId="2D2F4BB1" w14:textId="77777777" w:rsidR="001D30C3" w:rsidRPr="00FF4D4B" w:rsidRDefault="001D30C3">
      <w:pPr>
        <w:rPr>
          <w:rFonts w:cs="Times New Roman"/>
        </w:rPr>
      </w:pPr>
    </w:p>
    <w:p w14:paraId="0A77A31D" w14:textId="77777777" w:rsidR="001D30C3" w:rsidRPr="00FF4D4B" w:rsidRDefault="001D30C3">
      <w:pPr>
        <w:rPr>
          <w:rFonts w:cs="Times New Roman"/>
        </w:rPr>
      </w:pPr>
    </w:p>
    <w:p w14:paraId="7F4D9FFF" w14:textId="77777777" w:rsidR="000E7E05" w:rsidRPr="00FF4D4B" w:rsidRDefault="000E7E05" w:rsidP="000E7E05">
      <w:pPr>
        <w:rPr>
          <w:rFonts w:cs="Times New Roman"/>
          <w:color w:val="FFFFFF" w:themeColor="background1"/>
          <w:sz w:val="40"/>
          <w14:shadow w14:blurRad="63500" w14:dist="0" w14:dir="3600000" w14:sx="100000" w14:sy="100000" w14:kx="0" w14:ky="0" w14:algn="tl">
            <w14:srgbClr w14:val="000000">
              <w14:alpha w14:val="30000"/>
            </w14:srgbClr>
          </w14:shadow>
          <w14:textOutline w14:w="3175" w14:cap="flat" w14:cmpd="sng" w14:algn="ctr">
            <w14:solidFill>
              <w14:schemeClr w14:val="tx2">
                <w14:lumMod w14:val="50000"/>
              </w14:schemeClr>
            </w14:solidFill>
            <w14:prstDash w14:val="solid"/>
            <w14:round/>
          </w14:textOutline>
        </w:rPr>
      </w:pPr>
    </w:p>
    <w:p w14:paraId="5FFFF3FE" w14:textId="77777777" w:rsidR="000E7E05" w:rsidRPr="00FF4D4B" w:rsidRDefault="000E7E05" w:rsidP="000E7E05">
      <w:pPr>
        <w:rPr>
          <w:rFonts w:cs="Times New Roman"/>
          <w:color w:val="FFFFFF" w:themeColor="background1"/>
          <w:sz w:val="40"/>
          <w14:shadow w14:blurRad="63500" w14:dist="0" w14:dir="3600000" w14:sx="100000" w14:sy="100000" w14:kx="0" w14:ky="0" w14:algn="tl">
            <w14:srgbClr w14:val="000000">
              <w14:alpha w14:val="30000"/>
            </w14:srgbClr>
          </w14:shadow>
          <w14:textOutline w14:w="3175" w14:cap="flat" w14:cmpd="sng" w14:algn="ctr">
            <w14:solidFill>
              <w14:schemeClr w14:val="tx2">
                <w14:lumMod w14:val="50000"/>
              </w14:schemeClr>
            </w14:solidFill>
            <w14:prstDash w14:val="solid"/>
            <w14:round/>
          </w14:textOutline>
        </w:rPr>
      </w:pPr>
    </w:p>
    <w:p w14:paraId="001B3B4A" w14:textId="794048F0" w:rsidR="004B4801" w:rsidRPr="00FF4D4B" w:rsidRDefault="004B4801" w:rsidP="000E7E05">
      <w:pPr>
        <w:jc w:val="center"/>
        <w:rPr>
          <w:rFonts w:cs="Times New Roman"/>
          <w:color w:val="FFFFFF" w:themeColor="background1"/>
          <w:sz w:val="40"/>
          <w14:shadow w14:blurRad="63500" w14:dist="0" w14:dir="3600000" w14:sx="100000" w14:sy="100000" w14:kx="0" w14:ky="0" w14:algn="tl">
            <w14:srgbClr w14:val="000000">
              <w14:alpha w14:val="30000"/>
            </w14:srgbClr>
          </w14:shadow>
          <w14:textOutline w14:w="3175" w14:cap="flat" w14:cmpd="sng" w14:algn="ctr">
            <w14:solidFill>
              <w14:schemeClr w14:val="tx2">
                <w14:lumMod w14:val="50000"/>
              </w14:schemeClr>
            </w14:solidFill>
            <w14:prstDash w14:val="solid"/>
            <w14:round/>
          </w14:textOutline>
        </w:rPr>
      </w:pPr>
      <w:r w:rsidRPr="00FF4D4B">
        <w:rPr>
          <w:rFonts w:cs="Times New Roman"/>
          <w:color w:val="FFFFFF" w:themeColor="background1"/>
          <w:sz w:val="40"/>
          <w14:shadow w14:blurRad="63500" w14:dist="0" w14:dir="3600000" w14:sx="100000" w14:sy="100000" w14:kx="0" w14:ky="0" w14:algn="tl">
            <w14:srgbClr w14:val="000000">
              <w14:alpha w14:val="30000"/>
            </w14:srgbClr>
          </w14:shadow>
          <w14:textOutline w14:w="3175" w14:cap="flat" w14:cmpd="sng" w14:algn="ctr">
            <w14:solidFill>
              <w14:schemeClr w14:val="tx2">
                <w14:lumMod w14:val="50000"/>
              </w14:schemeClr>
            </w14:solidFill>
            <w14:prstDash w14:val="solid"/>
            <w14:round/>
          </w14:textOutline>
        </w:rPr>
        <w:t>Change-in-Control Provision and Shareholder Value in the Dutch Market</w:t>
      </w:r>
    </w:p>
    <w:p w14:paraId="323B0E15" w14:textId="77777777" w:rsidR="000E7E05" w:rsidRPr="00FF4D4B" w:rsidRDefault="000E7E05" w:rsidP="000E7E05">
      <w:pPr>
        <w:jc w:val="center"/>
        <w:rPr>
          <w:rFonts w:cs="Times New Roman"/>
          <w:color w:val="FFFFFF" w:themeColor="background1"/>
          <w:sz w:val="40"/>
          <w14:shadow w14:blurRad="63500" w14:dist="0" w14:dir="3600000" w14:sx="100000" w14:sy="100000" w14:kx="0" w14:ky="0" w14:algn="tl">
            <w14:srgbClr w14:val="000000">
              <w14:alpha w14:val="30000"/>
            </w14:srgbClr>
          </w14:shadow>
          <w14:textOutline w14:w="3175" w14:cap="flat" w14:cmpd="sng" w14:algn="ctr">
            <w14:solidFill>
              <w14:schemeClr w14:val="tx2">
                <w14:lumMod w14:val="50000"/>
              </w14:schemeClr>
            </w14:solidFill>
            <w14:prstDash w14:val="solid"/>
            <w14:round/>
          </w14:textOutline>
        </w:rPr>
      </w:pPr>
    </w:p>
    <w:p w14:paraId="2FBE45A6" w14:textId="77777777" w:rsidR="004B4801" w:rsidRPr="00FF4D4B" w:rsidRDefault="004B4801">
      <w:pPr>
        <w:spacing w:before="0" w:after="200" w:line="276" w:lineRule="auto"/>
        <w:rPr>
          <w:rFonts w:cs="Times New Roman"/>
        </w:rPr>
      </w:pPr>
    </w:p>
    <w:p w14:paraId="3182BAE3" w14:textId="77777777" w:rsidR="004B4801" w:rsidRPr="00FF4D4B" w:rsidRDefault="004B4801">
      <w:pPr>
        <w:spacing w:before="0" w:after="200" w:line="276" w:lineRule="auto"/>
        <w:rPr>
          <w:rFonts w:cs="Times New Roman"/>
        </w:rPr>
      </w:pPr>
    </w:p>
    <w:p w14:paraId="7F48668F" w14:textId="77777777" w:rsidR="004B4801" w:rsidRPr="00FF4D4B" w:rsidRDefault="004B4801">
      <w:pPr>
        <w:spacing w:before="0" w:after="200" w:line="276" w:lineRule="auto"/>
        <w:rPr>
          <w:rFonts w:cs="Times New Roman"/>
        </w:rPr>
      </w:pPr>
    </w:p>
    <w:p w14:paraId="179382D3" w14:textId="77777777" w:rsidR="004B4801" w:rsidRPr="00FF4D4B" w:rsidRDefault="004B4801">
      <w:pPr>
        <w:spacing w:before="0" w:after="200" w:line="276" w:lineRule="auto"/>
        <w:rPr>
          <w:rFonts w:cs="Times New Roman"/>
        </w:rPr>
      </w:pPr>
    </w:p>
    <w:p w14:paraId="110E8A55" w14:textId="000F97F3" w:rsidR="004B4801" w:rsidRPr="00FF4D4B" w:rsidRDefault="004B4801">
      <w:pPr>
        <w:spacing w:before="0" w:after="200" w:line="276" w:lineRule="auto"/>
        <w:rPr>
          <w:rFonts w:cs="Times New Roman"/>
        </w:rPr>
      </w:pPr>
    </w:p>
    <w:p w14:paraId="08E1B678" w14:textId="77777777" w:rsidR="00B44A7B" w:rsidRPr="00FF4D4B" w:rsidRDefault="004B4801">
      <w:pPr>
        <w:spacing w:before="0" w:after="200" w:line="276" w:lineRule="auto"/>
        <w:rPr>
          <w:rFonts w:cs="Times New Roman"/>
        </w:rPr>
      </w:pPr>
      <w:r w:rsidRPr="00FF4D4B">
        <w:rPr>
          <w:rFonts w:cs="Times New Roman"/>
        </w:rPr>
        <w:tab/>
      </w:r>
      <w:r w:rsidRPr="00FF4D4B">
        <w:rPr>
          <w:rFonts w:cs="Times New Roman"/>
        </w:rPr>
        <w:tab/>
      </w:r>
      <w:r w:rsidRPr="00FF4D4B">
        <w:rPr>
          <w:rFonts w:cs="Times New Roman"/>
        </w:rPr>
        <w:tab/>
      </w:r>
    </w:p>
    <w:p w14:paraId="6A96D3C5" w14:textId="77777777" w:rsidR="00B44A7B" w:rsidRPr="00FF4D4B" w:rsidRDefault="00B44A7B">
      <w:pPr>
        <w:spacing w:before="0" w:after="200" w:line="276" w:lineRule="auto"/>
        <w:rPr>
          <w:rFonts w:cs="Times New Roman"/>
        </w:rPr>
      </w:pPr>
    </w:p>
    <w:p w14:paraId="37470C07" w14:textId="77777777" w:rsidR="00B44A7B" w:rsidRPr="00FF4D4B" w:rsidRDefault="00B44A7B">
      <w:pPr>
        <w:spacing w:before="0" w:after="200" w:line="276" w:lineRule="auto"/>
        <w:rPr>
          <w:rFonts w:cs="Times New Roman"/>
        </w:rPr>
      </w:pPr>
    </w:p>
    <w:p w14:paraId="3BA52BC1" w14:textId="77777777" w:rsidR="00B44A7B" w:rsidRPr="00FF4D4B" w:rsidRDefault="00B44A7B">
      <w:pPr>
        <w:spacing w:before="0" w:after="200" w:line="276" w:lineRule="auto"/>
        <w:rPr>
          <w:rFonts w:cs="Times New Roman"/>
        </w:rPr>
      </w:pPr>
    </w:p>
    <w:p w14:paraId="4A8C6254" w14:textId="77777777" w:rsidR="00B44A7B" w:rsidRPr="00FF4D4B" w:rsidRDefault="00B44A7B">
      <w:pPr>
        <w:spacing w:before="0" w:after="200" w:line="276" w:lineRule="auto"/>
        <w:rPr>
          <w:rFonts w:cs="Times New Roman"/>
        </w:rPr>
      </w:pPr>
    </w:p>
    <w:p w14:paraId="06A51AD8" w14:textId="77777777" w:rsidR="00B44A7B" w:rsidRPr="00FF4D4B" w:rsidRDefault="00B44A7B">
      <w:pPr>
        <w:spacing w:before="0" w:after="200" w:line="276" w:lineRule="auto"/>
        <w:rPr>
          <w:rFonts w:cs="Times New Roman"/>
        </w:rPr>
      </w:pPr>
    </w:p>
    <w:p w14:paraId="75DDA2C3" w14:textId="2355F325" w:rsidR="004B4801" w:rsidRPr="00FF4D4B" w:rsidRDefault="00B44A7B" w:rsidP="002B1FD0">
      <w:pPr>
        <w:spacing w:before="0" w:after="200" w:line="276" w:lineRule="auto"/>
        <w:rPr>
          <w:rFonts w:cs="Times New Roman"/>
        </w:rPr>
      </w:pPr>
      <w:r w:rsidRPr="00FF4D4B">
        <w:rPr>
          <w:rFonts w:cs="Times New Roman"/>
          <w:noProof/>
          <w:sz w:val="20"/>
          <w:szCs w:val="20"/>
        </w:rPr>
        <w:drawing>
          <wp:anchor distT="0" distB="0" distL="114300" distR="114300" simplePos="0" relativeHeight="251667456" behindDoc="1" locked="0" layoutInCell="1" allowOverlap="1" wp14:anchorId="73B49DD8" wp14:editId="20463B83">
            <wp:simplePos x="0" y="0"/>
            <wp:positionH relativeFrom="column">
              <wp:posOffset>4686300</wp:posOffset>
            </wp:positionH>
            <wp:positionV relativeFrom="paragraph">
              <wp:posOffset>191770</wp:posOffset>
            </wp:positionV>
            <wp:extent cx="1849755" cy="794385"/>
            <wp:effectExtent l="0" t="0" r="4445" b="0"/>
            <wp:wrapNone/>
            <wp:docPr id="6" name="Picture 6" descr="C:\Users\kuipluu\Documents\Thesis\Miscellaneous\H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ipluu\Documents\Thesis\Miscellaneous\HU Logo.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a:ext>
                      </a:extLst>
                    </a:blip>
                    <a:srcRect/>
                    <a:stretch>
                      <a:fillRect/>
                    </a:stretch>
                  </pic:blipFill>
                  <pic:spPr bwMode="auto">
                    <a:xfrm>
                      <a:off x="0" y="0"/>
                      <a:ext cx="184975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D4B">
        <w:rPr>
          <w:rFonts w:eastAsia="Times New Roman" w:cs="Times New Roman"/>
          <w:noProof/>
          <w:szCs w:val="24"/>
        </w:rPr>
        <w:drawing>
          <wp:anchor distT="0" distB="0" distL="114300" distR="114300" simplePos="0" relativeHeight="251665408" behindDoc="0" locked="0" layoutInCell="1" allowOverlap="1" wp14:anchorId="0B2C22DB" wp14:editId="5420675F">
            <wp:simplePos x="0" y="0"/>
            <wp:positionH relativeFrom="column">
              <wp:posOffset>-800100</wp:posOffset>
            </wp:positionH>
            <wp:positionV relativeFrom="paragraph">
              <wp:posOffset>240030</wp:posOffset>
            </wp:positionV>
            <wp:extent cx="1509395" cy="1136015"/>
            <wp:effectExtent l="0" t="0" r="0" b="0"/>
            <wp:wrapNone/>
            <wp:docPr id="5" name="Picture 5" descr="Macintosh HD:Users:Luukkuiper:Documents:School:Year 4:Internship:Research proposal:Miscellaneous:ISS MS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ukkuiper:Documents:School:Year 4:Internship:Research proposal:Miscellaneous:ISS MSCI 2.jpg"/>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1594" b="100000" l="0" r="100000">
                                  <a14:foregroundMark x1="10511" y1="30279" x2="10511" y2="30279"/>
                                </a14:backgroundRemoval>
                              </a14:imgEffect>
                              <a14:imgEffect>
                                <a14:colorTemperature colorTemp="4700"/>
                              </a14:imgEffect>
                              <a14:imgEffect>
                                <a14:saturation sat="33000"/>
                              </a14:imgEffect>
                            </a14:imgLayer>
                          </a14:imgProps>
                        </a:ext>
                        <a:ext uri="{28A0092B-C50C-407E-A947-70E740481C1C}">
                          <a14:useLocalDpi xmlns:a14="http://schemas.microsoft.com/office/drawing/2010/main"/>
                        </a:ext>
                      </a:extLst>
                    </a:blip>
                    <a:srcRect/>
                    <a:stretch>
                      <a:fillRect/>
                    </a:stretch>
                  </pic:blipFill>
                  <pic:spPr bwMode="auto">
                    <a:xfrm>
                      <a:off x="0" y="0"/>
                      <a:ext cx="150939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338" w:rsidRPr="00FF4D4B">
        <w:rPr>
          <w:rFonts w:cs="Times New Roman"/>
        </w:rPr>
        <w:tab/>
      </w:r>
      <w:r w:rsidR="008A0338" w:rsidRPr="00FF4D4B">
        <w:rPr>
          <w:rFonts w:cs="Times New Roman"/>
        </w:rPr>
        <w:tab/>
      </w:r>
      <w:r w:rsidR="004B4801" w:rsidRPr="00FF4D4B">
        <w:rPr>
          <w:rFonts w:cs="Times New Roman"/>
        </w:rPr>
        <w:t>By Luuk Kuiper</w:t>
      </w:r>
    </w:p>
    <w:p w14:paraId="52BA0268" w14:textId="77777777" w:rsidR="00595DE7" w:rsidRPr="00FF4D4B" w:rsidRDefault="00595DE7">
      <w:pPr>
        <w:spacing w:before="0" w:after="200" w:line="276" w:lineRule="auto"/>
        <w:rPr>
          <w:rFonts w:cs="Times New Roman"/>
        </w:rPr>
        <w:sectPr w:rsidR="00595DE7" w:rsidRPr="00FF4D4B" w:rsidSect="00595DE7">
          <w:footerReference w:type="default" r:id="rId18"/>
          <w:pgSz w:w="11906" w:h="16838"/>
          <w:pgMar w:top="1417" w:right="1417" w:bottom="1417" w:left="1417" w:header="708" w:footer="708" w:gutter="0"/>
          <w:pgNumType w:start="2"/>
          <w:cols w:space="708"/>
          <w:titlePg/>
          <w:docGrid w:linePitch="360"/>
        </w:sectPr>
      </w:pPr>
    </w:p>
    <w:p w14:paraId="44FB3B74" w14:textId="77777777" w:rsidR="00595DE7" w:rsidRPr="00FF4D4B" w:rsidRDefault="00C86175">
      <w:pPr>
        <w:spacing w:before="0" w:after="200" w:line="276" w:lineRule="auto"/>
        <w:rPr>
          <w:rFonts w:cs="Times New Roman"/>
        </w:rPr>
      </w:pPr>
      <w:r w:rsidRPr="00FF4D4B">
        <w:rPr>
          <w:rFonts w:eastAsia="Times New Roman" w:cs="Times New Roman"/>
          <w:noProof/>
          <w:szCs w:val="24"/>
        </w:rPr>
        <w:lastRenderedPageBreak/>
        <w:drawing>
          <wp:anchor distT="0" distB="0" distL="114300" distR="114300" simplePos="0" relativeHeight="251660288" behindDoc="0" locked="0" layoutInCell="1" allowOverlap="1" wp14:anchorId="0B7615FD" wp14:editId="4C36497A">
            <wp:simplePos x="0" y="0"/>
            <wp:positionH relativeFrom="column">
              <wp:posOffset>1878330</wp:posOffset>
            </wp:positionH>
            <wp:positionV relativeFrom="paragraph">
              <wp:posOffset>159385</wp:posOffset>
            </wp:positionV>
            <wp:extent cx="1847850" cy="1390650"/>
            <wp:effectExtent l="0" t="0" r="0" b="0"/>
            <wp:wrapNone/>
            <wp:docPr id="2" name="Picture 2" descr="Macintosh HD:Users:Luukkuiper:Documents:School:Year 4:Internship:Research proposal:Miscellaneous:ISS MS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ukkuiper:Documents:School:Year 4:Internship:Research proposal:Miscellaneous:ISS MSCI 2.jpg"/>
                    <pic:cNvPicPr>
                      <a:picLocks noChangeAspect="1" noChangeArrowheads="1"/>
                    </pic:cNvPicPr>
                  </pic:nvPicPr>
                  <pic:blipFill>
                    <a:blip r:embed="rId19">
                      <a:extLst>
                        <a:ext uri="{BEBA8EAE-BF5A-486C-A8C5-ECC9F3942E4B}">
                          <a14:imgProps xmlns:a14="http://schemas.microsoft.com/office/drawing/2010/main">
                            <a14:imgLayer r:embed="rId17">
                              <a14:imgEffect>
                                <a14:backgroundRemoval t="1594" b="100000" l="0" r="100000">
                                  <a14:foregroundMark x1="10511" y1="30279" x2="10511" y2="30279"/>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8478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4ABA7" w14:textId="77777777" w:rsidR="003C647E" w:rsidRPr="00FF4D4B" w:rsidRDefault="003C647E">
      <w:pPr>
        <w:rPr>
          <w:rFonts w:cs="Times New Roman"/>
        </w:rPr>
      </w:pPr>
    </w:p>
    <w:p w14:paraId="1ADA0FB2" w14:textId="77777777" w:rsidR="00A20867" w:rsidRPr="00FF4D4B" w:rsidRDefault="00A20867">
      <w:pPr>
        <w:rPr>
          <w:rFonts w:cs="Times New Roman"/>
        </w:rPr>
      </w:pPr>
    </w:p>
    <w:p w14:paraId="3A98D40A" w14:textId="77777777" w:rsidR="003C647E" w:rsidRPr="00FF4D4B" w:rsidRDefault="003C647E">
      <w:pPr>
        <w:rPr>
          <w:rFonts w:cs="Times New Roman"/>
        </w:rPr>
      </w:pPr>
    </w:p>
    <w:p w14:paraId="140B5C33" w14:textId="77777777" w:rsidR="003C647E" w:rsidRPr="00FF4D4B" w:rsidRDefault="00C86175" w:rsidP="003C647E">
      <w:pPr>
        <w:jc w:val="center"/>
        <w:rPr>
          <w:rFonts w:cs="Times New Roman"/>
        </w:rPr>
      </w:pPr>
      <w:r w:rsidRPr="00FF4D4B">
        <w:rPr>
          <w:rFonts w:cs="Times New Roman"/>
        </w:rPr>
        <w:t>Change-in-control provision and shareholder value in the Dutch market</w:t>
      </w:r>
    </w:p>
    <w:p w14:paraId="12DCDED5" w14:textId="77777777" w:rsidR="003C647E" w:rsidRPr="00FF4D4B" w:rsidRDefault="003C647E">
      <w:pPr>
        <w:rPr>
          <w:rFonts w:cs="Times New Roman"/>
        </w:rPr>
      </w:pPr>
    </w:p>
    <w:p w14:paraId="3E5D3DBD" w14:textId="77777777" w:rsidR="003C647E" w:rsidRPr="00FF4D4B" w:rsidRDefault="003C647E">
      <w:pPr>
        <w:rPr>
          <w:rFonts w:cs="Times New Roman"/>
        </w:rPr>
      </w:pPr>
    </w:p>
    <w:p w14:paraId="1A164385" w14:textId="77777777" w:rsidR="003C647E" w:rsidRPr="00FF4D4B" w:rsidRDefault="003C647E">
      <w:pPr>
        <w:rPr>
          <w:rFonts w:cs="Times New Roman"/>
        </w:rPr>
      </w:pPr>
    </w:p>
    <w:p w14:paraId="63290035" w14:textId="77777777" w:rsidR="003C647E" w:rsidRPr="00FF4D4B" w:rsidRDefault="003C647E">
      <w:pPr>
        <w:rPr>
          <w:rFonts w:cs="Times New Roman"/>
        </w:rPr>
      </w:pPr>
    </w:p>
    <w:p w14:paraId="36F9E89E" w14:textId="77777777" w:rsidR="003C647E" w:rsidRPr="00FF4D4B" w:rsidRDefault="003C647E">
      <w:pPr>
        <w:rPr>
          <w:rFonts w:cs="Times New Roman"/>
        </w:rPr>
      </w:pPr>
    </w:p>
    <w:p w14:paraId="2C5DB670" w14:textId="77777777" w:rsidR="003C647E" w:rsidRPr="00FF4D4B" w:rsidRDefault="003C647E">
      <w:pPr>
        <w:rPr>
          <w:rFonts w:cs="Times New Roman"/>
        </w:rPr>
      </w:pPr>
    </w:p>
    <w:p w14:paraId="222CB3A4" w14:textId="77777777" w:rsidR="003C647E" w:rsidRPr="00FF4D4B" w:rsidRDefault="003C647E">
      <w:pPr>
        <w:rPr>
          <w:rFonts w:cs="Times New Roman"/>
        </w:rPr>
      </w:pPr>
    </w:p>
    <w:p w14:paraId="27F462F6" w14:textId="77777777" w:rsidR="003C647E" w:rsidRPr="00FF4D4B" w:rsidRDefault="003C647E">
      <w:pPr>
        <w:rPr>
          <w:rFonts w:cs="Times New Roman"/>
          <w:sz w:val="20"/>
          <w:szCs w:val="20"/>
        </w:rPr>
      </w:pPr>
      <w:r w:rsidRPr="00FF4D4B">
        <w:rPr>
          <w:rFonts w:cs="Times New Roman"/>
          <w:sz w:val="20"/>
          <w:szCs w:val="20"/>
        </w:rPr>
        <w:t xml:space="preserve">Student: </w:t>
      </w:r>
      <w:r w:rsidRPr="00FF4D4B">
        <w:rPr>
          <w:rFonts w:cs="Times New Roman"/>
          <w:sz w:val="20"/>
          <w:szCs w:val="20"/>
        </w:rPr>
        <w:tab/>
      </w:r>
      <w:r w:rsidRPr="00FF4D4B">
        <w:rPr>
          <w:rFonts w:cs="Times New Roman"/>
          <w:sz w:val="20"/>
          <w:szCs w:val="20"/>
        </w:rPr>
        <w:tab/>
        <w:t>Luuk Kuiper</w:t>
      </w:r>
    </w:p>
    <w:p w14:paraId="65853CAD" w14:textId="3D8E5EC7" w:rsidR="004B4801" w:rsidRPr="00FF4D4B" w:rsidRDefault="00BA1617" w:rsidP="004B4801">
      <w:pPr>
        <w:ind w:left="1416" w:firstLine="708"/>
        <w:rPr>
          <w:rFonts w:cs="Times New Roman"/>
          <w:sz w:val="20"/>
          <w:szCs w:val="20"/>
        </w:rPr>
      </w:pPr>
      <w:r w:rsidRPr="00FF4D4B">
        <w:rPr>
          <w:rFonts w:cs="Times New Roman"/>
          <w:sz w:val="20"/>
          <w:szCs w:val="20"/>
        </w:rPr>
        <w:t>Year 5</w:t>
      </w:r>
      <w:r w:rsidR="004B4801" w:rsidRPr="00FF4D4B">
        <w:rPr>
          <w:rFonts w:cs="Times New Roman"/>
          <w:sz w:val="20"/>
          <w:szCs w:val="20"/>
        </w:rPr>
        <w:t>, IBMS</w:t>
      </w:r>
    </w:p>
    <w:p w14:paraId="4375935C" w14:textId="77777777" w:rsidR="004B4801" w:rsidRPr="00FF4D4B" w:rsidRDefault="004B4801">
      <w:pPr>
        <w:rPr>
          <w:rFonts w:cs="Times New Roman"/>
          <w:sz w:val="20"/>
          <w:szCs w:val="20"/>
        </w:rPr>
      </w:pPr>
      <w:r w:rsidRPr="00FF4D4B">
        <w:rPr>
          <w:rFonts w:cs="Times New Roman"/>
          <w:sz w:val="20"/>
          <w:szCs w:val="20"/>
        </w:rPr>
        <w:t>Email:</w:t>
      </w:r>
      <w:r w:rsidRPr="00FF4D4B">
        <w:rPr>
          <w:rFonts w:cs="Times New Roman"/>
          <w:sz w:val="20"/>
          <w:szCs w:val="20"/>
        </w:rPr>
        <w:tab/>
      </w:r>
      <w:r w:rsidRPr="00FF4D4B">
        <w:rPr>
          <w:rFonts w:cs="Times New Roman"/>
          <w:sz w:val="20"/>
          <w:szCs w:val="20"/>
        </w:rPr>
        <w:tab/>
      </w:r>
      <w:r w:rsidRPr="00FF4D4B">
        <w:rPr>
          <w:rFonts w:cs="Times New Roman"/>
          <w:sz w:val="20"/>
          <w:szCs w:val="20"/>
        </w:rPr>
        <w:tab/>
        <w:t>luuk.kuiper@student.hu.nl</w:t>
      </w:r>
    </w:p>
    <w:p w14:paraId="10A31A73" w14:textId="17D2F78C" w:rsidR="003C647E" w:rsidRPr="00FF4D4B" w:rsidRDefault="003C647E">
      <w:pPr>
        <w:rPr>
          <w:rFonts w:cs="Times New Roman"/>
          <w:sz w:val="20"/>
          <w:szCs w:val="20"/>
        </w:rPr>
      </w:pPr>
      <w:r w:rsidRPr="00FF4D4B">
        <w:rPr>
          <w:rFonts w:cs="Times New Roman"/>
          <w:sz w:val="20"/>
          <w:szCs w:val="20"/>
        </w:rPr>
        <w:t xml:space="preserve">Student number: </w:t>
      </w:r>
      <w:r w:rsidRPr="00FF4D4B">
        <w:rPr>
          <w:rFonts w:cs="Times New Roman"/>
          <w:sz w:val="20"/>
          <w:szCs w:val="20"/>
        </w:rPr>
        <w:tab/>
      </w:r>
      <w:r w:rsidR="002B1FD0" w:rsidRPr="00FF4D4B">
        <w:rPr>
          <w:rFonts w:cs="Times New Roman"/>
          <w:sz w:val="20"/>
          <w:szCs w:val="20"/>
        </w:rPr>
        <w:tab/>
      </w:r>
      <w:r w:rsidRPr="00FF4D4B">
        <w:rPr>
          <w:rFonts w:cs="Times New Roman"/>
          <w:sz w:val="20"/>
          <w:szCs w:val="20"/>
        </w:rPr>
        <w:t>1578744</w:t>
      </w:r>
    </w:p>
    <w:p w14:paraId="5C3A6213" w14:textId="77777777" w:rsidR="003C647E" w:rsidRPr="00FF4D4B" w:rsidRDefault="003C647E">
      <w:pPr>
        <w:rPr>
          <w:rFonts w:cs="Times New Roman"/>
          <w:sz w:val="20"/>
          <w:szCs w:val="20"/>
        </w:rPr>
      </w:pPr>
      <w:r w:rsidRPr="00FF4D4B">
        <w:rPr>
          <w:rFonts w:cs="Times New Roman"/>
          <w:sz w:val="20"/>
          <w:szCs w:val="20"/>
        </w:rPr>
        <w:t>Hogeschool Utrecht, University of Applied Sciences</w:t>
      </w:r>
    </w:p>
    <w:p w14:paraId="46D16ADD" w14:textId="77777777" w:rsidR="004B4801" w:rsidRPr="00FF4D4B" w:rsidRDefault="004B4801">
      <w:pPr>
        <w:rPr>
          <w:rFonts w:cs="Times New Roman"/>
          <w:sz w:val="20"/>
          <w:szCs w:val="20"/>
        </w:rPr>
      </w:pPr>
    </w:p>
    <w:p w14:paraId="6AFD72B4" w14:textId="7C18A7B1" w:rsidR="003C647E" w:rsidRPr="00FF4D4B" w:rsidRDefault="003C647E">
      <w:pPr>
        <w:rPr>
          <w:rFonts w:cs="Times New Roman"/>
          <w:sz w:val="20"/>
          <w:szCs w:val="20"/>
        </w:rPr>
      </w:pPr>
      <w:r w:rsidRPr="00FF4D4B">
        <w:rPr>
          <w:rFonts w:cs="Times New Roman"/>
          <w:sz w:val="20"/>
          <w:szCs w:val="20"/>
        </w:rPr>
        <w:t>Supervising lecturer:</w:t>
      </w:r>
      <w:r w:rsidRPr="00FF4D4B">
        <w:rPr>
          <w:rFonts w:cs="Times New Roman"/>
          <w:sz w:val="20"/>
          <w:szCs w:val="20"/>
        </w:rPr>
        <w:tab/>
      </w:r>
      <w:r w:rsidR="00954A15" w:rsidRPr="00FF4D4B">
        <w:rPr>
          <w:rFonts w:cs="Times New Roman"/>
          <w:sz w:val="20"/>
          <w:szCs w:val="20"/>
        </w:rPr>
        <w:t>Edwin Weesie</w:t>
      </w:r>
    </w:p>
    <w:p w14:paraId="18265C1A" w14:textId="77777777" w:rsidR="003C647E" w:rsidRPr="00FF4D4B" w:rsidRDefault="003C647E">
      <w:pPr>
        <w:rPr>
          <w:rFonts w:cs="Times New Roman"/>
          <w:sz w:val="20"/>
          <w:szCs w:val="20"/>
        </w:rPr>
      </w:pPr>
      <w:r w:rsidRPr="00FF4D4B">
        <w:rPr>
          <w:rFonts w:cs="Times New Roman"/>
          <w:sz w:val="20"/>
          <w:szCs w:val="20"/>
        </w:rPr>
        <w:t>Second reader:</w:t>
      </w:r>
      <w:r w:rsidRPr="00FF4D4B">
        <w:rPr>
          <w:rFonts w:cs="Times New Roman"/>
          <w:sz w:val="20"/>
          <w:szCs w:val="20"/>
        </w:rPr>
        <w:tab/>
      </w:r>
      <w:r w:rsidRPr="00FF4D4B">
        <w:rPr>
          <w:rFonts w:cs="Times New Roman"/>
          <w:sz w:val="20"/>
          <w:szCs w:val="20"/>
        </w:rPr>
        <w:tab/>
      </w:r>
      <w:r w:rsidR="003D583E" w:rsidRPr="00FF4D4B">
        <w:rPr>
          <w:rFonts w:cs="Times New Roman"/>
          <w:sz w:val="20"/>
          <w:szCs w:val="20"/>
        </w:rPr>
        <w:t>Philip Dekker</w:t>
      </w:r>
    </w:p>
    <w:p w14:paraId="12A81CE7" w14:textId="77777777" w:rsidR="003C647E" w:rsidRPr="00FF4D4B" w:rsidRDefault="003C647E">
      <w:pPr>
        <w:rPr>
          <w:rFonts w:cs="Times New Roman"/>
          <w:sz w:val="20"/>
          <w:szCs w:val="20"/>
        </w:rPr>
      </w:pPr>
      <w:r w:rsidRPr="00FF4D4B">
        <w:rPr>
          <w:rFonts w:cs="Times New Roman"/>
          <w:sz w:val="20"/>
          <w:szCs w:val="20"/>
        </w:rPr>
        <w:t>Company supervisor:</w:t>
      </w:r>
      <w:r w:rsidRPr="00FF4D4B">
        <w:rPr>
          <w:rFonts w:cs="Times New Roman"/>
          <w:sz w:val="20"/>
          <w:szCs w:val="20"/>
        </w:rPr>
        <w:tab/>
        <w:t>Robbert Gerritsen</w:t>
      </w:r>
    </w:p>
    <w:p w14:paraId="56697A05" w14:textId="44502641" w:rsidR="003C647E" w:rsidRPr="00FF4D4B" w:rsidRDefault="003C647E">
      <w:pPr>
        <w:rPr>
          <w:rFonts w:cs="Times New Roman"/>
          <w:sz w:val="20"/>
          <w:szCs w:val="20"/>
        </w:rPr>
      </w:pPr>
      <w:r w:rsidRPr="00FF4D4B">
        <w:rPr>
          <w:rFonts w:cs="Times New Roman"/>
          <w:sz w:val="20"/>
          <w:szCs w:val="20"/>
        </w:rPr>
        <w:t xml:space="preserve">Date: </w:t>
      </w:r>
      <w:r w:rsidRPr="00FF4D4B">
        <w:rPr>
          <w:rFonts w:cs="Times New Roman"/>
          <w:sz w:val="20"/>
          <w:szCs w:val="20"/>
        </w:rPr>
        <w:tab/>
      </w:r>
      <w:r w:rsidRPr="00FF4D4B">
        <w:rPr>
          <w:rFonts w:cs="Times New Roman"/>
          <w:sz w:val="20"/>
          <w:szCs w:val="20"/>
        </w:rPr>
        <w:tab/>
      </w:r>
      <w:r w:rsidRPr="00FF4D4B">
        <w:rPr>
          <w:rFonts w:cs="Times New Roman"/>
          <w:sz w:val="20"/>
          <w:szCs w:val="20"/>
        </w:rPr>
        <w:tab/>
        <w:t>Ju</w:t>
      </w:r>
      <w:r w:rsidR="00BA1617" w:rsidRPr="00FF4D4B">
        <w:rPr>
          <w:rFonts w:cs="Times New Roman"/>
          <w:sz w:val="20"/>
          <w:szCs w:val="20"/>
        </w:rPr>
        <w:t>ly</w:t>
      </w:r>
      <w:r w:rsidRPr="00FF4D4B">
        <w:rPr>
          <w:rFonts w:cs="Times New Roman"/>
          <w:sz w:val="20"/>
          <w:szCs w:val="20"/>
        </w:rPr>
        <w:t>, 201</w:t>
      </w:r>
      <w:r w:rsidR="00954A15" w:rsidRPr="00FF4D4B">
        <w:rPr>
          <w:rFonts w:cs="Times New Roman"/>
          <w:sz w:val="20"/>
          <w:szCs w:val="20"/>
        </w:rPr>
        <w:t>5</w:t>
      </w:r>
    </w:p>
    <w:p w14:paraId="277B032F" w14:textId="64FF5B6B" w:rsidR="00514DCD" w:rsidRPr="00FF4D4B" w:rsidRDefault="00D14B00" w:rsidP="003C647E">
      <w:pPr>
        <w:pStyle w:val="Kop1"/>
        <w:rPr>
          <w:rFonts w:cs="Times New Roman"/>
        </w:rPr>
      </w:pPr>
      <w:bookmarkStart w:id="1" w:name="_Toc389813131"/>
      <w:r w:rsidRPr="00FF4D4B">
        <w:rPr>
          <w:rFonts w:cs="Times New Roman"/>
          <w:noProof/>
          <w:sz w:val="20"/>
          <w:szCs w:val="20"/>
        </w:rPr>
        <w:drawing>
          <wp:anchor distT="0" distB="0" distL="114300" distR="114300" simplePos="0" relativeHeight="251658240" behindDoc="1" locked="0" layoutInCell="1" allowOverlap="1" wp14:anchorId="59AD9A7F" wp14:editId="78842D51">
            <wp:simplePos x="0" y="0"/>
            <wp:positionH relativeFrom="column">
              <wp:posOffset>4343400</wp:posOffset>
            </wp:positionH>
            <wp:positionV relativeFrom="paragraph">
              <wp:posOffset>1819275</wp:posOffset>
            </wp:positionV>
            <wp:extent cx="2221230" cy="954405"/>
            <wp:effectExtent l="0" t="0" r="0" b="10795"/>
            <wp:wrapNone/>
            <wp:docPr id="1" name="Picture 1" descr="C:\Users\kuipluu\Documents\Thesis\Miscellaneous\H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ipluu\Documents\Thesis\Miscellaneous\HU Logo.jp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22123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47E" w:rsidRPr="00FF4D4B">
        <w:rPr>
          <w:rFonts w:cs="Times New Roman"/>
        </w:rPr>
        <w:br w:type="column"/>
      </w:r>
      <w:bookmarkStart w:id="2" w:name="_Toc301441827"/>
      <w:r w:rsidR="00514DCD" w:rsidRPr="00FF4D4B">
        <w:rPr>
          <w:rFonts w:cs="Times New Roman"/>
        </w:rPr>
        <w:lastRenderedPageBreak/>
        <w:t>Foreword</w:t>
      </w:r>
      <w:bookmarkEnd w:id="1"/>
      <w:bookmarkEnd w:id="2"/>
    </w:p>
    <w:p w14:paraId="6B402837" w14:textId="1F18318C" w:rsidR="00B3357F" w:rsidRPr="00FF4D4B" w:rsidRDefault="00B3357F" w:rsidP="00514DCD">
      <w:pPr>
        <w:rPr>
          <w:rFonts w:cs="Times New Roman"/>
        </w:rPr>
      </w:pPr>
      <w:r w:rsidRPr="00FF4D4B">
        <w:rPr>
          <w:rFonts w:cs="Times New Roman"/>
        </w:rPr>
        <w:t xml:space="preserve">This thesis is written </w:t>
      </w:r>
      <w:r w:rsidR="00B14A9A" w:rsidRPr="00FF4D4B">
        <w:rPr>
          <w:rFonts w:cs="Times New Roman"/>
        </w:rPr>
        <w:t xml:space="preserve">for </w:t>
      </w:r>
      <w:r w:rsidR="00097E16">
        <w:rPr>
          <w:rFonts w:cs="Times New Roman"/>
        </w:rPr>
        <w:t>the</w:t>
      </w:r>
      <w:r w:rsidRPr="00FF4D4B">
        <w:rPr>
          <w:rFonts w:cs="Times New Roman"/>
        </w:rPr>
        <w:t xml:space="preserve"> completion of </w:t>
      </w:r>
      <w:r w:rsidR="00097E16">
        <w:rPr>
          <w:rFonts w:cs="Times New Roman"/>
        </w:rPr>
        <w:t>my</w:t>
      </w:r>
      <w:r w:rsidRPr="00FF4D4B">
        <w:rPr>
          <w:rFonts w:cs="Times New Roman"/>
        </w:rPr>
        <w:t xml:space="preserve"> bachelor International Business and Management Studies at the Hogeschool Utrecht, University of Applied Sciences. The bachelor program focuses on the international aspects of marketing, sales, management, finance and logistics. The subject of this thesis, the change-in-control provision of the Clawback Bonuses Act and shareholder value in the Dutch market, falls within the scope of this bachelor.</w:t>
      </w:r>
    </w:p>
    <w:p w14:paraId="64C27196" w14:textId="60212AE1" w:rsidR="00B3357F" w:rsidRPr="00FF4D4B" w:rsidRDefault="00B3357F" w:rsidP="00514DCD">
      <w:pPr>
        <w:rPr>
          <w:rFonts w:cs="Times New Roman"/>
        </w:rPr>
      </w:pPr>
      <w:r w:rsidRPr="00FF4D4B">
        <w:rPr>
          <w:rFonts w:cs="Times New Roman"/>
        </w:rPr>
        <w:t xml:space="preserve">The subject </w:t>
      </w:r>
      <w:r w:rsidR="00097E16">
        <w:rPr>
          <w:rFonts w:cs="Times New Roman"/>
        </w:rPr>
        <w:t>of the thesis was</w:t>
      </w:r>
      <w:r w:rsidR="00B14A9A" w:rsidRPr="00FF4D4B">
        <w:rPr>
          <w:rFonts w:cs="Times New Roman"/>
        </w:rPr>
        <w:t xml:space="preserve"> selected in co</w:t>
      </w:r>
      <w:r w:rsidRPr="00FF4D4B">
        <w:rPr>
          <w:rFonts w:cs="Times New Roman"/>
        </w:rPr>
        <w:t>operation with I</w:t>
      </w:r>
      <w:r w:rsidR="00BA1617" w:rsidRPr="00FF4D4B">
        <w:rPr>
          <w:rFonts w:cs="Times New Roman"/>
        </w:rPr>
        <w:t xml:space="preserve">nstitutional </w:t>
      </w:r>
      <w:r w:rsidRPr="00FF4D4B">
        <w:rPr>
          <w:rFonts w:cs="Times New Roman"/>
        </w:rPr>
        <w:t>S</w:t>
      </w:r>
      <w:r w:rsidR="00BA1617" w:rsidRPr="00FF4D4B">
        <w:rPr>
          <w:rFonts w:cs="Times New Roman"/>
        </w:rPr>
        <w:t xml:space="preserve">hareholder </w:t>
      </w:r>
      <w:r w:rsidRPr="00FF4D4B">
        <w:rPr>
          <w:rFonts w:cs="Times New Roman"/>
        </w:rPr>
        <w:t>S</w:t>
      </w:r>
      <w:r w:rsidR="00BA1617" w:rsidRPr="00FF4D4B">
        <w:rPr>
          <w:rFonts w:cs="Times New Roman"/>
        </w:rPr>
        <w:t>ervices</w:t>
      </w:r>
      <w:r w:rsidRPr="00FF4D4B">
        <w:rPr>
          <w:rFonts w:cs="Times New Roman"/>
        </w:rPr>
        <w:t>,</w:t>
      </w:r>
      <w:r w:rsidR="00097E16">
        <w:rPr>
          <w:rFonts w:cs="Times New Roman"/>
        </w:rPr>
        <w:t xml:space="preserve"> Inc.,</w:t>
      </w:r>
      <w:r w:rsidRPr="00FF4D4B">
        <w:rPr>
          <w:rFonts w:cs="Times New Roman"/>
        </w:rPr>
        <w:t xml:space="preserve"> where I </w:t>
      </w:r>
      <w:r w:rsidR="00097E16">
        <w:rPr>
          <w:rFonts w:cs="Times New Roman"/>
        </w:rPr>
        <w:t>did</w:t>
      </w:r>
      <w:r w:rsidR="00B14A9A" w:rsidRPr="00FF4D4B">
        <w:rPr>
          <w:rFonts w:cs="Times New Roman"/>
        </w:rPr>
        <w:t xml:space="preserve"> a six-month internship</w:t>
      </w:r>
      <w:r w:rsidRPr="00FF4D4B">
        <w:rPr>
          <w:rFonts w:cs="Times New Roman"/>
        </w:rPr>
        <w:t xml:space="preserve"> and assisted in the research and analysis of </w:t>
      </w:r>
      <w:r w:rsidR="00BA1617" w:rsidRPr="00FF4D4B">
        <w:rPr>
          <w:rFonts w:cs="Times New Roman"/>
        </w:rPr>
        <w:t xml:space="preserve">listed companies in the Benelux. </w:t>
      </w:r>
    </w:p>
    <w:p w14:paraId="1300FCC8" w14:textId="152218DC" w:rsidR="00BA1617" w:rsidRPr="00FF4D4B" w:rsidRDefault="00BA1617" w:rsidP="00514DCD">
      <w:pPr>
        <w:rPr>
          <w:rFonts w:cs="Times New Roman"/>
        </w:rPr>
      </w:pPr>
      <w:r w:rsidRPr="00FF4D4B">
        <w:rPr>
          <w:rFonts w:cs="Times New Roman"/>
        </w:rPr>
        <w:t>I would like to thank Ro</w:t>
      </w:r>
      <w:r w:rsidR="00097E16">
        <w:rPr>
          <w:rFonts w:cs="Times New Roman"/>
        </w:rPr>
        <w:t>bbert Gerritsen, head research analyst</w:t>
      </w:r>
      <w:r w:rsidRPr="00FF4D4B">
        <w:rPr>
          <w:rFonts w:cs="Times New Roman"/>
        </w:rPr>
        <w:t xml:space="preserve"> for the Benelux market at Institutional Shareholder Services,</w:t>
      </w:r>
      <w:r w:rsidR="00097E16">
        <w:rPr>
          <w:rFonts w:cs="Times New Roman"/>
        </w:rPr>
        <w:t xml:space="preserve"> Inc.,</w:t>
      </w:r>
      <w:r w:rsidRPr="00FF4D4B">
        <w:rPr>
          <w:rFonts w:cs="Times New Roman"/>
        </w:rPr>
        <w:t xml:space="preserve"> and my supervisor Edwin Weesie, from Hogeschool Utrecht University of Applied Sciences, for their valuable insights and direction in the completion of this thesis.</w:t>
      </w:r>
    </w:p>
    <w:p w14:paraId="786B2EC2" w14:textId="77777777" w:rsidR="00D14B00" w:rsidRPr="00FF4D4B" w:rsidRDefault="00D14B00" w:rsidP="00514DCD">
      <w:pPr>
        <w:rPr>
          <w:rFonts w:cs="Times New Roman"/>
        </w:rPr>
      </w:pPr>
    </w:p>
    <w:p w14:paraId="72087D72" w14:textId="77777777" w:rsidR="00AB079C" w:rsidRPr="00FF4D4B" w:rsidRDefault="00AB079C" w:rsidP="00514DCD">
      <w:pPr>
        <w:rPr>
          <w:rFonts w:cs="Times New Roman"/>
        </w:rPr>
      </w:pPr>
    </w:p>
    <w:p w14:paraId="4AC1758D" w14:textId="77777777" w:rsidR="00AB079C" w:rsidRPr="00FF4D4B" w:rsidRDefault="00AB079C" w:rsidP="00514DCD">
      <w:pPr>
        <w:rPr>
          <w:rFonts w:cs="Times New Roman"/>
        </w:rPr>
      </w:pPr>
    </w:p>
    <w:p w14:paraId="7AC774DE" w14:textId="77777777" w:rsidR="00514DCD" w:rsidRPr="00FF4D4B" w:rsidRDefault="00514DCD" w:rsidP="00514DCD">
      <w:pPr>
        <w:rPr>
          <w:rFonts w:cs="Times New Roman"/>
        </w:rPr>
      </w:pPr>
    </w:p>
    <w:p w14:paraId="50DB4FE6" w14:textId="77777777" w:rsidR="003C647E" w:rsidRPr="00FF4D4B" w:rsidRDefault="00514DCD" w:rsidP="00A75F58">
      <w:pPr>
        <w:pStyle w:val="Kop1"/>
        <w:rPr>
          <w:rFonts w:cs="Times New Roman"/>
        </w:rPr>
      </w:pPr>
      <w:r w:rsidRPr="00FF4D4B">
        <w:rPr>
          <w:rFonts w:cs="Times New Roman"/>
        </w:rPr>
        <w:br w:type="column"/>
      </w:r>
      <w:bookmarkStart w:id="3" w:name="_Toc389813132"/>
      <w:bookmarkStart w:id="4" w:name="_Toc301441828"/>
      <w:r w:rsidR="003C647E" w:rsidRPr="00FF4D4B">
        <w:rPr>
          <w:rFonts w:cs="Times New Roman"/>
        </w:rPr>
        <w:lastRenderedPageBreak/>
        <w:t>Executive summary</w:t>
      </w:r>
      <w:bookmarkEnd w:id="3"/>
      <w:bookmarkEnd w:id="4"/>
    </w:p>
    <w:p w14:paraId="6C9CBF73" w14:textId="28257A30" w:rsidR="00BA1617" w:rsidRPr="00FF4D4B" w:rsidRDefault="00BA1617" w:rsidP="00BA1617">
      <w:pPr>
        <w:rPr>
          <w:rFonts w:cs="Times New Roman"/>
        </w:rPr>
      </w:pPr>
      <w:r w:rsidRPr="00FF4D4B">
        <w:rPr>
          <w:rFonts w:cs="Times New Roman"/>
        </w:rPr>
        <w:t xml:space="preserve">The change-in-control provision of the Clawback of Bonuses Act limits the director’s ability to gain from a change-in-control by a deduction of the share value by the lowest increase in share value over a determined reference period. The provision therefore limits the effectiveness of </w:t>
      </w:r>
      <w:r w:rsidR="00097E16">
        <w:rPr>
          <w:rFonts w:cs="Times New Roman"/>
        </w:rPr>
        <w:t>share and option</w:t>
      </w:r>
      <w:r w:rsidRPr="00FF4D4B">
        <w:rPr>
          <w:rFonts w:cs="Times New Roman"/>
        </w:rPr>
        <w:t xml:space="preserve"> incentives.</w:t>
      </w:r>
      <w:r w:rsidR="00481F56" w:rsidRPr="00FF4D4B">
        <w:rPr>
          <w:rFonts w:cs="Times New Roman"/>
        </w:rPr>
        <w:t xml:space="preserve"> The intention of this research is to find what the effect of the change-in-control provision is on shareholder value </w:t>
      </w:r>
      <w:r w:rsidR="00B14A9A" w:rsidRPr="00FF4D4B">
        <w:rPr>
          <w:rFonts w:cs="Times New Roman"/>
        </w:rPr>
        <w:t>and how ISS should advise its</w:t>
      </w:r>
      <w:r w:rsidR="00481F56" w:rsidRPr="00FF4D4B">
        <w:rPr>
          <w:rFonts w:cs="Times New Roman"/>
        </w:rPr>
        <w:t xml:space="preserve"> clients on the change-in-control provision.</w:t>
      </w:r>
    </w:p>
    <w:p w14:paraId="701C5659" w14:textId="5F50451D" w:rsidR="00BA1617" w:rsidRPr="00FF4D4B" w:rsidRDefault="005353CE" w:rsidP="00BA1617">
      <w:pPr>
        <w:rPr>
          <w:rFonts w:cs="Times New Roman"/>
        </w:rPr>
      </w:pPr>
      <w:r w:rsidRPr="00FF4D4B">
        <w:rPr>
          <w:rFonts w:cs="Times New Roman"/>
        </w:rPr>
        <w:t>The research method used is a case study.</w:t>
      </w:r>
      <w:r w:rsidR="00BA1617" w:rsidRPr="00FF4D4B">
        <w:rPr>
          <w:rFonts w:cs="Times New Roman"/>
        </w:rPr>
        <w:t xml:space="preserve"> The cases that are selected for the case study are (i) ABN Amro Royal – Bank of Scotland, Banco Santader and Fortis Bank (2007), (ii) Numico – Danone Groupe (2007), (iii) Draka Holding – Prysmian (2011), (iv) Crucell – Johnson &amp; Johnson (2011), and (v) Douwe Egberts – Reckitt Benckiser plc (2012). These cases are considered extreme cases and critical cases of change-in-control that can be especially problem-rich and encompassing and would allow for logical conclusions (Launso </w:t>
      </w:r>
      <w:r w:rsidR="00690B8C">
        <w:rPr>
          <w:rFonts w:cs="Times New Roman"/>
        </w:rPr>
        <w:t>et al.</w:t>
      </w:r>
      <w:r w:rsidR="00BA1617" w:rsidRPr="00FF4D4B">
        <w:rPr>
          <w:rFonts w:cs="Times New Roman"/>
        </w:rPr>
        <w:t>, 2006).</w:t>
      </w:r>
    </w:p>
    <w:p w14:paraId="1F626716" w14:textId="06928B86" w:rsidR="00BA1617" w:rsidRPr="00FF4D4B" w:rsidRDefault="00BA1617" w:rsidP="00E47F79">
      <w:pPr>
        <w:rPr>
          <w:rFonts w:cs="Times New Roman"/>
        </w:rPr>
      </w:pPr>
      <w:r w:rsidRPr="00FF4D4B">
        <w:rPr>
          <w:rFonts w:cs="Times New Roman"/>
        </w:rPr>
        <w:t xml:space="preserve">The outcome of the research suggests several problems with the </w:t>
      </w:r>
      <w:r w:rsidR="00E47F79" w:rsidRPr="00FF4D4B">
        <w:rPr>
          <w:rFonts w:cs="Times New Roman"/>
        </w:rPr>
        <w:t>change-in-control provision on shareholder value, namely: (I) t</w:t>
      </w:r>
      <w:r w:rsidRPr="00FF4D4B">
        <w:rPr>
          <w:rFonts w:cs="Times New Roman"/>
        </w:rPr>
        <w:t>he CEO is not incentivized for bargaining a higher premium in a takeover because the Provision eliminates the personal</w:t>
      </w:r>
      <w:r w:rsidR="00E47F79" w:rsidRPr="00FF4D4B">
        <w:rPr>
          <w:rFonts w:cs="Times New Roman"/>
        </w:rPr>
        <w:t xml:space="preserve"> gain, (II) </w:t>
      </w:r>
      <w:r w:rsidRPr="00FF4D4B">
        <w:rPr>
          <w:rFonts w:cs="Times New Roman"/>
        </w:rPr>
        <w:t>the Provision discourages CEOs to sell the company</w:t>
      </w:r>
      <w:r w:rsidR="00E47F79" w:rsidRPr="00FF4D4B">
        <w:rPr>
          <w:rFonts w:cs="Times New Roman"/>
        </w:rPr>
        <w:t>,</w:t>
      </w:r>
      <w:r w:rsidRPr="00FF4D4B">
        <w:rPr>
          <w:rFonts w:cs="Times New Roman"/>
        </w:rPr>
        <w:t xml:space="preserve"> </w:t>
      </w:r>
      <w:r w:rsidR="00E47F79" w:rsidRPr="00FF4D4B">
        <w:rPr>
          <w:rFonts w:cs="Times New Roman"/>
        </w:rPr>
        <w:t>(III) t</w:t>
      </w:r>
      <w:r w:rsidRPr="00FF4D4B">
        <w:rPr>
          <w:rFonts w:cs="Times New Roman"/>
        </w:rPr>
        <w:t xml:space="preserve">he </w:t>
      </w:r>
      <w:r w:rsidR="00E47F79" w:rsidRPr="00FF4D4B">
        <w:rPr>
          <w:rFonts w:cs="Times New Roman"/>
        </w:rPr>
        <w:t>change-in-</w:t>
      </w:r>
      <w:r w:rsidR="00E47F79" w:rsidRPr="00FF4D4B">
        <w:rPr>
          <w:rFonts w:cs="Times New Roman"/>
        </w:rPr>
        <w:lastRenderedPageBreak/>
        <w:t>control p</w:t>
      </w:r>
      <w:r w:rsidRPr="00FF4D4B">
        <w:rPr>
          <w:rFonts w:cs="Times New Roman"/>
        </w:rPr>
        <w:t xml:space="preserve">rovision is limited to </w:t>
      </w:r>
      <w:r w:rsidR="00E47F79" w:rsidRPr="00FF4D4B">
        <w:rPr>
          <w:rFonts w:cs="Times New Roman"/>
        </w:rPr>
        <w:t>share or option</w:t>
      </w:r>
      <w:r w:rsidRPr="00FF4D4B">
        <w:rPr>
          <w:rFonts w:cs="Times New Roman"/>
        </w:rPr>
        <w:t xml:space="preserve"> incentives and could easily be diverted by awarding severance in cash, or other award</w:t>
      </w:r>
      <w:r w:rsidR="00E47F79" w:rsidRPr="00FF4D4B">
        <w:rPr>
          <w:rFonts w:cs="Times New Roman"/>
        </w:rPr>
        <w:t>s tied to share performance, (IV) t</w:t>
      </w:r>
      <w:r w:rsidRPr="00FF4D4B">
        <w:rPr>
          <w:rFonts w:cs="Times New Roman"/>
        </w:rPr>
        <w:t>he devaluation of equity-based incentives disconnects the principal and agent relation by removing the incentive for the CE</w:t>
      </w:r>
      <w:r w:rsidR="00E47F79" w:rsidRPr="00FF4D4B">
        <w:rPr>
          <w:rFonts w:cs="Times New Roman"/>
        </w:rPr>
        <w:t>O to negotiate a higher premium, (V) d</w:t>
      </w:r>
      <w:r w:rsidRPr="00FF4D4B">
        <w:rPr>
          <w:rFonts w:cs="Times New Roman"/>
        </w:rPr>
        <w:t>evaluating the equity-based incentives for Dutch companies makes it harder to attract talent.</w:t>
      </w:r>
      <w:r w:rsidR="00E47F79" w:rsidRPr="00FF4D4B">
        <w:rPr>
          <w:rFonts w:cs="Times New Roman"/>
        </w:rPr>
        <w:t xml:space="preserve"> Advantages to the Provision are: (I) a reduction in possible public scrutiny in the case of excessive severance, and (II) the reduced incentive to sell the company increases the possibility of the implementation of a poison pill which has a positive effect on share value. However, the disadvantages clearly outweigh the advantages.</w:t>
      </w:r>
    </w:p>
    <w:p w14:paraId="4197B2C5" w14:textId="7B74436F" w:rsidR="00E47F79" w:rsidRPr="00FF4D4B" w:rsidRDefault="00E47F79" w:rsidP="00E47F79">
      <w:pPr>
        <w:rPr>
          <w:rFonts w:cs="Times New Roman"/>
        </w:rPr>
      </w:pPr>
      <w:r w:rsidRPr="00FF4D4B">
        <w:rPr>
          <w:rFonts w:cs="Times New Roman"/>
        </w:rPr>
        <w:t>ISS should therefore take steps to; inform its customers of the implications of the change-in-control provision; encourage investors with a majority shareholding in companies to change the curren</w:t>
      </w:r>
      <w:r w:rsidR="00D34405">
        <w:rPr>
          <w:rFonts w:cs="Times New Roman"/>
        </w:rPr>
        <w:t>t remuneration policy; and advic</w:t>
      </w:r>
      <w:r w:rsidRPr="00FF4D4B">
        <w:rPr>
          <w:rFonts w:cs="Times New Roman"/>
        </w:rPr>
        <w:t xml:space="preserve">e </w:t>
      </w:r>
      <w:r w:rsidR="00097E16">
        <w:rPr>
          <w:rFonts w:cs="Times New Roman"/>
        </w:rPr>
        <w:t>positive on</w:t>
      </w:r>
      <w:r w:rsidRPr="00FF4D4B">
        <w:rPr>
          <w:rFonts w:cs="Times New Roman"/>
        </w:rPr>
        <w:t xml:space="preserve"> agenda items that include remuneration policies updates that change long-term incentive awards from shares or options to phantom stock, SARs, cash settled options, or conditional cash awards used for buying shares.</w:t>
      </w:r>
    </w:p>
    <w:p w14:paraId="23B8C69E" w14:textId="77777777" w:rsidR="00256722" w:rsidRPr="00FF4D4B" w:rsidRDefault="003C647E" w:rsidP="002B1FD0">
      <w:pPr>
        <w:pStyle w:val="Kop1"/>
        <w:rPr>
          <w:rFonts w:cs="Times New Roman"/>
        </w:rPr>
      </w:pPr>
      <w:r w:rsidRPr="00FF4D4B">
        <w:br w:type="column"/>
      </w:r>
      <w:bookmarkStart w:id="5" w:name="_Toc301441829"/>
      <w:bookmarkStart w:id="6" w:name="_Toc389813135"/>
      <w:r w:rsidR="00A106DC" w:rsidRPr="00FF4D4B">
        <w:rPr>
          <w:rFonts w:cs="Times New Roman"/>
        </w:rPr>
        <w:lastRenderedPageBreak/>
        <w:t>Content</w:t>
      </w:r>
      <w:bookmarkEnd w:id="5"/>
    </w:p>
    <w:p w14:paraId="4FF5A37F" w14:textId="77777777" w:rsidR="00097E16" w:rsidRPr="00097E16" w:rsidRDefault="00A106DC">
      <w:pPr>
        <w:pStyle w:val="Inhopg1"/>
        <w:tabs>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b w:val="0"/>
        </w:rPr>
        <w:fldChar w:fldCharType="begin"/>
      </w:r>
      <w:r w:rsidRPr="00097E16">
        <w:rPr>
          <w:rFonts w:ascii="Times New Roman" w:hAnsi="Times New Roman" w:cs="Times New Roman"/>
          <w:b w:val="0"/>
        </w:rPr>
        <w:instrText xml:space="preserve"> TOC \o "1-3" \h \z \u </w:instrText>
      </w:r>
      <w:r w:rsidRPr="00097E16">
        <w:rPr>
          <w:rFonts w:ascii="Times New Roman" w:hAnsi="Times New Roman" w:cs="Times New Roman"/>
          <w:b w:val="0"/>
        </w:rPr>
        <w:fldChar w:fldCharType="separate"/>
      </w:r>
      <w:r w:rsidR="00097E16" w:rsidRPr="00097E16">
        <w:rPr>
          <w:rFonts w:ascii="Times New Roman" w:hAnsi="Times New Roman" w:cs="Times New Roman"/>
          <w:noProof/>
        </w:rPr>
        <w:t>Foreword</w:t>
      </w:r>
      <w:r w:rsidR="00097E16" w:rsidRPr="00097E16">
        <w:rPr>
          <w:rFonts w:ascii="Times New Roman" w:hAnsi="Times New Roman" w:cs="Times New Roman"/>
          <w:noProof/>
        </w:rPr>
        <w:tab/>
      </w:r>
      <w:r w:rsidR="00097E16" w:rsidRPr="00097E16">
        <w:rPr>
          <w:rFonts w:ascii="Times New Roman" w:hAnsi="Times New Roman" w:cs="Times New Roman"/>
          <w:noProof/>
        </w:rPr>
        <w:fldChar w:fldCharType="begin"/>
      </w:r>
      <w:r w:rsidR="00097E16" w:rsidRPr="00097E16">
        <w:rPr>
          <w:rFonts w:ascii="Times New Roman" w:hAnsi="Times New Roman" w:cs="Times New Roman"/>
          <w:noProof/>
        </w:rPr>
        <w:instrText xml:space="preserve"> PAGEREF _Toc301441827 \h </w:instrText>
      </w:r>
      <w:r w:rsidR="00097E16" w:rsidRPr="00097E16">
        <w:rPr>
          <w:rFonts w:ascii="Times New Roman" w:hAnsi="Times New Roman" w:cs="Times New Roman"/>
          <w:noProof/>
        </w:rPr>
      </w:r>
      <w:r w:rsidR="00097E16" w:rsidRPr="00097E16">
        <w:rPr>
          <w:rFonts w:ascii="Times New Roman" w:hAnsi="Times New Roman" w:cs="Times New Roman"/>
          <w:noProof/>
        </w:rPr>
        <w:fldChar w:fldCharType="separate"/>
      </w:r>
      <w:r w:rsidR="00FA3BD0">
        <w:rPr>
          <w:rFonts w:ascii="Times New Roman" w:hAnsi="Times New Roman" w:cs="Times New Roman"/>
          <w:noProof/>
        </w:rPr>
        <w:t>2</w:t>
      </w:r>
      <w:r w:rsidR="00097E16" w:rsidRPr="00097E16">
        <w:rPr>
          <w:rFonts w:ascii="Times New Roman" w:hAnsi="Times New Roman" w:cs="Times New Roman"/>
          <w:noProof/>
        </w:rPr>
        <w:fldChar w:fldCharType="end"/>
      </w:r>
    </w:p>
    <w:p w14:paraId="1D8E1695" w14:textId="77777777" w:rsidR="00097E16" w:rsidRPr="00097E16" w:rsidRDefault="00097E16">
      <w:pPr>
        <w:pStyle w:val="Inhopg1"/>
        <w:tabs>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Executive summary</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_Toc301441828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w:t>
      </w:r>
      <w:r w:rsidRPr="00097E16">
        <w:rPr>
          <w:rFonts w:ascii="Times New Roman" w:hAnsi="Times New Roman" w:cs="Times New Roman"/>
          <w:noProof/>
        </w:rPr>
        <w:fldChar w:fldCharType="end"/>
      </w:r>
    </w:p>
    <w:p w14:paraId="6F0504A1" w14:textId="77777777" w:rsidR="00097E16" w:rsidRPr="00097E16" w:rsidRDefault="00097E16">
      <w:pPr>
        <w:pStyle w:val="Inhopg1"/>
        <w:tabs>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Content</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_Toc301441829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w:t>
      </w:r>
      <w:r w:rsidRPr="00097E16">
        <w:rPr>
          <w:rFonts w:ascii="Times New Roman" w:hAnsi="Times New Roman" w:cs="Times New Roman"/>
          <w:noProof/>
        </w:rPr>
        <w:fldChar w:fldCharType="end"/>
      </w:r>
    </w:p>
    <w:p w14:paraId="2E8F7EAA" w14:textId="77777777" w:rsidR="00097E16" w:rsidRPr="00097E16" w:rsidRDefault="00097E16">
      <w:pPr>
        <w:pStyle w:val="Inhopg1"/>
        <w:tabs>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Glossary</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_Toc301441830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6</w:t>
      </w:r>
      <w:r w:rsidRPr="00097E16">
        <w:rPr>
          <w:rFonts w:ascii="Times New Roman" w:hAnsi="Times New Roman" w:cs="Times New Roman"/>
          <w:noProof/>
        </w:rPr>
        <w:fldChar w:fldCharType="end"/>
      </w:r>
    </w:p>
    <w:p w14:paraId="51FB0212" w14:textId="77777777" w:rsidR="00097E16" w:rsidRPr="00097E16" w:rsidRDefault="00097E16">
      <w:pPr>
        <w:pStyle w:val="Inhopg1"/>
        <w:tabs>
          <w:tab w:val="left" w:pos="405"/>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1.</w:t>
      </w:r>
      <w:r w:rsidRPr="00097E16">
        <w:rPr>
          <w:rFonts w:ascii="Times New Roman" w:eastAsiaTheme="minorEastAsia" w:hAnsi="Times New Roman" w:cs="Times New Roman"/>
          <w:b w:val="0"/>
          <w:bCs w:val="0"/>
          <w:caps w:val="0"/>
          <w:noProof/>
          <w:sz w:val="24"/>
          <w:szCs w:val="24"/>
          <w:lang w:val="nl-NL" w:eastAsia="ja-JP"/>
        </w:rPr>
        <w:tab/>
      </w:r>
      <w:r w:rsidRPr="00097E16">
        <w:rPr>
          <w:rFonts w:ascii="Times New Roman" w:hAnsi="Times New Roman" w:cs="Times New Roman"/>
          <w:noProof/>
        </w:rPr>
        <w:t>Introduction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_Toc301441831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8</w:t>
      </w:r>
      <w:r w:rsidRPr="00097E16">
        <w:rPr>
          <w:rFonts w:ascii="Times New Roman" w:hAnsi="Times New Roman" w:cs="Times New Roman"/>
          <w:noProof/>
        </w:rPr>
        <w:fldChar w:fldCharType="end"/>
      </w:r>
    </w:p>
    <w:p w14:paraId="258B3CDD" w14:textId="77777777" w:rsidR="00097E16" w:rsidRPr="00097E16" w:rsidRDefault="00097E16">
      <w:pPr>
        <w:pStyle w:val="Inhopg1"/>
        <w:tabs>
          <w:tab w:val="left" w:pos="405"/>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2.</w:t>
      </w:r>
      <w:r w:rsidRPr="00097E16">
        <w:rPr>
          <w:rFonts w:ascii="Times New Roman" w:eastAsiaTheme="minorEastAsia" w:hAnsi="Times New Roman" w:cs="Times New Roman"/>
          <w:b w:val="0"/>
          <w:bCs w:val="0"/>
          <w:caps w:val="0"/>
          <w:noProof/>
          <w:sz w:val="24"/>
          <w:szCs w:val="24"/>
          <w:lang w:val="nl-NL" w:eastAsia="ja-JP"/>
        </w:rPr>
        <w:tab/>
      </w:r>
      <w:r w:rsidRPr="00097E16">
        <w:rPr>
          <w:rFonts w:ascii="Times New Roman" w:hAnsi="Times New Roman" w:cs="Times New Roman"/>
          <w:noProof/>
        </w:rPr>
        <w:t>Literature review</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_Toc301441832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10</w:t>
      </w:r>
      <w:r w:rsidRPr="00097E16">
        <w:rPr>
          <w:rFonts w:ascii="Times New Roman" w:hAnsi="Times New Roman" w:cs="Times New Roman"/>
          <w:noProof/>
        </w:rPr>
        <w:fldChar w:fldCharType="end"/>
      </w:r>
    </w:p>
    <w:p w14:paraId="69AAB955" w14:textId="77777777" w:rsidR="00097E16" w:rsidRPr="00097E16" w:rsidRDefault="00097E16">
      <w:pPr>
        <w:pStyle w:val="Inhopg1"/>
        <w:tabs>
          <w:tab w:val="left" w:pos="405"/>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3.</w:t>
      </w:r>
      <w:r w:rsidRPr="00097E16">
        <w:rPr>
          <w:rFonts w:ascii="Times New Roman" w:eastAsiaTheme="minorEastAsia" w:hAnsi="Times New Roman" w:cs="Times New Roman"/>
          <w:b w:val="0"/>
          <w:bCs w:val="0"/>
          <w:caps w:val="0"/>
          <w:noProof/>
          <w:sz w:val="24"/>
          <w:szCs w:val="24"/>
          <w:lang w:val="nl-NL" w:eastAsia="ja-JP"/>
        </w:rPr>
        <w:tab/>
      </w:r>
      <w:r w:rsidRPr="00097E16">
        <w:rPr>
          <w:rFonts w:ascii="Times New Roman" w:hAnsi="Times New Roman" w:cs="Times New Roman"/>
          <w:noProof/>
        </w:rPr>
        <w:t>Methodology</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_Toc301441833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12</w:t>
      </w:r>
      <w:r w:rsidRPr="00097E16">
        <w:rPr>
          <w:rFonts w:ascii="Times New Roman" w:hAnsi="Times New Roman" w:cs="Times New Roman"/>
          <w:noProof/>
        </w:rPr>
        <w:fldChar w:fldCharType="end"/>
      </w:r>
    </w:p>
    <w:p w14:paraId="5594E3EB" w14:textId="77777777" w:rsidR="00097E16" w:rsidRPr="00097E16" w:rsidRDefault="00097E16">
      <w:pPr>
        <w:pStyle w:val="Inhopg2"/>
        <w:tabs>
          <w:tab w:val="left" w:pos="743"/>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3.1</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Orientation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_Toc301441834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12</w:t>
      </w:r>
      <w:r w:rsidRPr="00097E16">
        <w:rPr>
          <w:rFonts w:ascii="Times New Roman" w:hAnsi="Times New Roman" w:cs="Times New Roman"/>
          <w:noProof/>
        </w:rPr>
        <w:fldChar w:fldCharType="end"/>
      </w:r>
    </w:p>
    <w:p w14:paraId="4BF899BE" w14:textId="77777777" w:rsidR="00097E16" w:rsidRPr="00097E16" w:rsidRDefault="00097E16">
      <w:pPr>
        <w:pStyle w:val="Inhopg2"/>
        <w:tabs>
          <w:tab w:val="left" w:pos="743"/>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3.2</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Data Collection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_Toc301441835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13</w:t>
      </w:r>
      <w:r w:rsidRPr="00097E16">
        <w:rPr>
          <w:rFonts w:ascii="Times New Roman" w:hAnsi="Times New Roman" w:cs="Times New Roman"/>
          <w:noProof/>
        </w:rPr>
        <w:fldChar w:fldCharType="end"/>
      </w:r>
    </w:p>
    <w:p w14:paraId="1B2EF308" w14:textId="77777777" w:rsidR="00097E16" w:rsidRPr="00097E16" w:rsidRDefault="00097E16">
      <w:pPr>
        <w:pStyle w:val="Inhopg2"/>
        <w:tabs>
          <w:tab w:val="left" w:pos="743"/>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3.3</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Data analysis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_Toc301441836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13</w:t>
      </w:r>
      <w:r w:rsidRPr="00097E16">
        <w:rPr>
          <w:rFonts w:ascii="Times New Roman" w:hAnsi="Times New Roman" w:cs="Times New Roman"/>
          <w:noProof/>
        </w:rPr>
        <w:fldChar w:fldCharType="end"/>
      </w:r>
    </w:p>
    <w:p w14:paraId="732E27AF" w14:textId="77777777" w:rsidR="00097E16" w:rsidRPr="00097E16" w:rsidRDefault="00097E16">
      <w:pPr>
        <w:pStyle w:val="Inhopg2"/>
        <w:tabs>
          <w:tab w:val="left" w:pos="743"/>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3.4</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Cases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_Toc301441837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14</w:t>
      </w:r>
      <w:r w:rsidRPr="00097E16">
        <w:rPr>
          <w:rFonts w:ascii="Times New Roman" w:hAnsi="Times New Roman" w:cs="Times New Roman"/>
          <w:noProof/>
        </w:rPr>
        <w:fldChar w:fldCharType="end"/>
      </w:r>
    </w:p>
    <w:p w14:paraId="4CB5641A" w14:textId="77777777" w:rsidR="00097E16" w:rsidRPr="00097E16" w:rsidRDefault="00097E16">
      <w:pPr>
        <w:pStyle w:val="Inhopg2"/>
        <w:tabs>
          <w:tab w:val="left" w:pos="743"/>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3.5</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Conceptual model</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_Toc301441838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15</w:t>
      </w:r>
      <w:r w:rsidRPr="00097E16">
        <w:rPr>
          <w:rFonts w:ascii="Times New Roman" w:hAnsi="Times New Roman" w:cs="Times New Roman"/>
          <w:noProof/>
        </w:rPr>
        <w:fldChar w:fldCharType="end"/>
      </w:r>
    </w:p>
    <w:p w14:paraId="65CE1947" w14:textId="77777777" w:rsidR="00097E16" w:rsidRPr="00097E16" w:rsidRDefault="00097E16">
      <w:pPr>
        <w:pStyle w:val="Inhopg2"/>
        <w:tabs>
          <w:tab w:val="left" w:pos="743"/>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3.6</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Limitations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_Toc301441839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16</w:t>
      </w:r>
      <w:r w:rsidRPr="00097E16">
        <w:rPr>
          <w:rFonts w:ascii="Times New Roman" w:hAnsi="Times New Roman" w:cs="Times New Roman"/>
          <w:noProof/>
        </w:rPr>
        <w:fldChar w:fldCharType="end"/>
      </w:r>
    </w:p>
    <w:p w14:paraId="2EAC9ED9" w14:textId="77777777" w:rsidR="00097E16" w:rsidRPr="00097E16" w:rsidRDefault="00097E16">
      <w:pPr>
        <w:pStyle w:val="Inhopg2"/>
        <w:tabs>
          <w:tab w:val="left" w:pos="743"/>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3.7</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Delimitations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_Toc301441840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16</w:t>
      </w:r>
      <w:r w:rsidRPr="00097E16">
        <w:rPr>
          <w:rFonts w:ascii="Times New Roman" w:hAnsi="Times New Roman" w:cs="Times New Roman"/>
          <w:noProof/>
        </w:rPr>
        <w:fldChar w:fldCharType="end"/>
      </w:r>
    </w:p>
    <w:p w14:paraId="2F56AD72" w14:textId="77777777" w:rsidR="00097E16" w:rsidRPr="00097E16" w:rsidRDefault="00097E16">
      <w:pPr>
        <w:pStyle w:val="Inhopg2"/>
        <w:tabs>
          <w:tab w:val="left" w:pos="743"/>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3.8</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Ethics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_Toc301441841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16</w:t>
      </w:r>
      <w:r w:rsidRPr="00097E16">
        <w:rPr>
          <w:rFonts w:ascii="Times New Roman" w:hAnsi="Times New Roman" w:cs="Times New Roman"/>
          <w:noProof/>
        </w:rPr>
        <w:fldChar w:fldCharType="end"/>
      </w:r>
    </w:p>
    <w:p w14:paraId="2B48B440" w14:textId="77777777" w:rsidR="00097E16" w:rsidRPr="00097E16" w:rsidRDefault="00097E16">
      <w:pPr>
        <w:pStyle w:val="Inhopg1"/>
        <w:tabs>
          <w:tab w:val="left" w:pos="405"/>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4.</w:t>
      </w:r>
      <w:r w:rsidRPr="00097E16">
        <w:rPr>
          <w:rFonts w:ascii="Times New Roman" w:eastAsiaTheme="minorEastAsia" w:hAnsi="Times New Roman" w:cs="Times New Roman"/>
          <w:b w:val="0"/>
          <w:bCs w:val="0"/>
          <w:caps w:val="0"/>
          <w:noProof/>
          <w:sz w:val="24"/>
          <w:szCs w:val="24"/>
          <w:lang w:val="nl-NL" w:eastAsia="ja-JP"/>
        </w:rPr>
        <w:tab/>
      </w:r>
      <w:r w:rsidRPr="00097E16">
        <w:rPr>
          <w:rFonts w:ascii="Times New Roman" w:hAnsi="Times New Roman" w:cs="Times New Roman"/>
          <w:noProof/>
        </w:rPr>
        <w:t>Findings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_Toc301441842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17</w:t>
      </w:r>
      <w:r w:rsidRPr="00097E16">
        <w:rPr>
          <w:rFonts w:ascii="Times New Roman" w:hAnsi="Times New Roman" w:cs="Times New Roman"/>
          <w:noProof/>
        </w:rPr>
        <w:fldChar w:fldCharType="end"/>
      </w:r>
    </w:p>
    <w:p w14:paraId="1F37B9D1" w14:textId="77777777" w:rsidR="00097E16" w:rsidRPr="00097E16" w:rsidRDefault="00097E16">
      <w:pPr>
        <w:pStyle w:val="Inhopg2"/>
        <w:tabs>
          <w:tab w:val="left" w:pos="778"/>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 xml:space="preserve">4.1 </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ABN AMRO Holding NV (2007)</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_Toc301441843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17</w:t>
      </w:r>
      <w:r w:rsidRPr="00097E16">
        <w:rPr>
          <w:rFonts w:ascii="Times New Roman" w:hAnsi="Times New Roman" w:cs="Times New Roman"/>
          <w:noProof/>
        </w:rPr>
        <w:fldChar w:fldCharType="end"/>
      </w:r>
    </w:p>
    <w:p w14:paraId="37E0541A"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lastRenderedPageBreak/>
        <w:t xml:space="preserve">4.1.1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Background</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_Toc301441844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17</w:t>
      </w:r>
      <w:r w:rsidRPr="00097E16">
        <w:rPr>
          <w:rFonts w:ascii="Times New Roman" w:hAnsi="Times New Roman" w:cs="Times New Roman"/>
          <w:noProof/>
        </w:rPr>
        <w:fldChar w:fldCharType="end"/>
      </w:r>
    </w:p>
    <w:p w14:paraId="340746BB"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4.1.2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Sales process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_Toc301441845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18</w:t>
      </w:r>
      <w:r w:rsidRPr="00097E16">
        <w:rPr>
          <w:rFonts w:ascii="Times New Roman" w:hAnsi="Times New Roman" w:cs="Times New Roman"/>
          <w:noProof/>
        </w:rPr>
        <w:fldChar w:fldCharType="end"/>
      </w:r>
    </w:p>
    <w:p w14:paraId="1631533F"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4.1.3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Outcome</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_Toc301441846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18</w:t>
      </w:r>
      <w:r w:rsidRPr="00097E16">
        <w:rPr>
          <w:rFonts w:ascii="Times New Roman" w:hAnsi="Times New Roman" w:cs="Times New Roman"/>
          <w:noProof/>
        </w:rPr>
        <w:fldChar w:fldCharType="end"/>
      </w:r>
    </w:p>
    <w:p w14:paraId="7D534D28"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4.1.4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Hypothetical outcome</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_Toc301441847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19</w:t>
      </w:r>
      <w:r w:rsidRPr="00097E16">
        <w:rPr>
          <w:rFonts w:ascii="Times New Roman" w:hAnsi="Times New Roman" w:cs="Times New Roman"/>
          <w:noProof/>
        </w:rPr>
        <w:fldChar w:fldCharType="end"/>
      </w:r>
    </w:p>
    <w:p w14:paraId="7FC3FD5A" w14:textId="77777777" w:rsidR="00097E16" w:rsidRPr="00097E16" w:rsidRDefault="00097E16">
      <w:pPr>
        <w:pStyle w:val="Inhopg2"/>
        <w:tabs>
          <w:tab w:val="left" w:pos="778"/>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 xml:space="preserve">4.2 </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Numico NV (2007)</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_Toc301441848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21</w:t>
      </w:r>
      <w:r w:rsidRPr="00097E16">
        <w:rPr>
          <w:rFonts w:ascii="Times New Roman" w:hAnsi="Times New Roman" w:cs="Times New Roman"/>
          <w:noProof/>
        </w:rPr>
        <w:fldChar w:fldCharType="end"/>
      </w:r>
    </w:p>
    <w:p w14:paraId="1CDB4F6C"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4.2.1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Background</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_Toc301441849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21</w:t>
      </w:r>
      <w:r w:rsidRPr="00097E16">
        <w:rPr>
          <w:rFonts w:ascii="Times New Roman" w:hAnsi="Times New Roman" w:cs="Times New Roman"/>
          <w:noProof/>
        </w:rPr>
        <w:fldChar w:fldCharType="end"/>
      </w:r>
    </w:p>
    <w:p w14:paraId="2482A11A"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4.2.2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Sales process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_Toc301441850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21</w:t>
      </w:r>
      <w:r w:rsidRPr="00097E16">
        <w:rPr>
          <w:rFonts w:ascii="Times New Roman" w:hAnsi="Times New Roman" w:cs="Times New Roman"/>
          <w:noProof/>
        </w:rPr>
        <w:fldChar w:fldCharType="end"/>
      </w:r>
    </w:p>
    <w:p w14:paraId="426B2522"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4.2.3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Outcome</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_Toc301441851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21</w:t>
      </w:r>
      <w:r w:rsidRPr="00097E16">
        <w:rPr>
          <w:rFonts w:ascii="Times New Roman" w:hAnsi="Times New Roman" w:cs="Times New Roman"/>
          <w:noProof/>
        </w:rPr>
        <w:fldChar w:fldCharType="end"/>
      </w:r>
    </w:p>
    <w:p w14:paraId="237C5628"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4.2.4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Hypothetical outcome</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_Toc301441852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22</w:t>
      </w:r>
      <w:r w:rsidRPr="00097E16">
        <w:rPr>
          <w:rFonts w:ascii="Times New Roman" w:hAnsi="Times New Roman" w:cs="Times New Roman"/>
          <w:noProof/>
        </w:rPr>
        <w:fldChar w:fldCharType="end"/>
      </w:r>
    </w:p>
    <w:p w14:paraId="7401F6F9" w14:textId="77777777" w:rsidR="00097E16" w:rsidRPr="00097E16" w:rsidRDefault="00097E16">
      <w:pPr>
        <w:pStyle w:val="Inhopg2"/>
        <w:tabs>
          <w:tab w:val="left" w:pos="778"/>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 xml:space="preserve">4.3 </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Draka Holding NV (2011)</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_Toc301441853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23</w:t>
      </w:r>
      <w:r w:rsidRPr="00097E16">
        <w:rPr>
          <w:rFonts w:ascii="Times New Roman" w:hAnsi="Times New Roman" w:cs="Times New Roman"/>
          <w:noProof/>
        </w:rPr>
        <w:fldChar w:fldCharType="end"/>
      </w:r>
    </w:p>
    <w:p w14:paraId="0A6CA260"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4.3.1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Background</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_Toc301441854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23</w:t>
      </w:r>
      <w:r w:rsidRPr="00097E16">
        <w:rPr>
          <w:rFonts w:ascii="Times New Roman" w:hAnsi="Times New Roman" w:cs="Times New Roman"/>
          <w:noProof/>
        </w:rPr>
        <w:fldChar w:fldCharType="end"/>
      </w:r>
    </w:p>
    <w:p w14:paraId="049DF05B"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4.3.2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Sales process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_Toc301441855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23</w:t>
      </w:r>
      <w:r w:rsidRPr="00097E16">
        <w:rPr>
          <w:rFonts w:ascii="Times New Roman" w:hAnsi="Times New Roman" w:cs="Times New Roman"/>
          <w:noProof/>
        </w:rPr>
        <w:fldChar w:fldCharType="end"/>
      </w:r>
    </w:p>
    <w:p w14:paraId="3A1A7E5E"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4.3.3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Outcome</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_Toc301441856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24</w:t>
      </w:r>
      <w:r w:rsidRPr="00097E16">
        <w:rPr>
          <w:rFonts w:ascii="Times New Roman" w:hAnsi="Times New Roman" w:cs="Times New Roman"/>
          <w:noProof/>
        </w:rPr>
        <w:fldChar w:fldCharType="end"/>
      </w:r>
    </w:p>
    <w:p w14:paraId="256EB58A"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4.3.4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Hypothetical outcome</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_Toc301441857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24</w:t>
      </w:r>
      <w:r w:rsidRPr="00097E16">
        <w:rPr>
          <w:rFonts w:ascii="Times New Roman" w:hAnsi="Times New Roman" w:cs="Times New Roman"/>
          <w:noProof/>
        </w:rPr>
        <w:fldChar w:fldCharType="end"/>
      </w:r>
    </w:p>
    <w:p w14:paraId="23373D5C" w14:textId="77777777" w:rsidR="00097E16" w:rsidRPr="00097E16" w:rsidRDefault="00097E16">
      <w:pPr>
        <w:pStyle w:val="Inhopg2"/>
        <w:tabs>
          <w:tab w:val="left" w:pos="778"/>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 xml:space="preserve">4.4 </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Crucell NV (2011)</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_Toc301441858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25</w:t>
      </w:r>
      <w:r w:rsidRPr="00097E16">
        <w:rPr>
          <w:rFonts w:ascii="Times New Roman" w:hAnsi="Times New Roman" w:cs="Times New Roman"/>
          <w:noProof/>
        </w:rPr>
        <w:fldChar w:fldCharType="end"/>
      </w:r>
    </w:p>
    <w:p w14:paraId="1939BE2D"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4.4.1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Background</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_Toc301441859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25</w:t>
      </w:r>
      <w:r w:rsidRPr="00097E16">
        <w:rPr>
          <w:rFonts w:ascii="Times New Roman" w:hAnsi="Times New Roman" w:cs="Times New Roman"/>
          <w:noProof/>
        </w:rPr>
        <w:fldChar w:fldCharType="end"/>
      </w:r>
    </w:p>
    <w:p w14:paraId="57419053"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4.4.2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Sales process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_Toc301441860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25</w:t>
      </w:r>
      <w:r w:rsidRPr="00097E16">
        <w:rPr>
          <w:rFonts w:ascii="Times New Roman" w:hAnsi="Times New Roman" w:cs="Times New Roman"/>
          <w:noProof/>
        </w:rPr>
        <w:fldChar w:fldCharType="end"/>
      </w:r>
    </w:p>
    <w:p w14:paraId="094AA10A"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4.4.3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Outcome</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_Toc301441861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25</w:t>
      </w:r>
      <w:r w:rsidRPr="00097E16">
        <w:rPr>
          <w:rFonts w:ascii="Times New Roman" w:hAnsi="Times New Roman" w:cs="Times New Roman"/>
          <w:noProof/>
        </w:rPr>
        <w:fldChar w:fldCharType="end"/>
      </w:r>
    </w:p>
    <w:p w14:paraId="0F10AACB"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4.4.4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Hypothetical outcome</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_Toc301441862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25</w:t>
      </w:r>
      <w:r w:rsidRPr="00097E16">
        <w:rPr>
          <w:rFonts w:ascii="Times New Roman" w:hAnsi="Times New Roman" w:cs="Times New Roman"/>
          <w:noProof/>
        </w:rPr>
        <w:fldChar w:fldCharType="end"/>
      </w:r>
    </w:p>
    <w:p w14:paraId="0D74DD07" w14:textId="77777777" w:rsidR="00097E16" w:rsidRPr="00097E16" w:rsidRDefault="00097E16">
      <w:pPr>
        <w:pStyle w:val="Inhopg2"/>
        <w:tabs>
          <w:tab w:val="left" w:pos="778"/>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 xml:space="preserve">4.5 </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DE Master Blenders 1753 NV (2013)</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_Toc301441863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26</w:t>
      </w:r>
      <w:r w:rsidRPr="00097E16">
        <w:rPr>
          <w:rFonts w:ascii="Times New Roman" w:hAnsi="Times New Roman" w:cs="Times New Roman"/>
          <w:noProof/>
        </w:rPr>
        <w:fldChar w:fldCharType="end"/>
      </w:r>
    </w:p>
    <w:p w14:paraId="5750209F"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4.5.1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Background</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_Toc301441864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26</w:t>
      </w:r>
      <w:r w:rsidRPr="00097E16">
        <w:rPr>
          <w:rFonts w:ascii="Times New Roman" w:hAnsi="Times New Roman" w:cs="Times New Roman"/>
          <w:noProof/>
        </w:rPr>
        <w:fldChar w:fldCharType="end"/>
      </w:r>
    </w:p>
    <w:p w14:paraId="38004DC0"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4.5.2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Sales process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_Toc301441865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27</w:t>
      </w:r>
      <w:r w:rsidRPr="00097E16">
        <w:rPr>
          <w:rFonts w:ascii="Times New Roman" w:hAnsi="Times New Roman" w:cs="Times New Roman"/>
          <w:noProof/>
        </w:rPr>
        <w:fldChar w:fldCharType="end"/>
      </w:r>
    </w:p>
    <w:p w14:paraId="7EB39E5B"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lastRenderedPageBreak/>
        <w:t xml:space="preserve">4.5.3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Outcome</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_Toc301441866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27</w:t>
      </w:r>
      <w:r w:rsidRPr="00097E16">
        <w:rPr>
          <w:rFonts w:ascii="Times New Roman" w:hAnsi="Times New Roman" w:cs="Times New Roman"/>
          <w:noProof/>
        </w:rPr>
        <w:fldChar w:fldCharType="end"/>
      </w:r>
    </w:p>
    <w:p w14:paraId="4BCF0092"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4.5.4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Hypothetical outcome</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_Toc301441867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27</w:t>
      </w:r>
      <w:r w:rsidRPr="00097E16">
        <w:rPr>
          <w:rFonts w:ascii="Times New Roman" w:hAnsi="Times New Roman" w:cs="Times New Roman"/>
          <w:noProof/>
        </w:rPr>
        <w:fldChar w:fldCharType="end"/>
      </w:r>
    </w:p>
    <w:p w14:paraId="5F55B016" w14:textId="77777777" w:rsidR="00097E16" w:rsidRPr="00097E16" w:rsidRDefault="00097E16">
      <w:pPr>
        <w:pStyle w:val="Inhopg2"/>
        <w:tabs>
          <w:tab w:val="left" w:pos="778"/>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 xml:space="preserve">4.6 </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Results of interview</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_Toc301441868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28</w:t>
      </w:r>
      <w:r w:rsidRPr="00097E16">
        <w:rPr>
          <w:rFonts w:ascii="Times New Roman" w:hAnsi="Times New Roman" w:cs="Times New Roman"/>
          <w:noProof/>
        </w:rPr>
        <w:fldChar w:fldCharType="end"/>
      </w:r>
    </w:p>
    <w:p w14:paraId="75512E08" w14:textId="77777777" w:rsidR="00097E16" w:rsidRPr="00097E16" w:rsidRDefault="00097E16">
      <w:pPr>
        <w:pStyle w:val="Inhopg1"/>
        <w:tabs>
          <w:tab w:val="left" w:pos="405"/>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5.</w:t>
      </w:r>
      <w:r w:rsidRPr="00097E16">
        <w:rPr>
          <w:rFonts w:ascii="Times New Roman" w:eastAsiaTheme="minorEastAsia" w:hAnsi="Times New Roman" w:cs="Times New Roman"/>
          <w:b w:val="0"/>
          <w:bCs w:val="0"/>
          <w:caps w:val="0"/>
          <w:noProof/>
          <w:sz w:val="24"/>
          <w:szCs w:val="24"/>
          <w:lang w:val="nl-NL" w:eastAsia="ja-JP"/>
        </w:rPr>
        <w:tab/>
      </w:r>
      <w:r w:rsidRPr="00097E16">
        <w:rPr>
          <w:rFonts w:ascii="Times New Roman" w:hAnsi="Times New Roman" w:cs="Times New Roman"/>
          <w:noProof/>
        </w:rPr>
        <w:t>Discussion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_Toc301441869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29</w:t>
      </w:r>
      <w:r w:rsidRPr="00097E16">
        <w:rPr>
          <w:rFonts w:ascii="Times New Roman" w:hAnsi="Times New Roman" w:cs="Times New Roman"/>
          <w:noProof/>
        </w:rPr>
        <w:fldChar w:fldCharType="end"/>
      </w:r>
    </w:p>
    <w:p w14:paraId="465FD447" w14:textId="77777777" w:rsidR="00097E16" w:rsidRPr="00097E16" w:rsidRDefault="00097E16">
      <w:pPr>
        <w:pStyle w:val="Inhopg2"/>
        <w:tabs>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5.1 Outcome of findings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_Toc301441870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29</w:t>
      </w:r>
      <w:r w:rsidRPr="00097E16">
        <w:rPr>
          <w:rFonts w:ascii="Times New Roman" w:hAnsi="Times New Roman" w:cs="Times New Roman"/>
          <w:noProof/>
        </w:rPr>
        <w:fldChar w:fldCharType="end"/>
      </w:r>
    </w:p>
    <w:p w14:paraId="655F8CDF"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5.1.1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Decreased incentive to increase premium</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_Toc301441871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29</w:t>
      </w:r>
      <w:r w:rsidRPr="00097E16">
        <w:rPr>
          <w:rFonts w:ascii="Times New Roman" w:hAnsi="Times New Roman" w:cs="Times New Roman"/>
          <w:noProof/>
        </w:rPr>
        <w:fldChar w:fldCharType="end"/>
      </w:r>
    </w:p>
    <w:p w14:paraId="1DAC2220"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5.1.2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Disruption of agency theory</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_Toc301441872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29</w:t>
      </w:r>
      <w:r w:rsidRPr="00097E16">
        <w:rPr>
          <w:rFonts w:ascii="Times New Roman" w:hAnsi="Times New Roman" w:cs="Times New Roman"/>
          <w:noProof/>
        </w:rPr>
        <w:fldChar w:fldCharType="end"/>
      </w:r>
    </w:p>
    <w:p w14:paraId="6FA5FAAB"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5.1.3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Limited to shares and options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_Toc301441873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30</w:t>
      </w:r>
      <w:r w:rsidRPr="00097E16">
        <w:rPr>
          <w:rFonts w:ascii="Times New Roman" w:hAnsi="Times New Roman" w:cs="Times New Roman"/>
          <w:noProof/>
        </w:rPr>
        <w:fldChar w:fldCharType="end"/>
      </w:r>
    </w:p>
    <w:p w14:paraId="4D8E522E"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5.1.4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Severance approved by shareholders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_Toc301441874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30</w:t>
      </w:r>
      <w:r w:rsidRPr="00097E16">
        <w:rPr>
          <w:rFonts w:ascii="Times New Roman" w:hAnsi="Times New Roman" w:cs="Times New Roman"/>
          <w:noProof/>
        </w:rPr>
        <w:fldChar w:fldCharType="end"/>
      </w:r>
    </w:p>
    <w:p w14:paraId="67F38374"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5.1.5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Decreased fairness and ability to attract talent</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_Toc301441875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30</w:t>
      </w:r>
      <w:r w:rsidRPr="00097E16">
        <w:rPr>
          <w:rFonts w:ascii="Times New Roman" w:hAnsi="Times New Roman" w:cs="Times New Roman"/>
          <w:noProof/>
        </w:rPr>
        <w:fldChar w:fldCharType="end"/>
      </w:r>
    </w:p>
    <w:p w14:paraId="0406E3B1"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5.1.6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Positive effects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_Toc301441876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31</w:t>
      </w:r>
      <w:r w:rsidRPr="00097E16">
        <w:rPr>
          <w:rFonts w:ascii="Times New Roman" w:hAnsi="Times New Roman" w:cs="Times New Roman"/>
          <w:noProof/>
        </w:rPr>
        <w:fldChar w:fldCharType="end"/>
      </w:r>
    </w:p>
    <w:p w14:paraId="1759BC05" w14:textId="77777777" w:rsidR="00097E16" w:rsidRPr="00097E16" w:rsidRDefault="00097E16">
      <w:pPr>
        <w:pStyle w:val="Inhopg3"/>
        <w:tabs>
          <w:tab w:val="left" w:pos="1161"/>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 xml:space="preserve">5.1.7 </w:t>
      </w:r>
      <w:r w:rsidRPr="00097E16">
        <w:rPr>
          <w:rFonts w:ascii="Times New Roman" w:eastAsiaTheme="minorEastAsia" w:hAnsi="Times New Roman" w:cs="Times New Roman"/>
          <w:i w:val="0"/>
          <w:iCs w:val="0"/>
          <w:noProof/>
          <w:sz w:val="24"/>
          <w:szCs w:val="24"/>
          <w:lang w:val="nl-NL" w:eastAsia="ja-JP"/>
        </w:rPr>
        <w:tab/>
      </w:r>
      <w:r w:rsidRPr="00097E16">
        <w:rPr>
          <w:rFonts w:ascii="Times New Roman" w:hAnsi="Times New Roman" w:cs="Times New Roman"/>
          <w:noProof/>
        </w:rPr>
        <w:t>Sub conclusion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_Toc301441877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31</w:t>
      </w:r>
      <w:r w:rsidRPr="00097E16">
        <w:rPr>
          <w:rFonts w:ascii="Times New Roman" w:hAnsi="Times New Roman" w:cs="Times New Roman"/>
          <w:noProof/>
        </w:rPr>
        <w:fldChar w:fldCharType="end"/>
      </w:r>
    </w:p>
    <w:p w14:paraId="688EC090" w14:textId="77777777" w:rsidR="00097E16" w:rsidRPr="00097E16" w:rsidRDefault="00097E16">
      <w:pPr>
        <w:pStyle w:val="Inhopg2"/>
        <w:tabs>
          <w:tab w:val="left" w:pos="778"/>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 xml:space="preserve">5.2 </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Practical applications of findings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_Toc301441878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32</w:t>
      </w:r>
      <w:r w:rsidRPr="00097E16">
        <w:rPr>
          <w:rFonts w:ascii="Times New Roman" w:hAnsi="Times New Roman" w:cs="Times New Roman"/>
          <w:noProof/>
        </w:rPr>
        <w:fldChar w:fldCharType="end"/>
      </w:r>
    </w:p>
    <w:p w14:paraId="477E4FB8" w14:textId="77777777" w:rsidR="00097E16" w:rsidRPr="00097E16" w:rsidRDefault="00097E16">
      <w:pPr>
        <w:pStyle w:val="Inhopg2"/>
        <w:tabs>
          <w:tab w:val="left" w:pos="778"/>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 xml:space="preserve">5.3 </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Market reaction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_Toc301441879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33</w:t>
      </w:r>
      <w:r w:rsidRPr="00097E16">
        <w:rPr>
          <w:rFonts w:ascii="Times New Roman" w:hAnsi="Times New Roman" w:cs="Times New Roman"/>
          <w:noProof/>
        </w:rPr>
        <w:fldChar w:fldCharType="end"/>
      </w:r>
    </w:p>
    <w:p w14:paraId="53C525E7" w14:textId="77777777" w:rsidR="00097E16" w:rsidRPr="00097E16" w:rsidRDefault="00097E16">
      <w:pPr>
        <w:pStyle w:val="Inhopg1"/>
        <w:tabs>
          <w:tab w:val="left" w:pos="405"/>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6.</w:t>
      </w:r>
      <w:r w:rsidRPr="00097E16">
        <w:rPr>
          <w:rFonts w:ascii="Times New Roman" w:eastAsiaTheme="minorEastAsia" w:hAnsi="Times New Roman" w:cs="Times New Roman"/>
          <w:b w:val="0"/>
          <w:bCs w:val="0"/>
          <w:caps w:val="0"/>
          <w:noProof/>
          <w:sz w:val="24"/>
          <w:szCs w:val="24"/>
          <w:lang w:val="nl-NL" w:eastAsia="ja-JP"/>
        </w:rPr>
        <w:tab/>
      </w:r>
      <w:r w:rsidRPr="00097E16">
        <w:rPr>
          <w:rFonts w:ascii="Times New Roman" w:hAnsi="Times New Roman" w:cs="Times New Roman"/>
          <w:noProof/>
        </w:rPr>
        <w:t>Recommendation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_Toc301441880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34</w:t>
      </w:r>
      <w:r w:rsidRPr="00097E16">
        <w:rPr>
          <w:rFonts w:ascii="Times New Roman" w:hAnsi="Times New Roman" w:cs="Times New Roman"/>
          <w:noProof/>
        </w:rPr>
        <w:fldChar w:fldCharType="end"/>
      </w:r>
    </w:p>
    <w:p w14:paraId="4D4BE383" w14:textId="77777777" w:rsidR="00097E16" w:rsidRPr="00097E16" w:rsidRDefault="00097E16">
      <w:pPr>
        <w:pStyle w:val="Inhopg2"/>
        <w:tabs>
          <w:tab w:val="left" w:pos="778"/>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 xml:space="preserve">6.1 </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Practical recommendations</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_Toc301441881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34</w:t>
      </w:r>
      <w:r w:rsidRPr="00097E16">
        <w:rPr>
          <w:rFonts w:ascii="Times New Roman" w:hAnsi="Times New Roman" w:cs="Times New Roman"/>
          <w:noProof/>
        </w:rPr>
        <w:fldChar w:fldCharType="end"/>
      </w:r>
    </w:p>
    <w:p w14:paraId="7363F533" w14:textId="77777777" w:rsidR="00097E16" w:rsidRPr="00097E16" w:rsidRDefault="00097E16">
      <w:pPr>
        <w:pStyle w:val="Inhopg2"/>
        <w:tabs>
          <w:tab w:val="left" w:pos="778"/>
          <w:tab w:val="right" w:leader="dot" w:pos="9062"/>
        </w:tabs>
        <w:rPr>
          <w:rFonts w:ascii="Times New Roman" w:eastAsiaTheme="minorEastAsia" w:hAnsi="Times New Roman" w:cs="Times New Roman"/>
          <w:smallCaps w:val="0"/>
          <w:noProof/>
          <w:sz w:val="24"/>
          <w:szCs w:val="24"/>
          <w:lang w:val="nl-NL" w:eastAsia="ja-JP"/>
        </w:rPr>
      </w:pPr>
      <w:r w:rsidRPr="00097E16">
        <w:rPr>
          <w:rFonts w:ascii="Times New Roman" w:hAnsi="Times New Roman" w:cs="Times New Roman"/>
          <w:noProof/>
        </w:rPr>
        <w:t xml:space="preserve">6.2 </w:t>
      </w:r>
      <w:r w:rsidRPr="00097E16">
        <w:rPr>
          <w:rFonts w:ascii="Times New Roman" w:eastAsiaTheme="minorEastAsia" w:hAnsi="Times New Roman" w:cs="Times New Roman"/>
          <w:smallCaps w:val="0"/>
          <w:noProof/>
          <w:sz w:val="24"/>
          <w:szCs w:val="24"/>
          <w:lang w:val="nl-NL" w:eastAsia="ja-JP"/>
        </w:rPr>
        <w:tab/>
      </w:r>
      <w:r w:rsidRPr="00097E16">
        <w:rPr>
          <w:rFonts w:ascii="Times New Roman" w:hAnsi="Times New Roman" w:cs="Times New Roman"/>
          <w:noProof/>
        </w:rPr>
        <w:t>Implementation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_Toc301441882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35</w:t>
      </w:r>
      <w:r w:rsidRPr="00097E16">
        <w:rPr>
          <w:rFonts w:ascii="Times New Roman" w:hAnsi="Times New Roman" w:cs="Times New Roman"/>
          <w:noProof/>
        </w:rPr>
        <w:fldChar w:fldCharType="end"/>
      </w:r>
    </w:p>
    <w:p w14:paraId="5CC292D9" w14:textId="77777777" w:rsidR="00097E16" w:rsidRPr="00097E16" w:rsidRDefault="00097E16">
      <w:pPr>
        <w:pStyle w:val="Inhopg1"/>
        <w:tabs>
          <w:tab w:val="left" w:pos="405"/>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7.</w:t>
      </w:r>
      <w:r w:rsidRPr="00097E16">
        <w:rPr>
          <w:rFonts w:ascii="Times New Roman" w:eastAsiaTheme="minorEastAsia" w:hAnsi="Times New Roman" w:cs="Times New Roman"/>
          <w:b w:val="0"/>
          <w:bCs w:val="0"/>
          <w:caps w:val="0"/>
          <w:noProof/>
          <w:sz w:val="24"/>
          <w:szCs w:val="24"/>
          <w:lang w:val="nl-NL" w:eastAsia="ja-JP"/>
        </w:rPr>
        <w:tab/>
      </w:r>
      <w:r w:rsidRPr="00097E16">
        <w:rPr>
          <w:rFonts w:ascii="Times New Roman" w:hAnsi="Times New Roman" w:cs="Times New Roman"/>
          <w:noProof/>
        </w:rPr>
        <w:t>Conclusion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_Toc301441883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37</w:t>
      </w:r>
      <w:r w:rsidRPr="00097E16">
        <w:rPr>
          <w:rFonts w:ascii="Times New Roman" w:hAnsi="Times New Roman" w:cs="Times New Roman"/>
          <w:noProof/>
        </w:rPr>
        <w:fldChar w:fldCharType="end"/>
      </w:r>
    </w:p>
    <w:p w14:paraId="2F886946" w14:textId="77777777" w:rsidR="00097E16" w:rsidRPr="00097E16" w:rsidRDefault="00097E16">
      <w:pPr>
        <w:pStyle w:val="Inhopg1"/>
        <w:tabs>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Bibliography</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_Toc301441884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38</w:t>
      </w:r>
      <w:r w:rsidRPr="00097E16">
        <w:rPr>
          <w:rFonts w:ascii="Times New Roman" w:hAnsi="Times New Roman" w:cs="Times New Roman"/>
          <w:noProof/>
        </w:rPr>
        <w:fldChar w:fldCharType="end"/>
      </w:r>
    </w:p>
    <w:p w14:paraId="1F3B5F20" w14:textId="77777777" w:rsidR="00097E16" w:rsidRPr="00097E16" w:rsidRDefault="00097E16">
      <w:pPr>
        <w:pStyle w:val="Inhopg1"/>
        <w:tabs>
          <w:tab w:val="right" w:leader="dot" w:pos="9062"/>
        </w:tabs>
        <w:rPr>
          <w:rFonts w:ascii="Times New Roman" w:eastAsiaTheme="minorEastAsia" w:hAnsi="Times New Roman" w:cs="Times New Roman"/>
          <w:b w:val="0"/>
          <w:bCs w:val="0"/>
          <w:caps w:val="0"/>
          <w:noProof/>
          <w:sz w:val="24"/>
          <w:szCs w:val="24"/>
          <w:lang w:val="nl-NL" w:eastAsia="ja-JP"/>
        </w:rPr>
      </w:pPr>
      <w:r w:rsidRPr="00097E16">
        <w:rPr>
          <w:rFonts w:ascii="Times New Roman" w:hAnsi="Times New Roman" w:cs="Times New Roman"/>
          <w:noProof/>
        </w:rPr>
        <w:t>Appendix</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_Toc301441885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42</w:t>
      </w:r>
      <w:r w:rsidRPr="00097E16">
        <w:rPr>
          <w:rFonts w:ascii="Times New Roman" w:hAnsi="Times New Roman" w:cs="Times New Roman"/>
          <w:noProof/>
        </w:rPr>
        <w:fldChar w:fldCharType="end"/>
      </w:r>
    </w:p>
    <w:p w14:paraId="43BD070C" w14:textId="77777777" w:rsidR="00097E16" w:rsidRPr="00097E16" w:rsidRDefault="00097E16">
      <w:pPr>
        <w:pStyle w:val="Inhopg3"/>
        <w:tabs>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lastRenderedPageBreak/>
        <w:t>APPENDIX I: share price valuation in accordance to the Provision.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_Toc301441886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42</w:t>
      </w:r>
      <w:r w:rsidRPr="00097E16">
        <w:rPr>
          <w:rFonts w:ascii="Times New Roman" w:hAnsi="Times New Roman" w:cs="Times New Roman"/>
          <w:noProof/>
        </w:rPr>
        <w:fldChar w:fldCharType="end"/>
      </w:r>
    </w:p>
    <w:p w14:paraId="45C42895" w14:textId="77777777" w:rsidR="00097E16" w:rsidRPr="00097E16" w:rsidRDefault="00097E16">
      <w:pPr>
        <w:pStyle w:val="Inhopg3"/>
        <w:tabs>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APPENDIX II: ABN Amro share price progression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_Toc301441887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43</w:t>
      </w:r>
      <w:r w:rsidRPr="00097E16">
        <w:rPr>
          <w:rFonts w:ascii="Times New Roman" w:hAnsi="Times New Roman" w:cs="Times New Roman"/>
          <w:noProof/>
        </w:rPr>
        <w:fldChar w:fldCharType="end"/>
      </w:r>
    </w:p>
    <w:p w14:paraId="1155B213" w14:textId="77777777" w:rsidR="00097E16" w:rsidRPr="00097E16" w:rsidRDefault="00097E16">
      <w:pPr>
        <w:pStyle w:val="Inhopg3"/>
        <w:tabs>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APPENDIX III: Numico NV share price progression (source: Zephyr.com)</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_Toc301441888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43</w:t>
      </w:r>
      <w:r w:rsidRPr="00097E16">
        <w:rPr>
          <w:rFonts w:ascii="Times New Roman" w:hAnsi="Times New Roman" w:cs="Times New Roman"/>
          <w:noProof/>
        </w:rPr>
        <w:fldChar w:fldCharType="end"/>
      </w:r>
    </w:p>
    <w:p w14:paraId="1F9D437E" w14:textId="77777777" w:rsidR="00097E16" w:rsidRPr="00097E16" w:rsidRDefault="00097E16">
      <w:pPr>
        <w:pStyle w:val="Inhopg3"/>
        <w:tabs>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APPENDIX IV: Draka Holding NV share price progression (source: Zephyr.com)</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_Toc301441889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43</w:t>
      </w:r>
      <w:r w:rsidRPr="00097E16">
        <w:rPr>
          <w:rFonts w:ascii="Times New Roman" w:hAnsi="Times New Roman" w:cs="Times New Roman"/>
          <w:noProof/>
        </w:rPr>
        <w:fldChar w:fldCharType="end"/>
      </w:r>
    </w:p>
    <w:p w14:paraId="6F330247" w14:textId="77777777" w:rsidR="00097E16" w:rsidRPr="00097E16" w:rsidRDefault="00097E16">
      <w:pPr>
        <w:pStyle w:val="Inhopg3"/>
        <w:tabs>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APPENDIX V: Crucell NV share price progression (source: Zephyr.com)</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_Toc301441890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44</w:t>
      </w:r>
      <w:r w:rsidRPr="00097E16">
        <w:rPr>
          <w:rFonts w:ascii="Times New Roman" w:hAnsi="Times New Roman" w:cs="Times New Roman"/>
          <w:noProof/>
        </w:rPr>
        <w:fldChar w:fldCharType="end"/>
      </w:r>
    </w:p>
    <w:p w14:paraId="12EB3EE7" w14:textId="77777777" w:rsidR="00097E16" w:rsidRPr="00097E16" w:rsidRDefault="00097E16">
      <w:pPr>
        <w:pStyle w:val="Inhopg3"/>
        <w:tabs>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APPENDIX VI: DE Master Blenders NV share price progression (source: Behr.nl)</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_Toc301441891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44</w:t>
      </w:r>
      <w:r w:rsidRPr="00097E16">
        <w:rPr>
          <w:rFonts w:ascii="Times New Roman" w:hAnsi="Times New Roman" w:cs="Times New Roman"/>
          <w:noProof/>
        </w:rPr>
        <w:fldChar w:fldCharType="end"/>
      </w:r>
    </w:p>
    <w:p w14:paraId="65D8E6FA" w14:textId="77777777" w:rsidR="00097E16" w:rsidRPr="00097E16" w:rsidRDefault="00097E16">
      <w:pPr>
        <w:pStyle w:val="Inhopg3"/>
        <w:tabs>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APPENDIX VII: Severance calculations. Original situation vs. application of Provision.</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_Toc301441892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44</w:t>
      </w:r>
      <w:r w:rsidRPr="00097E16">
        <w:rPr>
          <w:rFonts w:ascii="Times New Roman" w:hAnsi="Times New Roman" w:cs="Times New Roman"/>
          <w:noProof/>
        </w:rPr>
        <w:fldChar w:fldCharType="end"/>
      </w:r>
    </w:p>
    <w:p w14:paraId="4D21F477" w14:textId="77777777" w:rsidR="00097E16" w:rsidRPr="00097E16" w:rsidRDefault="00097E16">
      <w:pPr>
        <w:pStyle w:val="Inhopg3"/>
        <w:tabs>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APPENDIX VIII: Interview with Robert Gerritsen Analysist at ISS for the Benelux market</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_Toc301441893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45</w:t>
      </w:r>
      <w:r w:rsidRPr="00097E16">
        <w:rPr>
          <w:rFonts w:ascii="Times New Roman" w:hAnsi="Times New Roman" w:cs="Times New Roman"/>
          <w:noProof/>
        </w:rPr>
        <w:fldChar w:fldCharType="end"/>
      </w:r>
    </w:p>
    <w:p w14:paraId="2AAC456F" w14:textId="77777777" w:rsidR="00097E16" w:rsidRPr="00097E16" w:rsidRDefault="00097E16">
      <w:pPr>
        <w:pStyle w:val="Inhopg3"/>
        <w:tabs>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APPENDIX IX: Proposal of policy update in ISS format: discussion item</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_Toc301441894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47</w:t>
      </w:r>
      <w:r w:rsidRPr="00097E16">
        <w:rPr>
          <w:rFonts w:ascii="Times New Roman" w:hAnsi="Times New Roman" w:cs="Times New Roman"/>
          <w:noProof/>
        </w:rPr>
        <w:fldChar w:fldCharType="end"/>
      </w:r>
    </w:p>
    <w:p w14:paraId="2DF082C0" w14:textId="77777777" w:rsidR="00097E16" w:rsidRPr="00097E16" w:rsidRDefault="00097E16">
      <w:pPr>
        <w:pStyle w:val="Inhopg3"/>
        <w:tabs>
          <w:tab w:val="right" w:leader="dot" w:pos="9062"/>
        </w:tabs>
        <w:rPr>
          <w:rFonts w:ascii="Times New Roman" w:eastAsiaTheme="minorEastAsia" w:hAnsi="Times New Roman" w:cs="Times New Roman"/>
          <w:i w:val="0"/>
          <w:iCs w:val="0"/>
          <w:noProof/>
          <w:sz w:val="24"/>
          <w:szCs w:val="24"/>
          <w:lang w:val="nl-NL" w:eastAsia="ja-JP"/>
        </w:rPr>
      </w:pPr>
      <w:r w:rsidRPr="00097E16">
        <w:rPr>
          <w:rFonts w:ascii="Times New Roman" w:hAnsi="Times New Roman" w:cs="Times New Roman"/>
          <w:noProof/>
        </w:rPr>
        <w:t>APPENDIX X: Proposal of policy update in ISS format: voting item</w:t>
      </w:r>
      <w:r w:rsidRPr="00097E16">
        <w:rPr>
          <w:rFonts w:ascii="Times New Roman" w:hAnsi="Times New Roman" w:cs="Times New Roman"/>
          <w:noProof/>
        </w:rPr>
        <w:tab/>
      </w:r>
      <w:r w:rsidRPr="00097E16">
        <w:rPr>
          <w:rFonts w:ascii="Times New Roman" w:hAnsi="Times New Roman" w:cs="Times New Roman"/>
          <w:noProof/>
        </w:rPr>
        <w:fldChar w:fldCharType="begin"/>
      </w:r>
      <w:r w:rsidRPr="00097E16">
        <w:rPr>
          <w:rFonts w:ascii="Times New Roman" w:hAnsi="Times New Roman" w:cs="Times New Roman"/>
          <w:noProof/>
        </w:rPr>
        <w:instrText xml:space="preserve"> PAGEREF _Toc301441895 \h </w:instrText>
      </w:r>
      <w:r w:rsidRPr="00097E16">
        <w:rPr>
          <w:rFonts w:ascii="Times New Roman" w:hAnsi="Times New Roman" w:cs="Times New Roman"/>
          <w:noProof/>
        </w:rPr>
      </w:r>
      <w:r w:rsidRPr="00097E16">
        <w:rPr>
          <w:rFonts w:ascii="Times New Roman" w:hAnsi="Times New Roman" w:cs="Times New Roman"/>
          <w:noProof/>
        </w:rPr>
        <w:fldChar w:fldCharType="separate"/>
      </w:r>
      <w:r w:rsidR="00FA3BD0">
        <w:rPr>
          <w:rFonts w:ascii="Times New Roman" w:hAnsi="Times New Roman" w:cs="Times New Roman"/>
          <w:noProof/>
        </w:rPr>
        <w:t>47</w:t>
      </w:r>
      <w:r w:rsidRPr="00097E16">
        <w:rPr>
          <w:rFonts w:ascii="Times New Roman" w:hAnsi="Times New Roman" w:cs="Times New Roman"/>
          <w:noProof/>
        </w:rPr>
        <w:fldChar w:fldCharType="end"/>
      </w:r>
    </w:p>
    <w:p w14:paraId="397BA941" w14:textId="77777777" w:rsidR="00A106DC" w:rsidRPr="00FF4D4B" w:rsidRDefault="00A106DC" w:rsidP="003C647E">
      <w:pPr>
        <w:pStyle w:val="Kop1"/>
        <w:rPr>
          <w:rFonts w:cs="Times New Roman"/>
        </w:rPr>
      </w:pPr>
      <w:r w:rsidRPr="00097E16">
        <w:rPr>
          <w:rFonts w:cs="Times New Roman"/>
          <w:b w:val="0"/>
        </w:rPr>
        <w:fldChar w:fldCharType="end"/>
      </w:r>
      <w:r w:rsidRPr="00FF4D4B">
        <w:rPr>
          <w:rFonts w:cs="Times New Roman"/>
        </w:rPr>
        <w:br w:type="column"/>
      </w:r>
      <w:bookmarkStart w:id="7" w:name="_Toc301441830"/>
      <w:r w:rsidRPr="00FF4D4B">
        <w:rPr>
          <w:rFonts w:cs="Times New Roman"/>
        </w:rPr>
        <w:lastRenderedPageBreak/>
        <w:t>Glossary</w:t>
      </w:r>
      <w:bookmarkEnd w:id="7"/>
    </w:p>
    <w:p w14:paraId="1074CE4F" w14:textId="6FCD0892" w:rsidR="00496DE4" w:rsidRPr="00FF4D4B" w:rsidRDefault="00496DE4" w:rsidP="00D575DF">
      <w:pPr>
        <w:rPr>
          <w:rFonts w:cs="Times New Roman"/>
        </w:rPr>
      </w:pPr>
      <w:r w:rsidRPr="00FF4D4B">
        <w:rPr>
          <w:rFonts w:cs="Times New Roman"/>
        </w:rPr>
        <w:t>AEX</w:t>
      </w:r>
      <w:r w:rsidRPr="00FF4D4B">
        <w:rPr>
          <w:rFonts w:cs="Times New Roman"/>
        </w:rPr>
        <w:tab/>
      </w:r>
      <w:r w:rsidRPr="00FF4D4B">
        <w:rPr>
          <w:rFonts w:cs="Times New Roman"/>
        </w:rPr>
        <w:tab/>
      </w:r>
      <w:r w:rsidRPr="00FF4D4B">
        <w:rPr>
          <w:rFonts w:cs="Times New Roman"/>
        </w:rPr>
        <w:tab/>
      </w:r>
      <w:r w:rsidRPr="00FF4D4B">
        <w:rPr>
          <w:rFonts w:cs="Times New Roman"/>
        </w:rPr>
        <w:tab/>
      </w:r>
      <w:r w:rsidRPr="00FF4D4B">
        <w:rPr>
          <w:rFonts w:cs="Times New Roman"/>
        </w:rPr>
        <w:tab/>
        <w:t>Amsterdam Exchange Index</w:t>
      </w:r>
    </w:p>
    <w:p w14:paraId="5D1203F5" w14:textId="172EC884" w:rsidR="006018E2" w:rsidRPr="00FF4D4B" w:rsidRDefault="006018E2" w:rsidP="00D575DF">
      <w:pPr>
        <w:rPr>
          <w:rFonts w:cs="Times New Roman"/>
        </w:rPr>
      </w:pPr>
      <w:r w:rsidRPr="00FF4D4B">
        <w:rPr>
          <w:rFonts w:cs="Times New Roman"/>
        </w:rPr>
        <w:t>AGM</w:t>
      </w:r>
      <w:r w:rsidRPr="00FF4D4B">
        <w:rPr>
          <w:rFonts w:cs="Times New Roman"/>
        </w:rPr>
        <w:tab/>
      </w:r>
      <w:r w:rsidRPr="00FF4D4B">
        <w:rPr>
          <w:rFonts w:cs="Times New Roman"/>
        </w:rPr>
        <w:tab/>
      </w:r>
      <w:r w:rsidRPr="00FF4D4B">
        <w:rPr>
          <w:rFonts w:cs="Times New Roman"/>
        </w:rPr>
        <w:tab/>
      </w:r>
      <w:r w:rsidRPr="00FF4D4B">
        <w:rPr>
          <w:rFonts w:cs="Times New Roman"/>
        </w:rPr>
        <w:tab/>
      </w:r>
      <w:r w:rsidRPr="00FF4D4B">
        <w:rPr>
          <w:rFonts w:cs="Times New Roman"/>
        </w:rPr>
        <w:tab/>
        <w:t>Annual General Meeting</w:t>
      </w:r>
    </w:p>
    <w:p w14:paraId="27CEB563" w14:textId="413CA162" w:rsidR="00496DE4" w:rsidRPr="00FF4D4B" w:rsidRDefault="00496DE4" w:rsidP="00D575DF">
      <w:pPr>
        <w:rPr>
          <w:rFonts w:cs="Times New Roman"/>
        </w:rPr>
      </w:pPr>
      <w:r w:rsidRPr="00FF4D4B">
        <w:rPr>
          <w:rFonts w:cs="Times New Roman"/>
        </w:rPr>
        <w:t>AMX</w:t>
      </w:r>
      <w:r w:rsidRPr="00FF4D4B">
        <w:rPr>
          <w:rFonts w:cs="Times New Roman"/>
        </w:rPr>
        <w:tab/>
      </w:r>
      <w:r w:rsidRPr="00FF4D4B">
        <w:rPr>
          <w:rFonts w:cs="Times New Roman"/>
        </w:rPr>
        <w:tab/>
      </w:r>
      <w:r w:rsidRPr="00FF4D4B">
        <w:rPr>
          <w:rFonts w:cs="Times New Roman"/>
        </w:rPr>
        <w:tab/>
      </w:r>
      <w:r w:rsidRPr="00FF4D4B">
        <w:rPr>
          <w:rFonts w:cs="Times New Roman"/>
        </w:rPr>
        <w:tab/>
      </w:r>
      <w:r w:rsidRPr="00FF4D4B">
        <w:rPr>
          <w:rFonts w:cs="Times New Roman"/>
        </w:rPr>
        <w:tab/>
        <w:t>Amsterdam Midcap Index (formerly knows as the ASE)</w:t>
      </w:r>
    </w:p>
    <w:p w14:paraId="5818E812" w14:textId="77777777" w:rsidR="00B650B6" w:rsidRPr="00FF4D4B" w:rsidRDefault="00B650B6" w:rsidP="00D575DF">
      <w:pPr>
        <w:rPr>
          <w:rFonts w:cs="Times New Roman"/>
        </w:rPr>
      </w:pPr>
      <w:r w:rsidRPr="00FF4D4B">
        <w:rPr>
          <w:rFonts w:cs="Times New Roman"/>
        </w:rPr>
        <w:t>CEO</w:t>
      </w:r>
      <w:r w:rsidRPr="00FF4D4B">
        <w:rPr>
          <w:rFonts w:cs="Times New Roman"/>
        </w:rPr>
        <w:tab/>
      </w:r>
      <w:r w:rsidRPr="00FF4D4B">
        <w:rPr>
          <w:rFonts w:cs="Times New Roman"/>
        </w:rPr>
        <w:tab/>
      </w:r>
      <w:r w:rsidRPr="00FF4D4B">
        <w:rPr>
          <w:rFonts w:cs="Times New Roman"/>
        </w:rPr>
        <w:tab/>
      </w:r>
      <w:r w:rsidRPr="00FF4D4B">
        <w:rPr>
          <w:rFonts w:cs="Times New Roman"/>
        </w:rPr>
        <w:tab/>
      </w:r>
      <w:r w:rsidR="007A2733" w:rsidRPr="00FF4D4B">
        <w:rPr>
          <w:rFonts w:cs="Times New Roman"/>
        </w:rPr>
        <w:tab/>
      </w:r>
      <w:r w:rsidRPr="00FF4D4B">
        <w:rPr>
          <w:rFonts w:cs="Times New Roman"/>
        </w:rPr>
        <w:t>Chief Executive Officer</w:t>
      </w:r>
    </w:p>
    <w:p w14:paraId="70D8D945" w14:textId="22D1F33C" w:rsidR="00E66B55" w:rsidRPr="00FF4D4B" w:rsidRDefault="00E66B55" w:rsidP="00E66B55">
      <w:pPr>
        <w:ind w:left="3540" w:hanging="3540"/>
        <w:rPr>
          <w:rFonts w:cs="Times New Roman"/>
        </w:rPr>
      </w:pPr>
      <w:r w:rsidRPr="00FF4D4B">
        <w:rPr>
          <w:rFonts w:cs="Times New Roman"/>
        </w:rPr>
        <w:t>Cash settled options</w:t>
      </w:r>
      <w:r w:rsidRPr="00FF4D4B">
        <w:rPr>
          <w:rFonts w:cs="Times New Roman"/>
        </w:rPr>
        <w:tab/>
        <w:t>An option for which the physical delivery of the security is not required</w:t>
      </w:r>
    </w:p>
    <w:p w14:paraId="6B4FECBE" w14:textId="7846C1BF" w:rsidR="00D14B00" w:rsidRPr="00FF4D4B" w:rsidRDefault="00D14B00" w:rsidP="00D14B00">
      <w:pPr>
        <w:ind w:left="3540" w:hanging="3540"/>
        <w:rPr>
          <w:rFonts w:cs="Times New Roman"/>
        </w:rPr>
      </w:pPr>
      <w:r w:rsidRPr="00FF4D4B">
        <w:rPr>
          <w:rFonts w:cs="Times New Roman"/>
        </w:rPr>
        <w:t>Change-in-control</w:t>
      </w:r>
      <w:r w:rsidRPr="00FF4D4B">
        <w:rPr>
          <w:rFonts w:cs="Times New Roman"/>
        </w:rPr>
        <w:tab/>
        <w:t>Occurs when a firm changes leadership, often times due to a takeover or acquisition</w:t>
      </w:r>
    </w:p>
    <w:p w14:paraId="4E8BE2FD" w14:textId="7BE7136F" w:rsidR="007A2733" w:rsidRPr="00FF4D4B" w:rsidRDefault="007A2733" w:rsidP="007A2733">
      <w:pPr>
        <w:rPr>
          <w:rFonts w:cs="Times New Roman"/>
        </w:rPr>
      </w:pPr>
      <w:r w:rsidRPr="00FF4D4B">
        <w:rPr>
          <w:rFonts w:cs="Times New Roman"/>
        </w:rPr>
        <w:t>Change-in-control provision</w:t>
      </w:r>
      <w:r w:rsidRPr="00FF4D4B">
        <w:rPr>
          <w:rFonts w:cs="Times New Roman"/>
        </w:rPr>
        <w:tab/>
      </w:r>
      <w:r w:rsidRPr="00FF4D4B">
        <w:rPr>
          <w:rFonts w:cs="Times New Roman"/>
        </w:rPr>
        <w:tab/>
        <w:t xml:space="preserve">A provision included in an employment agreement that </w:t>
      </w:r>
      <w:r w:rsidRPr="00FF4D4B">
        <w:rPr>
          <w:rFonts w:cs="Times New Roman"/>
        </w:rPr>
        <w:tab/>
      </w:r>
      <w:r w:rsidR="008A0338" w:rsidRPr="00FF4D4B">
        <w:rPr>
          <w:rFonts w:cs="Times New Roman"/>
        </w:rPr>
        <w:tab/>
      </w:r>
      <w:r w:rsidRPr="00FF4D4B">
        <w:rPr>
          <w:rFonts w:cs="Times New Roman"/>
        </w:rPr>
        <w:tab/>
      </w:r>
      <w:r w:rsidRPr="00FF4D4B">
        <w:rPr>
          <w:rFonts w:cs="Times New Roman"/>
        </w:rPr>
        <w:tab/>
      </w:r>
      <w:r w:rsidRPr="00FF4D4B">
        <w:rPr>
          <w:rFonts w:cs="Times New Roman"/>
        </w:rPr>
        <w:tab/>
      </w:r>
      <w:r w:rsidRPr="00FF4D4B">
        <w:rPr>
          <w:rFonts w:cs="Times New Roman"/>
        </w:rPr>
        <w:tab/>
        <w:t xml:space="preserve">provides an employee with certain protections in the </w:t>
      </w:r>
      <w:r w:rsidRPr="00FF4D4B">
        <w:rPr>
          <w:rFonts w:cs="Times New Roman"/>
        </w:rPr>
        <w:tab/>
      </w:r>
      <w:r w:rsidR="008A0338" w:rsidRPr="00FF4D4B">
        <w:rPr>
          <w:rFonts w:cs="Times New Roman"/>
        </w:rPr>
        <w:tab/>
      </w:r>
      <w:r w:rsidRPr="00FF4D4B">
        <w:rPr>
          <w:rFonts w:cs="Times New Roman"/>
        </w:rPr>
        <w:tab/>
      </w:r>
      <w:r w:rsidRPr="00FF4D4B">
        <w:rPr>
          <w:rFonts w:cs="Times New Roman"/>
        </w:rPr>
        <w:tab/>
      </w:r>
      <w:r w:rsidRPr="00FF4D4B">
        <w:rPr>
          <w:rFonts w:cs="Times New Roman"/>
        </w:rPr>
        <w:tab/>
      </w:r>
      <w:r w:rsidRPr="00FF4D4B">
        <w:rPr>
          <w:rFonts w:cs="Times New Roman"/>
        </w:rPr>
        <w:tab/>
        <w:t>event of a c</w:t>
      </w:r>
      <w:r w:rsidR="00B3357F" w:rsidRPr="00FF4D4B">
        <w:rPr>
          <w:rFonts w:cs="Times New Roman"/>
        </w:rPr>
        <w:t>hange of ownership in a company</w:t>
      </w:r>
    </w:p>
    <w:p w14:paraId="520DFC1B" w14:textId="7271D108" w:rsidR="008A77D4" w:rsidRPr="00FF4D4B" w:rsidRDefault="008A77D4" w:rsidP="008A77D4">
      <w:pPr>
        <w:ind w:left="3540" w:hanging="3540"/>
        <w:rPr>
          <w:rFonts w:cs="Times New Roman"/>
        </w:rPr>
      </w:pPr>
      <w:r w:rsidRPr="00FF4D4B">
        <w:rPr>
          <w:rFonts w:cs="Times New Roman"/>
        </w:rPr>
        <w:t>Clawback</w:t>
      </w:r>
      <w:r w:rsidRPr="00FF4D4B">
        <w:rPr>
          <w:rFonts w:cs="Times New Roman"/>
        </w:rPr>
        <w:tab/>
        <w:t>Money or benefits that are distributed and then taken back as a result of special circumstances</w:t>
      </w:r>
    </w:p>
    <w:p w14:paraId="78CF22C0" w14:textId="3D7525CC" w:rsidR="006018E2" w:rsidRPr="00FF4D4B" w:rsidRDefault="006018E2" w:rsidP="007A2733">
      <w:pPr>
        <w:rPr>
          <w:rFonts w:cs="Times New Roman"/>
        </w:rPr>
      </w:pPr>
      <w:r w:rsidRPr="00FF4D4B">
        <w:rPr>
          <w:rFonts w:cs="Times New Roman"/>
        </w:rPr>
        <w:t>EGM</w:t>
      </w:r>
      <w:r w:rsidRPr="00FF4D4B">
        <w:rPr>
          <w:rFonts w:cs="Times New Roman"/>
        </w:rPr>
        <w:tab/>
      </w:r>
      <w:r w:rsidRPr="00FF4D4B">
        <w:rPr>
          <w:rFonts w:cs="Times New Roman"/>
        </w:rPr>
        <w:tab/>
      </w:r>
      <w:r w:rsidRPr="00FF4D4B">
        <w:rPr>
          <w:rFonts w:cs="Times New Roman"/>
        </w:rPr>
        <w:tab/>
      </w:r>
      <w:r w:rsidRPr="00FF4D4B">
        <w:rPr>
          <w:rFonts w:cs="Times New Roman"/>
        </w:rPr>
        <w:tab/>
      </w:r>
      <w:r w:rsidRPr="00FF4D4B">
        <w:rPr>
          <w:rFonts w:cs="Times New Roman"/>
        </w:rPr>
        <w:tab/>
        <w:t>Extraordinary General Meeting</w:t>
      </w:r>
    </w:p>
    <w:p w14:paraId="678FE5B1" w14:textId="77777777" w:rsidR="00B650B6" w:rsidRPr="00FF4D4B" w:rsidRDefault="00D575DF" w:rsidP="00D575DF">
      <w:pPr>
        <w:rPr>
          <w:rFonts w:cs="Times New Roman"/>
        </w:rPr>
      </w:pPr>
      <w:r w:rsidRPr="00FF4D4B">
        <w:rPr>
          <w:rFonts w:cs="Times New Roman"/>
        </w:rPr>
        <w:t>ISS</w:t>
      </w:r>
      <w:r w:rsidRPr="00FF4D4B">
        <w:rPr>
          <w:rFonts w:cs="Times New Roman"/>
        </w:rPr>
        <w:tab/>
      </w:r>
      <w:r w:rsidR="007A2733" w:rsidRPr="00FF4D4B">
        <w:rPr>
          <w:rFonts w:cs="Times New Roman"/>
        </w:rPr>
        <w:tab/>
      </w:r>
      <w:r w:rsidRPr="00FF4D4B">
        <w:rPr>
          <w:rFonts w:cs="Times New Roman"/>
        </w:rPr>
        <w:tab/>
      </w:r>
      <w:r w:rsidRPr="00FF4D4B">
        <w:rPr>
          <w:rFonts w:cs="Times New Roman"/>
        </w:rPr>
        <w:tab/>
      </w:r>
      <w:r w:rsidRPr="00FF4D4B">
        <w:rPr>
          <w:rFonts w:cs="Times New Roman"/>
        </w:rPr>
        <w:tab/>
        <w:t>Institutional Shareholder Services</w:t>
      </w:r>
    </w:p>
    <w:p w14:paraId="166B92B7" w14:textId="1FF67EEC" w:rsidR="00971730" w:rsidRPr="00FF4D4B" w:rsidRDefault="00971730" w:rsidP="00617169">
      <w:pPr>
        <w:ind w:left="3540" w:hanging="3540"/>
        <w:rPr>
          <w:rFonts w:cs="Times New Roman"/>
        </w:rPr>
      </w:pPr>
      <w:r w:rsidRPr="00FF4D4B">
        <w:rPr>
          <w:rFonts w:cs="Times New Roman"/>
        </w:rPr>
        <w:lastRenderedPageBreak/>
        <w:t>NV</w:t>
      </w:r>
      <w:r w:rsidRPr="00FF4D4B">
        <w:rPr>
          <w:rFonts w:cs="Times New Roman"/>
        </w:rPr>
        <w:tab/>
        <w:t xml:space="preserve">Dutch limited </w:t>
      </w:r>
      <w:r w:rsidR="00617169" w:rsidRPr="00FF4D4B">
        <w:rPr>
          <w:rFonts w:cs="Times New Roman"/>
        </w:rPr>
        <w:t xml:space="preserve">liability </w:t>
      </w:r>
      <w:r w:rsidRPr="00FF4D4B">
        <w:rPr>
          <w:rFonts w:cs="Times New Roman"/>
        </w:rPr>
        <w:t>company (Naamloze Vennootschap)</w:t>
      </w:r>
    </w:p>
    <w:p w14:paraId="1ED0E2D4" w14:textId="6192B2F8" w:rsidR="00DE59D5" w:rsidRPr="00FF4D4B" w:rsidRDefault="00DE59D5" w:rsidP="008D61E0">
      <w:pPr>
        <w:ind w:left="3540" w:hanging="3540"/>
        <w:rPr>
          <w:rFonts w:cs="Times New Roman"/>
        </w:rPr>
      </w:pPr>
      <w:r w:rsidRPr="00FF4D4B">
        <w:rPr>
          <w:rFonts w:cs="Times New Roman"/>
        </w:rPr>
        <w:t>Performance Stock Unit (PSU)</w:t>
      </w:r>
      <w:r w:rsidRPr="00FF4D4B">
        <w:rPr>
          <w:rFonts w:cs="Times New Roman"/>
        </w:rPr>
        <w:tab/>
      </w:r>
      <w:r w:rsidR="008D61E0" w:rsidRPr="00FF4D4B">
        <w:rPr>
          <w:rFonts w:cs="Times New Roman"/>
        </w:rPr>
        <w:t>Shares of company stock given to managers as a reward for certain performance criteria being met</w:t>
      </w:r>
    </w:p>
    <w:p w14:paraId="6A9E212F" w14:textId="20118DE0" w:rsidR="00E66B55" w:rsidRPr="00FF4D4B" w:rsidRDefault="00E66B55" w:rsidP="00E66B55">
      <w:pPr>
        <w:ind w:left="3540" w:hanging="3540"/>
        <w:rPr>
          <w:rFonts w:cs="Times New Roman"/>
        </w:rPr>
      </w:pPr>
      <w:r w:rsidRPr="00FF4D4B">
        <w:rPr>
          <w:rFonts w:cs="Times New Roman"/>
        </w:rPr>
        <w:t>Phantom stock</w:t>
      </w:r>
      <w:r w:rsidRPr="00FF4D4B">
        <w:rPr>
          <w:rFonts w:cs="Times New Roman"/>
        </w:rPr>
        <w:tab/>
        <w:t>An agreement to award bonus in the form of the equivalent of either the share value or the increase in share value over a period of time</w:t>
      </w:r>
    </w:p>
    <w:p w14:paraId="04850EA2" w14:textId="1064C2FA" w:rsidR="00410F4C" w:rsidRPr="00FF4D4B" w:rsidRDefault="00410F4C" w:rsidP="00E66B55">
      <w:pPr>
        <w:ind w:left="3540" w:hanging="3540"/>
        <w:rPr>
          <w:rFonts w:cs="Times New Roman"/>
        </w:rPr>
      </w:pPr>
      <w:r w:rsidRPr="00FF4D4B">
        <w:rPr>
          <w:rFonts w:cs="Times New Roman"/>
        </w:rPr>
        <w:t>Premium</w:t>
      </w:r>
      <w:r w:rsidRPr="00FF4D4B">
        <w:rPr>
          <w:rFonts w:cs="Times New Roman"/>
        </w:rPr>
        <w:tab/>
        <w:t>The amount of money exceeding the share price the acquiring company is offering for the shares of the target company</w:t>
      </w:r>
    </w:p>
    <w:p w14:paraId="0B0611D1" w14:textId="475E69AB" w:rsidR="005C7830" w:rsidRPr="00FF4D4B" w:rsidRDefault="005C7830" w:rsidP="00E66B55">
      <w:pPr>
        <w:ind w:left="3540" w:hanging="3540"/>
        <w:rPr>
          <w:rFonts w:cs="Times New Roman"/>
        </w:rPr>
      </w:pPr>
      <w:r w:rsidRPr="00FF4D4B">
        <w:rPr>
          <w:rFonts w:cs="Times New Roman"/>
        </w:rPr>
        <w:t>Proxy season</w:t>
      </w:r>
      <w:r w:rsidRPr="00FF4D4B">
        <w:rPr>
          <w:rFonts w:cs="Times New Roman"/>
        </w:rPr>
        <w:tab/>
        <w:t xml:space="preserve">The period in which many companies hold their annual general meeting. </w:t>
      </w:r>
      <w:r w:rsidR="00B3357F" w:rsidRPr="00FF4D4B">
        <w:rPr>
          <w:rFonts w:cs="Times New Roman"/>
        </w:rPr>
        <w:t>In the Netherlands from April and May</w:t>
      </w:r>
    </w:p>
    <w:p w14:paraId="37E84109" w14:textId="77777777" w:rsidR="001E5B7B" w:rsidRPr="00FF4D4B" w:rsidRDefault="001E5B7B" w:rsidP="00D575DF">
      <w:pPr>
        <w:rPr>
          <w:rFonts w:cs="Times New Roman"/>
        </w:rPr>
      </w:pPr>
      <w:r w:rsidRPr="00FF4D4B">
        <w:rPr>
          <w:rFonts w:cs="Times New Roman"/>
        </w:rPr>
        <w:t>RBS</w:t>
      </w:r>
      <w:r w:rsidRPr="00FF4D4B">
        <w:rPr>
          <w:rFonts w:cs="Times New Roman"/>
        </w:rPr>
        <w:tab/>
      </w:r>
      <w:r w:rsidRPr="00FF4D4B">
        <w:rPr>
          <w:rFonts w:cs="Times New Roman"/>
        </w:rPr>
        <w:tab/>
      </w:r>
      <w:r w:rsidRPr="00FF4D4B">
        <w:rPr>
          <w:rFonts w:cs="Times New Roman"/>
        </w:rPr>
        <w:tab/>
      </w:r>
      <w:r w:rsidRPr="00FF4D4B">
        <w:rPr>
          <w:rFonts w:cs="Times New Roman"/>
        </w:rPr>
        <w:tab/>
      </w:r>
      <w:r w:rsidRPr="00FF4D4B">
        <w:rPr>
          <w:rFonts w:cs="Times New Roman"/>
        </w:rPr>
        <w:tab/>
        <w:t>Royal Bank of Scotland</w:t>
      </w:r>
    </w:p>
    <w:p w14:paraId="6413C5D7" w14:textId="7E89E8CA" w:rsidR="001E5B7B" w:rsidRPr="00FF4D4B" w:rsidRDefault="00064679" w:rsidP="00064679">
      <w:pPr>
        <w:ind w:left="3540" w:hanging="3540"/>
        <w:rPr>
          <w:rFonts w:cs="Times New Roman"/>
        </w:rPr>
      </w:pPr>
      <w:r w:rsidRPr="00FF4D4B">
        <w:rPr>
          <w:rFonts w:cs="Times New Roman"/>
        </w:rPr>
        <w:t>RFS</w:t>
      </w:r>
      <w:r w:rsidRPr="00FF4D4B">
        <w:rPr>
          <w:rFonts w:cs="Times New Roman"/>
        </w:rPr>
        <w:tab/>
      </w:r>
      <w:r w:rsidR="001E5B7B" w:rsidRPr="00FF4D4B">
        <w:rPr>
          <w:rFonts w:cs="Times New Roman"/>
        </w:rPr>
        <w:t>Royal Bank of Scotland, Fortis and Banco Santander; the</w:t>
      </w:r>
      <w:r w:rsidRPr="00FF4D4B">
        <w:rPr>
          <w:rFonts w:cs="Times New Roman"/>
        </w:rPr>
        <w:t xml:space="preserve"> </w:t>
      </w:r>
      <w:r w:rsidR="001E5B7B" w:rsidRPr="00FF4D4B">
        <w:rPr>
          <w:rFonts w:cs="Times New Roman"/>
        </w:rPr>
        <w:t>consortium of banks that acquired ABN Amro</w:t>
      </w:r>
    </w:p>
    <w:p w14:paraId="11609B15" w14:textId="32DC9602" w:rsidR="00E66B55" w:rsidRPr="00FF4D4B" w:rsidRDefault="00E66B55" w:rsidP="00E66B55">
      <w:pPr>
        <w:ind w:left="3540" w:hanging="3540"/>
        <w:rPr>
          <w:rFonts w:cs="Times New Roman"/>
        </w:rPr>
      </w:pPr>
      <w:r w:rsidRPr="00FF4D4B">
        <w:rPr>
          <w:rFonts w:cs="Times New Roman"/>
        </w:rPr>
        <w:t>Stock Appreciation Rights (SARs)</w:t>
      </w:r>
      <w:r w:rsidRPr="00FF4D4B">
        <w:rPr>
          <w:rFonts w:cs="Times New Roman"/>
        </w:rPr>
        <w:tab/>
        <w:t xml:space="preserve">An agreement to provide the right to the monetary equivalent of the increase in the share value of a </w:t>
      </w:r>
      <w:r w:rsidRPr="00FF4D4B">
        <w:rPr>
          <w:rFonts w:cs="Times New Roman"/>
        </w:rPr>
        <w:lastRenderedPageBreak/>
        <w:t>predetermined number of shares over a specific period of time</w:t>
      </w:r>
    </w:p>
    <w:p w14:paraId="6599C58F" w14:textId="77777777" w:rsidR="00D575DF" w:rsidRPr="00FF4D4B" w:rsidRDefault="00D575DF" w:rsidP="00D575DF">
      <w:pPr>
        <w:rPr>
          <w:rFonts w:cs="Times New Roman"/>
        </w:rPr>
      </w:pPr>
      <w:r w:rsidRPr="00FF4D4B">
        <w:rPr>
          <w:rFonts w:cs="Times New Roman"/>
        </w:rPr>
        <w:t>Target CEO</w:t>
      </w:r>
      <w:r w:rsidRPr="00FF4D4B">
        <w:rPr>
          <w:rFonts w:cs="Times New Roman"/>
        </w:rPr>
        <w:tab/>
      </w:r>
      <w:r w:rsidR="007A2733" w:rsidRPr="00FF4D4B">
        <w:rPr>
          <w:rFonts w:cs="Times New Roman"/>
        </w:rPr>
        <w:tab/>
      </w:r>
      <w:r w:rsidRPr="00FF4D4B">
        <w:rPr>
          <w:rFonts w:cs="Times New Roman"/>
        </w:rPr>
        <w:tab/>
      </w:r>
      <w:r w:rsidRPr="00FF4D4B">
        <w:rPr>
          <w:rFonts w:cs="Times New Roman"/>
        </w:rPr>
        <w:tab/>
        <w:t>The CEO of the acquired company</w:t>
      </w:r>
    </w:p>
    <w:p w14:paraId="573CF3D6" w14:textId="77777777" w:rsidR="00D575DF" w:rsidRPr="00FF4D4B" w:rsidRDefault="00D575DF" w:rsidP="00D575DF">
      <w:pPr>
        <w:rPr>
          <w:rFonts w:cs="Times New Roman"/>
        </w:rPr>
      </w:pPr>
      <w:r w:rsidRPr="00FF4D4B">
        <w:rPr>
          <w:rFonts w:cs="Times New Roman"/>
        </w:rPr>
        <w:t>Target shareholder</w:t>
      </w:r>
      <w:r w:rsidRPr="00FF4D4B">
        <w:rPr>
          <w:rFonts w:cs="Times New Roman"/>
        </w:rPr>
        <w:tab/>
      </w:r>
      <w:r w:rsidR="007A2733" w:rsidRPr="00FF4D4B">
        <w:rPr>
          <w:rFonts w:cs="Times New Roman"/>
        </w:rPr>
        <w:tab/>
      </w:r>
      <w:r w:rsidRPr="00FF4D4B">
        <w:rPr>
          <w:rFonts w:cs="Times New Roman"/>
        </w:rPr>
        <w:tab/>
        <w:t>The shareholder of the acquired company</w:t>
      </w:r>
    </w:p>
    <w:p w14:paraId="5863405E" w14:textId="77777777" w:rsidR="00D575DF" w:rsidRPr="00FF4D4B" w:rsidRDefault="00D575DF" w:rsidP="00D575DF">
      <w:pPr>
        <w:rPr>
          <w:rFonts w:cs="Times New Roman"/>
        </w:rPr>
      </w:pPr>
      <w:r w:rsidRPr="00FF4D4B">
        <w:rPr>
          <w:rFonts w:cs="Times New Roman"/>
        </w:rPr>
        <w:t>The Act</w:t>
      </w:r>
      <w:r w:rsidRPr="00FF4D4B">
        <w:rPr>
          <w:rFonts w:cs="Times New Roman"/>
        </w:rPr>
        <w:tab/>
      </w:r>
      <w:r w:rsidRPr="00FF4D4B">
        <w:rPr>
          <w:rFonts w:cs="Times New Roman"/>
        </w:rPr>
        <w:tab/>
      </w:r>
      <w:r w:rsidRPr="00FF4D4B">
        <w:rPr>
          <w:rFonts w:cs="Times New Roman"/>
        </w:rPr>
        <w:tab/>
      </w:r>
      <w:r w:rsidR="007A2733" w:rsidRPr="00FF4D4B">
        <w:rPr>
          <w:rFonts w:cs="Times New Roman"/>
        </w:rPr>
        <w:tab/>
      </w:r>
      <w:r w:rsidRPr="00FF4D4B">
        <w:rPr>
          <w:rFonts w:cs="Times New Roman"/>
        </w:rPr>
        <w:t>The Clawback of Bonuses Act</w:t>
      </w:r>
    </w:p>
    <w:p w14:paraId="0BB498E7" w14:textId="38E604B9" w:rsidR="00064679" w:rsidRPr="00FF4D4B" w:rsidRDefault="00064679" w:rsidP="00D14B00">
      <w:pPr>
        <w:ind w:left="3540" w:hanging="3540"/>
        <w:rPr>
          <w:rFonts w:cs="Times New Roman"/>
        </w:rPr>
      </w:pPr>
      <w:r w:rsidRPr="00FF4D4B">
        <w:rPr>
          <w:rFonts w:cs="Times New Roman"/>
        </w:rPr>
        <w:t>The Provision</w:t>
      </w:r>
      <w:r w:rsidRPr="00FF4D4B">
        <w:rPr>
          <w:rFonts w:cs="Times New Roman"/>
        </w:rPr>
        <w:tab/>
      </w:r>
      <w:r w:rsidR="00D14B00" w:rsidRPr="00FF4D4B">
        <w:rPr>
          <w:rFonts w:cs="Times New Roman"/>
        </w:rPr>
        <w:t>The provision in t</w:t>
      </w:r>
      <w:r w:rsidRPr="00FF4D4B">
        <w:rPr>
          <w:rFonts w:cs="Times New Roman"/>
        </w:rPr>
        <w:t>he Clawback of Bonuses Act</w:t>
      </w:r>
      <w:r w:rsidR="00D14B00" w:rsidRPr="00FF4D4B">
        <w:rPr>
          <w:rFonts w:cs="Times New Roman"/>
        </w:rPr>
        <w:t xml:space="preserve"> that limits that reduces the amount CEOs are able to sell their shares for in case of a change-in-control </w:t>
      </w:r>
      <w:r w:rsidRPr="00FF4D4B">
        <w:rPr>
          <w:rFonts w:cs="Times New Roman"/>
        </w:rPr>
        <w:t xml:space="preserve"> </w:t>
      </w:r>
    </w:p>
    <w:p w14:paraId="5992A313" w14:textId="1A0BE520" w:rsidR="00496DE4" w:rsidRPr="00FF4D4B" w:rsidRDefault="00496DE4" w:rsidP="00496DE4">
      <w:pPr>
        <w:ind w:left="3540" w:hanging="3540"/>
        <w:rPr>
          <w:rFonts w:cs="Times New Roman"/>
        </w:rPr>
      </w:pPr>
      <w:r w:rsidRPr="00FF4D4B">
        <w:rPr>
          <w:rFonts w:cs="Times New Roman"/>
        </w:rPr>
        <w:t>VEB</w:t>
      </w:r>
      <w:r w:rsidRPr="00FF4D4B">
        <w:rPr>
          <w:rFonts w:cs="Times New Roman"/>
        </w:rPr>
        <w:tab/>
        <w:t>Vereniging Nederlandse Effectenbezitters (</w:t>
      </w:r>
      <w:r w:rsidR="002B7E1F" w:rsidRPr="00FF4D4B">
        <w:rPr>
          <w:rFonts w:cs="Times New Roman"/>
        </w:rPr>
        <w:t>Dutch Investors’ Association)</w:t>
      </w:r>
    </w:p>
    <w:p w14:paraId="2914417A" w14:textId="2EFECB4B" w:rsidR="00AD1410" w:rsidRPr="00FF4D4B" w:rsidRDefault="00E81242" w:rsidP="00AD1410">
      <w:pPr>
        <w:ind w:left="3540" w:hanging="3540"/>
        <w:rPr>
          <w:rFonts w:cs="Times New Roman"/>
        </w:rPr>
      </w:pPr>
      <w:r w:rsidRPr="00FF4D4B">
        <w:rPr>
          <w:rFonts w:cs="Times New Roman"/>
        </w:rPr>
        <w:t>Vesting</w:t>
      </w:r>
      <w:r w:rsidRPr="00FF4D4B">
        <w:rPr>
          <w:rFonts w:cs="Times New Roman"/>
        </w:rPr>
        <w:tab/>
      </w:r>
      <w:r w:rsidR="00AD1410" w:rsidRPr="00FF4D4B">
        <w:rPr>
          <w:rFonts w:cs="Times New Roman"/>
        </w:rPr>
        <w:t>To give someone control over their stock or stock options. Employee performance shares or options usually vest within an indicated vesting period, in</w:t>
      </w:r>
      <w:r w:rsidR="00B3357F" w:rsidRPr="00FF4D4B">
        <w:rPr>
          <w:rFonts w:cs="Times New Roman"/>
        </w:rPr>
        <w:t xml:space="preserve"> order to incentives employees</w:t>
      </w:r>
    </w:p>
    <w:p w14:paraId="5F08C63C" w14:textId="786F91FA" w:rsidR="00F9591B" w:rsidRPr="00FF4D4B" w:rsidRDefault="00F9591B" w:rsidP="00AD1410">
      <w:pPr>
        <w:ind w:left="3540" w:hanging="3540"/>
        <w:rPr>
          <w:rFonts w:cs="Times New Roman"/>
        </w:rPr>
      </w:pPr>
      <w:r w:rsidRPr="00FF4D4B">
        <w:rPr>
          <w:rFonts w:cs="Times New Roman"/>
        </w:rPr>
        <w:t>White knight</w:t>
      </w:r>
      <w:r w:rsidRPr="00FF4D4B">
        <w:rPr>
          <w:rFonts w:cs="Times New Roman"/>
        </w:rPr>
        <w:tab/>
        <w:t>A friendly investor that acquires a corporation at a fair consideration with the support from the corporation's bo</w:t>
      </w:r>
      <w:r w:rsidR="00B3357F" w:rsidRPr="00FF4D4B">
        <w:rPr>
          <w:rFonts w:cs="Times New Roman"/>
        </w:rPr>
        <w:t>ard of directors and management</w:t>
      </w:r>
    </w:p>
    <w:p w14:paraId="50A03A0F" w14:textId="7044704B" w:rsidR="003C647E" w:rsidRPr="00FF4D4B" w:rsidRDefault="00A106DC" w:rsidP="00CC0E2D">
      <w:pPr>
        <w:pStyle w:val="Kop1"/>
        <w:numPr>
          <w:ilvl w:val="0"/>
          <w:numId w:val="24"/>
        </w:numPr>
        <w:rPr>
          <w:rFonts w:cs="Times New Roman"/>
        </w:rPr>
      </w:pPr>
      <w:r w:rsidRPr="00FF4D4B">
        <w:rPr>
          <w:rFonts w:cs="Times New Roman"/>
        </w:rPr>
        <w:br w:type="column"/>
      </w:r>
      <w:bookmarkStart w:id="8" w:name="_Toc301441831"/>
      <w:r w:rsidR="003C647E" w:rsidRPr="00FF4D4B">
        <w:rPr>
          <w:rFonts w:cs="Times New Roman"/>
        </w:rPr>
        <w:lastRenderedPageBreak/>
        <w:t>Introduction</w:t>
      </w:r>
      <w:bookmarkEnd w:id="6"/>
      <w:bookmarkEnd w:id="8"/>
    </w:p>
    <w:p w14:paraId="2DE04357" w14:textId="6F76CBE1" w:rsidR="00971730" w:rsidRPr="00FF4D4B" w:rsidRDefault="00971730" w:rsidP="00971730">
      <w:pPr>
        <w:rPr>
          <w:rFonts w:cs="Times New Roman"/>
        </w:rPr>
      </w:pPr>
      <w:r w:rsidRPr="00FF4D4B">
        <w:rPr>
          <w:rFonts w:cs="Times New Roman"/>
        </w:rPr>
        <w:t>In recent years executive compensation has transformed from a business issue into a political one (Vugt, 2013). As a response to the financial crisis the Dutch government came with measures to prevent repetition. One of these measu</w:t>
      </w:r>
      <w:r w:rsidR="000C3F43" w:rsidRPr="00FF4D4B">
        <w:rPr>
          <w:rFonts w:cs="Times New Roman"/>
        </w:rPr>
        <w:t>res is the Clawback of Bonuses a</w:t>
      </w:r>
      <w:r w:rsidRPr="00FF4D4B">
        <w:rPr>
          <w:rFonts w:cs="Times New Roman"/>
        </w:rPr>
        <w:t>ct.</w:t>
      </w:r>
    </w:p>
    <w:p w14:paraId="0F843E0B" w14:textId="7A5782CA" w:rsidR="00971730" w:rsidRPr="00FF4D4B" w:rsidRDefault="00971730" w:rsidP="00971730">
      <w:pPr>
        <w:rPr>
          <w:rFonts w:cs="Times New Roman"/>
        </w:rPr>
      </w:pPr>
      <w:r w:rsidRPr="00FF4D4B">
        <w:rPr>
          <w:rFonts w:cs="Times New Roman"/>
        </w:rPr>
        <w:t>The Clawback of Bonuses act ("the Act") has been taken into effect since January 1, 2014, in the Netherlands, and is a response to the social unrest regarding excessive bonuses (Allen &amp; Overy, 2013). The purpose of the Act is to enable limited companies (NVs in Dutch) and financial</w:t>
      </w:r>
      <w:r w:rsidR="00BE5381" w:rsidRPr="00FF4D4B">
        <w:rPr>
          <w:rFonts w:cs="Times New Roman"/>
        </w:rPr>
        <w:t xml:space="preserve"> undertakings to adjust or claw</w:t>
      </w:r>
      <w:r w:rsidRPr="00FF4D4B">
        <w:rPr>
          <w:rFonts w:cs="Times New Roman"/>
        </w:rPr>
        <w:t>back excessive bonuses. In short, the Act will; (i) allow for the adjustment of a bonus awarded to a director to an appropriate amount if, under the given circumstances, payment of the bonus would be u</w:t>
      </w:r>
      <w:r w:rsidR="00BE5381" w:rsidRPr="00FF4D4B">
        <w:rPr>
          <w:rFonts w:cs="Times New Roman"/>
        </w:rPr>
        <w:t>nacceptable, (ii) allow to claw</w:t>
      </w:r>
      <w:r w:rsidRPr="00FF4D4B">
        <w:rPr>
          <w:rFonts w:cs="Times New Roman"/>
        </w:rPr>
        <w:t xml:space="preserve">back bonus paid to a director if it has been awarded on the basis of incorrect information, and (iii) in merger takeover situations, require </w:t>
      </w:r>
      <w:r w:rsidR="002024FA" w:rsidRPr="00FF4D4B">
        <w:rPr>
          <w:rFonts w:cs="Times New Roman"/>
        </w:rPr>
        <w:t>public</w:t>
      </w:r>
      <w:r w:rsidRPr="00FF4D4B">
        <w:rPr>
          <w:rFonts w:cs="Times New Roman"/>
        </w:rPr>
        <w:t xml:space="preserve"> companies to withhold any increase in the value of shares</w:t>
      </w:r>
      <w:r w:rsidRPr="00FF4D4B">
        <w:rPr>
          <w:rFonts w:cs="Times New Roman"/>
          <w:vertAlign w:val="superscript"/>
        </w:rPr>
        <w:footnoteReference w:id="1"/>
      </w:r>
      <w:r w:rsidRPr="00FF4D4B">
        <w:rPr>
          <w:rFonts w:cs="Times New Roman"/>
        </w:rPr>
        <w:t xml:space="preserve"> and options forming part of the directors remuneration (Clawback of Bonuses Act, 2014). For this research, the focus will be on the latter, the withholding of</w:t>
      </w:r>
      <w:r w:rsidR="000C3F43" w:rsidRPr="00FF4D4B">
        <w:rPr>
          <w:rFonts w:cs="Times New Roman"/>
        </w:rPr>
        <w:t xml:space="preserve"> the</w:t>
      </w:r>
      <w:r w:rsidRPr="00FF4D4B">
        <w:rPr>
          <w:rFonts w:cs="Times New Roman"/>
        </w:rPr>
        <w:t xml:space="preserve"> increase in </w:t>
      </w:r>
      <w:r w:rsidR="000C3F43" w:rsidRPr="00FF4D4B">
        <w:rPr>
          <w:rFonts w:cs="Times New Roman"/>
        </w:rPr>
        <w:t>share value (premium)</w:t>
      </w:r>
      <w:r w:rsidRPr="00FF4D4B">
        <w:rPr>
          <w:rFonts w:cs="Times New Roman"/>
        </w:rPr>
        <w:t xml:space="preserve"> in the case of change-of-control.</w:t>
      </w:r>
    </w:p>
    <w:p w14:paraId="5F4CF2E0" w14:textId="77777777" w:rsidR="00971730" w:rsidRPr="00FF4D4B" w:rsidRDefault="00971730" w:rsidP="00971730">
      <w:pPr>
        <w:rPr>
          <w:rFonts w:cs="Times New Roman"/>
        </w:rPr>
      </w:pPr>
      <w:r w:rsidRPr="00FF4D4B">
        <w:rPr>
          <w:rFonts w:cs="Times New Roman"/>
        </w:rPr>
        <w:lastRenderedPageBreak/>
        <w:t xml:space="preserve">In order to eliminate personal gain for directors as a driving force behind decisions in merger and takeover situations, companies are required to withhold any increase in the value of shares or options awarded to a director as remuneration if the value increases from a takeover, merger or division. The same goes for a value increase resulting from an important management decision that fundamentally changes the company's identity (BW 2:107a). Shares and options that the director has purchased himself or has inherited are not subject to the withholding obligation. The withholding occurs when the director sells his shares or ceases to be a director. </w:t>
      </w:r>
    </w:p>
    <w:p w14:paraId="260E7523" w14:textId="24BD311C" w:rsidR="00971730" w:rsidRPr="00FF4D4B" w:rsidRDefault="00971730" w:rsidP="00971730">
      <w:pPr>
        <w:rPr>
          <w:rFonts w:cs="Times New Roman"/>
        </w:rPr>
      </w:pPr>
      <w:r w:rsidRPr="00FF4D4B">
        <w:rPr>
          <w:rFonts w:cs="Times New Roman"/>
        </w:rPr>
        <w:t>The change-in-</w:t>
      </w:r>
      <w:r w:rsidR="009326C5" w:rsidRPr="00FF4D4B">
        <w:rPr>
          <w:rFonts w:cs="Times New Roman"/>
        </w:rPr>
        <w:t>control provision</w:t>
      </w:r>
      <w:r w:rsidRPr="00FF4D4B">
        <w:rPr>
          <w:rFonts w:cs="Times New Roman"/>
        </w:rPr>
        <w:t xml:space="preserve"> of the Act has been strongly criticized since it surpasses its goal and can be easily diverted by awarding bonuses in cash instead of shares or options (Commissie Vennootschapsrecht, 2010; Loyens &amp; Loeff, 2014). Moreover, as both the director and the shareholders hold equity in the firm an increase in share price after change-in-control could result in personal gain for both the director and the shareholder of the firm. </w:t>
      </w:r>
    </w:p>
    <w:p w14:paraId="13B07990" w14:textId="35FBCC1D" w:rsidR="00971730" w:rsidRPr="00FF4D4B" w:rsidRDefault="00971730" w:rsidP="00971730">
      <w:pPr>
        <w:rPr>
          <w:rFonts w:cs="Times New Roman"/>
        </w:rPr>
      </w:pPr>
      <w:r w:rsidRPr="00FF4D4B">
        <w:rPr>
          <w:rFonts w:cs="Times New Roman"/>
        </w:rPr>
        <w:t xml:space="preserve">Institutional Shareholder Services Inc. (ISS) is the world’s leading provider of corporate governance solutions for asset owners, investment managers, and asset service providers. ISS’ solutions include objective governance research and recommendations. As a proxy advisory firm, ISS needs to be aware of the changes in the corporate governance landscape it is analyzing. ISS bases its recommendations on its policy. At the moment, ISS does not have a policy on the change-in-control provision and therefore has to recommend on case-by-case basis, which costs time and </w:t>
      </w:r>
      <w:r w:rsidRPr="00FF4D4B">
        <w:rPr>
          <w:rFonts w:cs="Times New Roman"/>
        </w:rPr>
        <w:lastRenderedPageBreak/>
        <w:t>money. The purpose of the research is to find if the change-in-control provision of</w:t>
      </w:r>
      <w:r w:rsidR="00481F56" w:rsidRPr="00FF4D4B">
        <w:rPr>
          <w:rFonts w:cs="Times New Roman"/>
        </w:rPr>
        <w:t xml:space="preserve"> the</w:t>
      </w:r>
      <w:r w:rsidRPr="00FF4D4B">
        <w:rPr>
          <w:rFonts w:cs="Times New Roman"/>
        </w:rPr>
        <w:t xml:space="preserve"> Act is in the interest of the shareholder and how ISS should advise its clients on this subject.</w:t>
      </w:r>
    </w:p>
    <w:p w14:paraId="7434457A" w14:textId="17D2478F" w:rsidR="00971730" w:rsidRPr="00FF4D4B" w:rsidRDefault="00971730" w:rsidP="00971730">
      <w:pPr>
        <w:rPr>
          <w:rFonts w:cs="Times New Roman"/>
        </w:rPr>
      </w:pPr>
      <w:r w:rsidRPr="00FF4D4B">
        <w:rPr>
          <w:rFonts w:cs="Times New Roman"/>
        </w:rPr>
        <w:t>The proposed research question is therefor</w:t>
      </w:r>
      <w:r w:rsidR="00481F56" w:rsidRPr="00FF4D4B">
        <w:rPr>
          <w:rFonts w:cs="Times New Roman"/>
        </w:rPr>
        <w:t>e</w:t>
      </w:r>
      <w:r w:rsidRPr="00FF4D4B">
        <w:rPr>
          <w:rFonts w:cs="Times New Roman"/>
        </w:rPr>
        <w:t xml:space="preserve"> as follows: </w:t>
      </w:r>
      <w:r w:rsidRPr="00FF4D4B">
        <w:rPr>
          <w:rFonts w:cs="Times New Roman"/>
          <w:i/>
        </w:rPr>
        <w:t>“How should ISS advise its clients on the change-in-control provision of the new Clawback of Bonuses Act in the Netherlands?”</w:t>
      </w:r>
      <w:r w:rsidRPr="00FF4D4B">
        <w:rPr>
          <w:rFonts w:cs="Times New Roman"/>
        </w:rPr>
        <w:t xml:space="preserve"> In order to answer this question, there are several other sub-questions that need to be answered:</w:t>
      </w:r>
    </w:p>
    <w:p w14:paraId="145A540E" w14:textId="77777777" w:rsidR="00971730" w:rsidRPr="00FF4D4B" w:rsidRDefault="00971730" w:rsidP="00971730">
      <w:pPr>
        <w:numPr>
          <w:ilvl w:val="0"/>
          <w:numId w:val="13"/>
        </w:numPr>
        <w:rPr>
          <w:rFonts w:cs="Times New Roman"/>
        </w:rPr>
      </w:pPr>
      <w:r w:rsidRPr="00FF4D4B">
        <w:rPr>
          <w:rFonts w:cs="Times New Roman"/>
        </w:rPr>
        <w:t>How and to what extend are directors affected by the change-in-control section of the Clawback of Bonuses Act?</w:t>
      </w:r>
    </w:p>
    <w:p w14:paraId="685764F1" w14:textId="77777777" w:rsidR="00971730" w:rsidRPr="00FF4D4B" w:rsidRDefault="00971730" w:rsidP="00971730">
      <w:pPr>
        <w:numPr>
          <w:ilvl w:val="0"/>
          <w:numId w:val="13"/>
        </w:numPr>
        <w:rPr>
          <w:rFonts w:cs="Times New Roman"/>
        </w:rPr>
      </w:pPr>
      <w:r w:rsidRPr="00FF4D4B">
        <w:rPr>
          <w:rFonts w:cs="Times New Roman"/>
        </w:rPr>
        <w:t>How and to what extend are shareholders and other stakeholders affected by the change-in-control section of the Clawback of Bonuses Act?</w:t>
      </w:r>
    </w:p>
    <w:p w14:paraId="7BC852CE" w14:textId="77777777" w:rsidR="00971730" w:rsidRPr="00FF4D4B" w:rsidRDefault="00971730" w:rsidP="00971730">
      <w:pPr>
        <w:numPr>
          <w:ilvl w:val="0"/>
          <w:numId w:val="13"/>
        </w:numPr>
        <w:rPr>
          <w:rFonts w:cs="Times New Roman"/>
        </w:rPr>
      </w:pPr>
      <w:r w:rsidRPr="00FF4D4B">
        <w:rPr>
          <w:rFonts w:cs="Times New Roman"/>
        </w:rPr>
        <w:t>How are companies reacting to the change-in-control section of the Clawback of Bonuses Act?</w:t>
      </w:r>
    </w:p>
    <w:p w14:paraId="779E73CD" w14:textId="77777777" w:rsidR="001A18A1" w:rsidRPr="00FF4D4B" w:rsidRDefault="00971730" w:rsidP="00971730">
      <w:pPr>
        <w:numPr>
          <w:ilvl w:val="0"/>
          <w:numId w:val="13"/>
        </w:numPr>
        <w:rPr>
          <w:rFonts w:cs="Times New Roman"/>
        </w:rPr>
      </w:pPr>
      <w:r w:rsidRPr="00FF4D4B">
        <w:rPr>
          <w:rFonts w:cs="Times New Roman"/>
        </w:rPr>
        <w:t>What are the principles of ISS policy and how can it be utilized to form a recommendation for its clients in the Netherlands?</w:t>
      </w:r>
    </w:p>
    <w:p w14:paraId="3E9785A4" w14:textId="14CD6B73" w:rsidR="0013360B" w:rsidRPr="00FF4D4B" w:rsidRDefault="00971730" w:rsidP="00971730">
      <w:pPr>
        <w:numPr>
          <w:ilvl w:val="0"/>
          <w:numId w:val="13"/>
        </w:numPr>
        <w:rPr>
          <w:rFonts w:cs="Times New Roman"/>
        </w:rPr>
      </w:pPr>
      <w:r w:rsidRPr="00FF4D4B">
        <w:rPr>
          <w:rFonts w:cs="Times New Roman"/>
        </w:rPr>
        <w:t>What corporate governance theory should be applied to the case studies in order to effectively measure the outcome of the change-in-control?</w:t>
      </w:r>
    </w:p>
    <w:p w14:paraId="55EEB87F" w14:textId="77777777" w:rsidR="0013360B" w:rsidRPr="00FF4D4B" w:rsidRDefault="0013360B" w:rsidP="0013360B">
      <w:pPr>
        <w:rPr>
          <w:rFonts w:cs="Times New Roman"/>
        </w:rPr>
      </w:pPr>
    </w:p>
    <w:p w14:paraId="4228CAC3" w14:textId="77777777" w:rsidR="0013360B" w:rsidRPr="00FF4D4B" w:rsidRDefault="0013360B" w:rsidP="0013360B">
      <w:pPr>
        <w:rPr>
          <w:rFonts w:cs="Times New Roman"/>
        </w:rPr>
      </w:pPr>
    </w:p>
    <w:p w14:paraId="31F76086" w14:textId="77777777" w:rsidR="0013360B" w:rsidRPr="00FF4D4B" w:rsidRDefault="0013360B" w:rsidP="0013360B">
      <w:pPr>
        <w:rPr>
          <w:rFonts w:cs="Times New Roman"/>
        </w:rPr>
      </w:pPr>
    </w:p>
    <w:p w14:paraId="7A3ECBAB" w14:textId="77777777" w:rsidR="0013360B" w:rsidRPr="00FF4D4B" w:rsidRDefault="0013360B" w:rsidP="0013360B">
      <w:pPr>
        <w:rPr>
          <w:rFonts w:cs="Times New Roman"/>
        </w:rPr>
      </w:pPr>
    </w:p>
    <w:p w14:paraId="56185AE7" w14:textId="2395A5DF" w:rsidR="003C647E" w:rsidRPr="00FF4D4B" w:rsidRDefault="00097E16" w:rsidP="00097E16">
      <w:pPr>
        <w:pStyle w:val="Kop1"/>
        <w:numPr>
          <w:ilvl w:val="0"/>
          <w:numId w:val="24"/>
        </w:numPr>
        <w:rPr>
          <w:rFonts w:cs="Times New Roman"/>
        </w:rPr>
      </w:pPr>
      <w:bookmarkStart w:id="9" w:name="_Toc389813136"/>
      <w:r>
        <w:rPr>
          <w:rFonts w:cs="Times New Roman"/>
        </w:rPr>
        <w:br w:type="column"/>
      </w:r>
      <w:bookmarkStart w:id="10" w:name="_Toc301441832"/>
      <w:r w:rsidR="00A75F58" w:rsidRPr="00FF4D4B">
        <w:rPr>
          <w:rFonts w:cs="Times New Roman"/>
        </w:rPr>
        <w:lastRenderedPageBreak/>
        <w:t>Literature review</w:t>
      </w:r>
      <w:bookmarkEnd w:id="9"/>
      <w:bookmarkEnd w:id="10"/>
    </w:p>
    <w:p w14:paraId="71DC6BE6" w14:textId="58F30B89" w:rsidR="0085022C" w:rsidRPr="0085022C" w:rsidRDefault="0085022C" w:rsidP="0085022C">
      <w:pPr>
        <w:rPr>
          <w:rFonts w:cs="Times New Roman"/>
        </w:rPr>
      </w:pPr>
      <w:r w:rsidRPr="0085022C">
        <w:rPr>
          <w:rFonts w:cs="Times New Roman"/>
        </w:rPr>
        <w:t>The intention of the Provision is to prevent that a director gains from the value appreciation of his</w:t>
      </w:r>
      <w:r w:rsidR="00D34405">
        <w:rPr>
          <w:rFonts w:cs="Times New Roman"/>
        </w:rPr>
        <w:t>/her</w:t>
      </w:r>
      <w:r w:rsidRPr="0085022C">
        <w:rPr>
          <w:rFonts w:cs="Times New Roman"/>
        </w:rPr>
        <w:t xml:space="preserve"> shares in the case of a takeover of </w:t>
      </w:r>
      <w:r w:rsidR="00D34405">
        <w:rPr>
          <w:rFonts w:cs="Times New Roman"/>
        </w:rPr>
        <w:t>the</w:t>
      </w:r>
      <w:r w:rsidRPr="0085022C">
        <w:rPr>
          <w:rFonts w:cs="Times New Roman"/>
        </w:rPr>
        <w:t xml:space="preserve"> firm. Therefore it is decided that a director should convey part of the profit to the firm. This is done with the intention to eliminate personal gain in case of a takeover</w:t>
      </w:r>
      <w:r>
        <w:rPr>
          <w:rFonts w:cs="Times New Roman"/>
        </w:rPr>
        <w:t xml:space="preserve"> (Ministry of Security and Justice, 2010).</w:t>
      </w:r>
      <w:r w:rsidRPr="0085022C">
        <w:rPr>
          <w:rFonts w:cs="Times New Roman"/>
        </w:rPr>
        <w:t xml:space="preserve"> </w:t>
      </w:r>
      <w:r w:rsidR="00D34405">
        <w:rPr>
          <w:rFonts w:cs="Times New Roman"/>
        </w:rPr>
        <w:t>Moreover, the Provision</w:t>
      </w:r>
      <w:r w:rsidRPr="0085022C">
        <w:rPr>
          <w:rFonts w:cs="Times New Roman"/>
        </w:rPr>
        <w:t xml:space="preserve"> inten</w:t>
      </w:r>
      <w:r w:rsidR="00D34405">
        <w:rPr>
          <w:rFonts w:cs="Times New Roman"/>
        </w:rPr>
        <w:t xml:space="preserve">ds </w:t>
      </w:r>
      <w:r w:rsidRPr="0085022C">
        <w:rPr>
          <w:rFonts w:cs="Times New Roman"/>
        </w:rPr>
        <w:t>to strengthen the position of the supervisory board with regard to severance</w:t>
      </w:r>
      <w:r w:rsidR="008B2D16">
        <w:rPr>
          <w:rFonts w:cs="Times New Roman"/>
        </w:rPr>
        <w:t xml:space="preserve"> (House of Representatives, 2010).</w:t>
      </w:r>
    </w:p>
    <w:p w14:paraId="2D4860DF" w14:textId="37B8CC2F" w:rsidR="001C21D9" w:rsidRDefault="001C21D9" w:rsidP="001C21D9">
      <w:pPr>
        <w:rPr>
          <w:rFonts w:cs="Times New Roman"/>
        </w:rPr>
      </w:pPr>
      <w:r w:rsidRPr="00FF4D4B">
        <w:rPr>
          <w:rFonts w:cs="Times New Roman"/>
        </w:rPr>
        <w:t xml:space="preserve">The change-in-control provision of the Clawback of Bonuses Act limits the director’s ability to gain from a change-in-control by a deduction of the share value by the lowest increase in share value over a determined reference period (further clarified </w:t>
      </w:r>
      <w:r w:rsidR="003B4A89" w:rsidRPr="00FF4D4B">
        <w:rPr>
          <w:rFonts w:cs="Times New Roman"/>
        </w:rPr>
        <w:t>in appendix I</w:t>
      </w:r>
      <w:r w:rsidRPr="00FF4D4B">
        <w:rPr>
          <w:rFonts w:cs="Times New Roman"/>
        </w:rPr>
        <w:t xml:space="preserve">). </w:t>
      </w:r>
      <w:r w:rsidR="00E413C7" w:rsidRPr="00FF4D4B">
        <w:rPr>
          <w:rFonts w:cs="Times New Roman"/>
        </w:rPr>
        <w:t xml:space="preserve">The provision therefore limits the </w:t>
      </w:r>
      <w:r w:rsidR="00DF528F" w:rsidRPr="00FF4D4B">
        <w:rPr>
          <w:rFonts w:cs="Times New Roman"/>
        </w:rPr>
        <w:t xml:space="preserve">effectiveness of </w:t>
      </w:r>
      <w:r w:rsidR="00FA3BD0">
        <w:rPr>
          <w:rFonts w:cs="Times New Roman"/>
        </w:rPr>
        <w:t>share</w:t>
      </w:r>
      <w:r w:rsidR="00410F4C" w:rsidRPr="00FF4D4B">
        <w:rPr>
          <w:rFonts w:cs="Times New Roman"/>
        </w:rPr>
        <w:t xml:space="preserve"> and/or option</w:t>
      </w:r>
      <w:r w:rsidR="00042B6C" w:rsidRPr="00FF4D4B">
        <w:rPr>
          <w:rFonts w:cs="Times New Roman"/>
        </w:rPr>
        <w:t xml:space="preserve"> incentives.</w:t>
      </w:r>
    </w:p>
    <w:p w14:paraId="1D63918B" w14:textId="66D2A099" w:rsidR="00411FA9" w:rsidRPr="00FF4D4B" w:rsidRDefault="001C21D9" w:rsidP="00F0229A">
      <w:pPr>
        <w:rPr>
          <w:rFonts w:cs="Times New Roman"/>
        </w:rPr>
      </w:pPr>
      <w:r w:rsidRPr="00FF4D4B">
        <w:rPr>
          <w:rFonts w:cs="Times New Roman"/>
        </w:rPr>
        <w:t>Research on acquisitions has found that target shareholders</w:t>
      </w:r>
      <w:r w:rsidR="00042B6C" w:rsidRPr="00FF4D4B">
        <w:rPr>
          <w:rFonts w:cs="Times New Roman"/>
        </w:rPr>
        <w:t xml:space="preserve"> generally</w:t>
      </w:r>
      <w:r w:rsidRPr="00FF4D4B">
        <w:rPr>
          <w:rFonts w:cs="Times New Roman"/>
        </w:rPr>
        <w:t xml:space="preserve"> benefit if the takeover is successful (Elkinawy </w:t>
      </w:r>
      <w:r w:rsidR="00690B8C">
        <w:rPr>
          <w:rFonts w:cs="Times New Roman"/>
        </w:rPr>
        <w:t>et al.</w:t>
      </w:r>
      <w:r w:rsidRPr="00FF4D4B">
        <w:rPr>
          <w:rFonts w:cs="Times New Roman"/>
        </w:rPr>
        <w:t xml:space="preserve">, 2013). </w:t>
      </w:r>
      <w:r w:rsidR="00042B6C" w:rsidRPr="00FF4D4B">
        <w:rPr>
          <w:rFonts w:cs="Times New Roman"/>
        </w:rPr>
        <w:t>Yet</w:t>
      </w:r>
      <w:r w:rsidRPr="00FF4D4B">
        <w:rPr>
          <w:rFonts w:cs="Times New Roman"/>
        </w:rPr>
        <w:t>,</w:t>
      </w:r>
      <w:r w:rsidR="00042B6C" w:rsidRPr="00FF4D4B">
        <w:rPr>
          <w:rFonts w:cs="Times New Roman"/>
        </w:rPr>
        <w:t xml:space="preserve"> directors of the target firm are able to lose </w:t>
      </w:r>
      <w:r w:rsidRPr="00FF4D4B">
        <w:rPr>
          <w:rFonts w:cs="Times New Roman"/>
        </w:rPr>
        <w:t xml:space="preserve">their position or otherwise suffer </w:t>
      </w:r>
      <w:r w:rsidR="00042B6C" w:rsidRPr="00FF4D4B">
        <w:rPr>
          <w:rFonts w:cs="Times New Roman"/>
        </w:rPr>
        <w:t>substantial</w:t>
      </w:r>
      <w:r w:rsidRPr="00FF4D4B">
        <w:rPr>
          <w:rFonts w:cs="Times New Roman"/>
        </w:rPr>
        <w:t xml:space="preserve"> losses </w:t>
      </w:r>
      <w:r w:rsidR="00042B6C" w:rsidRPr="00FF4D4B">
        <w:rPr>
          <w:rFonts w:cs="Times New Roman"/>
        </w:rPr>
        <w:t>in compensation as a result of an acquisition of their firm. T</w:t>
      </w:r>
      <w:r w:rsidRPr="00FF4D4B">
        <w:rPr>
          <w:rFonts w:cs="Times New Roman"/>
        </w:rPr>
        <w:t>herefore</w:t>
      </w:r>
      <w:r w:rsidR="00042B6C" w:rsidRPr="00FF4D4B">
        <w:rPr>
          <w:rFonts w:cs="Times New Roman"/>
        </w:rPr>
        <w:t xml:space="preserve"> these directors will often times</w:t>
      </w:r>
      <w:r w:rsidRPr="00FF4D4B">
        <w:rPr>
          <w:rFonts w:cs="Times New Roman"/>
        </w:rPr>
        <w:t xml:space="preserve"> try to </w:t>
      </w:r>
      <w:r w:rsidR="00042B6C" w:rsidRPr="00FF4D4B">
        <w:rPr>
          <w:rFonts w:cs="Times New Roman"/>
        </w:rPr>
        <w:t>prevent</w:t>
      </w:r>
      <w:r w:rsidRPr="00FF4D4B">
        <w:rPr>
          <w:rFonts w:cs="Times New Roman"/>
        </w:rPr>
        <w:t xml:space="preserve"> the takeover</w:t>
      </w:r>
      <w:r w:rsidR="00042B6C" w:rsidRPr="00FF4D4B">
        <w:rPr>
          <w:rFonts w:cs="Times New Roman"/>
        </w:rPr>
        <w:t>,</w:t>
      </w:r>
      <w:r w:rsidRPr="00FF4D4B">
        <w:rPr>
          <w:rFonts w:cs="Times New Roman"/>
        </w:rPr>
        <w:t xml:space="preserve"> or </w:t>
      </w:r>
      <w:r w:rsidR="00042B6C" w:rsidRPr="00FF4D4B">
        <w:rPr>
          <w:rFonts w:cs="Times New Roman"/>
        </w:rPr>
        <w:t>in other cases, the</w:t>
      </w:r>
      <w:r w:rsidRPr="00FF4D4B">
        <w:rPr>
          <w:rFonts w:cs="Times New Roman"/>
        </w:rPr>
        <w:t xml:space="preserve"> </w:t>
      </w:r>
      <w:r w:rsidR="00042B6C" w:rsidRPr="00FF4D4B">
        <w:rPr>
          <w:rFonts w:cs="Times New Roman"/>
        </w:rPr>
        <w:t>directors</w:t>
      </w:r>
      <w:r w:rsidRPr="00FF4D4B">
        <w:rPr>
          <w:rFonts w:cs="Times New Roman"/>
        </w:rPr>
        <w:t xml:space="preserve"> will bargain with the </w:t>
      </w:r>
      <w:r w:rsidR="00042B6C" w:rsidRPr="00FF4D4B">
        <w:rPr>
          <w:rFonts w:cs="Times New Roman"/>
        </w:rPr>
        <w:t>acquiring</w:t>
      </w:r>
      <w:r w:rsidRPr="00FF4D4B">
        <w:rPr>
          <w:rFonts w:cs="Times New Roman"/>
        </w:rPr>
        <w:t xml:space="preserve"> firm to keep their </w:t>
      </w:r>
      <w:r w:rsidR="00042B6C" w:rsidRPr="00FF4D4B">
        <w:rPr>
          <w:rFonts w:cs="Times New Roman"/>
        </w:rPr>
        <w:t>position</w:t>
      </w:r>
      <w:r w:rsidRPr="00FF4D4B">
        <w:rPr>
          <w:rFonts w:cs="Times New Roman"/>
        </w:rPr>
        <w:t xml:space="preserve">. These </w:t>
      </w:r>
      <w:r w:rsidR="00042B6C" w:rsidRPr="00FF4D4B">
        <w:rPr>
          <w:rFonts w:cs="Times New Roman"/>
        </w:rPr>
        <w:t>sorts</w:t>
      </w:r>
      <w:r w:rsidRPr="00FF4D4B">
        <w:rPr>
          <w:rFonts w:cs="Times New Roman"/>
        </w:rPr>
        <w:t xml:space="preserve"> of actions are </w:t>
      </w:r>
      <w:r w:rsidR="00042B6C" w:rsidRPr="00FF4D4B">
        <w:rPr>
          <w:rFonts w:cs="Times New Roman"/>
        </w:rPr>
        <w:t>naturally</w:t>
      </w:r>
      <w:r w:rsidRPr="00FF4D4B">
        <w:rPr>
          <w:rFonts w:cs="Times New Roman"/>
        </w:rPr>
        <w:t xml:space="preserve"> not in the best inter</w:t>
      </w:r>
      <w:r w:rsidR="00042B6C" w:rsidRPr="00FF4D4B">
        <w:rPr>
          <w:rFonts w:cs="Times New Roman"/>
        </w:rPr>
        <w:t>ests of the target shareholders. This leads</w:t>
      </w:r>
      <w:r w:rsidRPr="00FF4D4B">
        <w:rPr>
          <w:rFonts w:cs="Times New Roman"/>
        </w:rPr>
        <w:t xml:space="preserve"> many </w:t>
      </w:r>
      <w:r w:rsidR="00042B6C" w:rsidRPr="00FF4D4B">
        <w:rPr>
          <w:rFonts w:cs="Times New Roman"/>
        </w:rPr>
        <w:t>companies</w:t>
      </w:r>
      <w:r w:rsidRPr="00FF4D4B">
        <w:rPr>
          <w:rFonts w:cs="Times New Roman"/>
        </w:rPr>
        <w:t xml:space="preserve"> to implement </w:t>
      </w:r>
      <w:r w:rsidR="00F0229A" w:rsidRPr="00FF4D4B">
        <w:rPr>
          <w:rFonts w:cs="Times New Roman"/>
        </w:rPr>
        <w:t>com</w:t>
      </w:r>
      <w:r w:rsidR="00F0229A" w:rsidRPr="00FF4D4B">
        <w:rPr>
          <w:rFonts w:cs="Times New Roman"/>
        </w:rPr>
        <w:lastRenderedPageBreak/>
        <w:t>pensation</w:t>
      </w:r>
      <w:r w:rsidR="00042B6C" w:rsidRPr="00FF4D4B">
        <w:rPr>
          <w:rFonts w:cs="Times New Roman"/>
        </w:rPr>
        <w:t xml:space="preserve"> policies</w:t>
      </w:r>
      <w:r w:rsidRPr="00FF4D4B">
        <w:rPr>
          <w:rFonts w:cs="Times New Roman"/>
        </w:rPr>
        <w:t xml:space="preserve"> to provide the </w:t>
      </w:r>
      <w:r w:rsidR="00042B6C" w:rsidRPr="00FF4D4B">
        <w:rPr>
          <w:rFonts w:cs="Times New Roman"/>
        </w:rPr>
        <w:t>appropriate</w:t>
      </w:r>
      <w:r w:rsidRPr="00FF4D4B">
        <w:rPr>
          <w:rFonts w:cs="Times New Roman"/>
        </w:rPr>
        <w:t xml:space="preserve"> incentives</w:t>
      </w:r>
      <w:r w:rsidR="00042B6C" w:rsidRPr="00FF4D4B">
        <w:rPr>
          <w:rFonts w:cs="Times New Roman"/>
        </w:rPr>
        <w:t xml:space="preserve"> for directors</w:t>
      </w:r>
      <w:r w:rsidRPr="00FF4D4B">
        <w:rPr>
          <w:rFonts w:cs="Times New Roman"/>
        </w:rPr>
        <w:t>,</w:t>
      </w:r>
      <w:r w:rsidR="00042B6C" w:rsidRPr="00FF4D4B">
        <w:rPr>
          <w:rFonts w:cs="Times New Roman"/>
        </w:rPr>
        <w:t xml:space="preserve"> which includes the </w:t>
      </w:r>
      <w:r w:rsidRPr="00FF4D4B">
        <w:rPr>
          <w:rFonts w:cs="Times New Roman"/>
        </w:rPr>
        <w:t xml:space="preserve">accelerated vesting of restricted stock and stock options </w:t>
      </w:r>
      <w:r w:rsidR="00042B6C" w:rsidRPr="00FF4D4B">
        <w:rPr>
          <w:rFonts w:cs="Times New Roman"/>
        </w:rPr>
        <w:t>(Jensen, 1988)</w:t>
      </w:r>
      <w:r w:rsidRPr="00FF4D4B">
        <w:rPr>
          <w:rFonts w:cs="Times New Roman"/>
        </w:rPr>
        <w:t>.</w:t>
      </w:r>
      <w:r w:rsidR="00411FA9" w:rsidRPr="00FF4D4B">
        <w:rPr>
          <w:rFonts w:cs="Times New Roman"/>
        </w:rPr>
        <w:t xml:space="preserve"> This is in line </w:t>
      </w:r>
      <w:r w:rsidR="00A57CF8" w:rsidRPr="00FF4D4B">
        <w:rPr>
          <w:rFonts w:cs="Times New Roman"/>
        </w:rPr>
        <w:t>with the agency theory, since a</w:t>
      </w:r>
      <w:r w:rsidR="00411FA9" w:rsidRPr="00FF4D4B">
        <w:rPr>
          <w:rFonts w:cs="Times New Roman"/>
        </w:rPr>
        <w:t xml:space="preserve"> consequence of </w:t>
      </w:r>
      <w:r w:rsidR="00A57CF8" w:rsidRPr="00FF4D4B">
        <w:rPr>
          <w:rFonts w:cs="Times New Roman"/>
        </w:rPr>
        <w:t xml:space="preserve">the </w:t>
      </w:r>
      <w:r w:rsidR="00411FA9" w:rsidRPr="00FF4D4B">
        <w:rPr>
          <w:rFonts w:cs="Times New Roman"/>
        </w:rPr>
        <w:t>agency theory is that</w:t>
      </w:r>
      <w:r w:rsidR="00A57CF8" w:rsidRPr="00FF4D4B">
        <w:rPr>
          <w:rFonts w:cs="Times New Roman"/>
        </w:rPr>
        <w:t xml:space="preserve"> where CEO duality is preserved</w:t>
      </w:r>
      <w:r w:rsidR="00411FA9" w:rsidRPr="00FF4D4B">
        <w:rPr>
          <w:rFonts w:cs="Times New Roman"/>
        </w:rPr>
        <w:t xml:space="preserve"> shareholder interests could be protected by aligning the interests of the CEO and the shareholders by a suitable incentive scheme for the CEO, i.e. by a system of long-term compensation additional to basic salary (Donaldson </w:t>
      </w:r>
      <w:r w:rsidR="00196178">
        <w:rPr>
          <w:rFonts w:cs="Times New Roman"/>
        </w:rPr>
        <w:t>et al.</w:t>
      </w:r>
      <w:r w:rsidR="00411FA9" w:rsidRPr="00FF4D4B">
        <w:rPr>
          <w:rFonts w:cs="Times New Roman"/>
        </w:rPr>
        <w:t>, 1985).</w:t>
      </w:r>
    </w:p>
    <w:p w14:paraId="4C229E47" w14:textId="5FFC8EF0" w:rsidR="00D11003" w:rsidRPr="00FF4D4B" w:rsidRDefault="00DF528F" w:rsidP="00F0229A">
      <w:pPr>
        <w:rPr>
          <w:rFonts w:cs="Times New Roman"/>
        </w:rPr>
      </w:pPr>
      <w:r w:rsidRPr="00FF4D4B">
        <w:rPr>
          <w:rFonts w:cs="Times New Roman"/>
        </w:rPr>
        <w:t>The effectiveness of such a manner of</w:t>
      </w:r>
      <w:r w:rsidR="00F0229A" w:rsidRPr="00FF4D4B">
        <w:rPr>
          <w:rFonts w:cs="Times New Roman"/>
        </w:rPr>
        <w:t xml:space="preserve"> incentivizing directors is confirmed by </w:t>
      </w:r>
      <w:r w:rsidR="0004758B" w:rsidRPr="00FF4D4B">
        <w:rPr>
          <w:rFonts w:cs="Times New Roman"/>
        </w:rPr>
        <w:t>Elkinawy et al.</w:t>
      </w:r>
      <w:r w:rsidR="00A57CF8" w:rsidRPr="00FF4D4B">
        <w:rPr>
          <w:rFonts w:cs="Times New Roman"/>
        </w:rPr>
        <w:t xml:space="preserve"> (2013), who have </w:t>
      </w:r>
      <w:r w:rsidR="00F0229A" w:rsidRPr="00FF4D4B">
        <w:rPr>
          <w:rFonts w:cs="Times New Roman"/>
        </w:rPr>
        <w:t>found</w:t>
      </w:r>
      <w:r w:rsidR="00D11003" w:rsidRPr="00FF4D4B">
        <w:rPr>
          <w:rFonts w:cs="Times New Roman"/>
        </w:rPr>
        <w:t xml:space="preserve"> a positive correlation between accelerated vesting and premiums. </w:t>
      </w:r>
      <w:r w:rsidR="00A57CF8" w:rsidRPr="00FF4D4B">
        <w:rPr>
          <w:rFonts w:cs="Times New Roman"/>
        </w:rPr>
        <w:t xml:space="preserve">Their </w:t>
      </w:r>
      <w:r w:rsidR="00D11003" w:rsidRPr="00FF4D4B">
        <w:rPr>
          <w:rFonts w:cs="Times New Roman"/>
        </w:rPr>
        <w:t>evidence suggests that accelerated vesting provides incentive for the CEO to negotiate the highest possible premium</w:t>
      </w:r>
      <w:r w:rsidR="00F0229A" w:rsidRPr="00FF4D4B">
        <w:rPr>
          <w:rFonts w:cs="Times New Roman"/>
        </w:rPr>
        <w:t xml:space="preserve"> and thus increasing shareholder value</w:t>
      </w:r>
      <w:r w:rsidR="00D11003" w:rsidRPr="00FF4D4B">
        <w:rPr>
          <w:rFonts w:cs="Times New Roman"/>
        </w:rPr>
        <w:t>.</w:t>
      </w:r>
      <w:r w:rsidR="00140BD0" w:rsidRPr="00FF4D4B">
        <w:rPr>
          <w:rFonts w:cs="Times New Roman"/>
        </w:rPr>
        <w:t xml:space="preserve"> Moreover, Bettis</w:t>
      </w:r>
      <w:r w:rsidR="00196178">
        <w:rPr>
          <w:rFonts w:cs="Times New Roman"/>
        </w:rPr>
        <w:t xml:space="preserve"> et al.</w:t>
      </w:r>
      <w:r w:rsidR="00140BD0" w:rsidRPr="00FF4D4B">
        <w:rPr>
          <w:rFonts w:cs="Times New Roman"/>
        </w:rPr>
        <w:t xml:space="preserve"> (2010) examined 983 equity-based awards and found that performance-vesting provisions are associated with subsequently better operating performance than firms without these provisions.</w:t>
      </w:r>
    </w:p>
    <w:p w14:paraId="53E671D9" w14:textId="5A7AAAB4" w:rsidR="00083019" w:rsidRPr="00FF4D4B" w:rsidRDefault="00196178" w:rsidP="00D11003">
      <w:pPr>
        <w:rPr>
          <w:rFonts w:cs="Times New Roman"/>
        </w:rPr>
      </w:pPr>
      <w:r>
        <w:rPr>
          <w:rFonts w:cs="Times New Roman"/>
        </w:rPr>
        <w:t>Hartzell et al.</w:t>
      </w:r>
      <w:r w:rsidR="00D11003" w:rsidRPr="00FF4D4B">
        <w:rPr>
          <w:rFonts w:cs="Times New Roman"/>
        </w:rPr>
        <w:t xml:space="preserve"> (2004) </w:t>
      </w:r>
      <w:r w:rsidR="00140BD0" w:rsidRPr="00FF4D4B">
        <w:rPr>
          <w:rFonts w:cs="Times New Roman"/>
        </w:rPr>
        <w:t>found that</w:t>
      </w:r>
      <w:r w:rsidR="00D11003" w:rsidRPr="00FF4D4B">
        <w:rPr>
          <w:rFonts w:cs="Times New Roman"/>
        </w:rPr>
        <w:t xml:space="preserve"> the gains from stock and options </w:t>
      </w:r>
      <w:r w:rsidR="00140BD0" w:rsidRPr="00FF4D4B">
        <w:rPr>
          <w:rFonts w:cs="Times New Roman"/>
        </w:rPr>
        <w:t xml:space="preserve">are the </w:t>
      </w:r>
      <w:r w:rsidR="00D11003" w:rsidRPr="00FF4D4B">
        <w:rPr>
          <w:rFonts w:cs="Times New Roman"/>
        </w:rPr>
        <w:t>largest componen</w:t>
      </w:r>
      <w:r w:rsidR="00F0229A" w:rsidRPr="00FF4D4B">
        <w:rPr>
          <w:rFonts w:cs="Times New Roman"/>
        </w:rPr>
        <w:t>t of overall gains obtained by target</w:t>
      </w:r>
      <w:r w:rsidR="00140BD0" w:rsidRPr="00FF4D4B">
        <w:rPr>
          <w:rFonts w:cs="Times New Roman"/>
        </w:rPr>
        <w:t xml:space="preserve"> CEOs in case of an acquisition. </w:t>
      </w:r>
      <w:r w:rsidR="00585997" w:rsidRPr="00FF4D4B">
        <w:rPr>
          <w:rFonts w:cs="Times New Roman"/>
        </w:rPr>
        <w:t>In combination with the accelerated vesting of shares</w:t>
      </w:r>
      <w:r w:rsidR="005A6CDC" w:rsidRPr="00FF4D4B">
        <w:rPr>
          <w:rFonts w:cs="Times New Roman"/>
        </w:rPr>
        <w:t xml:space="preserve"> therefore</w:t>
      </w:r>
      <w:r w:rsidR="00585997" w:rsidRPr="00FF4D4B">
        <w:rPr>
          <w:rFonts w:cs="Times New Roman"/>
        </w:rPr>
        <w:t xml:space="preserve"> forms a strong alignment of interests between the shareholders and the CEO. </w:t>
      </w:r>
      <w:r w:rsidR="00083019" w:rsidRPr="00FF4D4B">
        <w:rPr>
          <w:rFonts w:cs="Times New Roman"/>
        </w:rPr>
        <w:t xml:space="preserve">Moreover, target </w:t>
      </w:r>
      <w:r w:rsidR="00C23B4E" w:rsidRPr="00FF4D4B">
        <w:rPr>
          <w:rFonts w:cs="Times New Roman"/>
        </w:rPr>
        <w:t>directors</w:t>
      </w:r>
      <w:r w:rsidR="00083019" w:rsidRPr="00FF4D4B">
        <w:rPr>
          <w:rFonts w:cs="Times New Roman"/>
        </w:rPr>
        <w:t xml:space="preserve"> negotiate a higher premium to compensate for lost salary</w:t>
      </w:r>
      <w:r w:rsidR="00C23B4E" w:rsidRPr="00FF4D4B">
        <w:rPr>
          <w:rFonts w:cs="Times New Roman"/>
        </w:rPr>
        <w:t xml:space="preserve"> in case the CEO is not retained</w:t>
      </w:r>
      <w:r w:rsidR="00083019" w:rsidRPr="00FF4D4B">
        <w:rPr>
          <w:rFonts w:cs="Times New Roman"/>
        </w:rPr>
        <w:t xml:space="preserve"> (Lefanowicz</w:t>
      </w:r>
      <w:r>
        <w:rPr>
          <w:rFonts w:cs="Times New Roman"/>
        </w:rPr>
        <w:t xml:space="preserve"> et al.</w:t>
      </w:r>
      <w:r w:rsidR="00083019" w:rsidRPr="00FF4D4B">
        <w:rPr>
          <w:rFonts w:cs="Times New Roman"/>
        </w:rPr>
        <w:t>, 2000)</w:t>
      </w:r>
      <w:r w:rsidR="00C23B4E" w:rsidRPr="00FF4D4B">
        <w:rPr>
          <w:rFonts w:cs="Times New Roman"/>
        </w:rPr>
        <w:t>. Signifying that managers who do not expect to be retained will bargain for a higher premium.</w:t>
      </w:r>
    </w:p>
    <w:p w14:paraId="46ADD76E" w14:textId="54E12560" w:rsidR="001C21D9" w:rsidRPr="00FF4D4B" w:rsidRDefault="00140BD0" w:rsidP="003400B2">
      <w:pPr>
        <w:tabs>
          <w:tab w:val="left" w:pos="3062"/>
        </w:tabs>
        <w:rPr>
          <w:rFonts w:cs="Times New Roman"/>
        </w:rPr>
      </w:pPr>
      <w:r w:rsidRPr="00FF4D4B">
        <w:rPr>
          <w:rFonts w:cs="Times New Roman"/>
        </w:rPr>
        <w:lastRenderedPageBreak/>
        <w:t>The Provision limits the ability for sh</w:t>
      </w:r>
      <w:r w:rsidR="0000625B" w:rsidRPr="00FF4D4B">
        <w:rPr>
          <w:rFonts w:cs="Times New Roman"/>
        </w:rPr>
        <w:t>areholders to incentivize the CEOs by equity-based awards. This makes room for other</w:t>
      </w:r>
      <w:r w:rsidR="006864F1" w:rsidRPr="00FF4D4B">
        <w:rPr>
          <w:rFonts w:cs="Times New Roman"/>
        </w:rPr>
        <w:t xml:space="preserve"> types of compensation schemes, like cash-based awards (</w:t>
      </w:r>
      <w:r w:rsidR="00C60EFE" w:rsidRPr="00FF4D4B">
        <w:rPr>
          <w:rFonts w:cs="Times New Roman"/>
        </w:rPr>
        <w:t>e.g.</w:t>
      </w:r>
      <w:r w:rsidR="006864F1" w:rsidRPr="00FF4D4B">
        <w:rPr>
          <w:rFonts w:cs="Times New Roman"/>
        </w:rPr>
        <w:t xml:space="preserve"> golden parachutes) or post-merger</w:t>
      </w:r>
      <w:r w:rsidR="00416806" w:rsidRPr="00FF4D4B">
        <w:rPr>
          <w:rFonts w:cs="Times New Roman"/>
        </w:rPr>
        <w:t xml:space="preserve"> special treatment</w:t>
      </w:r>
      <w:r w:rsidR="006864F1" w:rsidRPr="00FF4D4B">
        <w:rPr>
          <w:rFonts w:cs="Times New Roman"/>
        </w:rPr>
        <w:t>.</w:t>
      </w:r>
      <w:r w:rsidR="00585997" w:rsidRPr="00FF4D4B">
        <w:rPr>
          <w:rFonts w:cs="Times New Roman"/>
        </w:rPr>
        <w:t xml:space="preserve"> The </w:t>
      </w:r>
      <w:r w:rsidR="003326E9" w:rsidRPr="00FF4D4B">
        <w:rPr>
          <w:rFonts w:cs="Times New Roman"/>
        </w:rPr>
        <w:t xml:space="preserve">decrease in effectiveness of </w:t>
      </w:r>
      <w:r w:rsidR="00416806" w:rsidRPr="00FF4D4B">
        <w:rPr>
          <w:rFonts w:cs="Times New Roman"/>
        </w:rPr>
        <w:t>share- and/or option</w:t>
      </w:r>
      <w:r w:rsidR="003326E9" w:rsidRPr="00FF4D4B">
        <w:rPr>
          <w:rFonts w:cs="Times New Roman"/>
        </w:rPr>
        <w:t>-based incentives could have adverse effects for shareholders.</w:t>
      </w:r>
      <w:r w:rsidR="003400B2" w:rsidRPr="00FF4D4B">
        <w:rPr>
          <w:rFonts w:cs="Times New Roman"/>
        </w:rPr>
        <w:t xml:space="preserve"> </w:t>
      </w:r>
      <w:r w:rsidR="000D6222" w:rsidRPr="00FF4D4B">
        <w:rPr>
          <w:rFonts w:cs="Times New Roman"/>
        </w:rPr>
        <w:t>Hartzell</w:t>
      </w:r>
      <w:r w:rsidR="00196178">
        <w:rPr>
          <w:rFonts w:cs="Times New Roman"/>
        </w:rPr>
        <w:t xml:space="preserve"> et al.</w:t>
      </w:r>
      <w:r w:rsidR="000D6222" w:rsidRPr="00FF4D4B">
        <w:rPr>
          <w:rFonts w:cs="Times New Roman"/>
        </w:rPr>
        <w:t xml:space="preserve"> (2002) </w:t>
      </w:r>
      <w:r w:rsidR="00425E8C" w:rsidRPr="00FF4D4B">
        <w:rPr>
          <w:rFonts w:cs="Times New Roman"/>
        </w:rPr>
        <w:t>f</w:t>
      </w:r>
      <w:r w:rsidR="003326E9" w:rsidRPr="00FF4D4B">
        <w:rPr>
          <w:rFonts w:cs="Times New Roman"/>
        </w:rPr>
        <w:t>ou</w:t>
      </w:r>
      <w:r w:rsidR="00425E8C" w:rsidRPr="00FF4D4B">
        <w:rPr>
          <w:rFonts w:cs="Times New Roman"/>
        </w:rPr>
        <w:t>nd</w:t>
      </w:r>
      <w:r w:rsidR="00425E8C" w:rsidRPr="00FF4D4B">
        <w:rPr>
          <w:rFonts w:cs="Times New Roman"/>
          <w:i/>
        </w:rPr>
        <w:t xml:space="preserve"> </w:t>
      </w:r>
      <w:r w:rsidR="00425E8C" w:rsidRPr="00FF4D4B">
        <w:rPr>
          <w:rFonts w:cs="Times New Roman"/>
        </w:rPr>
        <w:t>that golden parachutes</w:t>
      </w:r>
      <w:r w:rsidR="003400B2" w:rsidRPr="00FF4D4B">
        <w:rPr>
          <w:rFonts w:cs="Times New Roman"/>
        </w:rPr>
        <w:t xml:space="preserve"> diminish the incentive for target CEOs to negotiate larger gains for target shareholders.</w:t>
      </w:r>
      <w:r w:rsidR="003326E9" w:rsidRPr="00FF4D4B">
        <w:rPr>
          <w:rFonts w:cs="Times New Roman"/>
          <w:i/>
        </w:rPr>
        <w:t xml:space="preserve"> </w:t>
      </w:r>
      <w:r w:rsidR="003326E9" w:rsidRPr="00FF4D4B">
        <w:rPr>
          <w:rFonts w:cs="Times New Roman"/>
        </w:rPr>
        <w:t>Moreover, it was</w:t>
      </w:r>
      <w:r w:rsidR="00060003" w:rsidRPr="00FF4D4B">
        <w:rPr>
          <w:rFonts w:cs="Times New Roman"/>
        </w:rPr>
        <w:t xml:space="preserve"> f</w:t>
      </w:r>
      <w:r w:rsidR="003326E9" w:rsidRPr="00FF4D4B">
        <w:rPr>
          <w:rFonts w:cs="Times New Roman"/>
        </w:rPr>
        <w:t>ou</w:t>
      </w:r>
      <w:r w:rsidR="00060003" w:rsidRPr="00FF4D4B">
        <w:rPr>
          <w:rFonts w:cs="Times New Roman"/>
        </w:rPr>
        <w:t>nd that premiums are lower in deals where the CEO negotiates a large, fixed cash payment</w:t>
      </w:r>
      <w:r w:rsidR="003400B2" w:rsidRPr="00FF4D4B">
        <w:rPr>
          <w:rFonts w:cs="Times New Roman"/>
        </w:rPr>
        <w:t xml:space="preserve"> (ie. golden parachute)</w:t>
      </w:r>
      <w:r w:rsidR="00060003" w:rsidRPr="00FF4D4B">
        <w:rPr>
          <w:rFonts w:cs="Times New Roman"/>
        </w:rPr>
        <w:t xml:space="preserve"> as part of the merger agreement. </w:t>
      </w:r>
      <w:r w:rsidR="003326E9" w:rsidRPr="00FF4D4B">
        <w:rPr>
          <w:rFonts w:cs="Times New Roman"/>
        </w:rPr>
        <w:t>The Provision would exclude the premium</w:t>
      </w:r>
      <w:r w:rsidR="003400B2" w:rsidRPr="00FF4D4B">
        <w:rPr>
          <w:rFonts w:cs="Times New Roman"/>
        </w:rPr>
        <w:t xml:space="preserve"> that the CEO would receive on equity-based incentives, therefore decreasing the personal gain for negotiating a higher premium for shareholders.</w:t>
      </w:r>
    </w:p>
    <w:p w14:paraId="22B39BD9" w14:textId="2322E073" w:rsidR="00D11003" w:rsidRPr="00FF4D4B" w:rsidRDefault="001B46EC" w:rsidP="00D11003">
      <w:pPr>
        <w:rPr>
          <w:rFonts w:cs="Times New Roman"/>
        </w:rPr>
      </w:pPr>
      <w:r w:rsidRPr="00FF4D4B">
        <w:rPr>
          <w:rFonts w:cs="Times New Roman"/>
        </w:rPr>
        <w:t>Fich</w:t>
      </w:r>
      <w:r w:rsidR="00196178">
        <w:rPr>
          <w:rFonts w:cs="Times New Roman"/>
        </w:rPr>
        <w:t xml:space="preserve"> et al.</w:t>
      </w:r>
      <w:r w:rsidRPr="00FF4D4B">
        <w:rPr>
          <w:rFonts w:cs="Times New Roman"/>
        </w:rPr>
        <w:t xml:space="preserve"> (2011)</w:t>
      </w:r>
      <w:r w:rsidRPr="00FF4D4B">
        <w:rPr>
          <w:rFonts w:cs="Times New Roman"/>
          <w:i/>
        </w:rPr>
        <w:t xml:space="preserve"> </w:t>
      </w:r>
      <w:r w:rsidR="00796DCF" w:rsidRPr="00FF4D4B">
        <w:rPr>
          <w:rFonts w:cs="Times New Roman"/>
        </w:rPr>
        <w:t>found</w:t>
      </w:r>
      <w:r w:rsidR="00060003" w:rsidRPr="00FF4D4B">
        <w:rPr>
          <w:rFonts w:cs="Times New Roman"/>
        </w:rPr>
        <w:t xml:space="preserve"> that premiums are lower in deals in which the CEO is granted </w:t>
      </w:r>
      <w:r w:rsidR="009906D1" w:rsidRPr="00FF4D4B">
        <w:rPr>
          <w:rFonts w:cs="Times New Roman"/>
        </w:rPr>
        <w:t>equity incentives</w:t>
      </w:r>
      <w:r w:rsidR="00060003" w:rsidRPr="00FF4D4B">
        <w:rPr>
          <w:rFonts w:cs="Times New Roman"/>
        </w:rPr>
        <w:t xml:space="preserve"> after the deal is announced, but before it closes</w:t>
      </w:r>
      <w:r w:rsidR="009906D1" w:rsidRPr="00FF4D4B">
        <w:rPr>
          <w:rFonts w:cs="Times New Roman"/>
        </w:rPr>
        <w:t xml:space="preserve"> (ie. bribing)</w:t>
      </w:r>
      <w:r w:rsidR="00060003" w:rsidRPr="00FF4D4B">
        <w:rPr>
          <w:rFonts w:cs="Times New Roman"/>
        </w:rPr>
        <w:t>.</w:t>
      </w:r>
      <w:r w:rsidR="009906D1" w:rsidRPr="00FF4D4B">
        <w:rPr>
          <w:rFonts w:cs="Times New Roman"/>
        </w:rPr>
        <w:t xml:space="preserve"> Meaning that the results for target shareholders are lower in cases were the CEO was bribed.</w:t>
      </w:r>
      <w:r w:rsidR="009906D1" w:rsidRPr="00FF4D4B">
        <w:rPr>
          <w:rFonts w:cs="Times New Roman"/>
          <w:i/>
        </w:rPr>
        <w:t xml:space="preserve"> </w:t>
      </w:r>
      <w:r w:rsidR="00D11003" w:rsidRPr="00FF4D4B">
        <w:rPr>
          <w:rFonts w:cs="Times New Roman"/>
        </w:rPr>
        <w:t xml:space="preserve">Hartzell et al. (2004) </w:t>
      </w:r>
      <w:r w:rsidR="009906D1" w:rsidRPr="00FF4D4B">
        <w:rPr>
          <w:rFonts w:cs="Times New Roman"/>
        </w:rPr>
        <w:t>add</w:t>
      </w:r>
      <w:r w:rsidR="00D11003" w:rsidRPr="00FF4D4B">
        <w:rPr>
          <w:rFonts w:cs="Times New Roman"/>
        </w:rPr>
        <w:t xml:space="preserve"> that target CEOs will accept a lower premium in exchange for special treatment </w:t>
      </w:r>
      <w:r w:rsidR="009906D1" w:rsidRPr="00FF4D4B">
        <w:rPr>
          <w:rFonts w:cs="Times New Roman"/>
        </w:rPr>
        <w:t>after the acquisition</w:t>
      </w:r>
      <w:r w:rsidR="00D11003" w:rsidRPr="00FF4D4B">
        <w:rPr>
          <w:rFonts w:cs="Times New Roman"/>
        </w:rPr>
        <w:t xml:space="preserve">, including </w:t>
      </w:r>
      <w:r w:rsidR="009906D1" w:rsidRPr="00FF4D4B">
        <w:rPr>
          <w:rFonts w:cs="Times New Roman"/>
        </w:rPr>
        <w:t>golden parachutes</w:t>
      </w:r>
      <w:r w:rsidR="00D11003" w:rsidRPr="00FF4D4B">
        <w:rPr>
          <w:rFonts w:cs="Times New Roman"/>
        </w:rPr>
        <w:t xml:space="preserve"> </w:t>
      </w:r>
      <w:r w:rsidR="009906D1" w:rsidRPr="00FF4D4B">
        <w:rPr>
          <w:rFonts w:cs="Times New Roman"/>
        </w:rPr>
        <w:t xml:space="preserve">or a </w:t>
      </w:r>
      <w:r w:rsidR="00D11003" w:rsidRPr="00FF4D4B">
        <w:rPr>
          <w:rFonts w:cs="Times New Roman"/>
        </w:rPr>
        <w:t xml:space="preserve">position in the </w:t>
      </w:r>
      <w:r w:rsidR="009906D1" w:rsidRPr="00FF4D4B">
        <w:rPr>
          <w:rFonts w:cs="Times New Roman"/>
        </w:rPr>
        <w:t>acquiring</w:t>
      </w:r>
      <w:r w:rsidR="00D11003" w:rsidRPr="00FF4D4B">
        <w:rPr>
          <w:rFonts w:cs="Times New Roman"/>
        </w:rPr>
        <w:t xml:space="preserve"> firm.</w:t>
      </w:r>
      <w:r w:rsidR="00B11A28" w:rsidRPr="00FF4D4B">
        <w:rPr>
          <w:rFonts w:cs="Times New Roman"/>
        </w:rPr>
        <w:t xml:space="preserve"> Moreover, in a sample using 2198 completed M&amp;A transactions between 1994 and 2010, Qiu</w:t>
      </w:r>
      <w:r w:rsidR="00196178">
        <w:rPr>
          <w:rFonts w:cs="Times New Roman"/>
        </w:rPr>
        <w:t xml:space="preserve"> et al.</w:t>
      </w:r>
      <w:r w:rsidR="00B11A28" w:rsidRPr="00FF4D4B">
        <w:rPr>
          <w:rFonts w:cs="Times New Roman"/>
        </w:rPr>
        <w:t xml:space="preserve"> (2014) found a significant negative relation between target CEO retention and the premiums for target shareholders, suggesting that target CEOs bargain shareholder value for personal </w:t>
      </w:r>
      <w:r w:rsidR="00B11A28" w:rsidRPr="00FF4D4B">
        <w:rPr>
          <w:rFonts w:cs="Times New Roman"/>
        </w:rPr>
        <w:lastRenderedPageBreak/>
        <w:t xml:space="preserve">benefits during acquisitions. </w:t>
      </w:r>
      <w:r w:rsidR="00416806" w:rsidRPr="00FF4D4B">
        <w:rPr>
          <w:rFonts w:cs="Times New Roman"/>
        </w:rPr>
        <w:t>In order to increase the premium during a takeover, these incentives should therefore be avoided when possible.</w:t>
      </w:r>
    </w:p>
    <w:p w14:paraId="2D0FA352" w14:textId="1DE82892" w:rsidR="00553658" w:rsidRPr="00FF4D4B" w:rsidRDefault="00553658" w:rsidP="00D11003">
      <w:pPr>
        <w:rPr>
          <w:rFonts w:cs="Times New Roman"/>
        </w:rPr>
      </w:pPr>
      <w:r w:rsidRPr="00FF4D4B">
        <w:rPr>
          <w:rFonts w:cs="Times New Roman"/>
        </w:rPr>
        <w:t>In the case a CEO is nearing retirement, it was found that CEOs are more prone to selling the firm and receive a bonus in order to</w:t>
      </w:r>
      <w:r w:rsidRPr="00FF4D4B">
        <w:rPr>
          <w:rFonts w:cs="Times New Roman"/>
          <w:i/>
        </w:rPr>
        <w:t xml:space="preserve"> </w:t>
      </w:r>
      <w:r w:rsidRPr="00FF4D4B">
        <w:rPr>
          <w:rFonts w:cs="Times New Roman"/>
        </w:rPr>
        <w:t xml:space="preserve">cash out at the end of their career (Elkinawy </w:t>
      </w:r>
      <w:r w:rsidR="002C19FB" w:rsidRPr="00FF4D4B">
        <w:rPr>
          <w:rFonts w:cs="Times New Roman"/>
        </w:rPr>
        <w:t xml:space="preserve">et al., </w:t>
      </w:r>
      <w:r w:rsidRPr="00FF4D4B">
        <w:rPr>
          <w:rFonts w:cs="Times New Roman"/>
        </w:rPr>
        <w:t xml:space="preserve">2013). A </w:t>
      </w:r>
      <w:r w:rsidR="001C794E" w:rsidRPr="00FF4D4B">
        <w:rPr>
          <w:rFonts w:cs="Times New Roman"/>
        </w:rPr>
        <w:t>finding</w:t>
      </w:r>
      <w:r w:rsidRPr="00FF4D4B">
        <w:rPr>
          <w:rFonts w:cs="Times New Roman"/>
        </w:rPr>
        <w:t xml:space="preserve"> that confirms the importance of equity-based incentives for CEOs.</w:t>
      </w:r>
    </w:p>
    <w:p w14:paraId="08946D7B" w14:textId="5F76BCA6" w:rsidR="006A3AD4" w:rsidRPr="00FF4D4B" w:rsidRDefault="00B11A28" w:rsidP="007B7F36">
      <w:pPr>
        <w:tabs>
          <w:tab w:val="left" w:pos="6230"/>
        </w:tabs>
        <w:rPr>
          <w:rFonts w:cs="Times New Roman"/>
        </w:rPr>
      </w:pPr>
      <w:r w:rsidRPr="00FF4D4B">
        <w:rPr>
          <w:rFonts w:cs="Times New Roman"/>
        </w:rPr>
        <w:t>Another option for a target company is to avoid being acquired</w:t>
      </w:r>
      <w:r w:rsidR="00162C09" w:rsidRPr="00FF4D4B">
        <w:rPr>
          <w:rFonts w:cs="Times New Roman"/>
        </w:rPr>
        <w:t xml:space="preserve"> by means of a takeover defense. F</w:t>
      </w:r>
      <w:r w:rsidRPr="00FF4D4B">
        <w:rPr>
          <w:rFonts w:cs="Times New Roman"/>
        </w:rPr>
        <w:t>or shareholders</w:t>
      </w:r>
      <w:r w:rsidR="007B7F36" w:rsidRPr="00FF4D4B">
        <w:rPr>
          <w:rFonts w:cs="Times New Roman"/>
        </w:rPr>
        <w:t xml:space="preserve"> there are also benefits to</w:t>
      </w:r>
      <w:r w:rsidR="00162C09" w:rsidRPr="00FF4D4B">
        <w:rPr>
          <w:rFonts w:cs="Times New Roman"/>
        </w:rPr>
        <w:t xml:space="preserve"> such</w:t>
      </w:r>
      <w:r w:rsidR="007B7F36" w:rsidRPr="00FF4D4B">
        <w:rPr>
          <w:rFonts w:cs="Times New Roman"/>
        </w:rPr>
        <w:t xml:space="preserve"> a takeover defense. Executives produce wealth for shareholders when they actively pursue a corporate defense against a hostile takeover. Especially in cases where the poison pill provision is used to divert a hostile attack, the defense is likely to boost shareholder wealth (Pearce </w:t>
      </w:r>
      <w:r w:rsidR="00196178">
        <w:rPr>
          <w:rFonts w:cs="Times New Roman"/>
        </w:rPr>
        <w:t>et al.</w:t>
      </w:r>
      <w:r w:rsidR="007B7F36" w:rsidRPr="00FF4D4B">
        <w:rPr>
          <w:rFonts w:cs="Times New Roman"/>
        </w:rPr>
        <w:t>, 2004).</w:t>
      </w:r>
    </w:p>
    <w:p w14:paraId="258BCA98" w14:textId="7F0E7D61" w:rsidR="009A1706" w:rsidRPr="00FF4D4B" w:rsidRDefault="00162C09" w:rsidP="007B7F36">
      <w:pPr>
        <w:tabs>
          <w:tab w:val="left" w:pos="6230"/>
        </w:tabs>
        <w:rPr>
          <w:rFonts w:cs="Times New Roman"/>
        </w:rPr>
      </w:pPr>
      <w:r w:rsidRPr="00FF4D4B">
        <w:rPr>
          <w:rFonts w:cs="Times New Roman"/>
        </w:rPr>
        <w:t>These studies confirm the importance</w:t>
      </w:r>
      <w:r w:rsidR="009A1706" w:rsidRPr="00FF4D4B">
        <w:rPr>
          <w:rFonts w:cs="Times New Roman"/>
        </w:rPr>
        <w:t xml:space="preserve"> for shareholders to pursue a remuneration policy</w:t>
      </w:r>
      <w:r w:rsidRPr="00FF4D4B">
        <w:rPr>
          <w:rFonts w:cs="Times New Roman"/>
        </w:rPr>
        <w:t xml:space="preserve"> </w:t>
      </w:r>
      <w:r w:rsidR="009A1706" w:rsidRPr="00FF4D4B">
        <w:rPr>
          <w:rFonts w:cs="Times New Roman"/>
        </w:rPr>
        <w:t>with strong</w:t>
      </w:r>
      <w:r w:rsidRPr="00FF4D4B">
        <w:rPr>
          <w:rFonts w:cs="Times New Roman"/>
        </w:rPr>
        <w:t xml:space="preserve"> equity-based incentives</w:t>
      </w:r>
      <w:r w:rsidR="009A1706" w:rsidRPr="00FF4D4B">
        <w:rPr>
          <w:rFonts w:cs="Times New Roman"/>
        </w:rPr>
        <w:t xml:space="preserve"> for directors, so that in case a change-in-control occurs, the director will receive incentive to achieve a higher premium. The abundance of equity-based incentives can have negative effects for shareholders. Cash awards, personal benefits, or other incentives not tied to the equity value, do not incentivize directors to bargain a higher premium during a change-in-control.</w:t>
      </w:r>
    </w:p>
    <w:p w14:paraId="73B5CBCC" w14:textId="75D226CB" w:rsidR="00060003" w:rsidRPr="00FF4D4B" w:rsidRDefault="00347777" w:rsidP="002B1FD0">
      <w:pPr>
        <w:tabs>
          <w:tab w:val="left" w:pos="5624"/>
        </w:tabs>
        <w:rPr>
          <w:rFonts w:cs="Times New Roman"/>
        </w:rPr>
      </w:pPr>
      <w:r w:rsidRPr="00FF4D4B">
        <w:rPr>
          <w:rFonts w:cs="Times New Roman"/>
        </w:rPr>
        <w:tab/>
      </w:r>
    </w:p>
    <w:p w14:paraId="20584181" w14:textId="77777777" w:rsidR="00060003" w:rsidRPr="00FF4D4B" w:rsidRDefault="00060003" w:rsidP="00060003">
      <w:pPr>
        <w:rPr>
          <w:rFonts w:cs="Times New Roman"/>
        </w:rPr>
      </w:pPr>
      <w:r w:rsidRPr="00FF4D4B">
        <w:rPr>
          <w:rFonts w:cs="Times New Roman"/>
        </w:rPr>
        <w:t xml:space="preserve"> </w:t>
      </w:r>
    </w:p>
    <w:p w14:paraId="2B2A65F5" w14:textId="78FEAD05" w:rsidR="00097E16" w:rsidRPr="00097E16" w:rsidRDefault="005B44F8" w:rsidP="00097E16">
      <w:pPr>
        <w:pStyle w:val="Kop1"/>
        <w:numPr>
          <w:ilvl w:val="0"/>
          <w:numId w:val="24"/>
        </w:numPr>
        <w:rPr>
          <w:rFonts w:cs="Times New Roman"/>
        </w:rPr>
      </w:pPr>
      <w:r w:rsidRPr="00FF4D4B">
        <w:rPr>
          <w:rFonts w:cs="Times New Roman"/>
        </w:rPr>
        <w:br w:type="column"/>
      </w:r>
      <w:bookmarkStart w:id="11" w:name="_Toc301441833"/>
      <w:r w:rsidRPr="00FF4D4B">
        <w:rPr>
          <w:rFonts w:cs="Times New Roman"/>
        </w:rPr>
        <w:lastRenderedPageBreak/>
        <w:t>Methodology</w:t>
      </w:r>
      <w:bookmarkEnd w:id="11"/>
    </w:p>
    <w:p w14:paraId="6C9A1DE4" w14:textId="7E179AC3" w:rsidR="005B44F8" w:rsidRPr="00FF4D4B" w:rsidRDefault="00603696" w:rsidP="00AB079C">
      <w:pPr>
        <w:pStyle w:val="Kop2"/>
        <w:numPr>
          <w:ilvl w:val="1"/>
          <w:numId w:val="5"/>
        </w:numPr>
      </w:pPr>
      <w:r>
        <w:t xml:space="preserve"> </w:t>
      </w:r>
      <w:r>
        <w:tab/>
      </w:r>
      <w:bookmarkStart w:id="12" w:name="_Toc301441834"/>
      <w:r>
        <w:t>Orientation</w:t>
      </w:r>
      <w:bookmarkEnd w:id="12"/>
    </w:p>
    <w:p w14:paraId="3F01D73E" w14:textId="417FBD6E" w:rsidR="00737943" w:rsidRDefault="00737943" w:rsidP="001A18A1">
      <w:pPr>
        <w:rPr>
          <w:rFonts w:cs="Times New Roman"/>
        </w:rPr>
      </w:pPr>
      <w:r w:rsidRPr="00FF4D4B">
        <w:rPr>
          <w:rFonts w:cs="Times New Roman"/>
        </w:rPr>
        <w:t xml:space="preserve">The research question concerns the change-in-control provision of the </w:t>
      </w:r>
      <w:r w:rsidR="00BE5381" w:rsidRPr="00FF4D4B">
        <w:rPr>
          <w:rFonts w:cs="Times New Roman"/>
        </w:rPr>
        <w:t>claw</w:t>
      </w:r>
      <w:r w:rsidR="00721494" w:rsidRPr="00FF4D4B">
        <w:rPr>
          <w:rFonts w:cs="Times New Roman"/>
        </w:rPr>
        <w:t>back</w:t>
      </w:r>
      <w:r w:rsidRPr="00FF4D4B">
        <w:rPr>
          <w:rFonts w:cs="Times New Roman"/>
        </w:rPr>
        <w:t xml:space="preserve"> of bonuses act in the Netherlands. </w:t>
      </w:r>
      <w:r w:rsidR="00805971" w:rsidRPr="00FF4D4B">
        <w:rPr>
          <w:rFonts w:cs="Times New Roman"/>
        </w:rPr>
        <w:t xml:space="preserve">Furthermore, it </w:t>
      </w:r>
      <w:r w:rsidRPr="00FF4D4B">
        <w:rPr>
          <w:rFonts w:cs="Times New Roman"/>
        </w:rPr>
        <w:t xml:space="preserve">relates to the clients of ISS in a way that the application of the findings of the research should be utilized in order to advise ISS clients how to use their voting right in companies that </w:t>
      </w:r>
      <w:r w:rsidR="00805971" w:rsidRPr="00FF4D4B">
        <w:rPr>
          <w:rFonts w:cs="Times New Roman"/>
        </w:rPr>
        <w:t>are affected by</w:t>
      </w:r>
      <w:r w:rsidRPr="00FF4D4B">
        <w:rPr>
          <w:rFonts w:cs="Times New Roman"/>
        </w:rPr>
        <w:t xml:space="preserve"> the</w:t>
      </w:r>
      <w:r w:rsidR="00721494" w:rsidRPr="00FF4D4B">
        <w:rPr>
          <w:rFonts w:cs="Times New Roman"/>
        </w:rPr>
        <w:t xml:space="preserve"> change-i</w:t>
      </w:r>
      <w:r w:rsidR="00BE5381" w:rsidRPr="00FF4D4B">
        <w:rPr>
          <w:rFonts w:cs="Times New Roman"/>
        </w:rPr>
        <w:t>n-control provision of the claw</w:t>
      </w:r>
      <w:r w:rsidR="00721494" w:rsidRPr="00FF4D4B">
        <w:rPr>
          <w:rFonts w:cs="Times New Roman"/>
        </w:rPr>
        <w:t>back bonuses act (from hereon: the Provision)</w:t>
      </w:r>
      <w:r w:rsidRPr="00FF4D4B">
        <w:rPr>
          <w:rFonts w:cs="Times New Roman"/>
        </w:rPr>
        <w:t xml:space="preserve">. </w:t>
      </w:r>
      <w:r w:rsidR="005A185F" w:rsidRPr="00FF4D4B">
        <w:rPr>
          <w:rFonts w:cs="Times New Roman"/>
        </w:rPr>
        <w:t>The research question therefore asks for investigation of the Provision and the current manner of ISS client recommendation.</w:t>
      </w:r>
      <w:r w:rsidR="00D647A3">
        <w:rPr>
          <w:rFonts w:cs="Times New Roman"/>
        </w:rPr>
        <w:t xml:space="preserve"> </w:t>
      </w:r>
    </w:p>
    <w:p w14:paraId="5E3664D6" w14:textId="5AAB5DC8" w:rsidR="000B79D1" w:rsidRPr="00FF4D4B" w:rsidRDefault="000B79D1" w:rsidP="001A18A1">
      <w:pPr>
        <w:rPr>
          <w:rFonts w:cs="Times New Roman"/>
        </w:rPr>
      </w:pPr>
      <w:r w:rsidRPr="000B79D1">
        <w:rPr>
          <w:rFonts w:cs="Times New Roman"/>
        </w:rPr>
        <w:t>The case study method has been chosen because answering the research question requires deliberately isolating a small study group, the study group being companies that went through a change-in-control after 2007. Furthermore, case studies allow the researcher to become familiar with the data in its natural setting and fully appreciate the context (Punch, 1998), which is necessary in order to find the variables influencing change-in-control.</w:t>
      </w:r>
    </w:p>
    <w:p w14:paraId="160CDA22" w14:textId="735A8D27" w:rsidR="00B7211E" w:rsidRDefault="0095135E" w:rsidP="00B7211E">
      <w:pPr>
        <w:rPr>
          <w:rFonts w:cs="Times New Roman"/>
        </w:rPr>
      </w:pPr>
      <w:r w:rsidRPr="00FF4D4B">
        <w:rPr>
          <w:rFonts w:cs="Times New Roman"/>
        </w:rPr>
        <w:t>According to Yin (2003) a case study design should be considered when</w:t>
      </w:r>
      <w:r w:rsidR="000B2718">
        <w:rPr>
          <w:rFonts w:cs="Times New Roman"/>
        </w:rPr>
        <w:t xml:space="preserve"> (I)</w:t>
      </w:r>
      <w:r w:rsidRPr="00FF4D4B">
        <w:rPr>
          <w:rFonts w:cs="Times New Roman"/>
        </w:rPr>
        <w:t xml:space="preserve"> the focus of the study is to answer </w:t>
      </w:r>
      <w:r w:rsidR="000F7468" w:rsidRPr="00FF4D4B">
        <w:rPr>
          <w:rFonts w:cs="Times New Roman"/>
        </w:rPr>
        <w:t>how</w:t>
      </w:r>
      <w:r w:rsidRPr="00FF4D4B">
        <w:rPr>
          <w:rFonts w:cs="Times New Roman"/>
        </w:rPr>
        <w:t xml:space="preserve"> and why</w:t>
      </w:r>
      <w:r w:rsidR="000B2718">
        <w:rPr>
          <w:rFonts w:cs="Times New Roman"/>
        </w:rPr>
        <w:t>,</w:t>
      </w:r>
      <w:r w:rsidRPr="00FF4D4B">
        <w:rPr>
          <w:rFonts w:cs="Times New Roman"/>
        </w:rPr>
        <w:t xml:space="preserve"> and</w:t>
      </w:r>
      <w:r w:rsidR="000B2718">
        <w:rPr>
          <w:rFonts w:cs="Times New Roman"/>
        </w:rPr>
        <w:t>, (II)</w:t>
      </w:r>
      <w:r w:rsidRPr="00FF4D4B">
        <w:rPr>
          <w:rFonts w:cs="Times New Roman"/>
        </w:rPr>
        <w:t xml:space="preserve"> the behavior</w:t>
      </w:r>
      <w:r w:rsidR="000B2718">
        <w:rPr>
          <w:rFonts w:cs="Times New Roman"/>
        </w:rPr>
        <w:t xml:space="preserve"> of those involved in the study</w:t>
      </w:r>
      <w:r w:rsidRPr="00FF4D4B">
        <w:rPr>
          <w:rFonts w:cs="Times New Roman"/>
        </w:rPr>
        <w:t xml:space="preserve"> cannot be manipulated. This is the case for this research.</w:t>
      </w:r>
      <w:r w:rsidR="00805971" w:rsidRPr="00FF4D4B">
        <w:rPr>
          <w:rFonts w:cs="Times New Roman"/>
        </w:rPr>
        <w:t xml:space="preserve"> </w:t>
      </w:r>
      <w:r w:rsidRPr="00FF4D4B">
        <w:rPr>
          <w:rFonts w:cs="Times New Roman"/>
        </w:rPr>
        <w:t>The</w:t>
      </w:r>
      <w:r w:rsidR="00CC0E2D" w:rsidRPr="00FF4D4B">
        <w:rPr>
          <w:rFonts w:cs="Times New Roman"/>
        </w:rPr>
        <w:t xml:space="preserve"> type of </w:t>
      </w:r>
      <w:r w:rsidRPr="00FF4D4B">
        <w:rPr>
          <w:rFonts w:cs="Times New Roman"/>
        </w:rPr>
        <w:t>research question</w:t>
      </w:r>
      <w:r w:rsidR="00CC0E2D" w:rsidRPr="00FF4D4B">
        <w:rPr>
          <w:rFonts w:cs="Times New Roman"/>
        </w:rPr>
        <w:t xml:space="preserve"> asks for a </w:t>
      </w:r>
      <w:r w:rsidR="00805971" w:rsidRPr="00FF4D4B">
        <w:rPr>
          <w:rFonts w:cs="Times New Roman"/>
        </w:rPr>
        <w:t xml:space="preserve">profound </w:t>
      </w:r>
      <w:r w:rsidR="00CC0E2D" w:rsidRPr="00FF4D4B">
        <w:rPr>
          <w:rFonts w:cs="Times New Roman"/>
        </w:rPr>
        <w:t>analysis of particular cases</w:t>
      </w:r>
      <w:r w:rsidR="005A185F" w:rsidRPr="00FF4D4B">
        <w:rPr>
          <w:rFonts w:cs="Times New Roman"/>
        </w:rPr>
        <w:t xml:space="preserve"> in order to find what </w:t>
      </w:r>
      <w:r w:rsidR="005A185F" w:rsidRPr="00FF4D4B">
        <w:rPr>
          <w:rFonts w:cs="Times New Roman"/>
        </w:rPr>
        <w:lastRenderedPageBreak/>
        <w:t xml:space="preserve">the effects are for shareholders and </w:t>
      </w:r>
      <w:r w:rsidR="00805971" w:rsidRPr="00FF4D4B">
        <w:rPr>
          <w:rFonts w:cs="Times New Roman"/>
        </w:rPr>
        <w:t xml:space="preserve">whether </w:t>
      </w:r>
      <w:r w:rsidR="005A185F" w:rsidRPr="00FF4D4B">
        <w:rPr>
          <w:rFonts w:cs="Times New Roman"/>
        </w:rPr>
        <w:t xml:space="preserve">there are flaws </w:t>
      </w:r>
      <w:r w:rsidR="00805971" w:rsidRPr="00FF4D4B">
        <w:rPr>
          <w:rFonts w:cs="Times New Roman"/>
        </w:rPr>
        <w:t xml:space="preserve">to </w:t>
      </w:r>
      <w:r w:rsidR="005A185F" w:rsidRPr="00FF4D4B">
        <w:rPr>
          <w:rFonts w:cs="Times New Roman"/>
        </w:rPr>
        <w:t>the Provision</w:t>
      </w:r>
      <w:r w:rsidR="00CC0E2D" w:rsidRPr="00FF4D4B">
        <w:rPr>
          <w:rFonts w:cs="Times New Roman"/>
        </w:rPr>
        <w:t>. Therefore it is most reasonable to use a case study research</w:t>
      </w:r>
      <w:r w:rsidR="00805971" w:rsidRPr="00FF4D4B">
        <w:rPr>
          <w:rFonts w:cs="Times New Roman"/>
        </w:rPr>
        <w:t xml:space="preserve"> design</w:t>
      </w:r>
      <w:r w:rsidR="00CC0E2D" w:rsidRPr="00FF4D4B">
        <w:rPr>
          <w:rFonts w:cs="Times New Roman"/>
        </w:rPr>
        <w:t>.</w:t>
      </w:r>
      <w:r w:rsidR="005A185F" w:rsidRPr="00FF4D4B">
        <w:rPr>
          <w:rFonts w:cs="Times New Roman"/>
        </w:rPr>
        <w:t xml:space="preserve"> </w:t>
      </w:r>
    </w:p>
    <w:p w14:paraId="53BF25EF" w14:textId="7CDA6678" w:rsidR="00E55A20" w:rsidRPr="00FF4D4B" w:rsidRDefault="00E55A20" w:rsidP="00B7211E">
      <w:pPr>
        <w:rPr>
          <w:rFonts w:cs="Times New Roman"/>
        </w:rPr>
      </w:pPr>
      <w:r>
        <w:rPr>
          <w:rFonts w:cs="Times New Roman"/>
        </w:rPr>
        <w:t xml:space="preserve">The </w:t>
      </w:r>
      <w:r w:rsidR="00603696">
        <w:rPr>
          <w:rFonts w:cs="Times New Roman"/>
        </w:rPr>
        <w:t>category</w:t>
      </w:r>
      <w:r>
        <w:rPr>
          <w:rFonts w:cs="Times New Roman"/>
        </w:rPr>
        <w:t xml:space="preserve"> of research design </w:t>
      </w:r>
      <w:r w:rsidR="00603696">
        <w:rPr>
          <w:rFonts w:cs="Times New Roman"/>
        </w:rPr>
        <w:t>that is used for the case study is descriptive case study of multi-case studies. Which is defined a description of an intervention or phenomenon and the real-life context in which it occurs. Furthermore multi-case studies are used to explore the differences within and between cases (Yin, 2003).</w:t>
      </w:r>
    </w:p>
    <w:p w14:paraId="625EBE52" w14:textId="7698BADF" w:rsidR="00FF4D4B" w:rsidRPr="00FF4D4B" w:rsidRDefault="00FF4D4B" w:rsidP="00FF4D4B">
      <w:pPr>
        <w:rPr>
          <w:rFonts w:cs="Times New Roman"/>
        </w:rPr>
      </w:pPr>
      <w:r w:rsidRPr="00FF4D4B">
        <w:rPr>
          <w:rFonts w:cs="Times New Roman"/>
        </w:rPr>
        <w:t xml:space="preserve">Common difficulties connected with the case study design is that there is a inclination for researchers to attempt to answer a research question that is too broad (Baxter </w:t>
      </w:r>
      <w:r w:rsidR="00196178">
        <w:rPr>
          <w:rFonts w:cs="Times New Roman"/>
        </w:rPr>
        <w:t>et al.</w:t>
      </w:r>
      <w:r w:rsidRPr="00FF4D4B">
        <w:rPr>
          <w:rFonts w:cs="Times New Roman"/>
        </w:rPr>
        <w:t>, 2008). In ord</w:t>
      </w:r>
      <w:r w:rsidR="000B2718">
        <w:rPr>
          <w:rFonts w:cs="Times New Roman"/>
        </w:rPr>
        <w:t>er to avoid this problem</w:t>
      </w:r>
      <w:r w:rsidRPr="00FF4D4B">
        <w:rPr>
          <w:rFonts w:cs="Times New Roman"/>
        </w:rPr>
        <w:t xml:space="preserve"> boundaries</w:t>
      </w:r>
      <w:r w:rsidR="000B2718">
        <w:rPr>
          <w:rFonts w:cs="Times New Roman"/>
        </w:rPr>
        <w:t xml:space="preserve"> should be placed</w:t>
      </w:r>
      <w:r w:rsidRPr="00FF4D4B">
        <w:rPr>
          <w:rFonts w:cs="Times New Roman"/>
        </w:rPr>
        <w:t xml:space="preserve"> on a case </w:t>
      </w:r>
      <w:r w:rsidR="000B2718">
        <w:rPr>
          <w:rFonts w:cs="Times New Roman"/>
        </w:rPr>
        <w:t>to</w:t>
      </w:r>
      <w:r w:rsidRPr="00FF4D4B">
        <w:rPr>
          <w:rFonts w:cs="Times New Roman"/>
        </w:rPr>
        <w:t xml:space="preserve"> prevent this explosion from occurring</w:t>
      </w:r>
      <w:r w:rsidR="000B2718">
        <w:rPr>
          <w:rFonts w:cs="Times New Roman"/>
        </w:rPr>
        <w:t xml:space="preserve"> (Yin, </w:t>
      </w:r>
      <w:r w:rsidR="000B2718" w:rsidRPr="00FF4D4B">
        <w:rPr>
          <w:rFonts w:cs="Times New Roman"/>
        </w:rPr>
        <w:t>2003)</w:t>
      </w:r>
      <w:r w:rsidRPr="00FF4D4B">
        <w:rPr>
          <w:rFonts w:cs="Times New Roman"/>
        </w:rPr>
        <w:t xml:space="preserve">. </w:t>
      </w:r>
    </w:p>
    <w:p w14:paraId="6C780641" w14:textId="492BE223" w:rsidR="00FF4D4B" w:rsidRPr="00FF4D4B" w:rsidRDefault="000B79D1" w:rsidP="00B7211E">
      <w:pPr>
        <w:rPr>
          <w:rFonts w:cs="Times New Roman"/>
        </w:rPr>
      </w:pPr>
      <w:r w:rsidRPr="000B79D1">
        <w:rPr>
          <w:rFonts w:cs="Times New Roman"/>
        </w:rPr>
        <w:t>Semi-structured interviews will be held with ISS experts in the second stage of the research to find how a</w:t>
      </w:r>
      <w:r w:rsidR="00D647A3">
        <w:rPr>
          <w:rFonts w:cs="Times New Roman"/>
        </w:rPr>
        <w:t xml:space="preserve"> client</w:t>
      </w:r>
      <w:r w:rsidRPr="000B79D1">
        <w:rPr>
          <w:rFonts w:cs="Times New Roman"/>
        </w:rPr>
        <w:t xml:space="preserve"> recommendation is formed and what factors would influence the recommendation in the case of change-in-control provision of the Act. The semi-structured interview technique has been chosen since it allows for new ideas to be brought up during the interview as a result of what the interviewee states, as well as keeping the interview within a predetermined framework (Drever, 1995).</w:t>
      </w:r>
      <w:r>
        <w:rPr>
          <w:rFonts w:cs="Times New Roman"/>
        </w:rPr>
        <w:t xml:space="preserve"> The results of the interview will be </w:t>
      </w:r>
      <w:r w:rsidR="00D647A3">
        <w:rPr>
          <w:rFonts w:cs="Times New Roman"/>
        </w:rPr>
        <w:t>utilized to form a recommendation for ISS to implement the results of the research.</w:t>
      </w:r>
    </w:p>
    <w:p w14:paraId="2B3E50D0" w14:textId="396ECFA6" w:rsidR="00A3794E" w:rsidRPr="00FF4D4B" w:rsidRDefault="00603696" w:rsidP="00AB079C">
      <w:pPr>
        <w:pStyle w:val="Kop2"/>
        <w:numPr>
          <w:ilvl w:val="1"/>
          <w:numId w:val="5"/>
        </w:numPr>
      </w:pPr>
      <w:r>
        <w:lastRenderedPageBreak/>
        <w:t xml:space="preserve"> </w:t>
      </w:r>
      <w:r>
        <w:tab/>
      </w:r>
      <w:bookmarkStart w:id="13" w:name="_Toc301441835"/>
      <w:r w:rsidR="00A3794E" w:rsidRPr="00FF4D4B">
        <w:t>Data Collection</w:t>
      </w:r>
      <w:bookmarkEnd w:id="13"/>
    </w:p>
    <w:p w14:paraId="10AF1003" w14:textId="77777777" w:rsidR="00A3794E" w:rsidRPr="00FF4D4B" w:rsidRDefault="00A3794E" w:rsidP="00A3794E">
      <w:pPr>
        <w:rPr>
          <w:rFonts w:cs="Times New Roman"/>
        </w:rPr>
      </w:pPr>
      <w:r w:rsidRPr="00FF4D4B">
        <w:rPr>
          <w:rFonts w:cs="Times New Roman"/>
        </w:rPr>
        <w:t>Patton (1987) indicates that three steps are executed during analysis: data is organized, data is reduced through summarization and categorization, and patterns and themes in the data are identified and linked.</w:t>
      </w:r>
    </w:p>
    <w:p w14:paraId="2705EB67" w14:textId="203D80E3" w:rsidR="00A3794E" w:rsidRPr="00FF4D4B" w:rsidRDefault="00A3794E" w:rsidP="00A3794E">
      <w:pPr>
        <w:rPr>
          <w:rFonts w:cs="Times New Roman"/>
        </w:rPr>
      </w:pPr>
      <w:r w:rsidRPr="00FF4D4B">
        <w:rPr>
          <w:rFonts w:cs="Times New Roman"/>
        </w:rPr>
        <w:t xml:space="preserve">The data that will be used in the research is gray literature – information gathered about companies mainly in the form of annual reports, remuneration reports, </w:t>
      </w:r>
      <w:r w:rsidR="00805971" w:rsidRPr="00FF4D4B">
        <w:rPr>
          <w:rFonts w:cs="Times New Roman"/>
        </w:rPr>
        <w:t>takeover-</w:t>
      </w:r>
      <w:r w:rsidRPr="00FF4D4B">
        <w:rPr>
          <w:rFonts w:cs="Times New Roman"/>
        </w:rPr>
        <w:t xml:space="preserve">prospects and memoranda, and media inquiries. </w:t>
      </w:r>
      <w:r w:rsidR="00805971" w:rsidRPr="00FF4D4B">
        <w:rPr>
          <w:rFonts w:cs="Times New Roman"/>
        </w:rPr>
        <w:t>The companies in question and media sources will supply this information</w:t>
      </w:r>
      <w:r w:rsidRPr="00FF4D4B">
        <w:rPr>
          <w:rFonts w:cs="Times New Roman"/>
        </w:rPr>
        <w:t>.</w:t>
      </w:r>
    </w:p>
    <w:p w14:paraId="29249D9E" w14:textId="77777777" w:rsidR="00A3794E" w:rsidRPr="00FF4D4B" w:rsidRDefault="00A3794E" w:rsidP="00A3794E">
      <w:pPr>
        <w:rPr>
          <w:rFonts w:cs="Times New Roman"/>
        </w:rPr>
      </w:pPr>
      <w:r w:rsidRPr="00FF4D4B">
        <w:rPr>
          <w:rFonts w:cs="Times New Roman"/>
        </w:rPr>
        <w:t>We assume that the data supplied by the companies is valid. The information given in company reports is inspected by independent external auditors that assure the validity of the report. Moreover, the company will face reputation loss when found out that the data is incorrect.</w:t>
      </w:r>
    </w:p>
    <w:p w14:paraId="7CBF9002" w14:textId="72863757" w:rsidR="00A3794E" w:rsidRPr="00FF4D4B" w:rsidRDefault="00A3794E" w:rsidP="00A3794E">
      <w:pPr>
        <w:rPr>
          <w:rFonts w:cs="Times New Roman"/>
        </w:rPr>
      </w:pPr>
      <w:r w:rsidRPr="00FF4D4B">
        <w:rPr>
          <w:rFonts w:cs="Times New Roman"/>
        </w:rPr>
        <w:t>Qualitative analysis usually involves engaging in the data to become familiar with it, then looking for patterns and themes, searching for various relationships between data that help the research to understand what they have, then visually displaying the information and writing it down (Kawulich, 2004). The data will be analyzed by summarizing the important issues and comparing it with other data</w:t>
      </w:r>
      <w:r w:rsidR="00805971" w:rsidRPr="00FF4D4B">
        <w:rPr>
          <w:rFonts w:cs="Times New Roman"/>
        </w:rPr>
        <w:t xml:space="preserve">, in order to </w:t>
      </w:r>
      <w:r w:rsidRPr="00FF4D4B">
        <w:rPr>
          <w:rFonts w:cs="Times New Roman"/>
        </w:rPr>
        <w:t>later draw conclusions.</w:t>
      </w:r>
    </w:p>
    <w:p w14:paraId="3969982C" w14:textId="2205EB42" w:rsidR="00A3794E" w:rsidRPr="00FF4D4B" w:rsidRDefault="00A3794E" w:rsidP="00A3794E">
      <w:pPr>
        <w:rPr>
          <w:rFonts w:cs="Times New Roman"/>
        </w:rPr>
      </w:pPr>
      <w:r w:rsidRPr="00FF4D4B">
        <w:rPr>
          <w:rFonts w:cs="Times New Roman"/>
        </w:rPr>
        <w:lastRenderedPageBreak/>
        <w:t>To ensure the validity of the interview data, the interviews will be simple and clearly structured so that the interviewee will understand the questions correct and the information is transferred unbiased.</w:t>
      </w:r>
    </w:p>
    <w:p w14:paraId="22FFA40E" w14:textId="2BBF69BA" w:rsidR="00A3794E" w:rsidRPr="00FF4D4B" w:rsidRDefault="00603696" w:rsidP="00AB079C">
      <w:pPr>
        <w:pStyle w:val="Kop2"/>
        <w:numPr>
          <w:ilvl w:val="1"/>
          <w:numId w:val="5"/>
        </w:numPr>
      </w:pPr>
      <w:r>
        <w:t xml:space="preserve"> </w:t>
      </w:r>
      <w:r>
        <w:tab/>
      </w:r>
      <w:bookmarkStart w:id="14" w:name="_Toc301441836"/>
      <w:r w:rsidR="00A3794E" w:rsidRPr="00FF4D4B">
        <w:t>Data analysis</w:t>
      </w:r>
      <w:bookmarkEnd w:id="14"/>
      <w:r w:rsidR="00191F1C" w:rsidRPr="00FF4D4B">
        <w:t xml:space="preserve"> </w:t>
      </w:r>
    </w:p>
    <w:p w14:paraId="3AD18905" w14:textId="77777777" w:rsidR="006D0B0F" w:rsidRPr="00FF4D4B" w:rsidRDefault="006D0B0F" w:rsidP="006D0B0F">
      <w:pPr>
        <w:tabs>
          <w:tab w:val="left" w:pos="3257"/>
        </w:tabs>
        <w:rPr>
          <w:rFonts w:cs="Times New Roman"/>
        </w:rPr>
      </w:pPr>
      <w:r w:rsidRPr="00FF4D4B">
        <w:rPr>
          <w:rFonts w:cs="Times New Roman"/>
        </w:rPr>
        <w:t xml:space="preserve">For our analysis we will be looking at the effects on the CEO, the shareholders, and other direct stakeholders. In order for the research to be equivalent in all cases, the variables of research need to be equal. </w:t>
      </w:r>
    </w:p>
    <w:p w14:paraId="5703B7DC" w14:textId="638107FD" w:rsidR="000E5541" w:rsidRPr="00FF4D4B" w:rsidRDefault="000E5541" w:rsidP="002B1FD0">
      <w:pPr>
        <w:rPr>
          <w:rFonts w:cs="Times New Roman"/>
        </w:rPr>
      </w:pPr>
      <w:r w:rsidRPr="00FF4D4B">
        <w:rPr>
          <w:rFonts w:cs="Times New Roman"/>
        </w:rPr>
        <w:t xml:space="preserve">The goal of the analysis is to find what the effect of the Provision is on shareholders, and, to answer the sub-questions. </w:t>
      </w:r>
    </w:p>
    <w:p w14:paraId="13826913" w14:textId="77777777" w:rsidR="006D0B0F" w:rsidRPr="00FF4D4B" w:rsidRDefault="006D0B0F" w:rsidP="006D0B0F">
      <w:pPr>
        <w:tabs>
          <w:tab w:val="left" w:pos="3257"/>
        </w:tabs>
        <w:rPr>
          <w:rFonts w:cs="Times New Roman"/>
        </w:rPr>
      </w:pPr>
      <w:r w:rsidRPr="00FF4D4B">
        <w:rPr>
          <w:rFonts w:cs="Times New Roman"/>
        </w:rPr>
        <w:t>The ultimate goal of the Provision is to eliminate personal gain as an influence in the decision for the CEO to go through with the merger of acquisition of his company. Therefore, we will pay attention to the amount of income the CEO will receive as a result of the deal. We will do this by calculating the severance and the (vested) shares that the director has received due to the deal. This amount will be compared to the hypothetical situation if the Provision would have been in place. The share price for the CEO under the provision as follows:</w:t>
      </w:r>
    </w:p>
    <w:p w14:paraId="0D05B2BB" w14:textId="581F171F" w:rsidR="006D0B0F" w:rsidRPr="00FF4D4B" w:rsidRDefault="00805971" w:rsidP="006D0B0F">
      <w:pPr>
        <w:pStyle w:val="Lijstalinea"/>
        <w:numPr>
          <w:ilvl w:val="0"/>
          <w:numId w:val="22"/>
        </w:numPr>
        <w:tabs>
          <w:tab w:val="left" w:pos="3257"/>
        </w:tabs>
        <w:rPr>
          <w:rFonts w:cs="Times New Roman"/>
        </w:rPr>
      </w:pPr>
      <w:r w:rsidRPr="00FF4D4B">
        <w:rPr>
          <w:rFonts w:cs="Times New Roman"/>
        </w:rPr>
        <w:t>T</w:t>
      </w:r>
      <w:r w:rsidR="006D0B0F" w:rsidRPr="00FF4D4B">
        <w:rPr>
          <w:rFonts w:cs="Times New Roman"/>
        </w:rPr>
        <w:t xml:space="preserve">he closing price of the shares and/or options 4 weeks before the announcement of the public offer, 4 weeks after end of the announcement, and the day </w:t>
      </w:r>
      <w:r w:rsidR="006D0B0F" w:rsidRPr="00FF4D4B">
        <w:rPr>
          <w:rFonts w:cs="Times New Roman"/>
        </w:rPr>
        <w:lastRenderedPageBreak/>
        <w:t>on which the director sells his or her shares and/or options or director appointment ends.</w:t>
      </w:r>
    </w:p>
    <w:p w14:paraId="2EA66595" w14:textId="56900A48" w:rsidR="006D0B0F" w:rsidRPr="00FF4D4B" w:rsidRDefault="00805971" w:rsidP="006D0B0F">
      <w:pPr>
        <w:pStyle w:val="Lijstalinea"/>
        <w:numPr>
          <w:ilvl w:val="0"/>
          <w:numId w:val="22"/>
        </w:numPr>
        <w:tabs>
          <w:tab w:val="left" w:pos="3257"/>
        </w:tabs>
        <w:rPr>
          <w:rFonts w:cs="Times New Roman"/>
        </w:rPr>
      </w:pPr>
      <w:r w:rsidRPr="00FF4D4B">
        <w:rPr>
          <w:rFonts w:cs="Times New Roman"/>
        </w:rPr>
        <w:t>Determine the</w:t>
      </w:r>
      <w:r w:rsidR="006D0B0F" w:rsidRPr="00FF4D4B">
        <w:rPr>
          <w:rFonts w:cs="Times New Roman"/>
        </w:rPr>
        <w:t xml:space="preserve"> increase in value in the relevant reference periods</w:t>
      </w:r>
    </w:p>
    <w:p w14:paraId="4093E111" w14:textId="77777777" w:rsidR="006D0B0F" w:rsidRPr="00FF4D4B" w:rsidRDefault="006D0B0F" w:rsidP="006D0B0F">
      <w:pPr>
        <w:pStyle w:val="Lijstalinea"/>
        <w:numPr>
          <w:ilvl w:val="0"/>
          <w:numId w:val="22"/>
        </w:numPr>
        <w:tabs>
          <w:tab w:val="left" w:pos="3257"/>
        </w:tabs>
        <w:rPr>
          <w:rFonts w:cs="Times New Roman"/>
        </w:rPr>
      </w:pPr>
      <w:r w:rsidRPr="00FF4D4B">
        <w:rPr>
          <w:rFonts w:cs="Times New Roman"/>
        </w:rPr>
        <w:t>The lesser increase in value of the two reference periods is to be deducted from the share price at the date that the director sells his/her shares or his/her employment is terminated.</w:t>
      </w:r>
      <w:r w:rsidRPr="00FF4D4B">
        <w:rPr>
          <w:rStyle w:val="Voetnootmarkering"/>
          <w:rFonts w:cs="Times New Roman"/>
        </w:rPr>
        <w:footnoteReference w:id="2"/>
      </w:r>
    </w:p>
    <w:p w14:paraId="042E1E26" w14:textId="6EE74445" w:rsidR="006D0B0F" w:rsidRDefault="006D0B0F" w:rsidP="006D0B0F">
      <w:pPr>
        <w:tabs>
          <w:tab w:val="left" w:pos="3257"/>
        </w:tabs>
        <w:rPr>
          <w:rFonts w:cs="Times New Roman"/>
        </w:rPr>
      </w:pPr>
      <w:r w:rsidRPr="00FF4D4B">
        <w:rPr>
          <w:rFonts w:cs="Times New Roman"/>
        </w:rPr>
        <w:t xml:space="preserve">Appendix </w:t>
      </w:r>
      <w:r w:rsidR="003B4A89" w:rsidRPr="00FF4D4B">
        <w:rPr>
          <w:rFonts w:cs="Times New Roman"/>
        </w:rPr>
        <w:t xml:space="preserve">I </w:t>
      </w:r>
      <w:r w:rsidR="00805971" w:rsidRPr="00FF4D4B">
        <w:rPr>
          <w:rFonts w:cs="Times New Roman"/>
        </w:rPr>
        <w:t xml:space="preserve">clarifies the calculation with </w:t>
      </w:r>
      <w:r w:rsidRPr="00FF4D4B">
        <w:rPr>
          <w:rFonts w:cs="Times New Roman"/>
        </w:rPr>
        <w:t>a detailed explanation of the determination of the share price under the Provision. In the calculation of the hypothetical outcome, reference will be made to this document.</w:t>
      </w:r>
    </w:p>
    <w:p w14:paraId="62031C1F" w14:textId="740541AD" w:rsidR="006D0B0F" w:rsidRPr="00FF4D4B" w:rsidRDefault="006D0B0F" w:rsidP="000E5541">
      <w:pPr>
        <w:tabs>
          <w:tab w:val="left" w:pos="3257"/>
        </w:tabs>
        <w:rPr>
          <w:rFonts w:cs="Times New Roman"/>
        </w:rPr>
      </w:pPr>
      <w:r w:rsidRPr="00FF4D4B">
        <w:rPr>
          <w:rFonts w:cs="Times New Roman"/>
        </w:rPr>
        <w:t>Moreover, we want to know if the takeover was friendly or hostile.</w:t>
      </w:r>
      <w:r w:rsidR="000E5541" w:rsidRPr="00FF4D4B">
        <w:rPr>
          <w:rFonts w:cs="Times New Roman"/>
        </w:rPr>
        <w:t xml:space="preserve"> A friendly takeover is a takeover that is approved by the management of the target company, a hostile takeover is a takeover that the target company does not approve.</w:t>
      </w:r>
      <w:r w:rsidRPr="00FF4D4B">
        <w:rPr>
          <w:rFonts w:cs="Times New Roman"/>
        </w:rPr>
        <w:t xml:space="preserve"> In the case of a hostile takeover, the personal gain factor as an influencer over the merger of acquisition is diminished for we assume that the CEO does not agree with the takeover.</w:t>
      </w:r>
      <w:r w:rsidR="000E5541" w:rsidRPr="00FF4D4B">
        <w:rPr>
          <w:rFonts w:cs="Times New Roman"/>
        </w:rPr>
        <w:t xml:space="preserve"> </w:t>
      </w:r>
    </w:p>
    <w:p w14:paraId="2AE19EE5" w14:textId="5F31BB56" w:rsidR="00CC013E" w:rsidRPr="00FF4D4B" w:rsidRDefault="006D0B0F" w:rsidP="00CC013E">
      <w:pPr>
        <w:tabs>
          <w:tab w:val="left" w:pos="3257"/>
        </w:tabs>
        <w:rPr>
          <w:rFonts w:cs="Times New Roman"/>
        </w:rPr>
      </w:pPr>
      <w:r w:rsidRPr="00FF4D4B">
        <w:rPr>
          <w:rFonts w:cs="Times New Roman"/>
        </w:rPr>
        <w:t xml:space="preserve">The last variable </w:t>
      </w:r>
      <w:r w:rsidR="000E5541" w:rsidRPr="00FF4D4B">
        <w:rPr>
          <w:rFonts w:cs="Times New Roman"/>
        </w:rPr>
        <w:t xml:space="preserve">that </w:t>
      </w:r>
      <w:r w:rsidRPr="00FF4D4B">
        <w:rPr>
          <w:rFonts w:cs="Times New Roman"/>
        </w:rPr>
        <w:t>will</w:t>
      </w:r>
      <w:r w:rsidR="000E5541" w:rsidRPr="00FF4D4B">
        <w:rPr>
          <w:rFonts w:cs="Times New Roman"/>
        </w:rPr>
        <w:t xml:space="preserve"> be</w:t>
      </w:r>
      <w:r w:rsidRPr="00FF4D4B">
        <w:rPr>
          <w:rFonts w:cs="Times New Roman"/>
        </w:rPr>
        <w:t xml:space="preserve"> consider</w:t>
      </w:r>
      <w:r w:rsidR="000E5541" w:rsidRPr="00FF4D4B">
        <w:rPr>
          <w:rFonts w:cs="Times New Roman"/>
        </w:rPr>
        <w:t>ed</w:t>
      </w:r>
      <w:r w:rsidRPr="00FF4D4B">
        <w:rPr>
          <w:rFonts w:cs="Times New Roman"/>
        </w:rPr>
        <w:t xml:space="preserve"> is the effect on stakeholders</w:t>
      </w:r>
      <w:r w:rsidR="000E5541" w:rsidRPr="00FF4D4B">
        <w:rPr>
          <w:rFonts w:cs="Times New Roman"/>
        </w:rPr>
        <w:t>, by looking at factors that would be changed in the case the Provision was implemented.</w:t>
      </w:r>
    </w:p>
    <w:p w14:paraId="20CD451C" w14:textId="73AB056F" w:rsidR="00A3794E" w:rsidRPr="00FF4D4B" w:rsidRDefault="00603696" w:rsidP="00AB079C">
      <w:pPr>
        <w:pStyle w:val="Kop2"/>
        <w:numPr>
          <w:ilvl w:val="1"/>
          <w:numId w:val="5"/>
        </w:numPr>
      </w:pPr>
      <w:r>
        <w:lastRenderedPageBreak/>
        <w:t xml:space="preserve"> </w:t>
      </w:r>
      <w:r>
        <w:tab/>
      </w:r>
      <w:bookmarkStart w:id="15" w:name="_Toc301441837"/>
      <w:r w:rsidR="00002D11" w:rsidRPr="00FF4D4B">
        <w:t>Cases</w:t>
      </w:r>
      <w:bookmarkEnd w:id="15"/>
    </w:p>
    <w:p w14:paraId="42AAB2BC" w14:textId="77777777" w:rsidR="000F7468" w:rsidRPr="00FF4D4B" w:rsidRDefault="00A3794E" w:rsidP="00A3794E">
      <w:pPr>
        <w:rPr>
          <w:rFonts w:cs="Times New Roman"/>
        </w:rPr>
      </w:pPr>
      <w:r w:rsidRPr="00FF4D4B">
        <w:rPr>
          <w:rFonts w:cs="Times New Roman"/>
        </w:rPr>
        <w:t xml:space="preserve">The sample depends on the research question and the suggested research question is specifically focused on ISS and Dutch </w:t>
      </w:r>
      <w:r w:rsidR="002024FA" w:rsidRPr="00FF4D4B">
        <w:rPr>
          <w:rFonts w:cs="Times New Roman"/>
        </w:rPr>
        <w:t>public</w:t>
      </w:r>
      <w:r w:rsidRPr="00FF4D4B">
        <w:rPr>
          <w:rFonts w:cs="Times New Roman"/>
        </w:rPr>
        <w:t xml:space="preserve"> companies. Non-probability sampling will be used in the first and second stage of the research. Random sampling of companies would not suffice as in case study research the sample is small and this makes randomization problematic (Gerring, 2006). The information-oriented sampling method has been chosen as the utilized sampling technique for the case study research in order to maximize the utility of information from small samples and single cases. </w:t>
      </w:r>
    </w:p>
    <w:p w14:paraId="7DE1118B" w14:textId="4A81C248" w:rsidR="00A3794E" w:rsidRPr="00FF4D4B" w:rsidRDefault="00A3794E" w:rsidP="00A3794E">
      <w:pPr>
        <w:rPr>
          <w:rFonts w:cs="Times New Roman"/>
        </w:rPr>
      </w:pPr>
      <w:r w:rsidRPr="00FF4D4B">
        <w:rPr>
          <w:rFonts w:cs="Times New Roman"/>
        </w:rPr>
        <w:t>Cases are selected on the basis of expectations about their information content (Flyvbjerg, 2006). The cases that are selected for the case study are (i) ABN Amro Royal – Bank of Scotland, Banco Santader and Fortis Bank (2007), (ii) Numico – Danone Groupe (2007), (iii) Draka Holding – Prysmian (2011), (iv) Crucell – Johnson &amp; Johnson (2011), and (v) Douwe Egberts – Reckitt Benckiser plc (2012). These cases are considered extreme cases and critical cases of change-in-</w:t>
      </w:r>
      <w:r w:rsidR="006D0B0F" w:rsidRPr="00FF4D4B">
        <w:rPr>
          <w:rFonts w:cs="Times New Roman"/>
        </w:rPr>
        <w:t>control that</w:t>
      </w:r>
      <w:r w:rsidRPr="00FF4D4B">
        <w:rPr>
          <w:rFonts w:cs="Times New Roman"/>
        </w:rPr>
        <w:t xml:space="preserve"> can be especially problem-rich and encompassing and would allow for logical conclusions (Launso </w:t>
      </w:r>
      <w:r w:rsidR="00196178">
        <w:rPr>
          <w:rFonts w:cs="Times New Roman"/>
        </w:rPr>
        <w:t>et al.</w:t>
      </w:r>
      <w:r w:rsidRPr="00FF4D4B">
        <w:rPr>
          <w:rFonts w:cs="Times New Roman"/>
        </w:rPr>
        <w:t>, 2006).</w:t>
      </w:r>
      <w:r w:rsidR="006D0B0F" w:rsidRPr="00FF4D4B">
        <w:rPr>
          <w:rFonts w:cs="Times New Roman"/>
        </w:rPr>
        <w:t xml:space="preserve"> In all cases the corporate governance policy of the companies are comparable with an average </w:t>
      </w:r>
      <w:r w:rsidR="002024FA" w:rsidRPr="00FF4D4B">
        <w:rPr>
          <w:rFonts w:cs="Times New Roman"/>
        </w:rPr>
        <w:t>public</w:t>
      </w:r>
      <w:r w:rsidR="006D0B0F" w:rsidRPr="00FF4D4B">
        <w:rPr>
          <w:rFonts w:cs="Times New Roman"/>
        </w:rPr>
        <w:t xml:space="preserve"> company </w:t>
      </w:r>
      <w:r w:rsidR="00F16EE2" w:rsidRPr="00FF4D4B">
        <w:rPr>
          <w:rFonts w:cs="Times New Roman"/>
        </w:rPr>
        <w:t>in the Netherlands</w:t>
      </w:r>
      <w:r w:rsidR="000E5541" w:rsidRPr="00FF4D4B">
        <w:rPr>
          <w:rFonts w:cs="Times New Roman"/>
        </w:rPr>
        <w:t>, as in</w:t>
      </w:r>
      <w:r w:rsidR="00F16EE2" w:rsidRPr="00FF4D4B">
        <w:rPr>
          <w:rFonts w:cs="Times New Roman"/>
        </w:rPr>
        <w:t xml:space="preserve"> all cases the companies apply the Dutch Corporate Governance Code.</w:t>
      </w:r>
      <w:r w:rsidR="006D0B0F" w:rsidRPr="00FF4D4B">
        <w:rPr>
          <w:rFonts w:cs="Times New Roman"/>
        </w:rPr>
        <w:t xml:space="preserve"> </w:t>
      </w:r>
    </w:p>
    <w:p w14:paraId="6DAACBD5" w14:textId="641B063B" w:rsidR="00E679F5" w:rsidRPr="00FF4D4B" w:rsidRDefault="00A3794E" w:rsidP="00A3794E">
      <w:pPr>
        <w:rPr>
          <w:rFonts w:cs="Times New Roman"/>
        </w:rPr>
      </w:pPr>
      <w:r w:rsidRPr="00FF4D4B">
        <w:rPr>
          <w:rFonts w:cs="Times New Roman"/>
        </w:rPr>
        <w:lastRenderedPageBreak/>
        <w:t>For the participant selection for the interview in the second stage of the research the purposive sampling technique has been chosen. The purposive sampling technique is the deliberate choice of participants because of the qualities the participant owns. It is a non-random technique in which the researcher decides what needs to be known and sets out to find people who can, and are willing, to provide the information by virtue of knowledge or experience (Bernard, 2002).</w:t>
      </w:r>
      <w:r w:rsidR="00F27D31" w:rsidRPr="00FF4D4B">
        <w:rPr>
          <w:rFonts w:cs="Times New Roman"/>
        </w:rPr>
        <w:t xml:space="preserve"> The information that is gathered in the second stage of the research is specialized knowledge of ISS policy in the Dutch market.</w:t>
      </w:r>
    </w:p>
    <w:p w14:paraId="2A274209" w14:textId="0C00385F" w:rsidR="00C86175" w:rsidRPr="000C4DB2" w:rsidRDefault="00603696" w:rsidP="00C86175">
      <w:pPr>
        <w:pStyle w:val="Kop2"/>
        <w:numPr>
          <w:ilvl w:val="1"/>
          <w:numId w:val="5"/>
        </w:numPr>
      </w:pPr>
      <w:r>
        <w:t xml:space="preserve"> </w:t>
      </w:r>
      <w:r>
        <w:tab/>
      </w:r>
      <w:bookmarkStart w:id="16" w:name="_Toc301441838"/>
      <w:r w:rsidR="000C4DB2">
        <w:t>Conceptual model</w:t>
      </w:r>
      <w:bookmarkEnd w:id="16"/>
    </w:p>
    <w:p w14:paraId="4B1887A2" w14:textId="4D89BBF1" w:rsidR="00133254" w:rsidRPr="00133254" w:rsidRDefault="00133254" w:rsidP="007E527F">
      <w:pPr>
        <w:rPr>
          <w:rFonts w:cs="Times New Roman"/>
          <w:noProof/>
          <w:lang w:eastAsia="nl-NL"/>
        </w:rPr>
      </w:pPr>
      <w:r>
        <w:rPr>
          <w:rFonts w:cs="Times New Roman"/>
          <w:noProof/>
          <w:lang w:eastAsia="nl-NL"/>
        </w:rPr>
        <w:t>The conceptual model for the research is as follows:</w:t>
      </w:r>
    </w:p>
    <w:p w14:paraId="4BB10B86" w14:textId="49933F88" w:rsidR="00337B43" w:rsidRDefault="0058560A" w:rsidP="007E527F">
      <w:pPr>
        <w:rPr>
          <w:rFonts w:cs="Times New Roman"/>
        </w:rPr>
      </w:pPr>
      <w:r>
        <w:rPr>
          <w:rFonts w:cs="Times New Roman"/>
          <w:noProof/>
        </w:rPr>
        <w:drawing>
          <wp:inline distT="0" distB="0" distL="0" distR="0" wp14:anchorId="31D63DE1" wp14:editId="1CB98869">
            <wp:extent cx="4575502" cy="2632881"/>
            <wp:effectExtent l="0" t="0" r="0" b="8890"/>
            <wp:docPr id="20" name="Afbeelding 20" descr="Macintosh HD:Users:Luukkuiper:Documents:School:Year 4:Bachelor Thesis:Afbeeldingen:Conceptual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ukkuiper:Documents:School:Year 4:Bachelor Thesis:Afbeeldingen:Conceptual mod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5502" cy="2632881"/>
                    </a:xfrm>
                    <a:prstGeom prst="rect">
                      <a:avLst/>
                    </a:prstGeom>
                    <a:noFill/>
                    <a:ln>
                      <a:noFill/>
                    </a:ln>
                  </pic:spPr>
                </pic:pic>
              </a:graphicData>
            </a:graphic>
          </wp:inline>
        </w:drawing>
      </w:r>
    </w:p>
    <w:p w14:paraId="3793E944" w14:textId="258B6E5E" w:rsidR="003B2DFF" w:rsidRDefault="00133254" w:rsidP="00133254">
      <w:pPr>
        <w:rPr>
          <w:rFonts w:cs="Times New Roman"/>
        </w:rPr>
      </w:pPr>
      <w:r w:rsidRPr="007E527F">
        <w:rPr>
          <w:rFonts w:cs="Times New Roman"/>
        </w:rPr>
        <w:lastRenderedPageBreak/>
        <w:t xml:space="preserve">The </w:t>
      </w:r>
      <w:r>
        <w:rPr>
          <w:rFonts w:cs="Times New Roman"/>
        </w:rPr>
        <w:t>change-in-control provision directly influences director compensation by limiting the director’s ability to gain from a change-in-control by a deduction of the premium over a reference period.</w:t>
      </w:r>
      <w:r w:rsidRPr="007E527F">
        <w:rPr>
          <w:rFonts w:cs="Times New Roman"/>
        </w:rPr>
        <w:t xml:space="preserve"> </w:t>
      </w:r>
      <w:r w:rsidR="0058560A">
        <w:rPr>
          <w:rFonts w:cs="Times New Roman"/>
        </w:rPr>
        <w:t>At the same time the c</w:t>
      </w:r>
      <w:r>
        <w:rPr>
          <w:rFonts w:cs="Times New Roman"/>
        </w:rPr>
        <w:t xml:space="preserve">hange-in-control provision </w:t>
      </w:r>
      <w:r w:rsidR="0058560A">
        <w:rPr>
          <w:rFonts w:cs="Times New Roman"/>
        </w:rPr>
        <w:t xml:space="preserve">intends to </w:t>
      </w:r>
      <w:r w:rsidR="00B22FAF">
        <w:rPr>
          <w:rFonts w:cs="Times New Roman"/>
        </w:rPr>
        <w:t xml:space="preserve">eliminate personal gain for directors in change-in-control, thereby intending to increase shareholder value. </w:t>
      </w:r>
    </w:p>
    <w:p w14:paraId="63C15FE4" w14:textId="77777777" w:rsidR="006C4644" w:rsidRDefault="003B2DFF" w:rsidP="00133254">
      <w:pPr>
        <w:rPr>
          <w:rFonts w:cs="Times New Roman"/>
        </w:rPr>
      </w:pPr>
      <w:r>
        <w:rPr>
          <w:rFonts w:cs="Times New Roman"/>
        </w:rPr>
        <w:t>The agency theory states that in order to align the interests of the shareholders and directors the directors need to be incentivized. These incentives often come in the form of shares and/or options since these align the share price with the level of reward for the director, hereby aligning the interest of the shareholders and directors.</w:t>
      </w:r>
    </w:p>
    <w:p w14:paraId="7DCC0D32" w14:textId="6E1F8D67" w:rsidR="00B22FAF" w:rsidRDefault="00B22FAF" w:rsidP="00133254">
      <w:pPr>
        <w:rPr>
          <w:rFonts w:cs="Times New Roman"/>
        </w:rPr>
      </w:pPr>
      <w:r>
        <w:rPr>
          <w:rFonts w:cs="Times New Roman"/>
        </w:rPr>
        <w:t>D</w:t>
      </w:r>
      <w:r w:rsidR="00133254" w:rsidRPr="007E527F">
        <w:rPr>
          <w:rFonts w:cs="Times New Roman"/>
        </w:rPr>
        <w:t>irector compensation</w:t>
      </w:r>
      <w:r>
        <w:rPr>
          <w:rFonts w:cs="Times New Roman"/>
        </w:rPr>
        <w:t xml:space="preserve"> is </w:t>
      </w:r>
      <w:r w:rsidR="003B2DFF">
        <w:rPr>
          <w:rFonts w:cs="Times New Roman"/>
        </w:rPr>
        <w:t>determined</w:t>
      </w:r>
      <w:r>
        <w:rPr>
          <w:rFonts w:cs="Times New Roman"/>
        </w:rPr>
        <w:t xml:space="preserve"> by the remuneration committee </w:t>
      </w:r>
      <w:r w:rsidR="003B2DFF">
        <w:rPr>
          <w:rFonts w:cs="Times New Roman"/>
        </w:rPr>
        <w:t xml:space="preserve">of the supervisory board. The supervisory board is chosen or elected by the shareholders. The remuneration committee establishes the remuneration policy that includes the short- and long-term incentive scheme and the severance agreements for the director. In the Netherlands, these remuneration policies always need to be approved by the general meeting of shareholders. </w:t>
      </w:r>
    </w:p>
    <w:p w14:paraId="4B808A20" w14:textId="298F627A" w:rsidR="006C4644" w:rsidRDefault="006C4644" w:rsidP="00133254">
      <w:pPr>
        <w:rPr>
          <w:rFonts w:cs="Times New Roman"/>
        </w:rPr>
      </w:pPr>
      <w:r>
        <w:rPr>
          <w:rFonts w:cs="Times New Roman"/>
        </w:rPr>
        <w:t>Merger or takeover negotiations between the target CEO and the acquiring company are also of importance to shareholder value. In this process</w:t>
      </w:r>
      <w:r w:rsidR="00343931">
        <w:rPr>
          <w:rFonts w:cs="Times New Roman"/>
        </w:rPr>
        <w:t xml:space="preserve"> the takeover premium is determined, the higher the premium, the higher the gain for shareholders.</w:t>
      </w:r>
    </w:p>
    <w:p w14:paraId="37FBDB27" w14:textId="158486A5" w:rsidR="00133254" w:rsidRDefault="00133254" w:rsidP="007E527F">
      <w:pPr>
        <w:rPr>
          <w:rFonts w:cs="Times New Roman"/>
        </w:rPr>
      </w:pPr>
      <w:r w:rsidRPr="007E527F">
        <w:rPr>
          <w:rFonts w:cs="Times New Roman"/>
        </w:rPr>
        <w:t xml:space="preserve">The </w:t>
      </w:r>
      <w:r>
        <w:rPr>
          <w:rFonts w:cs="Times New Roman"/>
        </w:rPr>
        <w:t>Provision</w:t>
      </w:r>
      <w:r w:rsidRPr="007E527F">
        <w:rPr>
          <w:rFonts w:cs="Times New Roman"/>
        </w:rPr>
        <w:t xml:space="preserve"> and the director </w:t>
      </w:r>
      <w:r w:rsidR="00343931">
        <w:rPr>
          <w:rFonts w:cs="Times New Roman"/>
        </w:rPr>
        <w:t>compensation</w:t>
      </w:r>
      <w:r w:rsidRPr="007E527F">
        <w:rPr>
          <w:rFonts w:cs="Times New Roman"/>
        </w:rPr>
        <w:t xml:space="preserve"> influence shareholder value. </w:t>
      </w:r>
      <w:r w:rsidR="00343931">
        <w:rPr>
          <w:rFonts w:cs="Times New Roman"/>
        </w:rPr>
        <w:t xml:space="preserve">The case studies will be used to determine the effect of the Provision on shareholder value. </w:t>
      </w:r>
      <w:r w:rsidR="00343931">
        <w:rPr>
          <w:rFonts w:cs="Times New Roman"/>
        </w:rPr>
        <w:lastRenderedPageBreak/>
        <w:t>The outcome of the case studies</w:t>
      </w:r>
      <w:r w:rsidRPr="007E527F">
        <w:rPr>
          <w:rFonts w:cs="Times New Roman"/>
        </w:rPr>
        <w:t xml:space="preserve"> will be used to form a recommendation for ISS. The recommendation is influenced by ISS policy and the principles behind it.</w:t>
      </w:r>
      <w:r w:rsidR="00343931">
        <w:rPr>
          <w:rFonts w:cs="Times New Roman"/>
        </w:rPr>
        <w:t xml:space="preserve"> </w:t>
      </w:r>
    </w:p>
    <w:p w14:paraId="54132F66" w14:textId="77777777" w:rsidR="00133254" w:rsidRDefault="00133254" w:rsidP="007E527F">
      <w:pPr>
        <w:rPr>
          <w:rFonts w:cs="Times New Roman"/>
        </w:rPr>
      </w:pPr>
    </w:p>
    <w:p w14:paraId="39430E21" w14:textId="21071E3F" w:rsidR="00A3794E" w:rsidRPr="00FF4D4B" w:rsidRDefault="00603696" w:rsidP="00AB079C">
      <w:pPr>
        <w:pStyle w:val="Kop2"/>
        <w:numPr>
          <w:ilvl w:val="1"/>
          <w:numId w:val="5"/>
        </w:numPr>
      </w:pPr>
      <w:r>
        <w:tab/>
      </w:r>
      <w:bookmarkStart w:id="17" w:name="_Toc301441839"/>
      <w:r w:rsidR="00A3794E" w:rsidRPr="00FF4D4B">
        <w:t>Limitations</w:t>
      </w:r>
      <w:bookmarkEnd w:id="17"/>
    </w:p>
    <w:p w14:paraId="5C81D816" w14:textId="77777777" w:rsidR="00AB079C" w:rsidRPr="00FF4D4B" w:rsidRDefault="00AB079C" w:rsidP="00AB079C">
      <w:pPr>
        <w:rPr>
          <w:rFonts w:cs="Times New Roman"/>
        </w:rPr>
      </w:pPr>
      <w:r w:rsidRPr="00FF4D4B">
        <w:rPr>
          <w:rFonts w:cs="Times New Roman"/>
        </w:rPr>
        <w:t>The data used in the analysis is, inter alia, data supplied by the companies themselves. It is only the data that the company wishes to share or is required to share. A company does not always include a rationale for the decision.</w:t>
      </w:r>
    </w:p>
    <w:p w14:paraId="5A70776D" w14:textId="2E1D3518" w:rsidR="00B7211E" w:rsidRPr="00FF4D4B" w:rsidRDefault="00B7211E" w:rsidP="00AB079C">
      <w:pPr>
        <w:rPr>
          <w:rFonts w:cs="Times New Roman"/>
        </w:rPr>
      </w:pPr>
      <w:r w:rsidRPr="00FF4D4B">
        <w:rPr>
          <w:rFonts w:cs="Times New Roman"/>
        </w:rPr>
        <w:t>The cases used for the research are considered historical and should also be viewed in historical perspective. The spirit of the age influences how people make decisions. An example of this is the way</w:t>
      </w:r>
      <w:r w:rsidR="00DC6DE9" w:rsidRPr="00FF4D4B">
        <w:rPr>
          <w:rFonts w:cs="Times New Roman"/>
        </w:rPr>
        <w:t xml:space="preserve"> the public viewed remuneration before and after the 2008 financial crisis.</w:t>
      </w:r>
      <w:r w:rsidRPr="00FF4D4B">
        <w:rPr>
          <w:rFonts w:cs="Times New Roman"/>
        </w:rPr>
        <w:t xml:space="preserve"> </w:t>
      </w:r>
    </w:p>
    <w:p w14:paraId="318A967D" w14:textId="430F0AF4" w:rsidR="00DC6DE9" w:rsidRPr="00FF4D4B" w:rsidRDefault="00550117" w:rsidP="00AB079C">
      <w:pPr>
        <w:rPr>
          <w:rFonts w:cs="Times New Roman"/>
        </w:rPr>
      </w:pPr>
      <w:r w:rsidRPr="00FF4D4B">
        <w:rPr>
          <w:rFonts w:cs="Times New Roman"/>
        </w:rPr>
        <w:t xml:space="preserve">The research is limited to Dutch </w:t>
      </w:r>
      <w:r w:rsidR="002024FA" w:rsidRPr="00FF4D4B">
        <w:rPr>
          <w:rFonts w:cs="Times New Roman"/>
        </w:rPr>
        <w:t>public</w:t>
      </w:r>
      <w:r w:rsidRPr="00FF4D4B">
        <w:rPr>
          <w:rFonts w:cs="Times New Roman"/>
        </w:rPr>
        <w:t xml:space="preserve"> companies only. These are the companies that openly publish their data concerning remuneration and which the Act is applicable to. </w:t>
      </w:r>
      <w:r w:rsidR="002024FA" w:rsidRPr="00FF4D4B">
        <w:rPr>
          <w:rFonts w:cs="Times New Roman"/>
        </w:rPr>
        <w:t xml:space="preserve">The Provision applies to (I) cooperatives and private limited liability companies (BVs) qualifying as a bank, (II) mutual insurance companies qualifying as an insurance company, and (III) financial institutions, regardless of their legal form. However, </w:t>
      </w:r>
      <w:r w:rsidR="00F27D31" w:rsidRPr="00FF4D4B">
        <w:rPr>
          <w:rFonts w:cs="Times New Roman"/>
        </w:rPr>
        <w:t xml:space="preserve">since only cooperatives publish their financials to the public, the research will not apply to other types of companies to which the Provision applies. </w:t>
      </w:r>
    </w:p>
    <w:p w14:paraId="7CF29A8A" w14:textId="190AFAA1" w:rsidR="00AB079C" w:rsidRPr="00FF4D4B" w:rsidRDefault="00603696" w:rsidP="00AB079C">
      <w:pPr>
        <w:pStyle w:val="Kop2"/>
        <w:numPr>
          <w:ilvl w:val="1"/>
          <w:numId w:val="5"/>
        </w:numPr>
      </w:pPr>
      <w:r>
        <w:lastRenderedPageBreak/>
        <w:t xml:space="preserve"> </w:t>
      </w:r>
      <w:r>
        <w:tab/>
      </w:r>
      <w:bookmarkStart w:id="18" w:name="_Toc301441840"/>
      <w:r w:rsidR="00AB079C" w:rsidRPr="00FF4D4B">
        <w:t>Delimitations</w:t>
      </w:r>
      <w:bookmarkEnd w:id="18"/>
      <w:r w:rsidR="00AB079C" w:rsidRPr="00FF4D4B">
        <w:t xml:space="preserve"> </w:t>
      </w:r>
    </w:p>
    <w:p w14:paraId="76077AE9" w14:textId="33240A88" w:rsidR="00DC6DE9" w:rsidRPr="00FF4D4B" w:rsidRDefault="00DC6DE9" w:rsidP="00AB079C">
      <w:pPr>
        <w:rPr>
          <w:rFonts w:cs="Times New Roman"/>
        </w:rPr>
      </w:pPr>
      <w:r w:rsidRPr="00FF4D4B">
        <w:rPr>
          <w:rFonts w:cs="Times New Roman"/>
        </w:rPr>
        <w:t xml:space="preserve">The analysis is limited to CEOs for Dutch public companies. Although the Provision applies to all directors of public companies, the focus of this research will be on the CEOs of these companies. This is chosen because the public criticism around </w:t>
      </w:r>
      <w:r w:rsidR="00550117" w:rsidRPr="00FF4D4B">
        <w:rPr>
          <w:rFonts w:cs="Times New Roman"/>
        </w:rPr>
        <w:t xml:space="preserve">remuneration arose due to the excessive severance several CEOs received upon the change-of-control. </w:t>
      </w:r>
    </w:p>
    <w:p w14:paraId="0F0F7AC1" w14:textId="1A5519EA" w:rsidR="00AB079C" w:rsidRPr="00FF4D4B" w:rsidRDefault="00603696" w:rsidP="00AB079C">
      <w:pPr>
        <w:pStyle w:val="Kop2"/>
        <w:numPr>
          <w:ilvl w:val="1"/>
          <w:numId w:val="5"/>
        </w:numPr>
      </w:pPr>
      <w:r>
        <w:t xml:space="preserve"> </w:t>
      </w:r>
      <w:r>
        <w:tab/>
      </w:r>
      <w:bookmarkStart w:id="19" w:name="_Toc301441841"/>
      <w:r w:rsidR="00AB079C" w:rsidRPr="00FF4D4B">
        <w:t>Ethics</w:t>
      </w:r>
      <w:bookmarkEnd w:id="19"/>
    </w:p>
    <w:p w14:paraId="43B9CDBC" w14:textId="1DC2D047" w:rsidR="00B7211E" w:rsidRPr="00FF4D4B" w:rsidRDefault="00AB079C" w:rsidP="00AB079C">
      <w:pPr>
        <w:rPr>
          <w:rFonts w:cs="Times New Roman"/>
        </w:rPr>
      </w:pPr>
      <w:r w:rsidRPr="00FF4D4B">
        <w:rPr>
          <w:rFonts w:cs="Times New Roman"/>
        </w:rPr>
        <w:t>To ensure that the research is done according to ethical standards, sensitive information will be handled with care. Moreover, the confidentiality of the people interviewed will be ensured if they indicate the need.</w:t>
      </w:r>
      <w:r w:rsidR="00B7211E" w:rsidRPr="00FF4D4B">
        <w:rPr>
          <w:rFonts w:cs="Times New Roman"/>
        </w:rPr>
        <w:t xml:space="preserve"> Finally, all used ISS data will be kept confidential.</w:t>
      </w:r>
    </w:p>
    <w:p w14:paraId="411FB492" w14:textId="77777777" w:rsidR="00AB079C" w:rsidRPr="00FF4D4B" w:rsidRDefault="00AB079C" w:rsidP="00AB079C">
      <w:pPr>
        <w:rPr>
          <w:rFonts w:cs="Times New Roman"/>
        </w:rPr>
      </w:pPr>
    </w:p>
    <w:p w14:paraId="785F113D" w14:textId="77777777" w:rsidR="00AB079C" w:rsidRPr="00FF4D4B" w:rsidRDefault="00AB079C" w:rsidP="00097E16">
      <w:pPr>
        <w:pStyle w:val="Kop1"/>
        <w:numPr>
          <w:ilvl w:val="0"/>
          <w:numId w:val="24"/>
        </w:numPr>
        <w:rPr>
          <w:rFonts w:cs="Times New Roman"/>
        </w:rPr>
      </w:pPr>
      <w:r w:rsidRPr="00FF4D4B">
        <w:rPr>
          <w:rFonts w:cs="Times New Roman"/>
        </w:rPr>
        <w:br w:type="column"/>
      </w:r>
      <w:bookmarkStart w:id="20" w:name="_Toc301441842"/>
      <w:r w:rsidRPr="00FF4D4B">
        <w:rPr>
          <w:rFonts w:cs="Times New Roman"/>
        </w:rPr>
        <w:lastRenderedPageBreak/>
        <w:t>Findings</w:t>
      </w:r>
      <w:bookmarkEnd w:id="20"/>
    </w:p>
    <w:p w14:paraId="7EB42391" w14:textId="7DE4848C" w:rsidR="0074071E" w:rsidRPr="00FF4D4B" w:rsidRDefault="00BA03D6" w:rsidP="0098616A">
      <w:pPr>
        <w:rPr>
          <w:rFonts w:cs="Times New Roman"/>
        </w:rPr>
      </w:pPr>
      <w:r w:rsidRPr="00FF4D4B">
        <w:rPr>
          <w:rFonts w:cs="Times New Roman"/>
        </w:rPr>
        <w:t xml:space="preserve">In this part of the research we will look at how the directors </w:t>
      </w:r>
      <w:r w:rsidR="00395E7C" w:rsidRPr="00FF4D4B">
        <w:rPr>
          <w:rFonts w:cs="Times New Roman"/>
        </w:rPr>
        <w:t xml:space="preserve">are </w:t>
      </w:r>
      <w:r w:rsidRPr="00FF4D4B">
        <w:rPr>
          <w:rFonts w:cs="Times New Roman"/>
        </w:rPr>
        <w:t xml:space="preserve">affected by the takeover of their firm and how the shareholders of that particular company are affected by the takeover. We will do this </w:t>
      </w:r>
      <w:r w:rsidR="00AA0859" w:rsidRPr="00FF4D4B">
        <w:rPr>
          <w:rFonts w:cs="Times New Roman"/>
        </w:rPr>
        <w:t>by looking at the historical takeover cases of (i) ABN Amro Royal – Bank of Scotland, Banco Santader and Fortis Bank (2007), (ii) Numico – Danone Groupe (2007), (iii) Draka Holding – Prysmian (2011), (iv) Crucell – Johnson &amp; Johnson (2011), and (v) Douwe Egberts – Reckitt Benckiser plc (2012). For these cases we will evaluate the outcome for both the directors and the shareholders in the original case and the hypothetical case</w:t>
      </w:r>
      <w:r w:rsidR="0074071E" w:rsidRPr="00FF4D4B">
        <w:rPr>
          <w:rFonts w:cs="Times New Roman"/>
        </w:rPr>
        <w:t>. The hypothetical case being that the provision of change-in-control would have been implemented at the time of the case study</w:t>
      </w:r>
      <w:r w:rsidR="0095515F" w:rsidRPr="00FF4D4B">
        <w:rPr>
          <w:rFonts w:cs="Times New Roman"/>
        </w:rPr>
        <w:t xml:space="preserve">. </w:t>
      </w:r>
      <w:r w:rsidR="0074071E" w:rsidRPr="00FF4D4B">
        <w:rPr>
          <w:rFonts w:cs="Times New Roman"/>
        </w:rPr>
        <w:t>This is of course done to find if the change-in-control provision has factors that influence the decision making of the CEO and thus the share value of the shareholder.</w:t>
      </w:r>
    </w:p>
    <w:p w14:paraId="7977A2DD" w14:textId="7717EA3D" w:rsidR="00EF38A5" w:rsidRPr="00FF4D4B" w:rsidRDefault="0095515F" w:rsidP="0098616A">
      <w:pPr>
        <w:rPr>
          <w:rFonts w:cs="Times New Roman"/>
        </w:rPr>
      </w:pPr>
      <w:r w:rsidRPr="00FF4D4B">
        <w:rPr>
          <w:rFonts w:cs="Times New Roman"/>
        </w:rPr>
        <w:t>I want to stress the fact that the</w:t>
      </w:r>
      <w:r w:rsidR="00A57D06" w:rsidRPr="00FF4D4B">
        <w:rPr>
          <w:rFonts w:cs="Times New Roman"/>
        </w:rPr>
        <w:t xml:space="preserve"> comparison of the original case to the case in which the </w:t>
      </w:r>
      <w:r w:rsidRPr="00FF4D4B">
        <w:rPr>
          <w:rFonts w:cs="Times New Roman"/>
        </w:rPr>
        <w:t>provision of change-in-control</w:t>
      </w:r>
      <w:r w:rsidR="00A57D06" w:rsidRPr="00FF4D4B">
        <w:rPr>
          <w:rFonts w:cs="Times New Roman"/>
        </w:rPr>
        <w:t xml:space="preserve"> is applied is </w:t>
      </w:r>
      <w:r w:rsidR="00A824D6" w:rsidRPr="00FF4D4B">
        <w:rPr>
          <w:rFonts w:cs="Times New Roman"/>
        </w:rPr>
        <w:t>a</w:t>
      </w:r>
      <w:r w:rsidRPr="00FF4D4B">
        <w:rPr>
          <w:rFonts w:cs="Times New Roman"/>
        </w:rPr>
        <w:t xml:space="preserve"> hypothetical</w:t>
      </w:r>
      <w:r w:rsidR="00A824D6" w:rsidRPr="00FF4D4B">
        <w:rPr>
          <w:rFonts w:cs="Times New Roman"/>
        </w:rPr>
        <w:t xml:space="preserve"> situation</w:t>
      </w:r>
      <w:r w:rsidRPr="00FF4D4B">
        <w:rPr>
          <w:rFonts w:cs="Times New Roman"/>
        </w:rPr>
        <w:t xml:space="preserve">. </w:t>
      </w:r>
      <w:r w:rsidR="00A57D06" w:rsidRPr="00FF4D4B">
        <w:rPr>
          <w:rFonts w:cs="Times New Roman"/>
        </w:rPr>
        <w:t xml:space="preserve">The fact that the change-in-control provision would have been applied to the cases </w:t>
      </w:r>
      <w:r w:rsidR="00A57D06" w:rsidRPr="00FF4D4B">
        <w:rPr>
          <w:rFonts w:cs="Times New Roman"/>
          <w:i/>
        </w:rPr>
        <w:t>could</w:t>
      </w:r>
      <w:r w:rsidR="00A57D06" w:rsidRPr="00FF4D4B">
        <w:rPr>
          <w:rFonts w:cs="Times New Roman"/>
        </w:rPr>
        <w:t xml:space="preserve"> have meant that the </w:t>
      </w:r>
      <w:r w:rsidR="00A824D6" w:rsidRPr="00FF4D4B">
        <w:rPr>
          <w:rFonts w:cs="Times New Roman"/>
        </w:rPr>
        <w:t>stakeholders</w:t>
      </w:r>
      <w:r w:rsidR="00A57D06" w:rsidRPr="00FF4D4B">
        <w:rPr>
          <w:rFonts w:cs="Times New Roman"/>
        </w:rPr>
        <w:t xml:space="preserve"> would have made different decisions</w:t>
      </w:r>
      <w:r w:rsidR="00A824D6" w:rsidRPr="00FF4D4B">
        <w:rPr>
          <w:rFonts w:cs="Times New Roman"/>
        </w:rPr>
        <w:t>, or that the takeover wouldn’t even have gone through</w:t>
      </w:r>
      <w:r w:rsidR="00A57D06" w:rsidRPr="00FF4D4B">
        <w:rPr>
          <w:rFonts w:cs="Times New Roman"/>
        </w:rPr>
        <w:t>. Therefor</w:t>
      </w:r>
      <w:r w:rsidR="003B4A89" w:rsidRPr="00FF4D4B">
        <w:rPr>
          <w:rFonts w:cs="Times New Roman"/>
        </w:rPr>
        <w:t>e</w:t>
      </w:r>
      <w:r w:rsidR="00A57D06" w:rsidRPr="00FF4D4B">
        <w:rPr>
          <w:rFonts w:cs="Times New Roman"/>
        </w:rPr>
        <w:t xml:space="preserve">, we make the assumption that the </w:t>
      </w:r>
      <w:r w:rsidR="00A824D6" w:rsidRPr="00FF4D4B">
        <w:rPr>
          <w:rFonts w:cs="Times New Roman"/>
        </w:rPr>
        <w:t>stakeholders</w:t>
      </w:r>
      <w:r w:rsidR="00A57D06" w:rsidRPr="00FF4D4B">
        <w:rPr>
          <w:rFonts w:cs="Times New Roman"/>
        </w:rPr>
        <w:t xml:space="preserve"> would have acted in the same manner in both the cases. This assumption makes the </w:t>
      </w:r>
      <w:r w:rsidR="00EF38A5" w:rsidRPr="00FF4D4B">
        <w:rPr>
          <w:rFonts w:cs="Times New Roman"/>
        </w:rPr>
        <w:t xml:space="preserve">cases more fitting for the research. </w:t>
      </w:r>
    </w:p>
    <w:p w14:paraId="572B0E51" w14:textId="08B4DFB9" w:rsidR="00680CE3" w:rsidRPr="00FF4D4B" w:rsidRDefault="00A824D6" w:rsidP="002B1FD0">
      <w:pPr>
        <w:rPr>
          <w:rFonts w:cs="Times New Roman"/>
        </w:rPr>
      </w:pPr>
      <w:r w:rsidRPr="00FF4D4B">
        <w:rPr>
          <w:rFonts w:cs="Times New Roman"/>
        </w:rPr>
        <w:lastRenderedPageBreak/>
        <w:t>The case studies will be ordered as follows: back ground, sales process, outcome, hypothetical outcome and conclusion.</w:t>
      </w:r>
      <w:r w:rsidR="00A00A4C" w:rsidRPr="00FF4D4B">
        <w:rPr>
          <w:rFonts w:cs="Times New Roman"/>
        </w:rPr>
        <w:t xml:space="preserve"> </w:t>
      </w:r>
    </w:p>
    <w:p w14:paraId="5600EFB3" w14:textId="77777777" w:rsidR="0043269B" w:rsidRPr="00FF4D4B" w:rsidRDefault="0043269B" w:rsidP="002B1FD0">
      <w:pPr>
        <w:rPr>
          <w:rFonts w:cs="Times New Roman"/>
        </w:rPr>
      </w:pPr>
    </w:p>
    <w:p w14:paraId="722546F2" w14:textId="4E930912" w:rsidR="00AB079C" w:rsidRPr="00FF4D4B" w:rsidRDefault="0043269B" w:rsidP="00CC013E">
      <w:pPr>
        <w:pStyle w:val="Kop2"/>
        <w:rPr>
          <w:color w:val="365F91" w:themeColor="accent1" w:themeShade="BF"/>
          <w:sz w:val="26"/>
        </w:rPr>
      </w:pPr>
      <w:bookmarkStart w:id="21" w:name="_Toc301441843"/>
      <w:r w:rsidRPr="00FF4D4B">
        <w:t xml:space="preserve">4.1 </w:t>
      </w:r>
      <w:r w:rsidRPr="00FF4D4B">
        <w:tab/>
      </w:r>
      <w:r w:rsidR="004B5BD7" w:rsidRPr="00FF4D4B">
        <w:t>ABN A</w:t>
      </w:r>
      <w:r w:rsidR="00D17389" w:rsidRPr="00FF4D4B">
        <w:t>MRO</w:t>
      </w:r>
      <w:r w:rsidR="004B5BD7" w:rsidRPr="00FF4D4B">
        <w:t xml:space="preserve"> Holding NV (2007)</w:t>
      </w:r>
      <w:bookmarkEnd w:id="21"/>
    </w:p>
    <w:p w14:paraId="1B1FA070" w14:textId="79CFDD97" w:rsidR="008E045C" w:rsidRPr="00FF4D4B" w:rsidRDefault="0043269B" w:rsidP="00093FA0">
      <w:pPr>
        <w:pStyle w:val="Kop3"/>
      </w:pPr>
      <w:bookmarkStart w:id="22" w:name="_Toc301441844"/>
      <w:r w:rsidRPr="00FF4D4B">
        <w:t xml:space="preserve">4.1.1 </w:t>
      </w:r>
      <w:r w:rsidRPr="00FF4D4B">
        <w:tab/>
      </w:r>
      <w:r w:rsidR="008E045C" w:rsidRPr="00FF4D4B">
        <w:t>Background</w:t>
      </w:r>
      <w:bookmarkEnd w:id="22"/>
    </w:p>
    <w:p w14:paraId="275A992B" w14:textId="04CB2485" w:rsidR="008E045C" w:rsidRPr="00FF4D4B" w:rsidRDefault="001E5B7B" w:rsidP="008E045C">
      <w:pPr>
        <w:rPr>
          <w:rFonts w:cs="Times New Roman"/>
          <w:szCs w:val="24"/>
        </w:rPr>
      </w:pPr>
      <w:r w:rsidRPr="00FF4D4B">
        <w:rPr>
          <w:rFonts w:cs="Times New Roman"/>
          <w:szCs w:val="24"/>
        </w:rPr>
        <w:t>In 2007</w:t>
      </w:r>
      <w:r w:rsidR="00084676" w:rsidRPr="00FF4D4B">
        <w:rPr>
          <w:rFonts w:cs="Times New Roman"/>
          <w:szCs w:val="24"/>
        </w:rPr>
        <w:t>,</w:t>
      </w:r>
      <w:r w:rsidRPr="00FF4D4B">
        <w:rPr>
          <w:rFonts w:cs="Times New Roman"/>
          <w:szCs w:val="24"/>
        </w:rPr>
        <w:t xml:space="preserve"> ABN A</w:t>
      </w:r>
      <w:r w:rsidR="00D17389" w:rsidRPr="00FF4D4B">
        <w:rPr>
          <w:rFonts w:cs="Times New Roman"/>
          <w:szCs w:val="24"/>
        </w:rPr>
        <w:t>MRO</w:t>
      </w:r>
      <w:r w:rsidRPr="00FF4D4B">
        <w:rPr>
          <w:rFonts w:cs="Times New Roman"/>
          <w:szCs w:val="24"/>
        </w:rPr>
        <w:t xml:space="preserve"> Holding NV was acquired by RFS, a consortium of banks </w:t>
      </w:r>
      <w:r w:rsidR="00084676" w:rsidRPr="00FF4D4B">
        <w:rPr>
          <w:rFonts w:cs="Times New Roman"/>
          <w:szCs w:val="24"/>
        </w:rPr>
        <w:t>comprising</w:t>
      </w:r>
      <w:r w:rsidRPr="00FF4D4B">
        <w:rPr>
          <w:rFonts w:cs="Times New Roman"/>
          <w:szCs w:val="24"/>
        </w:rPr>
        <w:t xml:space="preserve"> Royal Bank of Scotland (RBS), Fortis</w:t>
      </w:r>
      <w:r w:rsidR="00084676" w:rsidRPr="00FF4D4B">
        <w:rPr>
          <w:rFonts w:cs="Times New Roman"/>
          <w:szCs w:val="24"/>
        </w:rPr>
        <w:t xml:space="preserve"> Bank NV/SA</w:t>
      </w:r>
      <w:r w:rsidRPr="00FF4D4B">
        <w:rPr>
          <w:rFonts w:cs="Times New Roman"/>
          <w:szCs w:val="24"/>
        </w:rPr>
        <w:t xml:space="preserve">, and </w:t>
      </w:r>
      <w:r w:rsidR="00084676" w:rsidRPr="00FF4D4B">
        <w:rPr>
          <w:rFonts w:cs="Times New Roman"/>
          <w:szCs w:val="24"/>
        </w:rPr>
        <w:t xml:space="preserve">Banco </w:t>
      </w:r>
      <w:r w:rsidRPr="00FF4D4B">
        <w:rPr>
          <w:rFonts w:cs="Times New Roman"/>
          <w:szCs w:val="24"/>
        </w:rPr>
        <w:t xml:space="preserve">Santander. </w:t>
      </w:r>
      <w:r w:rsidR="00826BF3" w:rsidRPr="00FF4D4B">
        <w:rPr>
          <w:rFonts w:cs="Times New Roman"/>
          <w:szCs w:val="24"/>
        </w:rPr>
        <w:t xml:space="preserve">The acquisition talks were </w:t>
      </w:r>
      <w:r w:rsidR="00084676" w:rsidRPr="00FF4D4B">
        <w:rPr>
          <w:rFonts w:cs="Times New Roman"/>
          <w:szCs w:val="24"/>
        </w:rPr>
        <w:t xml:space="preserve">initiated after </w:t>
      </w:r>
      <w:r w:rsidR="00D07754" w:rsidRPr="00FF4D4B">
        <w:rPr>
          <w:rFonts w:cs="Times New Roman"/>
          <w:szCs w:val="24"/>
        </w:rPr>
        <w:t>a minority shareholder (The Children Investment Fund, TCI)</w:t>
      </w:r>
      <w:r w:rsidR="00084676" w:rsidRPr="00FF4D4B">
        <w:rPr>
          <w:rFonts w:cs="Times New Roman"/>
          <w:szCs w:val="24"/>
        </w:rPr>
        <w:t xml:space="preserve"> wrote a letter asking </w:t>
      </w:r>
      <w:r w:rsidR="00826BF3" w:rsidRPr="00FF4D4B">
        <w:rPr>
          <w:rFonts w:cs="Times New Roman"/>
          <w:szCs w:val="24"/>
        </w:rPr>
        <w:t xml:space="preserve">the CEO, Rijkman Groenink, and </w:t>
      </w:r>
      <w:r w:rsidR="00084676" w:rsidRPr="00FF4D4B">
        <w:rPr>
          <w:rFonts w:cs="Times New Roman"/>
          <w:szCs w:val="24"/>
        </w:rPr>
        <w:t xml:space="preserve">the </w:t>
      </w:r>
      <w:r w:rsidR="00826BF3" w:rsidRPr="00FF4D4B">
        <w:rPr>
          <w:rFonts w:cs="Times New Roman"/>
          <w:szCs w:val="24"/>
        </w:rPr>
        <w:t>supervisory board chairman, Arthur Martinez, to actively investigate a merger, acquisition or division of ABN A</w:t>
      </w:r>
      <w:r w:rsidR="00D17389" w:rsidRPr="00FF4D4B">
        <w:rPr>
          <w:rFonts w:cs="Times New Roman"/>
          <w:szCs w:val="24"/>
        </w:rPr>
        <w:t>MRO</w:t>
      </w:r>
      <w:r w:rsidR="00826BF3" w:rsidRPr="00FF4D4B">
        <w:rPr>
          <w:rFonts w:cs="Times New Roman"/>
          <w:szCs w:val="24"/>
        </w:rPr>
        <w:t>.</w:t>
      </w:r>
      <w:r w:rsidR="00826BF3" w:rsidRPr="00FF4D4B">
        <w:rPr>
          <w:rFonts w:cs="Times New Roman"/>
          <w:color w:val="808080" w:themeColor="background1" w:themeShade="80"/>
          <w:szCs w:val="24"/>
        </w:rPr>
        <w:t xml:space="preserve"> </w:t>
      </w:r>
      <w:r w:rsidR="00084676" w:rsidRPr="00FF4D4B">
        <w:rPr>
          <w:rFonts w:cs="Times New Roman"/>
          <w:szCs w:val="24"/>
        </w:rPr>
        <w:t>The</w:t>
      </w:r>
      <w:r w:rsidR="00826BF3" w:rsidRPr="00FF4D4B">
        <w:rPr>
          <w:rFonts w:cs="Times New Roman"/>
          <w:szCs w:val="24"/>
        </w:rPr>
        <w:t xml:space="preserve"> motivation was that the </w:t>
      </w:r>
      <w:r w:rsidR="00D17389" w:rsidRPr="00FF4D4B">
        <w:rPr>
          <w:rFonts w:cs="Times New Roman"/>
          <w:szCs w:val="24"/>
        </w:rPr>
        <w:t>share price</w:t>
      </w:r>
      <w:r w:rsidR="00826BF3" w:rsidRPr="00FF4D4B">
        <w:rPr>
          <w:rFonts w:cs="Times New Roman"/>
          <w:szCs w:val="24"/>
        </w:rPr>
        <w:t xml:space="preserve"> did not reflect the true value of the underlying assets. </w:t>
      </w:r>
      <w:r w:rsidR="00406CA5" w:rsidRPr="00FF4D4B">
        <w:rPr>
          <w:rFonts w:cs="Times New Roman"/>
          <w:szCs w:val="24"/>
        </w:rPr>
        <w:t xml:space="preserve">On March 20, 2007, </w:t>
      </w:r>
      <w:r w:rsidR="00826BF3" w:rsidRPr="00FF4D4B">
        <w:rPr>
          <w:rFonts w:cs="Times New Roman"/>
          <w:szCs w:val="24"/>
        </w:rPr>
        <w:t>ABN A</w:t>
      </w:r>
      <w:r w:rsidR="00D17389" w:rsidRPr="00FF4D4B">
        <w:rPr>
          <w:rFonts w:cs="Times New Roman"/>
          <w:szCs w:val="24"/>
        </w:rPr>
        <w:t>MRO</w:t>
      </w:r>
      <w:r w:rsidR="00406CA5" w:rsidRPr="00FF4D4B">
        <w:rPr>
          <w:rFonts w:cs="Times New Roman"/>
          <w:szCs w:val="24"/>
        </w:rPr>
        <w:t xml:space="preserve"> </w:t>
      </w:r>
      <w:r w:rsidR="00D07754" w:rsidRPr="00FF4D4B">
        <w:rPr>
          <w:rFonts w:cs="Times New Roman"/>
          <w:szCs w:val="24"/>
        </w:rPr>
        <w:t xml:space="preserve">announced the </w:t>
      </w:r>
      <w:r w:rsidR="00406CA5" w:rsidRPr="00FF4D4B">
        <w:rPr>
          <w:rFonts w:cs="Times New Roman"/>
          <w:szCs w:val="24"/>
        </w:rPr>
        <w:t xml:space="preserve">merger talks with </w:t>
      </w:r>
      <w:r w:rsidR="00826BF3" w:rsidRPr="00FF4D4B">
        <w:rPr>
          <w:rFonts w:cs="Times New Roman"/>
          <w:szCs w:val="24"/>
        </w:rPr>
        <w:t xml:space="preserve">Barclays. </w:t>
      </w:r>
    </w:p>
    <w:p w14:paraId="3B99A039" w14:textId="1DF7674B" w:rsidR="00406CA5" w:rsidRPr="00FF4D4B" w:rsidRDefault="0045491B" w:rsidP="00406CA5">
      <w:pPr>
        <w:rPr>
          <w:rFonts w:cs="Times New Roman"/>
          <w:szCs w:val="24"/>
        </w:rPr>
      </w:pPr>
      <w:r w:rsidRPr="00FF4D4B">
        <w:rPr>
          <w:rFonts w:cs="Times New Roman"/>
          <w:szCs w:val="24"/>
        </w:rPr>
        <w:t>On April</w:t>
      </w:r>
      <w:r w:rsidR="00406CA5" w:rsidRPr="00FF4D4B">
        <w:rPr>
          <w:rFonts w:cs="Times New Roman"/>
          <w:szCs w:val="24"/>
        </w:rPr>
        <w:t xml:space="preserve"> 18, 2007,</w:t>
      </w:r>
      <w:r w:rsidRPr="00FF4D4B">
        <w:rPr>
          <w:rFonts w:cs="Times New Roman"/>
          <w:szCs w:val="24"/>
        </w:rPr>
        <w:t xml:space="preserve"> however,</w:t>
      </w:r>
      <w:r w:rsidR="00406CA5" w:rsidRPr="00FF4D4B">
        <w:rPr>
          <w:rFonts w:cs="Times New Roman"/>
          <w:szCs w:val="24"/>
        </w:rPr>
        <w:t xml:space="preserve"> </w:t>
      </w:r>
      <w:r w:rsidR="00826BF3" w:rsidRPr="00FF4D4B">
        <w:rPr>
          <w:rFonts w:cs="Times New Roman"/>
          <w:szCs w:val="24"/>
        </w:rPr>
        <w:t>RBS contacted ABN A</w:t>
      </w:r>
      <w:r w:rsidR="00D17389" w:rsidRPr="00FF4D4B">
        <w:rPr>
          <w:rFonts w:cs="Times New Roman"/>
          <w:szCs w:val="24"/>
        </w:rPr>
        <w:t>MRO</w:t>
      </w:r>
      <w:r w:rsidR="00826BF3" w:rsidRPr="00FF4D4B">
        <w:rPr>
          <w:rFonts w:cs="Times New Roman"/>
          <w:szCs w:val="24"/>
        </w:rPr>
        <w:t xml:space="preserve"> to propose a deal in which the consortium RFS would bid for ABN A</w:t>
      </w:r>
      <w:r w:rsidR="00D17389" w:rsidRPr="00FF4D4B">
        <w:rPr>
          <w:rFonts w:cs="Times New Roman"/>
          <w:szCs w:val="24"/>
        </w:rPr>
        <w:t>MRO</w:t>
      </w:r>
      <w:r w:rsidR="00826BF3" w:rsidRPr="00FF4D4B">
        <w:rPr>
          <w:rFonts w:cs="Times New Roman"/>
          <w:szCs w:val="24"/>
        </w:rPr>
        <w:t xml:space="preserve"> and </w:t>
      </w:r>
      <w:r w:rsidRPr="00FF4D4B">
        <w:rPr>
          <w:rFonts w:cs="Times New Roman"/>
          <w:szCs w:val="24"/>
        </w:rPr>
        <w:t>subsequently</w:t>
      </w:r>
      <w:r w:rsidR="00826BF3" w:rsidRPr="00FF4D4B">
        <w:rPr>
          <w:rFonts w:cs="Times New Roman"/>
          <w:szCs w:val="24"/>
        </w:rPr>
        <w:t xml:space="preserve"> </w:t>
      </w:r>
      <w:r w:rsidRPr="00FF4D4B">
        <w:rPr>
          <w:rFonts w:cs="Times New Roman"/>
          <w:szCs w:val="24"/>
        </w:rPr>
        <w:t>split</w:t>
      </w:r>
      <w:r w:rsidR="00826BF3" w:rsidRPr="00FF4D4B">
        <w:rPr>
          <w:rFonts w:cs="Times New Roman"/>
          <w:szCs w:val="24"/>
        </w:rPr>
        <w:t xml:space="preserve"> the components of the </w:t>
      </w:r>
      <w:r w:rsidRPr="00FF4D4B">
        <w:rPr>
          <w:rFonts w:cs="Times New Roman"/>
          <w:szCs w:val="24"/>
        </w:rPr>
        <w:t>firm</w:t>
      </w:r>
      <w:r w:rsidR="00826BF3" w:rsidRPr="00FF4D4B">
        <w:rPr>
          <w:rFonts w:cs="Times New Roman"/>
          <w:szCs w:val="24"/>
        </w:rPr>
        <w:t xml:space="preserve">. </w:t>
      </w:r>
      <w:r w:rsidR="00D07754" w:rsidRPr="00FF4D4B">
        <w:rPr>
          <w:rFonts w:cs="Times New Roman"/>
          <w:szCs w:val="24"/>
        </w:rPr>
        <w:t>But five</w:t>
      </w:r>
      <w:r w:rsidR="005240EE" w:rsidRPr="00FF4D4B">
        <w:rPr>
          <w:rFonts w:cs="Times New Roman"/>
          <w:szCs w:val="24"/>
        </w:rPr>
        <w:t xml:space="preserve"> days later</w:t>
      </w:r>
      <w:r w:rsidR="00406CA5" w:rsidRPr="00FF4D4B">
        <w:rPr>
          <w:rFonts w:cs="Times New Roman"/>
          <w:color w:val="808080" w:themeColor="background1" w:themeShade="80"/>
          <w:szCs w:val="24"/>
        </w:rPr>
        <w:t xml:space="preserve"> </w:t>
      </w:r>
      <w:r w:rsidR="00406CA5" w:rsidRPr="00FF4D4B">
        <w:rPr>
          <w:rFonts w:cs="Times New Roman"/>
          <w:szCs w:val="24"/>
        </w:rPr>
        <w:t xml:space="preserve">ABN AMRO and Barclays announced </w:t>
      </w:r>
      <w:r w:rsidR="005240EE" w:rsidRPr="00FF4D4B">
        <w:rPr>
          <w:rFonts w:cs="Times New Roman"/>
          <w:szCs w:val="24"/>
        </w:rPr>
        <w:t xml:space="preserve">a proposed merger </w:t>
      </w:r>
      <w:r w:rsidR="00406CA5" w:rsidRPr="00FF4D4B">
        <w:rPr>
          <w:rFonts w:cs="Times New Roman"/>
          <w:szCs w:val="24"/>
        </w:rPr>
        <w:t xml:space="preserve">of ABN AMRO </w:t>
      </w:r>
      <w:r w:rsidR="006C706B" w:rsidRPr="00FF4D4B">
        <w:rPr>
          <w:rFonts w:cs="Times New Roman"/>
          <w:szCs w:val="24"/>
        </w:rPr>
        <w:t>and</w:t>
      </w:r>
      <w:r w:rsidR="00406CA5" w:rsidRPr="00FF4D4B">
        <w:rPr>
          <w:rFonts w:cs="Times New Roman"/>
          <w:szCs w:val="24"/>
        </w:rPr>
        <w:t xml:space="preserve"> Barclays.</w:t>
      </w:r>
      <w:r w:rsidR="00406CA5" w:rsidRPr="00FF4D4B">
        <w:rPr>
          <w:rFonts w:cs="Times New Roman"/>
          <w:color w:val="808080" w:themeColor="background1" w:themeShade="80"/>
          <w:szCs w:val="24"/>
        </w:rPr>
        <w:t xml:space="preserve"> </w:t>
      </w:r>
      <w:r w:rsidR="00406CA5" w:rsidRPr="00FF4D4B">
        <w:rPr>
          <w:rFonts w:cs="Times New Roman"/>
          <w:szCs w:val="24"/>
        </w:rPr>
        <w:t xml:space="preserve">The deal </w:t>
      </w:r>
      <w:r w:rsidR="006C706B" w:rsidRPr="00FF4D4B">
        <w:rPr>
          <w:rFonts w:cs="Times New Roman"/>
          <w:szCs w:val="24"/>
        </w:rPr>
        <w:t>had a value of</w:t>
      </w:r>
      <w:r w:rsidR="00406CA5" w:rsidRPr="00FF4D4B">
        <w:rPr>
          <w:rFonts w:cs="Times New Roman"/>
          <w:szCs w:val="24"/>
        </w:rPr>
        <w:t xml:space="preserve"> €67 billion and included the sale of LaSalle Bank to Bank of America for €21 billion</w:t>
      </w:r>
      <w:r w:rsidR="00D07754" w:rsidRPr="00FF4D4B">
        <w:rPr>
          <w:rFonts w:cs="Times New Roman"/>
          <w:szCs w:val="24"/>
        </w:rPr>
        <w:t xml:space="preserve">. One of the </w:t>
      </w:r>
      <w:r w:rsidR="00D07754" w:rsidRPr="00FF4D4B">
        <w:rPr>
          <w:rFonts w:cs="Times New Roman"/>
          <w:szCs w:val="24"/>
        </w:rPr>
        <w:lastRenderedPageBreak/>
        <w:t xml:space="preserve">key interests of RFS was the LaSalle </w:t>
      </w:r>
      <w:r w:rsidR="008B4FD2" w:rsidRPr="00FF4D4B">
        <w:rPr>
          <w:rFonts w:cs="Times New Roman"/>
          <w:szCs w:val="24"/>
        </w:rPr>
        <w:t>Bank;</w:t>
      </w:r>
      <w:r w:rsidR="00D07754" w:rsidRPr="00FF4D4B">
        <w:rPr>
          <w:rFonts w:cs="Times New Roman"/>
          <w:szCs w:val="24"/>
        </w:rPr>
        <w:t xml:space="preserve"> the deal with Barclays was therefore considered a poison-pill.</w:t>
      </w:r>
    </w:p>
    <w:p w14:paraId="0FA49050" w14:textId="37426CBB" w:rsidR="00406CA5" w:rsidRPr="00FF4D4B" w:rsidRDefault="00D07754" w:rsidP="00406CA5">
      <w:pPr>
        <w:rPr>
          <w:rFonts w:cs="Times New Roman"/>
          <w:color w:val="808080" w:themeColor="background1" w:themeShade="80"/>
          <w:szCs w:val="24"/>
        </w:rPr>
      </w:pPr>
      <w:r w:rsidRPr="00FF4D4B">
        <w:rPr>
          <w:rFonts w:cs="Times New Roman"/>
          <w:szCs w:val="24"/>
        </w:rPr>
        <w:t>On April 25, 2007,</w:t>
      </w:r>
      <w:r w:rsidR="00406CA5" w:rsidRPr="00FF4D4B">
        <w:rPr>
          <w:rFonts w:cs="Times New Roman"/>
          <w:szCs w:val="24"/>
        </w:rPr>
        <w:t xml:space="preserve"> the RBS-led consortium br</w:t>
      </w:r>
      <w:r w:rsidRPr="00FF4D4B">
        <w:rPr>
          <w:rFonts w:cs="Times New Roman"/>
          <w:szCs w:val="24"/>
        </w:rPr>
        <w:t xml:space="preserve">ought out its indicative offer of </w:t>
      </w:r>
      <w:r w:rsidR="00406CA5" w:rsidRPr="00FF4D4B">
        <w:rPr>
          <w:rFonts w:cs="Times New Roman"/>
          <w:szCs w:val="24"/>
        </w:rPr>
        <w:t>€72 billio</w:t>
      </w:r>
      <w:r w:rsidRPr="00FF4D4B">
        <w:rPr>
          <w:rFonts w:cs="Times New Roman"/>
          <w:szCs w:val="24"/>
        </w:rPr>
        <w:t>n, with the condition that ABN AMRO would have to abandon the</w:t>
      </w:r>
      <w:r w:rsidR="00406CA5" w:rsidRPr="00FF4D4B">
        <w:rPr>
          <w:rFonts w:cs="Times New Roman"/>
          <w:szCs w:val="24"/>
        </w:rPr>
        <w:t xml:space="preserve"> sale of LaSalle Bank to Bank of America. </w:t>
      </w:r>
      <w:r w:rsidR="00A737EC" w:rsidRPr="00FF4D4B">
        <w:rPr>
          <w:rFonts w:cs="Times New Roman"/>
          <w:szCs w:val="24"/>
        </w:rPr>
        <w:t>At</w:t>
      </w:r>
      <w:r w:rsidR="00406CA5" w:rsidRPr="00FF4D4B">
        <w:rPr>
          <w:rFonts w:cs="Times New Roman"/>
          <w:szCs w:val="24"/>
        </w:rPr>
        <w:t xml:space="preserve"> the shareholders' meeting the next day, approximately </w:t>
      </w:r>
      <w:r w:rsidR="00A737EC" w:rsidRPr="00FF4D4B">
        <w:rPr>
          <w:rFonts w:cs="Times New Roman"/>
          <w:szCs w:val="24"/>
        </w:rPr>
        <w:t>70</w:t>
      </w:r>
      <w:r w:rsidR="00406CA5" w:rsidRPr="00FF4D4B">
        <w:rPr>
          <w:rFonts w:cs="Times New Roman"/>
          <w:szCs w:val="24"/>
        </w:rPr>
        <w:t xml:space="preserve"> percent of the shareholders voted in </w:t>
      </w:r>
      <w:r w:rsidR="00680CE3" w:rsidRPr="00FF4D4B">
        <w:rPr>
          <w:rFonts w:cs="Times New Roman"/>
          <w:szCs w:val="24"/>
        </w:rPr>
        <w:t>favor</w:t>
      </w:r>
      <w:r w:rsidR="00406CA5" w:rsidRPr="00FF4D4B">
        <w:rPr>
          <w:rFonts w:cs="Times New Roman"/>
          <w:szCs w:val="24"/>
        </w:rPr>
        <w:t xml:space="preserve"> of </w:t>
      </w:r>
      <w:r w:rsidR="00A737EC" w:rsidRPr="00FF4D4B">
        <w:rPr>
          <w:rFonts w:cs="Times New Roman"/>
          <w:szCs w:val="24"/>
        </w:rPr>
        <w:t xml:space="preserve">the RFS deal and the breakup of ABN </w:t>
      </w:r>
      <w:r w:rsidR="008B4FD2" w:rsidRPr="00FF4D4B">
        <w:rPr>
          <w:rFonts w:cs="Times New Roman"/>
          <w:szCs w:val="24"/>
        </w:rPr>
        <w:t>AMRO</w:t>
      </w:r>
      <w:r w:rsidR="00A737EC" w:rsidRPr="00FF4D4B">
        <w:rPr>
          <w:rFonts w:cs="Times New Roman"/>
          <w:szCs w:val="24"/>
        </w:rPr>
        <w:t>.</w:t>
      </w:r>
    </w:p>
    <w:p w14:paraId="557EEBA1" w14:textId="0F0F37C2" w:rsidR="00406CA5" w:rsidRPr="00FF4D4B" w:rsidRDefault="003A2396" w:rsidP="00406CA5">
      <w:pPr>
        <w:rPr>
          <w:rFonts w:cs="Times New Roman"/>
          <w:szCs w:val="24"/>
        </w:rPr>
      </w:pPr>
      <w:r w:rsidRPr="00FF4D4B">
        <w:rPr>
          <w:rFonts w:cs="Times New Roman"/>
          <w:szCs w:val="24"/>
        </w:rPr>
        <w:t>On</w:t>
      </w:r>
      <w:r w:rsidR="00406CA5" w:rsidRPr="00FF4D4B">
        <w:rPr>
          <w:rFonts w:cs="Times New Roman"/>
          <w:szCs w:val="24"/>
        </w:rPr>
        <w:t xml:space="preserve"> July</w:t>
      </w:r>
      <w:r w:rsidRPr="00FF4D4B">
        <w:rPr>
          <w:rFonts w:cs="Times New Roman"/>
          <w:szCs w:val="24"/>
        </w:rPr>
        <w:t xml:space="preserve"> 23,</w:t>
      </w:r>
      <w:r w:rsidR="00406CA5" w:rsidRPr="00FF4D4B">
        <w:rPr>
          <w:rFonts w:cs="Times New Roman"/>
          <w:szCs w:val="24"/>
        </w:rPr>
        <w:t xml:space="preserve"> 2007, Barclays raised its offer to €67.5</w:t>
      </w:r>
      <w:r w:rsidRPr="00FF4D4B">
        <w:rPr>
          <w:rFonts w:cs="Times New Roman"/>
          <w:szCs w:val="24"/>
        </w:rPr>
        <w:t xml:space="preserve"> </w:t>
      </w:r>
      <w:r w:rsidR="00406CA5" w:rsidRPr="00FF4D4B">
        <w:rPr>
          <w:rFonts w:cs="Times New Roman"/>
          <w:szCs w:val="24"/>
        </w:rPr>
        <w:t>b</w:t>
      </w:r>
      <w:r w:rsidRPr="00FF4D4B">
        <w:rPr>
          <w:rFonts w:cs="Times New Roman"/>
          <w:szCs w:val="24"/>
        </w:rPr>
        <w:t>illion</w:t>
      </w:r>
      <w:r w:rsidR="00406CA5" w:rsidRPr="00FF4D4B">
        <w:rPr>
          <w:rFonts w:cs="Times New Roman"/>
          <w:szCs w:val="24"/>
        </w:rPr>
        <w:t>, but was still short of the R</w:t>
      </w:r>
      <w:r w:rsidRPr="00FF4D4B">
        <w:rPr>
          <w:rFonts w:cs="Times New Roman"/>
          <w:szCs w:val="24"/>
        </w:rPr>
        <w:t>FS</w:t>
      </w:r>
      <w:r w:rsidR="00406CA5" w:rsidRPr="00FF4D4B">
        <w:rPr>
          <w:rFonts w:cs="Times New Roman"/>
          <w:szCs w:val="24"/>
        </w:rPr>
        <w:t xml:space="preserve"> offer. The offer remained below the </w:t>
      </w:r>
      <w:r w:rsidR="00A5775C" w:rsidRPr="00FF4D4B">
        <w:rPr>
          <w:rFonts w:cs="Times New Roman"/>
          <w:szCs w:val="24"/>
        </w:rPr>
        <w:t>€72 billion</w:t>
      </w:r>
      <w:r w:rsidR="00406CA5" w:rsidRPr="00FF4D4B">
        <w:rPr>
          <w:rFonts w:cs="Times New Roman"/>
          <w:szCs w:val="24"/>
        </w:rPr>
        <w:t xml:space="preserve"> offer made by </w:t>
      </w:r>
      <w:r w:rsidRPr="00FF4D4B">
        <w:rPr>
          <w:rFonts w:cs="Times New Roman"/>
          <w:szCs w:val="24"/>
        </w:rPr>
        <w:t>RFS</w:t>
      </w:r>
      <w:r w:rsidR="00406CA5" w:rsidRPr="00FF4D4B">
        <w:rPr>
          <w:rFonts w:cs="Times New Roman"/>
          <w:szCs w:val="24"/>
        </w:rPr>
        <w:t xml:space="preserve">. </w:t>
      </w:r>
      <w:r w:rsidR="00A5775C" w:rsidRPr="00FF4D4B">
        <w:rPr>
          <w:rFonts w:cs="Times New Roman"/>
          <w:szCs w:val="24"/>
        </w:rPr>
        <w:t xml:space="preserve">RFS revised the offer to exclude the LaSalle Bank, since </w:t>
      </w:r>
      <w:r w:rsidR="00406CA5" w:rsidRPr="00FF4D4B">
        <w:rPr>
          <w:rFonts w:cs="Times New Roman"/>
          <w:szCs w:val="24"/>
        </w:rPr>
        <w:t xml:space="preserve">ABN AMRO </w:t>
      </w:r>
      <w:r w:rsidR="00A5775C" w:rsidRPr="00FF4D4B">
        <w:rPr>
          <w:rFonts w:cs="Times New Roman"/>
          <w:szCs w:val="24"/>
        </w:rPr>
        <w:t>proceeded</w:t>
      </w:r>
      <w:r w:rsidR="00406CA5" w:rsidRPr="00FF4D4B">
        <w:rPr>
          <w:rFonts w:cs="Times New Roman"/>
          <w:szCs w:val="24"/>
        </w:rPr>
        <w:t xml:space="preserve"> with the sale of </w:t>
      </w:r>
      <w:r w:rsidR="00A5775C" w:rsidRPr="00FF4D4B">
        <w:rPr>
          <w:rFonts w:cs="Times New Roman"/>
          <w:szCs w:val="24"/>
        </w:rPr>
        <w:t>the</w:t>
      </w:r>
      <w:r w:rsidR="00406CA5" w:rsidRPr="00FF4D4B">
        <w:rPr>
          <w:rFonts w:cs="Times New Roman"/>
          <w:szCs w:val="24"/>
        </w:rPr>
        <w:t xml:space="preserve"> subsidiary to Bank of America. </w:t>
      </w:r>
    </w:p>
    <w:p w14:paraId="1F1CEDEE" w14:textId="295F7EB9" w:rsidR="00406CA5" w:rsidRPr="00FF4D4B" w:rsidRDefault="00406CA5" w:rsidP="00406CA5">
      <w:pPr>
        <w:rPr>
          <w:rFonts w:cs="Times New Roman"/>
          <w:szCs w:val="24"/>
        </w:rPr>
      </w:pPr>
      <w:r w:rsidRPr="00FF4D4B">
        <w:rPr>
          <w:rFonts w:cs="Times New Roman"/>
          <w:szCs w:val="24"/>
        </w:rPr>
        <w:t xml:space="preserve">On 30 July 2007, ABN AMRO withdrew its support for Barclays’ offer which was lower than the offer from the group led by RBS. </w:t>
      </w:r>
      <w:r w:rsidR="00A5775C" w:rsidRPr="00FF4D4B">
        <w:rPr>
          <w:rFonts w:cs="Times New Roman"/>
          <w:szCs w:val="24"/>
        </w:rPr>
        <w:t xml:space="preserve">The board announced that the Barclays offer </w:t>
      </w:r>
      <w:r w:rsidRPr="00FF4D4B">
        <w:rPr>
          <w:rFonts w:cs="Times New Roman"/>
          <w:szCs w:val="24"/>
        </w:rPr>
        <w:t>matched ABN AMRO’s strategic vision,</w:t>
      </w:r>
      <w:r w:rsidR="00AA7A04" w:rsidRPr="00FF4D4B">
        <w:rPr>
          <w:rFonts w:cs="Times New Roman"/>
          <w:szCs w:val="24"/>
        </w:rPr>
        <w:t xml:space="preserve"> but that from a financial point of view, the RFS bid was more lucrative to shareholders.</w:t>
      </w:r>
      <w:r w:rsidRPr="00FF4D4B">
        <w:rPr>
          <w:rFonts w:cs="Times New Roman"/>
          <w:szCs w:val="24"/>
        </w:rPr>
        <w:t xml:space="preserve"> The </w:t>
      </w:r>
      <w:r w:rsidR="00AA7A04" w:rsidRPr="00FF4D4B">
        <w:rPr>
          <w:rFonts w:cs="Times New Roman"/>
          <w:szCs w:val="24"/>
        </w:rPr>
        <w:t xml:space="preserve">€72 </w:t>
      </w:r>
      <w:r w:rsidRPr="00FF4D4B">
        <w:rPr>
          <w:rFonts w:cs="Times New Roman"/>
          <w:szCs w:val="24"/>
        </w:rPr>
        <w:t>b</w:t>
      </w:r>
      <w:r w:rsidR="00AA7A04" w:rsidRPr="00FF4D4B">
        <w:rPr>
          <w:rFonts w:cs="Times New Roman"/>
          <w:szCs w:val="24"/>
        </w:rPr>
        <w:t>illio</w:t>
      </w:r>
      <w:r w:rsidRPr="00FF4D4B">
        <w:rPr>
          <w:rFonts w:cs="Times New Roman"/>
          <w:szCs w:val="24"/>
        </w:rPr>
        <w:t>n bid from RBS, Fortis and Banco Santander was 9.8</w:t>
      </w:r>
      <w:r w:rsidR="00AA7A04" w:rsidRPr="00FF4D4B">
        <w:rPr>
          <w:rFonts w:cs="Times New Roman"/>
          <w:szCs w:val="24"/>
        </w:rPr>
        <w:t xml:space="preserve"> percent</w:t>
      </w:r>
      <w:r w:rsidRPr="00FF4D4B">
        <w:rPr>
          <w:rFonts w:cs="Times New Roman"/>
          <w:szCs w:val="24"/>
        </w:rPr>
        <w:t xml:space="preserve"> higher than Barclays’ offer.</w:t>
      </w:r>
      <w:r w:rsidR="00AA7A04" w:rsidRPr="00FF4D4B">
        <w:rPr>
          <w:rFonts w:cs="Times New Roman"/>
          <w:szCs w:val="24"/>
        </w:rPr>
        <w:t xml:space="preserve"> </w:t>
      </w:r>
      <w:r w:rsidRPr="00FF4D4B">
        <w:rPr>
          <w:rFonts w:cs="Times New Roman"/>
          <w:szCs w:val="24"/>
        </w:rPr>
        <w:t xml:space="preserve">Barclays </w:t>
      </w:r>
      <w:r w:rsidR="00AA7A04" w:rsidRPr="00FF4D4B">
        <w:rPr>
          <w:rFonts w:cs="Times New Roman"/>
          <w:szCs w:val="24"/>
        </w:rPr>
        <w:t>pulled back</w:t>
      </w:r>
      <w:r w:rsidRPr="00FF4D4B">
        <w:rPr>
          <w:rFonts w:cs="Times New Roman"/>
          <w:szCs w:val="24"/>
        </w:rPr>
        <w:t xml:space="preserve"> </w:t>
      </w:r>
      <w:r w:rsidR="00AA7A04" w:rsidRPr="00FF4D4B">
        <w:rPr>
          <w:rFonts w:cs="Times New Roman"/>
          <w:szCs w:val="24"/>
        </w:rPr>
        <w:t>the</w:t>
      </w:r>
      <w:r w:rsidRPr="00FF4D4B">
        <w:rPr>
          <w:rFonts w:cs="Times New Roman"/>
          <w:szCs w:val="24"/>
        </w:rPr>
        <w:t xml:space="preserve"> bid</w:t>
      </w:r>
      <w:r w:rsidR="00AA7A04" w:rsidRPr="00FF4D4B">
        <w:rPr>
          <w:rFonts w:cs="Times New Roman"/>
          <w:szCs w:val="24"/>
        </w:rPr>
        <w:t>, making</w:t>
      </w:r>
      <w:r w:rsidRPr="00FF4D4B">
        <w:rPr>
          <w:rFonts w:cs="Times New Roman"/>
          <w:szCs w:val="24"/>
        </w:rPr>
        <w:t xml:space="preserve"> way for th</w:t>
      </w:r>
      <w:r w:rsidR="00AA7A04" w:rsidRPr="00FF4D4B">
        <w:rPr>
          <w:rFonts w:cs="Times New Roman"/>
          <w:szCs w:val="24"/>
        </w:rPr>
        <w:t>e RFS</w:t>
      </w:r>
      <w:r w:rsidRPr="00FF4D4B">
        <w:rPr>
          <w:rFonts w:cs="Times New Roman"/>
          <w:szCs w:val="24"/>
        </w:rPr>
        <w:t xml:space="preserve"> bid to go through</w:t>
      </w:r>
      <w:r w:rsidR="00AA7A04" w:rsidRPr="00FF4D4B">
        <w:rPr>
          <w:rFonts w:cs="Times New Roman"/>
          <w:szCs w:val="24"/>
        </w:rPr>
        <w:t xml:space="preserve"> and to start the process of dividing the parts of ABN AMRO.</w:t>
      </w:r>
    </w:p>
    <w:p w14:paraId="33E082ED" w14:textId="3C61BF02" w:rsidR="00406CA5" w:rsidRPr="00FF4D4B" w:rsidRDefault="00406CA5" w:rsidP="00406CA5">
      <w:pPr>
        <w:rPr>
          <w:rFonts w:cs="Times New Roman"/>
          <w:szCs w:val="24"/>
        </w:rPr>
      </w:pPr>
      <w:r w:rsidRPr="00FF4D4B">
        <w:rPr>
          <w:rFonts w:cs="Times New Roman"/>
          <w:szCs w:val="24"/>
        </w:rPr>
        <w:lastRenderedPageBreak/>
        <w:t>On October</w:t>
      </w:r>
      <w:r w:rsidR="00AA7A04" w:rsidRPr="00FF4D4B">
        <w:rPr>
          <w:rFonts w:cs="Times New Roman"/>
          <w:szCs w:val="24"/>
        </w:rPr>
        <w:t xml:space="preserve"> 9</w:t>
      </w:r>
      <w:r w:rsidRPr="00FF4D4B">
        <w:rPr>
          <w:rFonts w:cs="Times New Roman"/>
          <w:szCs w:val="24"/>
        </w:rPr>
        <w:t>,</w:t>
      </w:r>
      <w:r w:rsidR="00AA7A04" w:rsidRPr="00FF4D4B">
        <w:rPr>
          <w:rFonts w:cs="Times New Roman"/>
          <w:szCs w:val="24"/>
        </w:rPr>
        <w:t xml:space="preserve"> 2007, 86 percent of ABN AMRO’s shareholders accepted the RFS offer, thereby declaring</w:t>
      </w:r>
      <w:r w:rsidRPr="00FF4D4B">
        <w:rPr>
          <w:rFonts w:cs="Times New Roman"/>
          <w:szCs w:val="24"/>
        </w:rPr>
        <w:t xml:space="preserve"> the RFS consortium </w:t>
      </w:r>
      <w:r w:rsidR="00167C9F" w:rsidRPr="00FF4D4B">
        <w:rPr>
          <w:rFonts w:cs="Times New Roman"/>
          <w:szCs w:val="24"/>
        </w:rPr>
        <w:t>official. The CEO of ABN AMRO, Rijkman Groenink,</w:t>
      </w:r>
      <w:r w:rsidRPr="00FF4D4B">
        <w:rPr>
          <w:rFonts w:cs="Times New Roman"/>
          <w:szCs w:val="24"/>
        </w:rPr>
        <w:t xml:space="preserve"> </w:t>
      </w:r>
      <w:r w:rsidR="00167C9F" w:rsidRPr="00FF4D4B">
        <w:rPr>
          <w:rFonts w:cs="Times New Roman"/>
          <w:szCs w:val="24"/>
        </w:rPr>
        <w:t xml:space="preserve">greatly backed the Barclays offer and </w:t>
      </w:r>
      <w:r w:rsidRPr="00FF4D4B">
        <w:rPr>
          <w:rFonts w:cs="Times New Roman"/>
          <w:szCs w:val="24"/>
        </w:rPr>
        <w:t>deci</w:t>
      </w:r>
      <w:r w:rsidR="00680CE3" w:rsidRPr="00FF4D4B">
        <w:rPr>
          <w:rFonts w:cs="Times New Roman"/>
          <w:szCs w:val="24"/>
        </w:rPr>
        <w:t>ded t</w:t>
      </w:r>
      <w:r w:rsidR="00167C9F" w:rsidRPr="00FF4D4B">
        <w:rPr>
          <w:rFonts w:cs="Times New Roman"/>
          <w:szCs w:val="24"/>
        </w:rPr>
        <w:t>o</w:t>
      </w:r>
      <w:r w:rsidR="00680CE3" w:rsidRPr="00FF4D4B">
        <w:rPr>
          <w:rFonts w:cs="Times New Roman"/>
          <w:szCs w:val="24"/>
        </w:rPr>
        <w:t xml:space="preserve"> step down.</w:t>
      </w:r>
    </w:p>
    <w:p w14:paraId="0CE992EF" w14:textId="49F85BE0" w:rsidR="00167C9F" w:rsidRPr="00FF4D4B" w:rsidRDefault="00167C9F" w:rsidP="00406CA5">
      <w:pPr>
        <w:rPr>
          <w:rFonts w:cs="Times New Roman"/>
          <w:szCs w:val="24"/>
        </w:rPr>
      </w:pPr>
      <w:r w:rsidRPr="00FF4D4B">
        <w:rPr>
          <w:rFonts w:cs="Times New Roman"/>
          <w:szCs w:val="24"/>
        </w:rPr>
        <w:t xml:space="preserve">In the aftermath, ABN AMRO and Groenink received a lot of criticism after it was announced that the CEO </w:t>
      </w:r>
      <w:r w:rsidR="00986BEB" w:rsidRPr="00FF4D4B">
        <w:rPr>
          <w:rFonts w:cs="Times New Roman"/>
          <w:szCs w:val="24"/>
        </w:rPr>
        <w:t xml:space="preserve">earned approximately €27 million on the takeover. </w:t>
      </w:r>
    </w:p>
    <w:p w14:paraId="29D12BB1" w14:textId="3674D2D5" w:rsidR="00680CE3" w:rsidRPr="00FF4D4B" w:rsidRDefault="0043269B" w:rsidP="00093FA0">
      <w:pPr>
        <w:pStyle w:val="Kop3"/>
      </w:pPr>
      <w:bookmarkStart w:id="23" w:name="_Toc301441845"/>
      <w:r w:rsidRPr="00FF4D4B">
        <w:t xml:space="preserve">4.1.2 </w:t>
      </w:r>
      <w:r w:rsidRPr="00FF4D4B">
        <w:tab/>
      </w:r>
      <w:r w:rsidR="00680CE3" w:rsidRPr="00FF4D4B">
        <w:t>Sales process</w:t>
      </w:r>
      <w:bookmarkEnd w:id="23"/>
    </w:p>
    <w:p w14:paraId="7F179C78" w14:textId="73A3976A" w:rsidR="00680CE3" w:rsidRPr="00FF4D4B" w:rsidRDefault="00680CE3" w:rsidP="00680CE3">
      <w:pPr>
        <w:rPr>
          <w:rFonts w:cs="Times New Roman"/>
        </w:rPr>
      </w:pPr>
      <w:r w:rsidRPr="00FF4D4B">
        <w:rPr>
          <w:rFonts w:cs="Times New Roman"/>
        </w:rPr>
        <w:t>ABN shareholders receive</w:t>
      </w:r>
      <w:r w:rsidR="001350E7" w:rsidRPr="00FF4D4B">
        <w:rPr>
          <w:rFonts w:cs="Times New Roman"/>
        </w:rPr>
        <w:t>d</w:t>
      </w:r>
      <w:r w:rsidRPr="00FF4D4B">
        <w:rPr>
          <w:rFonts w:cs="Times New Roman"/>
        </w:rPr>
        <w:t xml:space="preserve"> </w:t>
      </w:r>
      <w:r w:rsidR="00081493" w:rsidRPr="00FF4D4B">
        <w:rPr>
          <w:rFonts w:cs="Times New Roman"/>
        </w:rPr>
        <w:t>€</w:t>
      </w:r>
      <w:r w:rsidR="00973170" w:rsidRPr="00FF4D4B">
        <w:rPr>
          <w:rFonts w:cs="Times New Roman"/>
        </w:rPr>
        <w:t>35.60</w:t>
      </w:r>
      <w:r w:rsidRPr="00FF4D4B">
        <w:rPr>
          <w:rFonts w:cs="Times New Roman"/>
        </w:rPr>
        <w:t xml:space="preserve"> in cash and 0.296 RBS shares for each ABN share held. The offer </w:t>
      </w:r>
      <w:r w:rsidR="001350E7" w:rsidRPr="00FF4D4B">
        <w:rPr>
          <w:rFonts w:cs="Times New Roman"/>
        </w:rPr>
        <w:t>wa</w:t>
      </w:r>
      <w:r w:rsidRPr="00FF4D4B">
        <w:rPr>
          <w:rFonts w:cs="Times New Roman"/>
        </w:rPr>
        <w:t xml:space="preserve">s valued at </w:t>
      </w:r>
      <w:r w:rsidR="00081493" w:rsidRPr="00FF4D4B">
        <w:rPr>
          <w:rFonts w:cs="Times New Roman"/>
        </w:rPr>
        <w:t>€</w:t>
      </w:r>
      <w:r w:rsidRPr="00FF4D4B">
        <w:rPr>
          <w:rFonts w:cs="Times New Roman"/>
        </w:rPr>
        <w:t xml:space="preserve">38.40 per ABN share, with a total value of </w:t>
      </w:r>
      <w:r w:rsidR="00081493" w:rsidRPr="00FF4D4B">
        <w:rPr>
          <w:rFonts w:cs="Times New Roman"/>
        </w:rPr>
        <w:t>€</w:t>
      </w:r>
      <w:r w:rsidRPr="00FF4D4B">
        <w:rPr>
          <w:rFonts w:cs="Times New Roman"/>
        </w:rPr>
        <w:t>71.1 billion – 93.2 percent of the offer is provided in cash.</w:t>
      </w:r>
      <w:r w:rsidR="00EC595F" w:rsidRPr="00FF4D4B">
        <w:rPr>
          <w:rStyle w:val="Voetnootmarkering"/>
          <w:rFonts w:cs="Times New Roman"/>
        </w:rPr>
        <w:footnoteReference w:id="3"/>
      </w:r>
    </w:p>
    <w:p w14:paraId="0FA5DC3E" w14:textId="3AC8FB4A" w:rsidR="00680CE3" w:rsidRPr="00FF4D4B" w:rsidRDefault="0043269B" w:rsidP="00093FA0">
      <w:pPr>
        <w:pStyle w:val="Kop3"/>
      </w:pPr>
      <w:bookmarkStart w:id="24" w:name="_Toc301441846"/>
      <w:r w:rsidRPr="00FF4D4B">
        <w:t xml:space="preserve">4.1.3 </w:t>
      </w:r>
      <w:r w:rsidRPr="00FF4D4B">
        <w:tab/>
      </w:r>
      <w:r w:rsidR="00680CE3" w:rsidRPr="00FF4D4B">
        <w:t>Outcome</w:t>
      </w:r>
      <w:bookmarkEnd w:id="24"/>
    </w:p>
    <w:p w14:paraId="1B56B17F" w14:textId="32C65F83" w:rsidR="00082EEB" w:rsidRPr="00FF4D4B" w:rsidRDefault="00082EEB" w:rsidP="00680CE3">
      <w:pPr>
        <w:rPr>
          <w:rFonts w:cs="Times New Roman"/>
        </w:rPr>
      </w:pPr>
      <w:r w:rsidRPr="00FF4D4B">
        <w:rPr>
          <w:rFonts w:cs="Times New Roman"/>
        </w:rPr>
        <w:t xml:space="preserve">In the year 2007, Rijkman Groenink, CEO of ABN </w:t>
      </w:r>
      <w:r w:rsidR="008B4FD2" w:rsidRPr="00FF4D4B">
        <w:rPr>
          <w:rFonts w:cs="Times New Roman"/>
        </w:rPr>
        <w:t>AMRO</w:t>
      </w:r>
      <w:r w:rsidRPr="00FF4D4B">
        <w:rPr>
          <w:rFonts w:cs="Times New Roman"/>
        </w:rPr>
        <w:t xml:space="preserve">, received </w:t>
      </w:r>
      <w:r w:rsidR="00547925" w:rsidRPr="00FF4D4B">
        <w:rPr>
          <w:rFonts w:cs="Times New Roman"/>
        </w:rPr>
        <w:t>besides his</w:t>
      </w:r>
      <w:r w:rsidRPr="00FF4D4B">
        <w:rPr>
          <w:rFonts w:cs="Times New Roman"/>
        </w:rPr>
        <w:t xml:space="preserve"> salary of </w:t>
      </w:r>
      <w:r w:rsidR="00D10C77" w:rsidRPr="00FF4D4B">
        <w:rPr>
          <w:rFonts w:cs="Times New Roman"/>
        </w:rPr>
        <w:t>€</w:t>
      </w:r>
      <w:r w:rsidRPr="00FF4D4B">
        <w:rPr>
          <w:rFonts w:cs="Times New Roman"/>
        </w:rPr>
        <w:t>778,000</w:t>
      </w:r>
      <w:r w:rsidR="00547925" w:rsidRPr="00FF4D4B">
        <w:rPr>
          <w:rFonts w:cs="Times New Roman"/>
        </w:rPr>
        <w:t xml:space="preserve"> and bonus of €1.4 million</w:t>
      </w:r>
      <w:r w:rsidRPr="00FF4D4B">
        <w:rPr>
          <w:rFonts w:cs="Times New Roman"/>
        </w:rPr>
        <w:t xml:space="preserve">, </w:t>
      </w:r>
      <w:r w:rsidR="008B4FD2" w:rsidRPr="00FF4D4B">
        <w:rPr>
          <w:rFonts w:cs="Times New Roman"/>
        </w:rPr>
        <w:t xml:space="preserve">a </w:t>
      </w:r>
      <w:r w:rsidRPr="00FF4D4B">
        <w:rPr>
          <w:rFonts w:cs="Times New Roman"/>
        </w:rPr>
        <w:t xml:space="preserve">termination payment of </w:t>
      </w:r>
      <w:r w:rsidR="00D10C77" w:rsidRPr="00FF4D4B">
        <w:rPr>
          <w:rFonts w:cs="Times New Roman"/>
        </w:rPr>
        <w:t>€</w:t>
      </w:r>
      <w:r w:rsidRPr="00FF4D4B">
        <w:rPr>
          <w:rFonts w:cs="Times New Roman"/>
        </w:rPr>
        <w:t>4</w:t>
      </w:r>
      <w:r w:rsidR="007C7AC3" w:rsidRPr="00FF4D4B">
        <w:rPr>
          <w:rFonts w:cs="Times New Roman"/>
        </w:rPr>
        <w:t>.9 milion</w:t>
      </w:r>
      <w:r w:rsidR="00547925" w:rsidRPr="00FF4D4B">
        <w:rPr>
          <w:rFonts w:cs="Times New Roman"/>
        </w:rPr>
        <w:t xml:space="preserve"> (including pension costs).</w:t>
      </w:r>
    </w:p>
    <w:p w14:paraId="62D5DFEF" w14:textId="04C0D423" w:rsidR="00D10C77" w:rsidRPr="00FF4D4B" w:rsidRDefault="00215564" w:rsidP="00215564">
      <w:pPr>
        <w:rPr>
          <w:rFonts w:cs="Times New Roman"/>
        </w:rPr>
      </w:pPr>
      <w:r w:rsidRPr="00FF4D4B">
        <w:rPr>
          <w:rFonts w:cs="Times New Roman"/>
        </w:rPr>
        <w:t>As</w:t>
      </w:r>
      <w:r w:rsidR="007C7AC3" w:rsidRPr="00FF4D4B">
        <w:rPr>
          <w:rFonts w:cs="Times New Roman"/>
        </w:rPr>
        <w:t xml:space="preserve"> part of the remuneration polic</w:t>
      </w:r>
      <w:r w:rsidRPr="00FF4D4B">
        <w:rPr>
          <w:rFonts w:cs="Times New Roman"/>
        </w:rPr>
        <w:t xml:space="preserve">y installed in 2001, Groenink owned </w:t>
      </w:r>
      <w:r w:rsidR="00082EEB" w:rsidRPr="00FF4D4B">
        <w:rPr>
          <w:rFonts w:cs="Times New Roman"/>
        </w:rPr>
        <w:t xml:space="preserve">486,567 </w:t>
      </w:r>
      <w:r w:rsidRPr="00FF4D4B">
        <w:rPr>
          <w:rFonts w:cs="Times New Roman"/>
        </w:rPr>
        <w:t>options and 28,</w:t>
      </w:r>
      <w:r w:rsidR="00CD5439" w:rsidRPr="00FF4D4B">
        <w:rPr>
          <w:rFonts w:cs="Times New Roman"/>
        </w:rPr>
        <w:t>8</w:t>
      </w:r>
      <w:r w:rsidRPr="00FF4D4B">
        <w:rPr>
          <w:rFonts w:cs="Times New Roman"/>
        </w:rPr>
        <w:t>22 matched shares</w:t>
      </w:r>
      <w:r w:rsidR="00082EEB" w:rsidRPr="00FF4D4B">
        <w:rPr>
          <w:rFonts w:cs="Times New Roman"/>
        </w:rPr>
        <w:t xml:space="preserve"> of ABN AMRO. </w:t>
      </w:r>
      <w:r w:rsidRPr="00FF4D4B">
        <w:rPr>
          <w:rFonts w:cs="Times New Roman"/>
        </w:rPr>
        <w:t>Moreover, Groenink</w:t>
      </w:r>
      <w:r w:rsidR="007C7AC3" w:rsidRPr="00FF4D4B">
        <w:rPr>
          <w:rFonts w:cs="Times New Roman"/>
        </w:rPr>
        <w:t xml:space="preserve"> privately</w:t>
      </w:r>
      <w:r w:rsidRPr="00FF4D4B">
        <w:rPr>
          <w:rFonts w:cs="Times New Roman"/>
        </w:rPr>
        <w:t xml:space="preserve"> </w:t>
      </w:r>
      <w:r w:rsidRPr="00FF4D4B">
        <w:rPr>
          <w:rFonts w:cs="Times New Roman"/>
        </w:rPr>
        <w:lastRenderedPageBreak/>
        <w:t xml:space="preserve">held 77,012 shares of ABN </w:t>
      </w:r>
      <w:r w:rsidR="008B4FD2" w:rsidRPr="00FF4D4B">
        <w:rPr>
          <w:rFonts w:cs="Times New Roman"/>
        </w:rPr>
        <w:t>AMRO</w:t>
      </w:r>
      <w:r w:rsidRPr="00FF4D4B">
        <w:rPr>
          <w:rFonts w:cs="Times New Roman"/>
        </w:rPr>
        <w:t>.</w:t>
      </w:r>
      <w:r w:rsidR="00A00A4C" w:rsidRPr="00FF4D4B">
        <w:rPr>
          <w:rStyle w:val="Voetnootmarkering"/>
          <w:rFonts w:cs="Times New Roman"/>
        </w:rPr>
        <w:footnoteReference w:id="4"/>
      </w:r>
      <w:r w:rsidR="00A00A4C" w:rsidRPr="00FF4D4B">
        <w:rPr>
          <w:rFonts w:cs="Times New Roman"/>
        </w:rPr>
        <w:t xml:space="preserve"> </w:t>
      </w:r>
      <w:r w:rsidR="00082EEB" w:rsidRPr="00FF4D4B">
        <w:rPr>
          <w:rFonts w:cs="Times New Roman"/>
        </w:rPr>
        <w:t xml:space="preserve">As result of the takeover, the shares vested </w:t>
      </w:r>
      <w:r w:rsidR="00557F0A" w:rsidRPr="00FF4D4B">
        <w:rPr>
          <w:rFonts w:cs="Times New Roman"/>
        </w:rPr>
        <w:t xml:space="preserve">immediately and were sold to the consortium for </w:t>
      </w:r>
      <w:r w:rsidR="00D10C77" w:rsidRPr="00FF4D4B">
        <w:rPr>
          <w:rFonts w:cs="Times New Roman"/>
        </w:rPr>
        <w:t>€</w:t>
      </w:r>
      <w:r w:rsidR="00557F0A" w:rsidRPr="00FF4D4B">
        <w:rPr>
          <w:rFonts w:cs="Times New Roman"/>
        </w:rPr>
        <w:t xml:space="preserve">37.88 a share. </w:t>
      </w:r>
      <w:r w:rsidR="00CD5439" w:rsidRPr="00FF4D4B">
        <w:rPr>
          <w:rFonts w:cs="Times New Roman"/>
        </w:rPr>
        <w:t>This resulted in €22,440</w:t>
      </w:r>
      <w:r w:rsidR="00D10C77" w:rsidRPr="00FF4D4B">
        <w:rPr>
          <w:rFonts w:cs="Times New Roman"/>
        </w:rPr>
        <w:t>,</w:t>
      </w:r>
      <w:r w:rsidR="00CD5439" w:rsidRPr="00FF4D4B">
        <w:rPr>
          <w:rFonts w:cs="Times New Roman"/>
        </w:rPr>
        <w:t>149</w:t>
      </w:r>
      <w:r w:rsidR="00D10C77" w:rsidRPr="00FF4D4B">
        <w:rPr>
          <w:rFonts w:cs="Times New Roman"/>
        </w:rPr>
        <w:t xml:space="preserve">.88 in cash. </w:t>
      </w:r>
    </w:p>
    <w:p w14:paraId="579650C9" w14:textId="7496F7FC" w:rsidR="00557F0A" w:rsidRPr="00FF4D4B" w:rsidRDefault="00D10C77" w:rsidP="00680CE3">
      <w:pPr>
        <w:rPr>
          <w:rFonts w:cs="Times New Roman"/>
        </w:rPr>
      </w:pPr>
      <w:r w:rsidRPr="00FF4D4B">
        <w:rPr>
          <w:rFonts w:cs="Times New Roman"/>
        </w:rPr>
        <w:t>In total Groenink received €2</w:t>
      </w:r>
      <w:r w:rsidR="00CD5439" w:rsidRPr="00FF4D4B">
        <w:rPr>
          <w:rFonts w:cs="Times New Roman"/>
        </w:rPr>
        <w:t>7</w:t>
      </w:r>
      <w:r w:rsidRPr="00FF4D4B">
        <w:rPr>
          <w:rFonts w:cs="Times New Roman"/>
        </w:rPr>
        <w:t>,</w:t>
      </w:r>
      <w:r w:rsidR="00CD5439" w:rsidRPr="00FF4D4B">
        <w:rPr>
          <w:rFonts w:cs="Times New Roman"/>
        </w:rPr>
        <w:t>340</w:t>
      </w:r>
      <w:r w:rsidRPr="00FF4D4B">
        <w:rPr>
          <w:rFonts w:cs="Times New Roman"/>
        </w:rPr>
        <w:t>,</w:t>
      </w:r>
      <w:r w:rsidR="00CD5439" w:rsidRPr="00FF4D4B">
        <w:rPr>
          <w:rFonts w:cs="Times New Roman"/>
        </w:rPr>
        <w:t>149</w:t>
      </w:r>
      <w:r w:rsidRPr="00FF4D4B">
        <w:rPr>
          <w:rFonts w:cs="Times New Roman"/>
        </w:rPr>
        <w:t>.88</w:t>
      </w:r>
      <w:r w:rsidR="00CD5439" w:rsidRPr="00FF4D4B">
        <w:rPr>
          <w:rStyle w:val="Voetnootmarkering"/>
          <w:rFonts w:cs="Times New Roman"/>
        </w:rPr>
        <w:footnoteReference w:id="5"/>
      </w:r>
      <w:r w:rsidRPr="00FF4D4B">
        <w:rPr>
          <w:rFonts w:cs="Times New Roman"/>
        </w:rPr>
        <w:t xml:space="preserve"> as a result of the takeover. </w:t>
      </w:r>
      <w:r w:rsidR="00A00A4C" w:rsidRPr="00FF4D4B">
        <w:rPr>
          <w:rFonts w:cs="Times New Roman"/>
        </w:rPr>
        <w:t xml:space="preserve"> </w:t>
      </w:r>
      <w:r w:rsidRPr="00FF4D4B">
        <w:rPr>
          <w:rFonts w:cs="Times New Roman"/>
        </w:rPr>
        <w:t>The €27 million was highly criticized by the public and media, so highly</w:t>
      </w:r>
      <w:r w:rsidR="007C7AC3" w:rsidRPr="00FF4D4B">
        <w:rPr>
          <w:rFonts w:cs="Times New Roman"/>
        </w:rPr>
        <w:t xml:space="preserve"> even,</w:t>
      </w:r>
      <w:r w:rsidRPr="00FF4D4B">
        <w:rPr>
          <w:rFonts w:cs="Times New Roman"/>
        </w:rPr>
        <w:t xml:space="preserve"> it raised questions in the Dutch parliament. </w:t>
      </w:r>
    </w:p>
    <w:p w14:paraId="6E10A4BF" w14:textId="147B86E1" w:rsidR="00CD5439" w:rsidRPr="00FF4D4B" w:rsidRDefault="00A00A4C" w:rsidP="00A00A4C">
      <w:pPr>
        <w:rPr>
          <w:rFonts w:cs="Times New Roman"/>
        </w:rPr>
      </w:pPr>
      <w:r w:rsidRPr="00FF4D4B">
        <w:rPr>
          <w:rFonts w:cs="Times New Roman"/>
        </w:rPr>
        <w:t>From the background of the deal it becomes clear that the</w:t>
      </w:r>
      <w:r w:rsidR="00775BE7" w:rsidRPr="00FF4D4B">
        <w:rPr>
          <w:rFonts w:cs="Times New Roman"/>
        </w:rPr>
        <w:t xml:space="preserve"> CEO </w:t>
      </w:r>
      <w:r w:rsidR="00F37563" w:rsidRPr="00FF4D4B">
        <w:rPr>
          <w:rFonts w:cs="Times New Roman"/>
        </w:rPr>
        <w:t>preferred</w:t>
      </w:r>
      <w:r w:rsidR="00775BE7" w:rsidRPr="00FF4D4B">
        <w:rPr>
          <w:rFonts w:cs="Times New Roman"/>
        </w:rPr>
        <w:t xml:space="preserve"> the deal with Barclays over the consortium. </w:t>
      </w:r>
      <w:r w:rsidR="00881C2C" w:rsidRPr="00FF4D4B">
        <w:rPr>
          <w:rFonts w:cs="Times New Roman"/>
        </w:rPr>
        <w:t>Because of the higher bid by the consortium, the deal with the consortium went through.</w:t>
      </w:r>
      <w:r w:rsidRPr="00FF4D4B">
        <w:rPr>
          <w:rFonts w:cs="Times New Roman"/>
        </w:rPr>
        <w:t xml:space="preserve"> It should be noted that the </w:t>
      </w:r>
      <w:r w:rsidR="00690EAE" w:rsidRPr="00FF4D4B">
        <w:rPr>
          <w:rFonts w:cs="Times New Roman"/>
        </w:rPr>
        <w:t xml:space="preserve">CEO would have earned less if </w:t>
      </w:r>
      <w:r w:rsidRPr="00FF4D4B">
        <w:rPr>
          <w:rFonts w:cs="Times New Roman"/>
        </w:rPr>
        <w:t>the Barclays</w:t>
      </w:r>
      <w:r w:rsidR="00690EAE" w:rsidRPr="00FF4D4B">
        <w:rPr>
          <w:rFonts w:cs="Times New Roman"/>
        </w:rPr>
        <w:t xml:space="preserve"> deal would have gone through. </w:t>
      </w:r>
    </w:p>
    <w:p w14:paraId="51777FDD" w14:textId="4B5D0B6A" w:rsidR="00680CE3" w:rsidRPr="00FF4D4B" w:rsidRDefault="0043269B" w:rsidP="00093FA0">
      <w:pPr>
        <w:pStyle w:val="Kop3"/>
      </w:pPr>
      <w:bookmarkStart w:id="25" w:name="_Toc301441847"/>
      <w:r w:rsidRPr="00FF4D4B">
        <w:t xml:space="preserve">4.1.4 </w:t>
      </w:r>
      <w:r w:rsidRPr="00FF4D4B">
        <w:tab/>
      </w:r>
      <w:r w:rsidR="00680CE3" w:rsidRPr="00FF4D4B">
        <w:t>Hypothetical outcome</w:t>
      </w:r>
      <w:bookmarkEnd w:id="25"/>
    </w:p>
    <w:p w14:paraId="707115BA" w14:textId="74DEAA89" w:rsidR="00680CE3" w:rsidRPr="00FF4D4B" w:rsidRDefault="007C7AC3" w:rsidP="00680CE3">
      <w:pPr>
        <w:rPr>
          <w:rFonts w:cs="Times New Roman"/>
        </w:rPr>
      </w:pPr>
      <w:r w:rsidRPr="00FF4D4B">
        <w:rPr>
          <w:rFonts w:cs="Times New Roman"/>
        </w:rPr>
        <w:t xml:space="preserve">Groenink </w:t>
      </w:r>
      <w:r w:rsidR="00547925" w:rsidRPr="00FF4D4B">
        <w:rPr>
          <w:rFonts w:cs="Times New Roman"/>
        </w:rPr>
        <w:t>owned</w:t>
      </w:r>
      <w:r w:rsidRPr="00FF4D4B">
        <w:rPr>
          <w:rFonts w:cs="Times New Roman"/>
        </w:rPr>
        <w:t xml:space="preserve"> a total of </w:t>
      </w:r>
      <w:r w:rsidR="009E3455" w:rsidRPr="00FF4D4B">
        <w:rPr>
          <w:rFonts w:cs="Times New Roman"/>
        </w:rPr>
        <w:t>59</w:t>
      </w:r>
      <w:r w:rsidR="00CD5439" w:rsidRPr="00FF4D4B">
        <w:rPr>
          <w:rFonts w:cs="Times New Roman"/>
        </w:rPr>
        <w:t>2</w:t>
      </w:r>
      <w:r w:rsidR="009E3455" w:rsidRPr="00FF4D4B">
        <w:rPr>
          <w:rFonts w:cs="Times New Roman"/>
        </w:rPr>
        <w:t>,</w:t>
      </w:r>
      <w:r w:rsidR="00CD5439" w:rsidRPr="00FF4D4B">
        <w:rPr>
          <w:rFonts w:cs="Times New Roman"/>
        </w:rPr>
        <w:t>4</w:t>
      </w:r>
      <w:r w:rsidR="009E3455" w:rsidRPr="00FF4D4B">
        <w:rPr>
          <w:rFonts w:cs="Times New Roman"/>
        </w:rPr>
        <w:t>01 shares</w:t>
      </w:r>
      <w:r w:rsidR="00547925" w:rsidRPr="00FF4D4B">
        <w:rPr>
          <w:rFonts w:cs="Times New Roman"/>
        </w:rPr>
        <w:t xml:space="preserve"> </w:t>
      </w:r>
      <w:r w:rsidR="009E3455" w:rsidRPr="00FF4D4B">
        <w:rPr>
          <w:rFonts w:cs="Times New Roman"/>
        </w:rPr>
        <w:t>and option</w:t>
      </w:r>
      <w:r w:rsidR="00050EED" w:rsidRPr="00FF4D4B">
        <w:rPr>
          <w:rFonts w:cs="Times New Roman"/>
        </w:rPr>
        <w:t>s</w:t>
      </w:r>
      <w:r w:rsidR="009E3455" w:rsidRPr="00FF4D4B">
        <w:rPr>
          <w:rFonts w:cs="Times New Roman"/>
        </w:rPr>
        <w:t xml:space="preserve"> that vested on the date of the takeover. </w:t>
      </w:r>
    </w:p>
    <w:p w14:paraId="1D413B5D" w14:textId="44148AFD" w:rsidR="00547925" w:rsidRPr="00FF4D4B" w:rsidRDefault="000A20AA" w:rsidP="00680CE3">
      <w:pPr>
        <w:rPr>
          <w:rFonts w:cs="Times New Roman"/>
        </w:rPr>
      </w:pPr>
      <w:r w:rsidRPr="00FF4D4B">
        <w:rPr>
          <w:rFonts w:cs="Times New Roman"/>
        </w:rPr>
        <w:t>April 25, 2007, the first public offer was made by RFS, the share price four weeks prior to that date was €28.62</w:t>
      </w:r>
      <w:r w:rsidR="003B4A89" w:rsidRPr="00FF4D4B">
        <w:rPr>
          <w:rFonts w:cs="Times New Roman"/>
        </w:rPr>
        <w:t xml:space="preserve"> (appendix II)</w:t>
      </w:r>
      <w:r w:rsidRPr="00FF4D4B">
        <w:rPr>
          <w:rFonts w:cs="Times New Roman"/>
        </w:rPr>
        <w:t xml:space="preserve">. </w:t>
      </w:r>
    </w:p>
    <w:p w14:paraId="622A0D67" w14:textId="5AE4CA6A" w:rsidR="00AA1E20" w:rsidRPr="00FF4D4B" w:rsidRDefault="000A20AA" w:rsidP="00680CE3">
      <w:pPr>
        <w:rPr>
          <w:rFonts w:cs="Times New Roman"/>
        </w:rPr>
      </w:pPr>
      <w:r w:rsidRPr="00FF4D4B">
        <w:rPr>
          <w:rFonts w:cs="Times New Roman"/>
        </w:rPr>
        <w:lastRenderedPageBreak/>
        <w:t xml:space="preserve">On October 9, 2007, </w:t>
      </w:r>
      <w:r w:rsidR="00726B0D" w:rsidRPr="00FF4D4B">
        <w:rPr>
          <w:rFonts w:cs="Times New Roman"/>
        </w:rPr>
        <w:t>the RFS consortium formally declared victory after shareholders</w:t>
      </w:r>
      <w:r w:rsidR="00A00A4C" w:rsidRPr="00FF4D4B">
        <w:rPr>
          <w:rFonts w:cs="Times New Roman"/>
        </w:rPr>
        <w:t xml:space="preserve"> accepted the</w:t>
      </w:r>
      <w:r w:rsidR="00726B0D" w:rsidRPr="00FF4D4B">
        <w:rPr>
          <w:rFonts w:cs="Times New Roman"/>
        </w:rPr>
        <w:t xml:space="preserve"> offer.</w:t>
      </w:r>
      <w:r w:rsidR="00547925" w:rsidRPr="00FF4D4B">
        <w:rPr>
          <w:rFonts w:cs="Times New Roman"/>
        </w:rPr>
        <w:t xml:space="preserve"> The next day the deal was considered unconditional. </w:t>
      </w:r>
      <w:r w:rsidR="00726B0D" w:rsidRPr="00FF4D4B">
        <w:rPr>
          <w:rFonts w:cs="Times New Roman"/>
        </w:rPr>
        <w:t xml:space="preserve">Four weeks after </w:t>
      </w:r>
      <w:r w:rsidR="00A00A4C" w:rsidRPr="00FF4D4B">
        <w:rPr>
          <w:rFonts w:cs="Times New Roman"/>
        </w:rPr>
        <w:t xml:space="preserve">this </w:t>
      </w:r>
      <w:r w:rsidR="00726B0D" w:rsidRPr="00FF4D4B">
        <w:rPr>
          <w:rFonts w:cs="Times New Roman"/>
        </w:rPr>
        <w:t xml:space="preserve">announcement of the share price was €36,88. </w:t>
      </w:r>
    </w:p>
    <w:p w14:paraId="7B966FB4" w14:textId="16363846" w:rsidR="00AA1E20" w:rsidRPr="00FF4D4B" w:rsidRDefault="00AA1E20" w:rsidP="00AA1E20">
      <w:pPr>
        <w:rPr>
          <w:rFonts w:cs="Times New Roman"/>
        </w:rPr>
      </w:pPr>
      <w:r w:rsidRPr="00FF4D4B">
        <w:rPr>
          <w:rFonts w:cs="Times New Roman"/>
        </w:rPr>
        <w:t xml:space="preserve">As of 1 November 2007, Groenink left ABN </w:t>
      </w:r>
      <w:r w:rsidR="00A00A4C" w:rsidRPr="00FF4D4B">
        <w:rPr>
          <w:rFonts w:cs="Times New Roman"/>
        </w:rPr>
        <w:t>AMRO</w:t>
      </w:r>
      <w:r w:rsidRPr="00FF4D4B">
        <w:rPr>
          <w:rFonts w:cs="Times New Roman"/>
        </w:rPr>
        <w:t xml:space="preserve">, the share price was €36,88. </w:t>
      </w:r>
    </w:p>
    <w:p w14:paraId="7A91771B" w14:textId="3919A142" w:rsidR="00790993" w:rsidRPr="00FF4D4B" w:rsidRDefault="00726B0D" w:rsidP="00680CE3">
      <w:pPr>
        <w:rPr>
          <w:rFonts w:cs="Times New Roman"/>
        </w:rPr>
      </w:pPr>
      <w:r w:rsidRPr="00FF4D4B">
        <w:rPr>
          <w:rFonts w:cs="Times New Roman"/>
        </w:rPr>
        <w:t xml:space="preserve">The increase in value in </w:t>
      </w:r>
      <w:r w:rsidR="00C145C6" w:rsidRPr="00FF4D4B">
        <w:rPr>
          <w:rFonts w:cs="Times New Roman"/>
        </w:rPr>
        <w:t xml:space="preserve">both </w:t>
      </w:r>
      <w:r w:rsidRPr="00FF4D4B">
        <w:rPr>
          <w:rFonts w:cs="Times New Roman"/>
        </w:rPr>
        <w:t>reference period</w:t>
      </w:r>
      <w:r w:rsidR="00C145C6" w:rsidRPr="00FF4D4B">
        <w:rPr>
          <w:rFonts w:cs="Times New Roman"/>
        </w:rPr>
        <w:t>s</w:t>
      </w:r>
      <w:r w:rsidRPr="00FF4D4B">
        <w:rPr>
          <w:rFonts w:cs="Times New Roman"/>
        </w:rPr>
        <w:t xml:space="preserve"> is therefore €8.26</w:t>
      </w:r>
      <w:r w:rsidR="00C145C6" w:rsidRPr="00FF4D4B">
        <w:rPr>
          <w:rFonts w:cs="Times New Roman"/>
        </w:rPr>
        <w:t>.</w:t>
      </w:r>
      <w:r w:rsidR="00D45E61" w:rsidRPr="00FF4D4B">
        <w:rPr>
          <w:rFonts w:cs="Times New Roman"/>
        </w:rPr>
        <w:t xml:space="preserve"> </w:t>
      </w:r>
      <w:r w:rsidR="00C145C6" w:rsidRPr="00FF4D4B">
        <w:rPr>
          <w:rFonts w:cs="Times New Roman"/>
        </w:rPr>
        <w:t>T</w:t>
      </w:r>
      <w:r w:rsidR="00D45E61" w:rsidRPr="00FF4D4B">
        <w:rPr>
          <w:rFonts w:cs="Times New Roman"/>
        </w:rPr>
        <w:t xml:space="preserve">his value will be deducted from the </w:t>
      </w:r>
      <w:r w:rsidR="00547925" w:rsidRPr="00FF4D4B">
        <w:rPr>
          <w:rFonts w:cs="Times New Roman"/>
        </w:rPr>
        <w:t>tender</w:t>
      </w:r>
      <w:r w:rsidR="00D45E61" w:rsidRPr="00FF4D4B">
        <w:rPr>
          <w:rFonts w:cs="Times New Roman"/>
        </w:rPr>
        <w:t xml:space="preserve"> price</w:t>
      </w:r>
      <w:r w:rsidR="00C145C6" w:rsidRPr="00FF4D4B">
        <w:rPr>
          <w:rFonts w:cs="Times New Roman"/>
        </w:rPr>
        <w:t xml:space="preserve"> on the day on which the director sells his shares or options, or when the appointed ends</w:t>
      </w:r>
      <w:r w:rsidR="00D45E61" w:rsidRPr="00FF4D4B">
        <w:rPr>
          <w:rFonts w:cs="Times New Roman"/>
        </w:rPr>
        <w:t>. According to the Provision, Groenink would have received €2</w:t>
      </w:r>
      <w:r w:rsidR="003D4390" w:rsidRPr="00FF4D4B">
        <w:rPr>
          <w:rFonts w:cs="Times New Roman"/>
        </w:rPr>
        <w:t>9</w:t>
      </w:r>
      <w:r w:rsidR="00D45E61" w:rsidRPr="00FF4D4B">
        <w:rPr>
          <w:rFonts w:cs="Times New Roman"/>
        </w:rPr>
        <w:t>.62 for his shares, instead of the original €37.88</w:t>
      </w:r>
      <w:r w:rsidR="00A0109B" w:rsidRPr="00FF4D4B">
        <w:rPr>
          <w:rFonts w:cs="Times New Roman"/>
        </w:rPr>
        <w:t xml:space="preserve">. </w:t>
      </w:r>
      <w:r w:rsidR="00790993" w:rsidRPr="00FF4D4B">
        <w:rPr>
          <w:rFonts w:cs="Times New Roman"/>
        </w:rPr>
        <w:t>The total share value is calculated below</w:t>
      </w:r>
      <w:r w:rsidR="00A00A4C" w:rsidRPr="00FF4D4B">
        <w:rPr>
          <w:rFonts w:cs="Times New Roman"/>
        </w:rPr>
        <w:t xml:space="preserve"> </w:t>
      </w:r>
      <w:r w:rsidR="00EC595F" w:rsidRPr="00FF4D4B">
        <w:rPr>
          <w:rStyle w:val="Voetnootmarkering"/>
          <w:rFonts w:cs="Times New Roman"/>
        </w:rPr>
        <w:footnoteReference w:id="6"/>
      </w:r>
    </w:p>
    <w:tbl>
      <w:tblPr>
        <w:tblStyle w:val="Tabelraster"/>
        <w:tblW w:w="7338" w:type="dxa"/>
        <w:tblLayout w:type="fixed"/>
        <w:tblLook w:val="04A0" w:firstRow="1" w:lastRow="0" w:firstColumn="1" w:lastColumn="0" w:noHBand="0" w:noVBand="1"/>
      </w:tblPr>
      <w:tblGrid>
        <w:gridCol w:w="959"/>
        <w:gridCol w:w="992"/>
        <w:gridCol w:w="992"/>
        <w:gridCol w:w="851"/>
        <w:gridCol w:w="1276"/>
        <w:gridCol w:w="992"/>
        <w:gridCol w:w="1276"/>
      </w:tblGrid>
      <w:tr w:rsidR="00790993" w:rsidRPr="00FF4D4B" w14:paraId="435363F4" w14:textId="77777777" w:rsidTr="00790993">
        <w:tc>
          <w:tcPr>
            <w:tcW w:w="959" w:type="dxa"/>
          </w:tcPr>
          <w:p w14:paraId="3DC63B1A" w14:textId="77777777" w:rsidR="00790993" w:rsidRPr="00FF4D4B" w:rsidRDefault="00790993" w:rsidP="00790993">
            <w:pPr>
              <w:jc w:val="center"/>
              <w:rPr>
                <w:rFonts w:cs="Times New Roman"/>
                <w:b/>
                <w:sz w:val="16"/>
                <w:szCs w:val="16"/>
              </w:rPr>
            </w:pPr>
            <w:r w:rsidRPr="00FF4D4B">
              <w:rPr>
                <w:rFonts w:cs="Times New Roman"/>
                <w:b/>
                <w:sz w:val="16"/>
                <w:szCs w:val="16"/>
              </w:rPr>
              <w:t>Year</w:t>
            </w:r>
          </w:p>
        </w:tc>
        <w:tc>
          <w:tcPr>
            <w:tcW w:w="992" w:type="dxa"/>
          </w:tcPr>
          <w:p w14:paraId="78D62A63" w14:textId="77777777" w:rsidR="00790993" w:rsidRPr="00FF4D4B" w:rsidRDefault="00790993" w:rsidP="00790993">
            <w:pPr>
              <w:tabs>
                <w:tab w:val="left" w:pos="1182"/>
              </w:tabs>
              <w:jc w:val="center"/>
              <w:rPr>
                <w:rFonts w:cs="Times New Roman"/>
                <w:b/>
                <w:sz w:val="16"/>
                <w:szCs w:val="16"/>
              </w:rPr>
            </w:pPr>
            <w:r w:rsidRPr="00FF4D4B">
              <w:rPr>
                <w:rFonts w:cs="Times New Roman"/>
                <w:b/>
                <w:sz w:val="16"/>
                <w:szCs w:val="16"/>
              </w:rPr>
              <w:t>Options</w:t>
            </w:r>
          </w:p>
        </w:tc>
        <w:tc>
          <w:tcPr>
            <w:tcW w:w="992" w:type="dxa"/>
          </w:tcPr>
          <w:p w14:paraId="4B24FEEA" w14:textId="77777777" w:rsidR="00790993" w:rsidRPr="00FF4D4B" w:rsidRDefault="00790993" w:rsidP="00790993">
            <w:pPr>
              <w:jc w:val="center"/>
              <w:rPr>
                <w:rFonts w:cs="Times New Roman"/>
                <w:b/>
                <w:sz w:val="16"/>
                <w:szCs w:val="16"/>
              </w:rPr>
            </w:pPr>
            <w:r w:rsidRPr="00FF4D4B">
              <w:rPr>
                <w:rFonts w:cs="Times New Roman"/>
                <w:b/>
                <w:sz w:val="16"/>
                <w:szCs w:val="16"/>
              </w:rPr>
              <w:t>Exercise price</w:t>
            </w:r>
          </w:p>
        </w:tc>
        <w:tc>
          <w:tcPr>
            <w:tcW w:w="851" w:type="dxa"/>
          </w:tcPr>
          <w:p w14:paraId="65544706" w14:textId="77777777" w:rsidR="00790993" w:rsidRPr="00FF4D4B" w:rsidRDefault="00790993" w:rsidP="00790993">
            <w:pPr>
              <w:jc w:val="center"/>
              <w:rPr>
                <w:rFonts w:cs="Times New Roman"/>
                <w:b/>
                <w:sz w:val="16"/>
                <w:szCs w:val="16"/>
              </w:rPr>
            </w:pPr>
            <w:r w:rsidRPr="00FF4D4B">
              <w:rPr>
                <w:rFonts w:cs="Times New Roman"/>
                <w:b/>
                <w:sz w:val="16"/>
                <w:szCs w:val="16"/>
              </w:rPr>
              <w:t>Tender offer</w:t>
            </w:r>
          </w:p>
        </w:tc>
        <w:tc>
          <w:tcPr>
            <w:tcW w:w="1276" w:type="dxa"/>
          </w:tcPr>
          <w:p w14:paraId="6D35A039" w14:textId="77777777" w:rsidR="00790993" w:rsidRPr="00FF4D4B" w:rsidRDefault="00790993" w:rsidP="00790993">
            <w:pPr>
              <w:jc w:val="center"/>
              <w:rPr>
                <w:rFonts w:cs="Times New Roman"/>
                <w:b/>
                <w:sz w:val="16"/>
                <w:szCs w:val="16"/>
              </w:rPr>
            </w:pPr>
            <w:r w:rsidRPr="00FF4D4B">
              <w:rPr>
                <w:rFonts w:cs="Times New Roman"/>
                <w:b/>
                <w:sz w:val="16"/>
                <w:szCs w:val="16"/>
              </w:rPr>
              <w:t>Earnings</w:t>
            </w:r>
          </w:p>
        </w:tc>
        <w:tc>
          <w:tcPr>
            <w:tcW w:w="992" w:type="dxa"/>
          </w:tcPr>
          <w:p w14:paraId="3D508BE4" w14:textId="77777777" w:rsidR="00790993" w:rsidRPr="00FF4D4B" w:rsidRDefault="00790993" w:rsidP="00790993">
            <w:pPr>
              <w:jc w:val="center"/>
              <w:rPr>
                <w:rFonts w:cs="Times New Roman"/>
                <w:b/>
                <w:sz w:val="16"/>
                <w:szCs w:val="16"/>
              </w:rPr>
            </w:pPr>
            <w:r w:rsidRPr="00FF4D4B">
              <w:rPr>
                <w:rFonts w:cs="Times New Roman"/>
                <w:b/>
                <w:sz w:val="16"/>
                <w:szCs w:val="16"/>
              </w:rPr>
              <w:t>Provision value</w:t>
            </w:r>
          </w:p>
        </w:tc>
        <w:tc>
          <w:tcPr>
            <w:tcW w:w="1276" w:type="dxa"/>
          </w:tcPr>
          <w:p w14:paraId="561373EE" w14:textId="77777777" w:rsidR="00790993" w:rsidRPr="00FF4D4B" w:rsidRDefault="00790993" w:rsidP="00790993">
            <w:pPr>
              <w:jc w:val="center"/>
              <w:rPr>
                <w:rFonts w:cs="Times New Roman"/>
                <w:b/>
                <w:sz w:val="16"/>
                <w:szCs w:val="16"/>
              </w:rPr>
            </w:pPr>
            <w:r w:rsidRPr="00FF4D4B">
              <w:rPr>
                <w:rFonts w:cs="Times New Roman"/>
                <w:b/>
                <w:sz w:val="16"/>
                <w:szCs w:val="16"/>
              </w:rPr>
              <w:t>Revised earning</w:t>
            </w:r>
          </w:p>
        </w:tc>
      </w:tr>
      <w:tr w:rsidR="00790993" w:rsidRPr="00FF4D4B" w14:paraId="6DEAFEC8" w14:textId="77777777" w:rsidTr="00790993">
        <w:tc>
          <w:tcPr>
            <w:tcW w:w="959" w:type="dxa"/>
          </w:tcPr>
          <w:p w14:paraId="712E5018" w14:textId="77777777" w:rsidR="00790993" w:rsidRPr="00FF4D4B" w:rsidRDefault="00790993" w:rsidP="00790993">
            <w:pPr>
              <w:jc w:val="center"/>
              <w:rPr>
                <w:rFonts w:cs="Times New Roman"/>
                <w:sz w:val="16"/>
                <w:szCs w:val="16"/>
              </w:rPr>
            </w:pPr>
            <w:r w:rsidRPr="00FF4D4B">
              <w:rPr>
                <w:rFonts w:cs="Times New Roman"/>
                <w:sz w:val="16"/>
                <w:szCs w:val="16"/>
              </w:rPr>
              <w:t>2000</w:t>
            </w:r>
          </w:p>
        </w:tc>
        <w:tc>
          <w:tcPr>
            <w:tcW w:w="992" w:type="dxa"/>
          </w:tcPr>
          <w:p w14:paraId="18C39B5D" w14:textId="77777777" w:rsidR="00790993" w:rsidRPr="00FF4D4B" w:rsidRDefault="00790993" w:rsidP="00790993">
            <w:pPr>
              <w:jc w:val="right"/>
              <w:rPr>
                <w:rFonts w:cs="Times New Roman"/>
                <w:sz w:val="16"/>
                <w:szCs w:val="16"/>
              </w:rPr>
            </w:pPr>
            <w:r w:rsidRPr="00FF4D4B">
              <w:rPr>
                <w:rFonts w:cs="Times New Roman"/>
                <w:sz w:val="16"/>
                <w:szCs w:val="16"/>
              </w:rPr>
              <w:t>60,000</w:t>
            </w:r>
          </w:p>
        </w:tc>
        <w:tc>
          <w:tcPr>
            <w:tcW w:w="992" w:type="dxa"/>
          </w:tcPr>
          <w:p w14:paraId="232BEEF7" w14:textId="77777777" w:rsidR="00790993" w:rsidRPr="00FF4D4B" w:rsidRDefault="00790993" w:rsidP="00790993">
            <w:pPr>
              <w:jc w:val="right"/>
              <w:rPr>
                <w:rFonts w:cs="Times New Roman"/>
                <w:sz w:val="16"/>
                <w:szCs w:val="16"/>
              </w:rPr>
            </w:pPr>
            <w:r w:rsidRPr="00FF4D4B">
              <w:rPr>
                <w:rFonts w:cs="Times New Roman"/>
                <w:sz w:val="16"/>
                <w:szCs w:val="16"/>
              </w:rPr>
              <w:t>€21.30</w:t>
            </w:r>
          </w:p>
        </w:tc>
        <w:tc>
          <w:tcPr>
            <w:tcW w:w="851" w:type="dxa"/>
          </w:tcPr>
          <w:p w14:paraId="677B4BB3" w14:textId="77777777" w:rsidR="00790993" w:rsidRPr="00FF4D4B" w:rsidRDefault="00790993" w:rsidP="00790993">
            <w:pPr>
              <w:jc w:val="center"/>
              <w:rPr>
                <w:rFonts w:cs="Times New Roman"/>
                <w:sz w:val="16"/>
                <w:szCs w:val="16"/>
              </w:rPr>
            </w:pPr>
            <w:r w:rsidRPr="00FF4D4B">
              <w:rPr>
                <w:rFonts w:cs="Times New Roman"/>
                <w:sz w:val="16"/>
                <w:szCs w:val="16"/>
              </w:rPr>
              <w:t>€37.88</w:t>
            </w:r>
          </w:p>
        </w:tc>
        <w:tc>
          <w:tcPr>
            <w:tcW w:w="1276" w:type="dxa"/>
          </w:tcPr>
          <w:p w14:paraId="0014074B"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 xml:space="preserve">€2,272,800 </w:t>
            </w:r>
          </w:p>
        </w:tc>
        <w:tc>
          <w:tcPr>
            <w:tcW w:w="992" w:type="dxa"/>
          </w:tcPr>
          <w:p w14:paraId="1B6885FD" w14:textId="77777777" w:rsidR="00790993" w:rsidRPr="00FF4D4B" w:rsidRDefault="00790993" w:rsidP="00790993">
            <w:pPr>
              <w:jc w:val="center"/>
              <w:rPr>
                <w:rFonts w:cs="Times New Roman"/>
                <w:sz w:val="16"/>
                <w:szCs w:val="16"/>
              </w:rPr>
            </w:pPr>
            <w:r w:rsidRPr="00FF4D4B">
              <w:rPr>
                <w:rFonts w:cs="Times New Roman"/>
                <w:sz w:val="16"/>
                <w:szCs w:val="16"/>
              </w:rPr>
              <w:t>€29.62</w:t>
            </w:r>
          </w:p>
        </w:tc>
        <w:tc>
          <w:tcPr>
            <w:tcW w:w="1276" w:type="dxa"/>
          </w:tcPr>
          <w:p w14:paraId="13E9082A"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€1,777,200</w:t>
            </w:r>
          </w:p>
        </w:tc>
      </w:tr>
      <w:tr w:rsidR="00790993" w:rsidRPr="00FF4D4B" w14:paraId="7B10F295" w14:textId="77777777" w:rsidTr="00790993">
        <w:tc>
          <w:tcPr>
            <w:tcW w:w="959" w:type="dxa"/>
          </w:tcPr>
          <w:p w14:paraId="6B3D4274" w14:textId="77777777" w:rsidR="00790993" w:rsidRPr="00FF4D4B" w:rsidRDefault="00790993" w:rsidP="00790993">
            <w:pPr>
              <w:jc w:val="center"/>
              <w:rPr>
                <w:rFonts w:cs="Times New Roman"/>
                <w:sz w:val="16"/>
                <w:szCs w:val="16"/>
              </w:rPr>
            </w:pPr>
            <w:r w:rsidRPr="00FF4D4B">
              <w:rPr>
                <w:rFonts w:cs="Times New Roman"/>
                <w:sz w:val="16"/>
                <w:szCs w:val="16"/>
              </w:rPr>
              <w:t>2001</w:t>
            </w:r>
          </w:p>
        </w:tc>
        <w:tc>
          <w:tcPr>
            <w:tcW w:w="992" w:type="dxa"/>
          </w:tcPr>
          <w:p w14:paraId="282B4976" w14:textId="77777777" w:rsidR="00790993" w:rsidRPr="00FF4D4B" w:rsidRDefault="00790993" w:rsidP="00790993">
            <w:pPr>
              <w:jc w:val="right"/>
              <w:rPr>
                <w:rFonts w:cs="Times New Roman"/>
                <w:sz w:val="16"/>
                <w:szCs w:val="16"/>
              </w:rPr>
            </w:pPr>
            <w:r w:rsidRPr="00FF4D4B">
              <w:rPr>
                <w:rFonts w:cs="Times New Roman"/>
                <w:sz w:val="16"/>
                <w:szCs w:val="16"/>
              </w:rPr>
              <w:t>55,000</w:t>
            </w:r>
          </w:p>
        </w:tc>
        <w:tc>
          <w:tcPr>
            <w:tcW w:w="992" w:type="dxa"/>
          </w:tcPr>
          <w:p w14:paraId="1FAE0E4F" w14:textId="77777777" w:rsidR="00790993" w:rsidRPr="00FF4D4B" w:rsidRDefault="00790993" w:rsidP="00790993">
            <w:pPr>
              <w:jc w:val="right"/>
              <w:rPr>
                <w:rFonts w:cs="Times New Roman"/>
                <w:sz w:val="16"/>
                <w:szCs w:val="16"/>
              </w:rPr>
            </w:pPr>
            <w:r w:rsidRPr="00FF4D4B">
              <w:rPr>
                <w:rFonts w:cs="Times New Roman"/>
                <w:sz w:val="16"/>
                <w:szCs w:val="16"/>
              </w:rPr>
              <w:t>€23.14</w:t>
            </w:r>
          </w:p>
        </w:tc>
        <w:tc>
          <w:tcPr>
            <w:tcW w:w="851" w:type="dxa"/>
          </w:tcPr>
          <w:p w14:paraId="7367A963" w14:textId="77777777" w:rsidR="00790993" w:rsidRPr="00FF4D4B" w:rsidRDefault="00790993" w:rsidP="00790993">
            <w:pPr>
              <w:jc w:val="center"/>
              <w:rPr>
                <w:rFonts w:cs="Times New Roman"/>
                <w:sz w:val="16"/>
                <w:szCs w:val="16"/>
              </w:rPr>
            </w:pPr>
            <w:r w:rsidRPr="00FF4D4B">
              <w:rPr>
                <w:rFonts w:cs="Times New Roman"/>
                <w:sz w:val="16"/>
                <w:szCs w:val="16"/>
              </w:rPr>
              <w:t>€37.88</w:t>
            </w:r>
          </w:p>
        </w:tc>
        <w:tc>
          <w:tcPr>
            <w:tcW w:w="1276" w:type="dxa"/>
          </w:tcPr>
          <w:p w14:paraId="6ADA401C"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 xml:space="preserve">€2,083,400 </w:t>
            </w:r>
          </w:p>
        </w:tc>
        <w:tc>
          <w:tcPr>
            <w:tcW w:w="992" w:type="dxa"/>
          </w:tcPr>
          <w:p w14:paraId="51DA69D5" w14:textId="77777777" w:rsidR="00790993" w:rsidRPr="00FF4D4B" w:rsidRDefault="00790993" w:rsidP="00790993">
            <w:pPr>
              <w:jc w:val="center"/>
              <w:rPr>
                <w:rFonts w:cs="Times New Roman"/>
                <w:sz w:val="16"/>
                <w:szCs w:val="16"/>
              </w:rPr>
            </w:pPr>
            <w:r w:rsidRPr="00FF4D4B">
              <w:rPr>
                <w:rFonts w:cs="Times New Roman"/>
                <w:sz w:val="16"/>
                <w:szCs w:val="16"/>
              </w:rPr>
              <w:t>€29.62</w:t>
            </w:r>
          </w:p>
        </w:tc>
        <w:tc>
          <w:tcPr>
            <w:tcW w:w="1276" w:type="dxa"/>
          </w:tcPr>
          <w:p w14:paraId="431AED5D"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€1,629,100</w:t>
            </w:r>
          </w:p>
        </w:tc>
      </w:tr>
      <w:tr w:rsidR="00790993" w:rsidRPr="00FF4D4B" w14:paraId="6E72F83B" w14:textId="77777777" w:rsidTr="00790993">
        <w:tc>
          <w:tcPr>
            <w:tcW w:w="959" w:type="dxa"/>
          </w:tcPr>
          <w:p w14:paraId="54372A40" w14:textId="77777777" w:rsidR="00790993" w:rsidRPr="00FF4D4B" w:rsidRDefault="00790993" w:rsidP="00790993">
            <w:pPr>
              <w:jc w:val="center"/>
              <w:rPr>
                <w:rFonts w:cs="Times New Roman"/>
                <w:sz w:val="16"/>
                <w:szCs w:val="16"/>
              </w:rPr>
            </w:pPr>
            <w:r w:rsidRPr="00FF4D4B">
              <w:rPr>
                <w:rFonts w:cs="Times New Roman"/>
                <w:sz w:val="16"/>
                <w:szCs w:val="16"/>
              </w:rPr>
              <w:t>2002</w:t>
            </w:r>
          </w:p>
        </w:tc>
        <w:tc>
          <w:tcPr>
            <w:tcW w:w="992" w:type="dxa"/>
          </w:tcPr>
          <w:p w14:paraId="635CB748" w14:textId="77777777" w:rsidR="00790993" w:rsidRPr="00FF4D4B" w:rsidRDefault="00790993" w:rsidP="00790993">
            <w:pPr>
              <w:jc w:val="right"/>
              <w:rPr>
                <w:rFonts w:cs="Times New Roman"/>
                <w:sz w:val="16"/>
                <w:szCs w:val="16"/>
              </w:rPr>
            </w:pPr>
            <w:r w:rsidRPr="00FF4D4B">
              <w:rPr>
                <w:rFonts w:cs="Times New Roman"/>
                <w:sz w:val="16"/>
                <w:szCs w:val="16"/>
              </w:rPr>
              <w:t>112,000</w:t>
            </w:r>
          </w:p>
        </w:tc>
        <w:tc>
          <w:tcPr>
            <w:tcW w:w="992" w:type="dxa"/>
          </w:tcPr>
          <w:p w14:paraId="76F043C8" w14:textId="77777777" w:rsidR="00790993" w:rsidRPr="00FF4D4B" w:rsidRDefault="00790993" w:rsidP="00790993">
            <w:pPr>
              <w:jc w:val="right"/>
              <w:rPr>
                <w:rFonts w:cs="Times New Roman"/>
                <w:sz w:val="16"/>
                <w:szCs w:val="16"/>
              </w:rPr>
            </w:pPr>
            <w:r w:rsidRPr="00FF4D4B">
              <w:rPr>
                <w:rFonts w:cs="Times New Roman"/>
                <w:sz w:val="16"/>
                <w:szCs w:val="16"/>
              </w:rPr>
              <w:t>€19.53</w:t>
            </w:r>
          </w:p>
        </w:tc>
        <w:tc>
          <w:tcPr>
            <w:tcW w:w="851" w:type="dxa"/>
          </w:tcPr>
          <w:p w14:paraId="7A654ECE" w14:textId="77777777" w:rsidR="00790993" w:rsidRPr="00FF4D4B" w:rsidRDefault="00790993" w:rsidP="00790993">
            <w:pPr>
              <w:jc w:val="center"/>
              <w:rPr>
                <w:rFonts w:cs="Times New Roman"/>
                <w:sz w:val="16"/>
                <w:szCs w:val="16"/>
              </w:rPr>
            </w:pPr>
            <w:r w:rsidRPr="00FF4D4B">
              <w:rPr>
                <w:rFonts w:cs="Times New Roman"/>
                <w:sz w:val="16"/>
                <w:szCs w:val="16"/>
              </w:rPr>
              <w:t>€37.88</w:t>
            </w:r>
          </w:p>
        </w:tc>
        <w:tc>
          <w:tcPr>
            <w:tcW w:w="1276" w:type="dxa"/>
          </w:tcPr>
          <w:p w14:paraId="1B8D3E7B"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€4,242,560</w:t>
            </w:r>
          </w:p>
        </w:tc>
        <w:tc>
          <w:tcPr>
            <w:tcW w:w="992" w:type="dxa"/>
          </w:tcPr>
          <w:p w14:paraId="14A2C216" w14:textId="77777777" w:rsidR="00790993" w:rsidRPr="00FF4D4B" w:rsidRDefault="00790993" w:rsidP="00790993">
            <w:pPr>
              <w:jc w:val="center"/>
              <w:rPr>
                <w:rFonts w:cs="Times New Roman"/>
                <w:sz w:val="16"/>
                <w:szCs w:val="16"/>
              </w:rPr>
            </w:pPr>
            <w:r w:rsidRPr="00FF4D4B">
              <w:rPr>
                <w:rFonts w:cs="Times New Roman"/>
                <w:sz w:val="16"/>
                <w:szCs w:val="16"/>
              </w:rPr>
              <w:t>€29.62</w:t>
            </w:r>
          </w:p>
        </w:tc>
        <w:tc>
          <w:tcPr>
            <w:tcW w:w="1276" w:type="dxa"/>
          </w:tcPr>
          <w:p w14:paraId="42FC91D2"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€3,317,440</w:t>
            </w:r>
          </w:p>
        </w:tc>
      </w:tr>
      <w:tr w:rsidR="00790993" w:rsidRPr="00FF4D4B" w14:paraId="552D4B4A" w14:textId="77777777" w:rsidTr="00790993">
        <w:tc>
          <w:tcPr>
            <w:tcW w:w="959" w:type="dxa"/>
          </w:tcPr>
          <w:p w14:paraId="4BA9F28F" w14:textId="77777777" w:rsidR="00790993" w:rsidRPr="00FF4D4B" w:rsidRDefault="00790993" w:rsidP="00790993">
            <w:pPr>
              <w:jc w:val="center"/>
              <w:rPr>
                <w:rFonts w:cs="Times New Roman"/>
                <w:sz w:val="16"/>
                <w:szCs w:val="16"/>
              </w:rPr>
            </w:pPr>
            <w:r w:rsidRPr="00FF4D4B">
              <w:rPr>
                <w:rFonts w:cs="Times New Roman"/>
                <w:sz w:val="16"/>
                <w:szCs w:val="16"/>
              </w:rPr>
              <w:t>2003</w:t>
            </w:r>
          </w:p>
        </w:tc>
        <w:tc>
          <w:tcPr>
            <w:tcW w:w="992" w:type="dxa"/>
          </w:tcPr>
          <w:p w14:paraId="51CB2CFE" w14:textId="77777777" w:rsidR="00790993" w:rsidRPr="00FF4D4B" w:rsidRDefault="00790993" w:rsidP="00790993">
            <w:pPr>
              <w:jc w:val="right"/>
              <w:rPr>
                <w:rFonts w:cs="Times New Roman"/>
                <w:sz w:val="16"/>
                <w:szCs w:val="16"/>
              </w:rPr>
            </w:pPr>
            <w:r w:rsidRPr="00FF4D4B">
              <w:rPr>
                <w:rFonts w:cs="Times New Roman"/>
                <w:sz w:val="16"/>
                <w:szCs w:val="16"/>
              </w:rPr>
              <w:t>133,000</w:t>
            </w:r>
          </w:p>
        </w:tc>
        <w:tc>
          <w:tcPr>
            <w:tcW w:w="992" w:type="dxa"/>
          </w:tcPr>
          <w:p w14:paraId="7A89EC54" w14:textId="77777777" w:rsidR="00790993" w:rsidRPr="00FF4D4B" w:rsidRDefault="00790993" w:rsidP="00790993">
            <w:pPr>
              <w:jc w:val="right"/>
              <w:rPr>
                <w:rFonts w:cs="Times New Roman"/>
                <w:sz w:val="16"/>
                <w:szCs w:val="16"/>
              </w:rPr>
            </w:pPr>
            <w:r w:rsidRPr="00FF4D4B">
              <w:rPr>
                <w:rFonts w:cs="Times New Roman"/>
                <w:sz w:val="16"/>
                <w:szCs w:val="16"/>
              </w:rPr>
              <w:t>€14.45</w:t>
            </w:r>
          </w:p>
        </w:tc>
        <w:tc>
          <w:tcPr>
            <w:tcW w:w="851" w:type="dxa"/>
          </w:tcPr>
          <w:p w14:paraId="183C4D7A" w14:textId="77777777" w:rsidR="00790993" w:rsidRPr="00FF4D4B" w:rsidRDefault="00790993" w:rsidP="00790993">
            <w:pPr>
              <w:jc w:val="center"/>
              <w:rPr>
                <w:rFonts w:cs="Times New Roman"/>
                <w:sz w:val="16"/>
                <w:szCs w:val="16"/>
              </w:rPr>
            </w:pPr>
            <w:r w:rsidRPr="00FF4D4B">
              <w:rPr>
                <w:rFonts w:cs="Times New Roman"/>
                <w:sz w:val="16"/>
                <w:szCs w:val="16"/>
              </w:rPr>
              <w:t>€37.88</w:t>
            </w:r>
          </w:p>
        </w:tc>
        <w:tc>
          <w:tcPr>
            <w:tcW w:w="1276" w:type="dxa"/>
          </w:tcPr>
          <w:p w14:paraId="5C74F7A4"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€5,038,040</w:t>
            </w:r>
          </w:p>
        </w:tc>
        <w:tc>
          <w:tcPr>
            <w:tcW w:w="992" w:type="dxa"/>
          </w:tcPr>
          <w:p w14:paraId="0E4D42DF" w14:textId="77777777" w:rsidR="00790993" w:rsidRPr="00FF4D4B" w:rsidRDefault="00790993" w:rsidP="00790993">
            <w:pPr>
              <w:jc w:val="center"/>
              <w:rPr>
                <w:rFonts w:cs="Times New Roman"/>
                <w:sz w:val="16"/>
                <w:szCs w:val="16"/>
              </w:rPr>
            </w:pPr>
            <w:r w:rsidRPr="00FF4D4B">
              <w:rPr>
                <w:rFonts w:cs="Times New Roman"/>
                <w:sz w:val="16"/>
                <w:szCs w:val="16"/>
              </w:rPr>
              <w:t>€29.62</w:t>
            </w:r>
          </w:p>
        </w:tc>
        <w:tc>
          <w:tcPr>
            <w:tcW w:w="1276" w:type="dxa"/>
          </w:tcPr>
          <w:p w14:paraId="450B14E4"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 xml:space="preserve">€3,939,460 </w:t>
            </w:r>
          </w:p>
        </w:tc>
      </w:tr>
      <w:tr w:rsidR="00790993" w:rsidRPr="00FF4D4B" w14:paraId="01FC2AE5" w14:textId="77777777" w:rsidTr="00790993">
        <w:tc>
          <w:tcPr>
            <w:tcW w:w="959" w:type="dxa"/>
          </w:tcPr>
          <w:p w14:paraId="45AE3544" w14:textId="77777777" w:rsidR="00790993" w:rsidRPr="00FF4D4B" w:rsidRDefault="00790993" w:rsidP="00790993">
            <w:pPr>
              <w:jc w:val="center"/>
              <w:rPr>
                <w:rFonts w:cs="Times New Roman"/>
                <w:sz w:val="16"/>
                <w:szCs w:val="16"/>
              </w:rPr>
            </w:pPr>
            <w:r w:rsidRPr="00FF4D4B">
              <w:rPr>
                <w:rFonts w:cs="Times New Roman"/>
                <w:sz w:val="16"/>
                <w:szCs w:val="16"/>
              </w:rPr>
              <w:t>2004</w:t>
            </w:r>
          </w:p>
        </w:tc>
        <w:tc>
          <w:tcPr>
            <w:tcW w:w="992" w:type="dxa"/>
          </w:tcPr>
          <w:p w14:paraId="473E544F" w14:textId="77777777" w:rsidR="00790993" w:rsidRPr="00FF4D4B" w:rsidRDefault="00790993" w:rsidP="00790993">
            <w:pPr>
              <w:jc w:val="right"/>
              <w:rPr>
                <w:rFonts w:cs="Times New Roman"/>
                <w:sz w:val="16"/>
                <w:szCs w:val="16"/>
              </w:rPr>
            </w:pPr>
            <w:r w:rsidRPr="00FF4D4B">
              <w:rPr>
                <w:rFonts w:cs="Times New Roman"/>
                <w:sz w:val="16"/>
                <w:szCs w:val="16"/>
              </w:rPr>
              <w:t>126,000</w:t>
            </w:r>
          </w:p>
        </w:tc>
        <w:tc>
          <w:tcPr>
            <w:tcW w:w="992" w:type="dxa"/>
          </w:tcPr>
          <w:p w14:paraId="3D35360A" w14:textId="77777777" w:rsidR="00790993" w:rsidRPr="00FF4D4B" w:rsidRDefault="00790993" w:rsidP="00790993">
            <w:pPr>
              <w:jc w:val="right"/>
              <w:rPr>
                <w:rFonts w:cs="Times New Roman"/>
                <w:sz w:val="16"/>
                <w:szCs w:val="16"/>
              </w:rPr>
            </w:pPr>
            <w:r w:rsidRPr="00FF4D4B">
              <w:rPr>
                <w:rFonts w:cs="Times New Roman"/>
                <w:sz w:val="16"/>
                <w:szCs w:val="16"/>
              </w:rPr>
              <w:t>€18.86</w:t>
            </w:r>
          </w:p>
        </w:tc>
        <w:tc>
          <w:tcPr>
            <w:tcW w:w="851" w:type="dxa"/>
          </w:tcPr>
          <w:p w14:paraId="3D66E138" w14:textId="77777777" w:rsidR="00790993" w:rsidRPr="00FF4D4B" w:rsidRDefault="00790993" w:rsidP="00790993">
            <w:pPr>
              <w:jc w:val="center"/>
              <w:rPr>
                <w:rFonts w:cs="Times New Roman"/>
                <w:sz w:val="16"/>
                <w:szCs w:val="16"/>
              </w:rPr>
            </w:pPr>
            <w:r w:rsidRPr="00FF4D4B">
              <w:rPr>
                <w:rFonts w:cs="Times New Roman"/>
                <w:sz w:val="16"/>
                <w:szCs w:val="16"/>
              </w:rPr>
              <w:t>€37.88</w:t>
            </w:r>
          </w:p>
        </w:tc>
        <w:tc>
          <w:tcPr>
            <w:tcW w:w="1276" w:type="dxa"/>
          </w:tcPr>
          <w:p w14:paraId="2EDAF50A"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€4,772,880</w:t>
            </w:r>
          </w:p>
        </w:tc>
        <w:tc>
          <w:tcPr>
            <w:tcW w:w="992" w:type="dxa"/>
          </w:tcPr>
          <w:p w14:paraId="20F7565A" w14:textId="77777777" w:rsidR="00790993" w:rsidRPr="00FF4D4B" w:rsidRDefault="00790993" w:rsidP="00790993">
            <w:pPr>
              <w:jc w:val="center"/>
              <w:rPr>
                <w:rFonts w:cs="Times New Roman"/>
                <w:sz w:val="16"/>
                <w:szCs w:val="16"/>
              </w:rPr>
            </w:pPr>
            <w:r w:rsidRPr="00FF4D4B">
              <w:rPr>
                <w:rFonts w:cs="Times New Roman"/>
                <w:sz w:val="16"/>
                <w:szCs w:val="16"/>
              </w:rPr>
              <w:t>€29.62</w:t>
            </w:r>
          </w:p>
        </w:tc>
        <w:tc>
          <w:tcPr>
            <w:tcW w:w="1276" w:type="dxa"/>
          </w:tcPr>
          <w:p w14:paraId="4BB88CBE"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€3,732,120</w:t>
            </w:r>
          </w:p>
        </w:tc>
      </w:tr>
      <w:tr w:rsidR="00790993" w:rsidRPr="00FF4D4B" w14:paraId="4A6A5E68" w14:textId="77777777" w:rsidTr="00790993">
        <w:tc>
          <w:tcPr>
            <w:tcW w:w="959" w:type="dxa"/>
          </w:tcPr>
          <w:p w14:paraId="42064CD0" w14:textId="77777777" w:rsidR="00790993" w:rsidRPr="00FF4D4B" w:rsidRDefault="00790993" w:rsidP="00790993">
            <w:pPr>
              <w:jc w:val="center"/>
              <w:rPr>
                <w:rFonts w:cs="Times New Roman"/>
                <w:sz w:val="16"/>
                <w:szCs w:val="16"/>
              </w:rPr>
            </w:pPr>
            <w:r w:rsidRPr="00FF4D4B">
              <w:rPr>
                <w:rFonts w:cs="Times New Roman"/>
                <w:sz w:val="16"/>
                <w:szCs w:val="16"/>
              </w:rPr>
              <w:t>AOR 2001</w:t>
            </w:r>
          </w:p>
        </w:tc>
        <w:tc>
          <w:tcPr>
            <w:tcW w:w="992" w:type="dxa"/>
          </w:tcPr>
          <w:p w14:paraId="06BD9532" w14:textId="77777777" w:rsidR="00790993" w:rsidRPr="00FF4D4B" w:rsidRDefault="00790993" w:rsidP="00790993">
            <w:pPr>
              <w:jc w:val="right"/>
              <w:rPr>
                <w:rFonts w:cs="Times New Roman"/>
                <w:sz w:val="16"/>
                <w:szCs w:val="16"/>
              </w:rPr>
            </w:pPr>
            <w:r w:rsidRPr="00FF4D4B">
              <w:rPr>
                <w:rFonts w:cs="Times New Roman"/>
                <w:sz w:val="16"/>
                <w:szCs w:val="16"/>
              </w:rPr>
              <w:t>271</w:t>
            </w:r>
          </w:p>
        </w:tc>
        <w:tc>
          <w:tcPr>
            <w:tcW w:w="992" w:type="dxa"/>
          </w:tcPr>
          <w:p w14:paraId="32114A2D" w14:textId="77777777" w:rsidR="00790993" w:rsidRPr="00FF4D4B" w:rsidRDefault="00790993" w:rsidP="00790993">
            <w:pPr>
              <w:jc w:val="right"/>
              <w:rPr>
                <w:rFonts w:cs="Times New Roman"/>
                <w:sz w:val="16"/>
                <w:szCs w:val="16"/>
              </w:rPr>
            </w:pPr>
            <w:r w:rsidRPr="00FF4D4B">
              <w:rPr>
                <w:rFonts w:cs="Times New Roman"/>
                <w:sz w:val="16"/>
                <w:szCs w:val="16"/>
              </w:rPr>
              <w:t>€22.34</w:t>
            </w:r>
          </w:p>
        </w:tc>
        <w:tc>
          <w:tcPr>
            <w:tcW w:w="851" w:type="dxa"/>
          </w:tcPr>
          <w:p w14:paraId="5C575DDD" w14:textId="77777777" w:rsidR="00790993" w:rsidRPr="00FF4D4B" w:rsidRDefault="00790993" w:rsidP="00790993">
            <w:pPr>
              <w:jc w:val="center"/>
              <w:rPr>
                <w:rFonts w:cs="Times New Roman"/>
                <w:sz w:val="16"/>
                <w:szCs w:val="16"/>
              </w:rPr>
            </w:pPr>
            <w:r w:rsidRPr="00FF4D4B">
              <w:rPr>
                <w:rFonts w:cs="Times New Roman"/>
                <w:sz w:val="16"/>
                <w:szCs w:val="16"/>
              </w:rPr>
              <w:t>€37.88</w:t>
            </w:r>
          </w:p>
        </w:tc>
        <w:tc>
          <w:tcPr>
            <w:tcW w:w="1276" w:type="dxa"/>
          </w:tcPr>
          <w:p w14:paraId="1EB8C5FF"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€10,265</w:t>
            </w:r>
          </w:p>
        </w:tc>
        <w:tc>
          <w:tcPr>
            <w:tcW w:w="992" w:type="dxa"/>
          </w:tcPr>
          <w:p w14:paraId="319091E4" w14:textId="77777777" w:rsidR="00790993" w:rsidRPr="00FF4D4B" w:rsidRDefault="00790993" w:rsidP="00790993">
            <w:pPr>
              <w:jc w:val="center"/>
              <w:rPr>
                <w:rFonts w:cs="Times New Roman"/>
                <w:sz w:val="16"/>
                <w:szCs w:val="16"/>
              </w:rPr>
            </w:pPr>
            <w:r w:rsidRPr="00FF4D4B">
              <w:rPr>
                <w:rFonts w:cs="Times New Roman"/>
                <w:sz w:val="16"/>
                <w:szCs w:val="16"/>
              </w:rPr>
              <w:t>€29.62</w:t>
            </w:r>
          </w:p>
        </w:tc>
        <w:tc>
          <w:tcPr>
            <w:tcW w:w="1276" w:type="dxa"/>
          </w:tcPr>
          <w:p w14:paraId="1239B1E5"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€8,027</w:t>
            </w:r>
          </w:p>
        </w:tc>
      </w:tr>
      <w:tr w:rsidR="00790993" w:rsidRPr="00FF4D4B" w14:paraId="7F5A4580" w14:textId="77777777" w:rsidTr="00790993">
        <w:tc>
          <w:tcPr>
            <w:tcW w:w="959" w:type="dxa"/>
          </w:tcPr>
          <w:p w14:paraId="6DB488CE" w14:textId="77777777" w:rsidR="00790993" w:rsidRPr="00FF4D4B" w:rsidRDefault="00790993" w:rsidP="00790993">
            <w:pPr>
              <w:jc w:val="center"/>
              <w:rPr>
                <w:rFonts w:cs="Times New Roman"/>
                <w:sz w:val="16"/>
                <w:szCs w:val="16"/>
              </w:rPr>
            </w:pPr>
            <w:r w:rsidRPr="00FF4D4B">
              <w:rPr>
                <w:rFonts w:cs="Times New Roman"/>
                <w:sz w:val="16"/>
                <w:szCs w:val="16"/>
              </w:rPr>
              <w:lastRenderedPageBreak/>
              <w:t>AOR 2002</w:t>
            </w:r>
          </w:p>
        </w:tc>
        <w:tc>
          <w:tcPr>
            <w:tcW w:w="992" w:type="dxa"/>
          </w:tcPr>
          <w:p w14:paraId="41F13C8C" w14:textId="77777777" w:rsidR="00790993" w:rsidRPr="00FF4D4B" w:rsidRDefault="00790993" w:rsidP="00790993">
            <w:pPr>
              <w:jc w:val="right"/>
              <w:rPr>
                <w:rFonts w:cs="Times New Roman"/>
                <w:sz w:val="16"/>
                <w:szCs w:val="16"/>
              </w:rPr>
            </w:pPr>
            <w:r w:rsidRPr="00FF4D4B">
              <w:rPr>
                <w:rFonts w:cs="Times New Roman"/>
                <w:sz w:val="16"/>
                <w:szCs w:val="16"/>
              </w:rPr>
              <w:t>296</w:t>
            </w:r>
          </w:p>
        </w:tc>
        <w:tc>
          <w:tcPr>
            <w:tcW w:w="992" w:type="dxa"/>
          </w:tcPr>
          <w:p w14:paraId="5EACAE7C" w14:textId="77777777" w:rsidR="00790993" w:rsidRPr="00FF4D4B" w:rsidRDefault="00790993" w:rsidP="00790993">
            <w:pPr>
              <w:jc w:val="right"/>
              <w:rPr>
                <w:rFonts w:cs="Times New Roman"/>
                <w:sz w:val="16"/>
                <w:szCs w:val="16"/>
              </w:rPr>
            </w:pPr>
            <w:r w:rsidRPr="00FF4D4B">
              <w:rPr>
                <w:rFonts w:cs="Times New Roman"/>
                <w:sz w:val="16"/>
                <w:szCs w:val="16"/>
              </w:rPr>
              <w:t>€20.24</w:t>
            </w:r>
          </w:p>
        </w:tc>
        <w:tc>
          <w:tcPr>
            <w:tcW w:w="851" w:type="dxa"/>
          </w:tcPr>
          <w:p w14:paraId="21AEACE8" w14:textId="77777777" w:rsidR="00790993" w:rsidRPr="00FF4D4B" w:rsidRDefault="00790993" w:rsidP="00790993">
            <w:pPr>
              <w:jc w:val="center"/>
              <w:rPr>
                <w:rFonts w:cs="Times New Roman"/>
                <w:sz w:val="16"/>
                <w:szCs w:val="16"/>
              </w:rPr>
            </w:pPr>
            <w:r w:rsidRPr="00FF4D4B">
              <w:rPr>
                <w:rFonts w:cs="Times New Roman"/>
                <w:sz w:val="16"/>
                <w:szCs w:val="16"/>
              </w:rPr>
              <w:t>€37.88</w:t>
            </w:r>
          </w:p>
        </w:tc>
        <w:tc>
          <w:tcPr>
            <w:tcW w:w="1276" w:type="dxa"/>
          </w:tcPr>
          <w:p w14:paraId="452BFC4C"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€11,212</w:t>
            </w:r>
          </w:p>
        </w:tc>
        <w:tc>
          <w:tcPr>
            <w:tcW w:w="992" w:type="dxa"/>
          </w:tcPr>
          <w:p w14:paraId="437ADC68" w14:textId="77777777" w:rsidR="00790993" w:rsidRPr="00FF4D4B" w:rsidRDefault="00790993" w:rsidP="00790993">
            <w:pPr>
              <w:jc w:val="center"/>
              <w:rPr>
                <w:rFonts w:cs="Times New Roman"/>
                <w:sz w:val="16"/>
                <w:szCs w:val="16"/>
              </w:rPr>
            </w:pPr>
            <w:r w:rsidRPr="00FF4D4B">
              <w:rPr>
                <w:rFonts w:cs="Times New Roman"/>
                <w:sz w:val="16"/>
                <w:szCs w:val="16"/>
              </w:rPr>
              <w:t>€29.62</w:t>
            </w:r>
          </w:p>
        </w:tc>
        <w:tc>
          <w:tcPr>
            <w:tcW w:w="1276" w:type="dxa"/>
          </w:tcPr>
          <w:p w14:paraId="5B6651BA"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€8,768</w:t>
            </w:r>
          </w:p>
        </w:tc>
      </w:tr>
      <w:tr w:rsidR="00790993" w:rsidRPr="00FF4D4B" w14:paraId="2153CAB7" w14:textId="77777777" w:rsidTr="00790993">
        <w:tc>
          <w:tcPr>
            <w:tcW w:w="959" w:type="dxa"/>
          </w:tcPr>
          <w:p w14:paraId="45294625" w14:textId="77777777" w:rsidR="00790993" w:rsidRPr="00FF4D4B" w:rsidRDefault="00790993" w:rsidP="00790993">
            <w:pPr>
              <w:jc w:val="center"/>
              <w:rPr>
                <w:rFonts w:cs="Times New Roman"/>
                <w:sz w:val="16"/>
                <w:szCs w:val="16"/>
              </w:rPr>
            </w:pPr>
            <w:r w:rsidRPr="00FF4D4B">
              <w:rPr>
                <w:rFonts w:cs="Times New Roman"/>
                <w:sz w:val="16"/>
                <w:szCs w:val="16"/>
              </w:rPr>
              <w:t>Total</w:t>
            </w:r>
          </w:p>
        </w:tc>
        <w:tc>
          <w:tcPr>
            <w:tcW w:w="992" w:type="dxa"/>
          </w:tcPr>
          <w:p w14:paraId="5B74E304" w14:textId="77777777" w:rsidR="00790993" w:rsidRPr="00FF4D4B" w:rsidRDefault="00790993" w:rsidP="00790993">
            <w:pPr>
              <w:jc w:val="right"/>
              <w:rPr>
                <w:rFonts w:cs="Times New Roman"/>
                <w:sz w:val="16"/>
                <w:szCs w:val="16"/>
              </w:rPr>
            </w:pPr>
            <w:r w:rsidRPr="00FF4D4B">
              <w:rPr>
                <w:rFonts w:cs="Times New Roman"/>
                <w:sz w:val="16"/>
                <w:szCs w:val="16"/>
              </w:rPr>
              <w:t>486,567</w:t>
            </w:r>
          </w:p>
        </w:tc>
        <w:tc>
          <w:tcPr>
            <w:tcW w:w="992" w:type="dxa"/>
          </w:tcPr>
          <w:p w14:paraId="2E35E7AC" w14:textId="77777777" w:rsidR="00790993" w:rsidRPr="00FF4D4B" w:rsidRDefault="00790993" w:rsidP="00790993">
            <w:pPr>
              <w:rPr>
                <w:rFonts w:cs="Times New Roman"/>
                <w:sz w:val="16"/>
                <w:szCs w:val="16"/>
              </w:rPr>
            </w:pPr>
          </w:p>
        </w:tc>
        <w:tc>
          <w:tcPr>
            <w:tcW w:w="851" w:type="dxa"/>
          </w:tcPr>
          <w:p w14:paraId="65057571" w14:textId="77777777" w:rsidR="00790993" w:rsidRPr="00FF4D4B" w:rsidRDefault="00790993" w:rsidP="00790993">
            <w:pPr>
              <w:rPr>
                <w:rFonts w:cs="Times New Roman"/>
                <w:sz w:val="16"/>
                <w:szCs w:val="16"/>
              </w:rPr>
            </w:pPr>
          </w:p>
        </w:tc>
        <w:tc>
          <w:tcPr>
            <w:tcW w:w="1276" w:type="dxa"/>
          </w:tcPr>
          <w:p w14:paraId="1D776697"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€18,431,158</w:t>
            </w:r>
          </w:p>
        </w:tc>
        <w:tc>
          <w:tcPr>
            <w:tcW w:w="992" w:type="dxa"/>
          </w:tcPr>
          <w:p w14:paraId="08A76FF9" w14:textId="77777777" w:rsidR="00790993" w:rsidRPr="00FF4D4B" w:rsidRDefault="00790993" w:rsidP="00790993">
            <w:pPr>
              <w:jc w:val="right"/>
              <w:rPr>
                <w:rFonts w:cs="Times New Roman"/>
                <w:sz w:val="16"/>
                <w:szCs w:val="16"/>
              </w:rPr>
            </w:pPr>
          </w:p>
        </w:tc>
        <w:tc>
          <w:tcPr>
            <w:tcW w:w="1276" w:type="dxa"/>
          </w:tcPr>
          <w:p w14:paraId="1A7F5104" w14:textId="77777777" w:rsidR="00790993" w:rsidRPr="00FF4D4B" w:rsidRDefault="00790993" w:rsidP="00790993">
            <w:pPr>
              <w:jc w:val="right"/>
              <w:rPr>
                <w:rFonts w:cs="Times New Roman"/>
                <w:sz w:val="16"/>
                <w:szCs w:val="16"/>
                <w:lang w:eastAsia="nl-NL"/>
              </w:rPr>
            </w:pPr>
            <w:r w:rsidRPr="00FF4D4B">
              <w:rPr>
                <w:rFonts w:cs="Times New Roman"/>
                <w:sz w:val="16"/>
                <w:szCs w:val="16"/>
                <w:lang w:eastAsia="nl-NL"/>
              </w:rPr>
              <w:t>€14,412,115</w:t>
            </w:r>
          </w:p>
        </w:tc>
      </w:tr>
    </w:tbl>
    <w:p w14:paraId="5F2411C6" w14:textId="77777777" w:rsidR="00790993" w:rsidRPr="00FF4D4B" w:rsidRDefault="00790993" w:rsidP="00680CE3">
      <w:pPr>
        <w:rPr>
          <w:rFonts w:cs="Times New Roman"/>
        </w:rPr>
      </w:pPr>
    </w:p>
    <w:p w14:paraId="3B6FFF2F" w14:textId="406DD91A" w:rsidR="00726B0D" w:rsidRPr="00FF4D4B" w:rsidRDefault="00A0109B" w:rsidP="00680CE3">
      <w:pPr>
        <w:rPr>
          <w:rFonts w:cs="Times New Roman"/>
        </w:rPr>
      </w:pPr>
      <w:r w:rsidRPr="00FF4D4B">
        <w:rPr>
          <w:rFonts w:cs="Times New Roman"/>
        </w:rPr>
        <w:t xml:space="preserve">This would mean that the CEO of ABN </w:t>
      </w:r>
      <w:r w:rsidR="00A00A4C" w:rsidRPr="00FF4D4B">
        <w:rPr>
          <w:rFonts w:cs="Times New Roman"/>
        </w:rPr>
        <w:t>AMRO</w:t>
      </w:r>
      <w:r w:rsidRPr="00FF4D4B">
        <w:rPr>
          <w:rFonts w:cs="Times New Roman"/>
        </w:rPr>
        <w:t>, would receive €1</w:t>
      </w:r>
      <w:r w:rsidR="00790993" w:rsidRPr="00FF4D4B">
        <w:rPr>
          <w:rFonts w:cs="Times New Roman"/>
        </w:rPr>
        <w:t>4</w:t>
      </w:r>
      <w:r w:rsidRPr="00FF4D4B">
        <w:rPr>
          <w:rFonts w:cs="Times New Roman"/>
        </w:rPr>
        <w:t>,</w:t>
      </w:r>
      <w:r w:rsidR="00790993" w:rsidRPr="00FF4D4B">
        <w:rPr>
          <w:rFonts w:cs="Times New Roman"/>
        </w:rPr>
        <w:t>412</w:t>
      </w:r>
      <w:r w:rsidRPr="00FF4D4B">
        <w:rPr>
          <w:rFonts w:cs="Times New Roman"/>
        </w:rPr>
        <w:t>,</w:t>
      </w:r>
      <w:r w:rsidR="00790993" w:rsidRPr="00FF4D4B">
        <w:rPr>
          <w:rFonts w:cs="Times New Roman"/>
        </w:rPr>
        <w:t>115</w:t>
      </w:r>
      <w:r w:rsidRPr="00FF4D4B">
        <w:rPr>
          <w:rFonts w:cs="Times New Roman"/>
        </w:rPr>
        <w:t xml:space="preserve"> for his</w:t>
      </w:r>
      <w:r w:rsidR="00790993" w:rsidRPr="00FF4D4B">
        <w:rPr>
          <w:rFonts w:cs="Times New Roman"/>
        </w:rPr>
        <w:t xml:space="preserve"> options.</w:t>
      </w:r>
      <w:r w:rsidR="00A00A4C" w:rsidRPr="00FF4D4B">
        <w:rPr>
          <w:rFonts w:cs="Times New Roman"/>
        </w:rPr>
        <w:t xml:space="preserve"> </w:t>
      </w:r>
      <w:r w:rsidR="00790993" w:rsidRPr="00FF4D4B">
        <w:rPr>
          <w:rFonts w:cs="Times New Roman"/>
        </w:rPr>
        <w:t>The 28,822 matched shares and 77,012 private shares that the CEO owned would be worth  €3,134,803.08</w:t>
      </w:r>
      <w:r w:rsidR="008F7C28" w:rsidRPr="00FF4D4B">
        <w:rPr>
          <w:rFonts w:cs="Times New Roman"/>
        </w:rPr>
        <w:t>.</w:t>
      </w:r>
      <w:r w:rsidR="00A00A4C" w:rsidRPr="00FF4D4B">
        <w:rPr>
          <w:rFonts w:cs="Times New Roman"/>
        </w:rPr>
        <w:t xml:space="preserve"> </w:t>
      </w:r>
      <w:r w:rsidR="008F7C28" w:rsidRPr="00FF4D4B">
        <w:rPr>
          <w:rFonts w:cs="Times New Roman"/>
        </w:rPr>
        <w:t>The total of the options, shares and termination payment would make €22</w:t>
      </w:r>
      <w:r w:rsidR="00A00A4C" w:rsidRPr="00FF4D4B">
        <w:rPr>
          <w:rFonts w:cs="Times New Roman"/>
        </w:rPr>
        <w:t>,</w:t>
      </w:r>
      <w:r w:rsidR="008F7C28" w:rsidRPr="00FF4D4B">
        <w:rPr>
          <w:rFonts w:cs="Times New Roman"/>
        </w:rPr>
        <w:t>446</w:t>
      </w:r>
      <w:r w:rsidR="00A00A4C" w:rsidRPr="00FF4D4B">
        <w:rPr>
          <w:rFonts w:cs="Times New Roman"/>
        </w:rPr>
        <w:t>,</w:t>
      </w:r>
      <w:r w:rsidR="008F7C28" w:rsidRPr="00FF4D4B">
        <w:rPr>
          <w:rFonts w:cs="Times New Roman"/>
        </w:rPr>
        <w:t>917</w:t>
      </w:r>
      <w:r w:rsidR="00A00A4C" w:rsidRPr="00FF4D4B">
        <w:rPr>
          <w:rFonts w:cs="Times New Roman"/>
        </w:rPr>
        <w:t xml:space="preserve">.62. </w:t>
      </w:r>
      <w:r w:rsidRPr="00FF4D4B">
        <w:rPr>
          <w:rFonts w:cs="Times New Roman"/>
        </w:rPr>
        <w:t xml:space="preserve">This amount is </w:t>
      </w:r>
      <w:r w:rsidR="008F7C28" w:rsidRPr="00FF4D4B">
        <w:rPr>
          <w:rFonts w:cs="Times New Roman"/>
        </w:rPr>
        <w:t xml:space="preserve"> €4,893,232.26 </w:t>
      </w:r>
      <w:r w:rsidR="00CD5439" w:rsidRPr="00FF4D4B">
        <w:rPr>
          <w:rFonts w:cs="Times New Roman"/>
        </w:rPr>
        <w:t>less than the value Groen</w:t>
      </w:r>
      <w:r w:rsidR="00EB0C3B" w:rsidRPr="00FF4D4B">
        <w:rPr>
          <w:rFonts w:cs="Times New Roman"/>
        </w:rPr>
        <w:t>ink received for his shares in the original case</w:t>
      </w:r>
      <w:r w:rsidR="00CD5439" w:rsidRPr="00FF4D4B">
        <w:rPr>
          <w:rFonts w:cs="Times New Roman"/>
        </w:rPr>
        <w:t xml:space="preserve">. </w:t>
      </w:r>
    </w:p>
    <w:p w14:paraId="5F364A5C" w14:textId="01355AA1" w:rsidR="00E952E2" w:rsidRPr="00FF4D4B" w:rsidRDefault="00E952E2" w:rsidP="00680CE3">
      <w:pPr>
        <w:rPr>
          <w:rFonts w:cs="Times New Roman"/>
        </w:rPr>
      </w:pPr>
      <w:r w:rsidRPr="00FF4D4B">
        <w:rPr>
          <w:rFonts w:cs="Times New Roman"/>
        </w:rPr>
        <w:t xml:space="preserve">The CEO of ABN </w:t>
      </w:r>
      <w:r w:rsidR="00A00A4C" w:rsidRPr="00FF4D4B">
        <w:rPr>
          <w:rFonts w:cs="Times New Roman"/>
        </w:rPr>
        <w:t xml:space="preserve">AMRO </w:t>
      </w:r>
      <w:r w:rsidRPr="00FF4D4B">
        <w:rPr>
          <w:rFonts w:cs="Times New Roman"/>
        </w:rPr>
        <w:t xml:space="preserve">would have received approximately 5 million euro less as a result of the Provision. </w:t>
      </w:r>
      <w:r w:rsidR="00DB37D0" w:rsidRPr="00FF4D4B">
        <w:rPr>
          <w:rFonts w:cs="Times New Roman"/>
        </w:rPr>
        <w:t>However, because the board preferred a merger with Barclays to the takeover of RFS, the takeover is considered hostile. The takeover was not initiated by t</w:t>
      </w:r>
      <w:r w:rsidR="008F7C28" w:rsidRPr="00FF4D4B">
        <w:rPr>
          <w:rFonts w:cs="Times New Roman"/>
        </w:rPr>
        <w:t>he board of ABN, but by a shareholder of ABN</w:t>
      </w:r>
      <w:r w:rsidR="00DB37D0" w:rsidRPr="00FF4D4B">
        <w:rPr>
          <w:rFonts w:cs="Times New Roman"/>
        </w:rPr>
        <w:t>.</w:t>
      </w:r>
      <w:r w:rsidR="00597801" w:rsidRPr="00FF4D4B">
        <w:rPr>
          <w:rFonts w:cs="Times New Roman"/>
        </w:rPr>
        <w:t xml:space="preserve"> The favored the deal with Barclays and would earn less on that deal.</w:t>
      </w:r>
      <w:r w:rsidR="00DB37D0" w:rsidRPr="00FF4D4B">
        <w:rPr>
          <w:rFonts w:cs="Times New Roman"/>
        </w:rPr>
        <w:t xml:space="preserve"> </w:t>
      </w:r>
      <w:r w:rsidR="008F7C28" w:rsidRPr="00FF4D4B">
        <w:rPr>
          <w:rFonts w:cs="Times New Roman"/>
        </w:rPr>
        <w:t>Taking this into consideration</w:t>
      </w:r>
      <w:r w:rsidR="00DB37D0" w:rsidRPr="00FF4D4B">
        <w:rPr>
          <w:rFonts w:cs="Times New Roman"/>
        </w:rPr>
        <w:t xml:space="preserve">, personal gain was not </w:t>
      </w:r>
      <w:r w:rsidR="008F7C28" w:rsidRPr="00FF4D4B">
        <w:rPr>
          <w:rFonts w:cs="Times New Roman"/>
        </w:rPr>
        <w:t>likely</w:t>
      </w:r>
      <w:r w:rsidR="00DB37D0" w:rsidRPr="00FF4D4B">
        <w:rPr>
          <w:rFonts w:cs="Times New Roman"/>
        </w:rPr>
        <w:t xml:space="preserve"> factor that</w:t>
      </w:r>
      <w:r w:rsidR="009D6012" w:rsidRPr="00FF4D4B">
        <w:rPr>
          <w:rFonts w:cs="Times New Roman"/>
        </w:rPr>
        <w:t xml:space="preserve"> had any influence on the decision for the takeover. </w:t>
      </w:r>
    </w:p>
    <w:p w14:paraId="3DDECA67" w14:textId="4E86CDA9" w:rsidR="00EF2DF8" w:rsidRPr="00FF4D4B" w:rsidRDefault="005E6DDC" w:rsidP="00680CE3">
      <w:pPr>
        <w:rPr>
          <w:rFonts w:cs="Times New Roman"/>
        </w:rPr>
      </w:pPr>
      <w:r w:rsidRPr="00FF4D4B">
        <w:rPr>
          <w:rFonts w:cs="Times New Roman"/>
        </w:rPr>
        <w:t>T</w:t>
      </w:r>
      <w:r w:rsidR="009D6012" w:rsidRPr="00FF4D4B">
        <w:rPr>
          <w:rFonts w:cs="Times New Roman"/>
        </w:rPr>
        <w:t xml:space="preserve">he Provision </w:t>
      </w:r>
      <w:r w:rsidRPr="00FF4D4B">
        <w:rPr>
          <w:rFonts w:cs="Times New Roman"/>
        </w:rPr>
        <w:t>targets the directors of the company and does not directly influence the shareholders</w:t>
      </w:r>
      <w:r w:rsidR="00597801" w:rsidRPr="00FF4D4B">
        <w:rPr>
          <w:rFonts w:cs="Times New Roman"/>
        </w:rPr>
        <w:t xml:space="preserve">. However, due to the huge amount of severance that the CEO received, ABN </w:t>
      </w:r>
      <w:r w:rsidRPr="00FF4D4B">
        <w:rPr>
          <w:rFonts w:cs="Times New Roman"/>
        </w:rPr>
        <w:t xml:space="preserve">AMRO </w:t>
      </w:r>
      <w:r w:rsidR="00597801" w:rsidRPr="00FF4D4B">
        <w:rPr>
          <w:rFonts w:cs="Times New Roman"/>
        </w:rPr>
        <w:t>received public criticism</w:t>
      </w:r>
      <w:r w:rsidR="00973170" w:rsidRPr="00FF4D4B">
        <w:rPr>
          <w:rFonts w:cs="Times New Roman"/>
        </w:rPr>
        <w:t>, an effect that harm</w:t>
      </w:r>
      <w:r w:rsidRPr="00FF4D4B">
        <w:rPr>
          <w:rFonts w:cs="Times New Roman"/>
        </w:rPr>
        <w:t>s</w:t>
      </w:r>
      <w:r w:rsidR="00973170" w:rsidRPr="00FF4D4B">
        <w:rPr>
          <w:rFonts w:cs="Times New Roman"/>
        </w:rPr>
        <w:t xml:space="preserve"> company image and thereby</w:t>
      </w:r>
      <w:r w:rsidRPr="00FF4D4B">
        <w:rPr>
          <w:rFonts w:cs="Times New Roman"/>
        </w:rPr>
        <w:t xml:space="preserve"> possibly</w:t>
      </w:r>
      <w:r w:rsidR="00973170" w:rsidRPr="00FF4D4B">
        <w:rPr>
          <w:rFonts w:cs="Times New Roman"/>
        </w:rPr>
        <w:t xml:space="preserve"> shareholder value. With the provision in place, the CEO would receive less severance, but it would still amount to €22,446,917.62. Even with the </w:t>
      </w:r>
      <w:r w:rsidR="00973170" w:rsidRPr="00FF4D4B">
        <w:rPr>
          <w:rFonts w:cs="Times New Roman"/>
        </w:rPr>
        <w:lastRenderedPageBreak/>
        <w:t>Provision in place, this does still amount</w:t>
      </w:r>
      <w:r w:rsidR="00A00A4C" w:rsidRPr="00FF4D4B">
        <w:rPr>
          <w:rFonts w:cs="Times New Roman"/>
        </w:rPr>
        <w:t>s</w:t>
      </w:r>
      <w:r w:rsidR="00973170" w:rsidRPr="00FF4D4B">
        <w:rPr>
          <w:rFonts w:cs="Times New Roman"/>
        </w:rPr>
        <w:t xml:space="preserve"> to a </w:t>
      </w:r>
      <w:r w:rsidRPr="00FF4D4B">
        <w:rPr>
          <w:rFonts w:cs="Times New Roman"/>
        </w:rPr>
        <w:t xml:space="preserve">large </w:t>
      </w:r>
      <w:r w:rsidR="00973170" w:rsidRPr="00FF4D4B">
        <w:rPr>
          <w:rFonts w:cs="Times New Roman"/>
        </w:rPr>
        <w:t>sum of severance. It is unlikely that the Provision would justify the amount of severance for the public and thereby eliminating the threat of loss of image.</w:t>
      </w:r>
    </w:p>
    <w:p w14:paraId="0AE4E0B2" w14:textId="2F07D229" w:rsidR="00973170" w:rsidRPr="00FF4D4B" w:rsidRDefault="00973170" w:rsidP="00973170">
      <w:pPr>
        <w:rPr>
          <w:rFonts w:cs="Times New Roman"/>
        </w:rPr>
      </w:pPr>
      <w:r w:rsidRPr="00FF4D4B">
        <w:rPr>
          <w:rFonts w:cs="Times New Roman"/>
        </w:rPr>
        <w:t>The difference of approximately €5 million between the original severance and severance under the Provision would have stayed in the company.</w:t>
      </w:r>
      <w:r w:rsidR="006702D3" w:rsidRPr="00FF4D4B">
        <w:rPr>
          <w:rFonts w:cs="Times New Roman"/>
        </w:rPr>
        <w:t xml:space="preserve"> This value would be transferred to the acquirer.</w:t>
      </w:r>
      <w:r w:rsidRPr="00FF4D4B">
        <w:rPr>
          <w:rFonts w:cs="Times New Roman"/>
        </w:rPr>
        <w:t xml:space="preserve"> </w:t>
      </w:r>
      <w:r w:rsidR="006702D3" w:rsidRPr="00FF4D4B">
        <w:rPr>
          <w:rFonts w:cs="Times New Roman"/>
        </w:rPr>
        <w:t xml:space="preserve">Because ABN AMRO was sold partly in cash and partly in shares of RBS, part of this value would be transferred to RBS. However, this value would be divided by the three banks. The amount that would be left would be miniscule to the </w:t>
      </w:r>
      <w:r w:rsidR="00BB723E" w:rsidRPr="00FF4D4B">
        <w:rPr>
          <w:rFonts w:cs="Times New Roman"/>
        </w:rPr>
        <w:t>€7.7 billion profit that RBS made that year</w:t>
      </w:r>
      <w:r w:rsidR="00BB723E" w:rsidRPr="00FF4D4B">
        <w:rPr>
          <w:rStyle w:val="Voetnootmarkering"/>
          <w:rFonts w:cs="Times New Roman"/>
        </w:rPr>
        <w:footnoteReference w:id="7"/>
      </w:r>
      <w:r w:rsidR="00BB723E" w:rsidRPr="00FF4D4B">
        <w:rPr>
          <w:rFonts w:cs="Times New Roman"/>
        </w:rPr>
        <w:t xml:space="preserve">. </w:t>
      </w:r>
    </w:p>
    <w:p w14:paraId="414F6E80" w14:textId="626EDB34" w:rsidR="00446B92" w:rsidRPr="00FF4D4B" w:rsidRDefault="0058450E" w:rsidP="00973170">
      <w:pPr>
        <w:rPr>
          <w:rFonts w:cs="Times New Roman"/>
        </w:rPr>
      </w:pPr>
      <w:r w:rsidRPr="00FF4D4B">
        <w:rPr>
          <w:rFonts w:cs="Times New Roman"/>
        </w:rPr>
        <w:t>The original €27</w:t>
      </w:r>
      <w:r w:rsidR="005E6DDC" w:rsidRPr="00FF4D4B">
        <w:rPr>
          <w:rFonts w:cs="Times New Roman"/>
        </w:rPr>
        <w:t>,</w:t>
      </w:r>
      <w:r w:rsidR="009A6C26" w:rsidRPr="00FF4D4B">
        <w:rPr>
          <w:rFonts w:cs="Times New Roman"/>
        </w:rPr>
        <w:t>340</w:t>
      </w:r>
      <w:r w:rsidR="005E6DDC" w:rsidRPr="00FF4D4B">
        <w:rPr>
          <w:rFonts w:cs="Times New Roman"/>
        </w:rPr>
        <w:t>,</w:t>
      </w:r>
      <w:r w:rsidR="009A6C26" w:rsidRPr="00FF4D4B">
        <w:rPr>
          <w:rFonts w:cs="Times New Roman"/>
        </w:rPr>
        <w:t>149</w:t>
      </w:r>
      <w:r w:rsidR="005E6DDC" w:rsidRPr="00FF4D4B">
        <w:rPr>
          <w:rFonts w:cs="Times New Roman"/>
        </w:rPr>
        <w:t>.</w:t>
      </w:r>
      <w:r w:rsidR="009A6C26" w:rsidRPr="00FF4D4B">
        <w:rPr>
          <w:rFonts w:cs="Times New Roman"/>
        </w:rPr>
        <w:t>88</w:t>
      </w:r>
      <w:r w:rsidRPr="00FF4D4B">
        <w:rPr>
          <w:rFonts w:cs="Times New Roman"/>
        </w:rPr>
        <w:t xml:space="preserve"> that the CEO received was </w:t>
      </w:r>
      <w:r w:rsidR="009A6C26" w:rsidRPr="00FF4D4B">
        <w:rPr>
          <w:rFonts w:cs="Times New Roman"/>
        </w:rPr>
        <w:t>the</w:t>
      </w:r>
      <w:r w:rsidRPr="00FF4D4B">
        <w:rPr>
          <w:rFonts w:cs="Times New Roman"/>
        </w:rPr>
        <w:t xml:space="preserve"> gross </w:t>
      </w:r>
      <w:r w:rsidR="009A6C26" w:rsidRPr="00FF4D4B">
        <w:rPr>
          <w:rFonts w:cs="Times New Roman"/>
        </w:rPr>
        <w:t>amount received</w:t>
      </w:r>
      <w:r w:rsidRPr="00FF4D4B">
        <w:rPr>
          <w:rFonts w:cs="Times New Roman"/>
        </w:rPr>
        <w:t>. The net value of this amount was €13</w:t>
      </w:r>
      <w:r w:rsidR="005E6DDC" w:rsidRPr="00FF4D4B">
        <w:rPr>
          <w:rFonts w:cs="Times New Roman"/>
        </w:rPr>
        <w:t>,</w:t>
      </w:r>
      <w:r w:rsidR="009A6C26" w:rsidRPr="00FF4D4B">
        <w:rPr>
          <w:rFonts w:cs="Times New Roman"/>
        </w:rPr>
        <w:t>123</w:t>
      </w:r>
      <w:r w:rsidR="005E6DDC" w:rsidRPr="00FF4D4B">
        <w:rPr>
          <w:rFonts w:cs="Times New Roman"/>
        </w:rPr>
        <w:t>,</w:t>
      </w:r>
      <w:r w:rsidR="009A6C26" w:rsidRPr="00FF4D4B">
        <w:rPr>
          <w:rFonts w:cs="Times New Roman"/>
        </w:rPr>
        <w:t>271</w:t>
      </w:r>
      <w:r w:rsidR="005E6DDC" w:rsidRPr="00FF4D4B">
        <w:rPr>
          <w:rFonts w:cs="Times New Roman"/>
        </w:rPr>
        <w:t>.</w:t>
      </w:r>
      <w:r w:rsidR="009A6C26" w:rsidRPr="00FF4D4B">
        <w:rPr>
          <w:rFonts w:cs="Times New Roman"/>
        </w:rPr>
        <w:t>94</w:t>
      </w:r>
      <w:r w:rsidRPr="00FF4D4B">
        <w:rPr>
          <w:rFonts w:cs="Times New Roman"/>
        </w:rPr>
        <w:t>, meaning that €14</w:t>
      </w:r>
      <w:r w:rsidR="005E6DDC" w:rsidRPr="00FF4D4B">
        <w:rPr>
          <w:rFonts w:cs="Times New Roman"/>
        </w:rPr>
        <w:t>,</w:t>
      </w:r>
      <w:r w:rsidR="009A6C26" w:rsidRPr="00FF4D4B">
        <w:rPr>
          <w:rFonts w:cs="Times New Roman"/>
        </w:rPr>
        <w:t>216</w:t>
      </w:r>
      <w:r w:rsidR="005E6DDC" w:rsidRPr="00FF4D4B">
        <w:rPr>
          <w:rFonts w:cs="Times New Roman"/>
        </w:rPr>
        <w:t>,</w:t>
      </w:r>
      <w:r w:rsidR="009A6C26" w:rsidRPr="00FF4D4B">
        <w:rPr>
          <w:rFonts w:cs="Times New Roman"/>
        </w:rPr>
        <w:t>877</w:t>
      </w:r>
      <w:r w:rsidR="005E6DDC" w:rsidRPr="00FF4D4B">
        <w:rPr>
          <w:rFonts w:cs="Times New Roman"/>
        </w:rPr>
        <w:t>.</w:t>
      </w:r>
      <w:r w:rsidR="009A6C26" w:rsidRPr="00FF4D4B">
        <w:rPr>
          <w:rFonts w:cs="Times New Roman"/>
        </w:rPr>
        <w:t>94</w:t>
      </w:r>
      <w:r w:rsidRPr="00FF4D4B">
        <w:rPr>
          <w:rFonts w:cs="Times New Roman"/>
        </w:rPr>
        <w:t xml:space="preserve"> </w:t>
      </w:r>
      <w:r w:rsidR="00226824" w:rsidRPr="00FF4D4B">
        <w:rPr>
          <w:rFonts w:cs="Times New Roman"/>
        </w:rPr>
        <w:t>was paid in taxes</w:t>
      </w:r>
      <w:r w:rsidR="00226824" w:rsidRPr="00FF4D4B">
        <w:rPr>
          <w:rStyle w:val="Voetnootmarkering"/>
          <w:rFonts w:cs="Times New Roman"/>
        </w:rPr>
        <w:footnoteReference w:id="8"/>
      </w:r>
      <w:r w:rsidR="00226824" w:rsidRPr="00FF4D4B">
        <w:rPr>
          <w:rFonts w:cs="Times New Roman"/>
        </w:rPr>
        <w:t xml:space="preserve">. </w:t>
      </w:r>
      <w:r w:rsidR="009A6C26" w:rsidRPr="00FF4D4B">
        <w:rPr>
          <w:rFonts w:cs="Times New Roman"/>
        </w:rPr>
        <w:t>T</w:t>
      </w:r>
      <w:r w:rsidR="00226824" w:rsidRPr="00FF4D4B">
        <w:rPr>
          <w:rFonts w:cs="Times New Roman"/>
        </w:rPr>
        <w:t>he gross total amount received</w:t>
      </w:r>
      <w:r w:rsidR="009A6C26" w:rsidRPr="00FF4D4B">
        <w:rPr>
          <w:rFonts w:cs="Times New Roman"/>
        </w:rPr>
        <w:t xml:space="preserve"> under the Provision</w:t>
      </w:r>
      <w:r w:rsidR="00226824" w:rsidRPr="00FF4D4B">
        <w:rPr>
          <w:rFonts w:cs="Times New Roman"/>
        </w:rPr>
        <w:t xml:space="preserve"> would be €22</w:t>
      </w:r>
      <w:r w:rsidR="005E6DDC" w:rsidRPr="00FF4D4B">
        <w:rPr>
          <w:rFonts w:cs="Times New Roman"/>
        </w:rPr>
        <w:t>,</w:t>
      </w:r>
      <w:r w:rsidR="00226824" w:rsidRPr="00FF4D4B">
        <w:rPr>
          <w:rFonts w:cs="Times New Roman"/>
        </w:rPr>
        <w:t>446</w:t>
      </w:r>
      <w:r w:rsidR="005E6DDC" w:rsidRPr="00FF4D4B">
        <w:rPr>
          <w:rFonts w:cs="Times New Roman"/>
        </w:rPr>
        <w:t>,</w:t>
      </w:r>
      <w:r w:rsidR="00226824" w:rsidRPr="00FF4D4B">
        <w:rPr>
          <w:rFonts w:cs="Times New Roman"/>
        </w:rPr>
        <w:t>917</w:t>
      </w:r>
      <w:r w:rsidR="005E6DDC" w:rsidRPr="00FF4D4B">
        <w:rPr>
          <w:rFonts w:cs="Times New Roman"/>
        </w:rPr>
        <w:t>.</w:t>
      </w:r>
      <w:r w:rsidR="00226824" w:rsidRPr="00FF4D4B">
        <w:rPr>
          <w:rFonts w:cs="Times New Roman"/>
        </w:rPr>
        <w:t>62, the net</w:t>
      </w:r>
      <w:r w:rsidR="009A6C26" w:rsidRPr="00FF4D4B">
        <w:rPr>
          <w:rFonts w:cs="Times New Roman"/>
        </w:rPr>
        <w:t xml:space="preserve"> amount would be €10</w:t>
      </w:r>
      <w:r w:rsidR="005E6DDC" w:rsidRPr="00FF4D4B">
        <w:rPr>
          <w:rFonts w:cs="Times New Roman"/>
        </w:rPr>
        <w:t>,</w:t>
      </w:r>
      <w:r w:rsidR="009A6C26" w:rsidRPr="00FF4D4B">
        <w:rPr>
          <w:rFonts w:cs="Times New Roman"/>
        </w:rPr>
        <w:t>774</w:t>
      </w:r>
      <w:r w:rsidR="005E6DDC" w:rsidRPr="00FF4D4B">
        <w:rPr>
          <w:rFonts w:cs="Times New Roman"/>
        </w:rPr>
        <w:t>,</w:t>
      </w:r>
      <w:r w:rsidR="009A6C26" w:rsidRPr="00FF4D4B">
        <w:rPr>
          <w:rFonts w:cs="Times New Roman"/>
        </w:rPr>
        <w:t>520</w:t>
      </w:r>
      <w:r w:rsidR="005E6DDC" w:rsidRPr="00FF4D4B">
        <w:rPr>
          <w:rFonts w:cs="Times New Roman"/>
        </w:rPr>
        <w:t>.</w:t>
      </w:r>
      <w:r w:rsidR="009A6C26" w:rsidRPr="00FF4D4B">
        <w:rPr>
          <w:rFonts w:cs="Times New Roman"/>
        </w:rPr>
        <w:t>46, meaning that €11</w:t>
      </w:r>
      <w:r w:rsidR="005E6DDC" w:rsidRPr="00FF4D4B">
        <w:rPr>
          <w:rFonts w:cs="Times New Roman"/>
        </w:rPr>
        <w:t>,</w:t>
      </w:r>
      <w:r w:rsidR="009A6C26" w:rsidRPr="00FF4D4B">
        <w:rPr>
          <w:rFonts w:cs="Times New Roman"/>
        </w:rPr>
        <w:t>672</w:t>
      </w:r>
      <w:r w:rsidR="005E6DDC" w:rsidRPr="00FF4D4B">
        <w:rPr>
          <w:rFonts w:cs="Times New Roman"/>
        </w:rPr>
        <w:t>,</w:t>
      </w:r>
      <w:r w:rsidR="009A6C26" w:rsidRPr="00FF4D4B">
        <w:rPr>
          <w:rFonts w:cs="Times New Roman"/>
        </w:rPr>
        <w:t>397</w:t>
      </w:r>
      <w:r w:rsidR="005E6DDC" w:rsidRPr="00FF4D4B">
        <w:rPr>
          <w:rFonts w:cs="Times New Roman"/>
        </w:rPr>
        <w:t>.</w:t>
      </w:r>
      <w:r w:rsidR="009A6C26" w:rsidRPr="00FF4D4B">
        <w:rPr>
          <w:rFonts w:cs="Times New Roman"/>
        </w:rPr>
        <w:t>16 would be paid in taxes. As a result of the Provision, the government would have received €2</w:t>
      </w:r>
      <w:r w:rsidR="005E6DDC" w:rsidRPr="00FF4D4B">
        <w:rPr>
          <w:rFonts w:cs="Times New Roman"/>
        </w:rPr>
        <w:t>,</w:t>
      </w:r>
      <w:r w:rsidR="009A6C26" w:rsidRPr="00FF4D4B">
        <w:rPr>
          <w:rFonts w:cs="Times New Roman"/>
        </w:rPr>
        <w:t>544</w:t>
      </w:r>
      <w:r w:rsidR="005E6DDC" w:rsidRPr="00FF4D4B">
        <w:rPr>
          <w:rFonts w:cs="Times New Roman"/>
        </w:rPr>
        <w:t>,</w:t>
      </w:r>
      <w:r w:rsidR="009A6C26" w:rsidRPr="00FF4D4B">
        <w:rPr>
          <w:rFonts w:cs="Times New Roman"/>
        </w:rPr>
        <w:t>480</w:t>
      </w:r>
      <w:r w:rsidR="005E6DDC" w:rsidRPr="00FF4D4B">
        <w:rPr>
          <w:rFonts w:cs="Times New Roman"/>
        </w:rPr>
        <w:t>.</w:t>
      </w:r>
      <w:r w:rsidR="009A6C26" w:rsidRPr="00FF4D4B">
        <w:rPr>
          <w:rFonts w:cs="Times New Roman"/>
        </w:rPr>
        <w:t>78 less in taxes.</w:t>
      </w:r>
    </w:p>
    <w:p w14:paraId="3AEDF5F1" w14:textId="77777777" w:rsidR="0043269B" w:rsidRPr="00FF4D4B" w:rsidRDefault="0043269B" w:rsidP="00973170">
      <w:pPr>
        <w:rPr>
          <w:rFonts w:cs="Times New Roman"/>
        </w:rPr>
      </w:pPr>
    </w:p>
    <w:p w14:paraId="32E92CAC" w14:textId="4B8BD0ED" w:rsidR="00A20200" w:rsidRPr="00FF4D4B" w:rsidRDefault="0043269B" w:rsidP="00E04E70">
      <w:pPr>
        <w:pStyle w:val="Kop2"/>
      </w:pPr>
      <w:bookmarkStart w:id="26" w:name="_Toc301441848"/>
      <w:r w:rsidRPr="00FF4D4B">
        <w:lastRenderedPageBreak/>
        <w:t xml:space="preserve">4.2 </w:t>
      </w:r>
      <w:r w:rsidRPr="00FF4D4B">
        <w:tab/>
      </w:r>
      <w:r w:rsidR="00A20200" w:rsidRPr="00FF4D4B">
        <w:t>Numico NV (2007)</w:t>
      </w:r>
      <w:bookmarkEnd w:id="26"/>
    </w:p>
    <w:p w14:paraId="3663A1B8" w14:textId="4DDAF1C2" w:rsidR="00A20200" w:rsidRPr="00FF4D4B" w:rsidRDefault="0043269B" w:rsidP="00093FA0">
      <w:pPr>
        <w:pStyle w:val="Kop3"/>
      </w:pPr>
      <w:bookmarkStart w:id="27" w:name="_Toc301441849"/>
      <w:r w:rsidRPr="00FF4D4B">
        <w:t xml:space="preserve">4.2.1 </w:t>
      </w:r>
      <w:r w:rsidRPr="00FF4D4B">
        <w:tab/>
      </w:r>
      <w:r w:rsidR="00A20200" w:rsidRPr="00FF4D4B">
        <w:t>Background</w:t>
      </w:r>
      <w:bookmarkEnd w:id="27"/>
    </w:p>
    <w:p w14:paraId="13D594E6" w14:textId="77777777" w:rsidR="009839B6" w:rsidRPr="00FF4D4B" w:rsidRDefault="009839B6" w:rsidP="009839B6">
      <w:pPr>
        <w:rPr>
          <w:rFonts w:cs="Times New Roman"/>
        </w:rPr>
      </w:pPr>
      <w:r w:rsidRPr="00FF4D4B">
        <w:rPr>
          <w:rFonts w:cs="Times New Roman"/>
        </w:rPr>
        <w:t xml:space="preserve">July 9, 2007, Danone, a French rival of Numico offered €12.3 billion for the company by French rival Danone. The offer was valued at €55 per share, fully in cash, which was a 44 percent premium over the average share price over three months prior to the offer. The offer was accepted by the Numico board and was accepted on the same day. </w:t>
      </w:r>
    </w:p>
    <w:p w14:paraId="27EC9E90" w14:textId="29CA6252" w:rsidR="009839B6" w:rsidRPr="00FF4D4B" w:rsidRDefault="009839B6" w:rsidP="009839B6">
      <w:pPr>
        <w:rPr>
          <w:rFonts w:cs="Times New Roman"/>
        </w:rPr>
      </w:pPr>
      <w:r w:rsidRPr="00FF4D4B">
        <w:rPr>
          <w:rFonts w:cs="Times New Roman"/>
        </w:rPr>
        <w:t>Danone declared ownership of 90 percent of Numico's shares on October 31, 2007, declaring its offer for the remainder unconditional. Consequently, Numico was removed from the AEX</w:t>
      </w:r>
      <w:r w:rsidR="00496DE4" w:rsidRPr="00FF4D4B">
        <w:rPr>
          <w:rFonts w:cs="Times New Roman"/>
        </w:rPr>
        <w:t xml:space="preserve"> (Amsterdam Exchange</w:t>
      </w:r>
      <w:r w:rsidRPr="00FF4D4B">
        <w:rPr>
          <w:rFonts w:cs="Times New Roman"/>
        </w:rPr>
        <w:t xml:space="preserve"> </w:t>
      </w:r>
      <w:r w:rsidR="00496DE4" w:rsidRPr="00FF4D4B">
        <w:rPr>
          <w:rFonts w:cs="Times New Roman"/>
        </w:rPr>
        <w:t>I</w:t>
      </w:r>
      <w:r w:rsidRPr="00FF4D4B">
        <w:rPr>
          <w:rFonts w:cs="Times New Roman"/>
        </w:rPr>
        <w:t>ndex</w:t>
      </w:r>
      <w:r w:rsidR="00496DE4" w:rsidRPr="00FF4D4B">
        <w:rPr>
          <w:rFonts w:cs="Times New Roman"/>
        </w:rPr>
        <w:t>)</w:t>
      </w:r>
      <w:r w:rsidRPr="00FF4D4B">
        <w:rPr>
          <w:rFonts w:cs="Times New Roman"/>
        </w:rPr>
        <w:t xml:space="preserve">. Numico's shares were delisted from the </w:t>
      </w:r>
      <w:r w:rsidR="00496DE4" w:rsidRPr="00FF4D4B">
        <w:rPr>
          <w:rFonts w:cs="Times New Roman"/>
        </w:rPr>
        <w:t>AMX</w:t>
      </w:r>
      <w:r w:rsidRPr="00FF4D4B">
        <w:rPr>
          <w:rFonts w:cs="Times New Roman"/>
        </w:rPr>
        <w:t xml:space="preserve"> (Amsterdam </w:t>
      </w:r>
      <w:r w:rsidR="00496DE4" w:rsidRPr="00FF4D4B">
        <w:rPr>
          <w:rFonts w:cs="Times New Roman"/>
        </w:rPr>
        <w:t>Midcap</w:t>
      </w:r>
      <w:r w:rsidRPr="00FF4D4B">
        <w:rPr>
          <w:rFonts w:cs="Times New Roman"/>
        </w:rPr>
        <w:t xml:space="preserve"> </w:t>
      </w:r>
      <w:r w:rsidR="00496DE4" w:rsidRPr="00FF4D4B">
        <w:rPr>
          <w:rFonts w:cs="Times New Roman"/>
        </w:rPr>
        <w:t>Index</w:t>
      </w:r>
      <w:r w:rsidRPr="00FF4D4B">
        <w:rPr>
          <w:rFonts w:cs="Times New Roman"/>
        </w:rPr>
        <w:t xml:space="preserve">) at the end of 2007 as Danone gained full control. On October 28, 2008, all remaining Numico shares were to be transferred to Danone as result of a squeeze out at the offer price of €55 per share. </w:t>
      </w:r>
    </w:p>
    <w:p w14:paraId="62466509" w14:textId="7619735E" w:rsidR="0057026C" w:rsidRPr="00FF4D4B" w:rsidRDefault="00496DE4" w:rsidP="00496DE4">
      <w:pPr>
        <w:rPr>
          <w:rFonts w:cs="Times New Roman"/>
        </w:rPr>
      </w:pPr>
      <w:r w:rsidRPr="00FF4D4B">
        <w:rPr>
          <w:rFonts w:cs="Times New Roman"/>
        </w:rPr>
        <w:t>The takeover has been highly criticized because the CEO of Numico (Jan Bennink) sold Numico to Danone (his previous employer) and earned a total of €8</w:t>
      </w:r>
      <w:r w:rsidR="00041523" w:rsidRPr="00FF4D4B">
        <w:rPr>
          <w:rFonts w:cs="Times New Roman"/>
        </w:rPr>
        <w:t>2</w:t>
      </w:r>
      <w:r w:rsidRPr="00FF4D4B">
        <w:rPr>
          <w:rFonts w:cs="Times New Roman"/>
        </w:rPr>
        <w:t>.</w:t>
      </w:r>
      <w:r w:rsidR="00041523" w:rsidRPr="00FF4D4B">
        <w:rPr>
          <w:rFonts w:cs="Times New Roman"/>
        </w:rPr>
        <w:t>7</w:t>
      </w:r>
      <w:r w:rsidRPr="00FF4D4B">
        <w:rPr>
          <w:rFonts w:cs="Times New Roman"/>
        </w:rPr>
        <w:t xml:space="preserve"> million in doing so. </w:t>
      </w:r>
    </w:p>
    <w:p w14:paraId="29D0084B" w14:textId="64320F7A" w:rsidR="00496DE4" w:rsidRPr="00FF4D4B" w:rsidRDefault="0057026C" w:rsidP="00496DE4">
      <w:pPr>
        <w:rPr>
          <w:rFonts w:cs="Times New Roman"/>
        </w:rPr>
      </w:pPr>
      <w:r w:rsidRPr="00FF4D4B">
        <w:rPr>
          <w:rFonts w:cs="Times New Roman"/>
        </w:rPr>
        <w:t xml:space="preserve">The takeover of Numico was seen as a poison pill for Danone. There were speculations that </w:t>
      </w:r>
      <w:r w:rsidR="004D5C33" w:rsidRPr="00FF4D4B">
        <w:rPr>
          <w:rFonts w:cs="Times New Roman"/>
        </w:rPr>
        <w:t>the takeover of Numico by Danone</w:t>
      </w:r>
      <w:r w:rsidRPr="00FF4D4B">
        <w:rPr>
          <w:rFonts w:cs="Times New Roman"/>
        </w:rPr>
        <w:t xml:space="preserve"> functioned as a poison pill against </w:t>
      </w:r>
      <w:r w:rsidRPr="00FF4D4B">
        <w:rPr>
          <w:rFonts w:cs="Times New Roman"/>
        </w:rPr>
        <w:lastRenderedPageBreak/>
        <w:t>PepsiC</w:t>
      </w:r>
      <w:r w:rsidR="00B40E46" w:rsidRPr="00FF4D4B">
        <w:rPr>
          <w:rFonts w:cs="Times New Roman"/>
        </w:rPr>
        <w:t>o</w:t>
      </w:r>
      <w:r w:rsidR="004D5C33" w:rsidRPr="00FF4D4B">
        <w:rPr>
          <w:rFonts w:cs="Times New Roman"/>
        </w:rPr>
        <w:t xml:space="preserve">, especially after the sale </w:t>
      </w:r>
      <w:r w:rsidRPr="00FF4D4B">
        <w:rPr>
          <w:rFonts w:cs="Times New Roman"/>
        </w:rPr>
        <w:t>Kraft by Danone. By buying Numico,</w:t>
      </w:r>
      <w:r w:rsidR="004D5C33" w:rsidRPr="00FF4D4B">
        <w:rPr>
          <w:rFonts w:cs="Times New Roman"/>
        </w:rPr>
        <w:t xml:space="preserve"> Danone bec</w:t>
      </w:r>
      <w:r w:rsidRPr="00FF4D4B">
        <w:rPr>
          <w:rFonts w:cs="Times New Roman"/>
        </w:rPr>
        <w:t>ame</w:t>
      </w:r>
      <w:r w:rsidR="004D5C33" w:rsidRPr="00FF4D4B">
        <w:rPr>
          <w:rFonts w:cs="Times New Roman"/>
        </w:rPr>
        <w:t xml:space="preserve"> less attractive for a takeover. </w:t>
      </w:r>
    </w:p>
    <w:p w14:paraId="2CDAE1F1" w14:textId="63797B43" w:rsidR="00496DE4" w:rsidRPr="00FF4D4B" w:rsidRDefault="0043269B" w:rsidP="00093FA0">
      <w:pPr>
        <w:pStyle w:val="Kop3"/>
      </w:pPr>
      <w:bookmarkStart w:id="28" w:name="_Toc301441850"/>
      <w:r w:rsidRPr="00FF4D4B">
        <w:t xml:space="preserve">4.2.2 </w:t>
      </w:r>
      <w:r w:rsidRPr="00FF4D4B">
        <w:tab/>
      </w:r>
      <w:r w:rsidR="00496DE4" w:rsidRPr="00FF4D4B">
        <w:t>Sales process</w:t>
      </w:r>
      <w:bookmarkEnd w:id="28"/>
    </w:p>
    <w:p w14:paraId="641A92F8" w14:textId="69D578E3" w:rsidR="00496DE4" w:rsidRPr="00FF4D4B" w:rsidRDefault="002B7E1F" w:rsidP="00496DE4">
      <w:pPr>
        <w:rPr>
          <w:rFonts w:cs="Times New Roman"/>
        </w:rPr>
      </w:pPr>
      <w:r w:rsidRPr="00FF4D4B">
        <w:rPr>
          <w:rFonts w:cs="Times New Roman"/>
        </w:rPr>
        <w:t xml:space="preserve">The offer was valued at €55 per share, fully in cash, which was a 44 percent premium over the average share price over three months prior to the offer. The total value of the transaction was €12.3 billion. Danone financed the offer through fully committed credit facilities </w:t>
      </w:r>
      <w:r w:rsidR="00BB723E" w:rsidRPr="00FF4D4B">
        <w:rPr>
          <w:rFonts w:cs="Times New Roman"/>
        </w:rPr>
        <w:t xml:space="preserve">and </w:t>
      </w:r>
      <w:r w:rsidR="0057026C" w:rsidRPr="00FF4D4B">
        <w:rPr>
          <w:rFonts w:cs="Times New Roman"/>
        </w:rPr>
        <w:t>took</w:t>
      </w:r>
      <w:r w:rsidR="00BB723E" w:rsidRPr="00FF4D4B">
        <w:rPr>
          <w:rFonts w:cs="Times New Roman"/>
        </w:rPr>
        <w:t xml:space="preserve"> full control over Numico.</w:t>
      </w:r>
    </w:p>
    <w:p w14:paraId="42F8E64D" w14:textId="467AA6BC" w:rsidR="007C4BF5" w:rsidRPr="00FF4D4B" w:rsidRDefault="0043269B" w:rsidP="00093FA0">
      <w:pPr>
        <w:pStyle w:val="Kop3"/>
      </w:pPr>
      <w:bookmarkStart w:id="29" w:name="_Toc301441851"/>
      <w:r w:rsidRPr="00FF4D4B">
        <w:t xml:space="preserve">4.2.3 </w:t>
      </w:r>
      <w:r w:rsidRPr="00FF4D4B">
        <w:tab/>
      </w:r>
      <w:r w:rsidR="007C4BF5" w:rsidRPr="00FF4D4B">
        <w:t>Outcome</w:t>
      </w:r>
      <w:bookmarkEnd w:id="29"/>
    </w:p>
    <w:p w14:paraId="6A6A17AA" w14:textId="6F88A5F1" w:rsidR="007C4BF5" w:rsidRPr="00FF4D4B" w:rsidRDefault="0057026C" w:rsidP="007C4BF5">
      <w:pPr>
        <w:rPr>
          <w:rFonts w:cs="Times New Roman"/>
        </w:rPr>
      </w:pPr>
      <w:r w:rsidRPr="00FF4D4B">
        <w:rPr>
          <w:rFonts w:cs="Times New Roman"/>
        </w:rPr>
        <w:t xml:space="preserve">After the takeover, </w:t>
      </w:r>
      <w:r w:rsidR="007C4BF5" w:rsidRPr="00FF4D4B">
        <w:rPr>
          <w:rFonts w:cs="Times New Roman"/>
        </w:rPr>
        <w:t>Bennink resign</w:t>
      </w:r>
      <w:r w:rsidRPr="00FF4D4B">
        <w:rPr>
          <w:rFonts w:cs="Times New Roman"/>
        </w:rPr>
        <w:t>ed</w:t>
      </w:r>
      <w:r w:rsidR="007C4BF5" w:rsidRPr="00FF4D4B">
        <w:rPr>
          <w:rFonts w:cs="Times New Roman"/>
        </w:rPr>
        <w:t xml:space="preserve"> as a member of the management board. As a result of the change of control, Bennink </w:t>
      </w:r>
      <w:r w:rsidRPr="00FF4D4B">
        <w:rPr>
          <w:rFonts w:cs="Times New Roman"/>
        </w:rPr>
        <w:t>was</w:t>
      </w:r>
      <w:r w:rsidR="007C4BF5" w:rsidRPr="00FF4D4B">
        <w:rPr>
          <w:rFonts w:cs="Times New Roman"/>
        </w:rPr>
        <w:t xml:space="preserve"> entitled to a compensation of </w:t>
      </w:r>
      <w:r w:rsidR="002B7E1F" w:rsidRPr="00FF4D4B">
        <w:rPr>
          <w:rFonts w:cs="Times New Roman"/>
        </w:rPr>
        <w:t>€</w:t>
      </w:r>
      <w:r w:rsidR="00041523" w:rsidRPr="00FF4D4B">
        <w:rPr>
          <w:rFonts w:cs="Times New Roman"/>
        </w:rPr>
        <w:t xml:space="preserve">4,398,600 </w:t>
      </w:r>
      <w:r w:rsidR="007C4BF5" w:rsidRPr="00FF4D4B">
        <w:rPr>
          <w:rFonts w:cs="Times New Roman"/>
        </w:rPr>
        <w:t xml:space="preserve">and a base salary of </w:t>
      </w:r>
      <w:r w:rsidR="002B7E1F" w:rsidRPr="00FF4D4B">
        <w:rPr>
          <w:rFonts w:cs="Times New Roman"/>
        </w:rPr>
        <w:t>€</w:t>
      </w:r>
      <w:r w:rsidR="007C4BF5" w:rsidRPr="00FF4D4B">
        <w:rPr>
          <w:rFonts w:cs="Times New Roman"/>
        </w:rPr>
        <w:t>1 million.</w:t>
      </w:r>
    </w:p>
    <w:p w14:paraId="04E8B3BC" w14:textId="5DC2DA9B" w:rsidR="007C4BF5" w:rsidRPr="00FF4D4B" w:rsidRDefault="007C4BF5" w:rsidP="007C4BF5">
      <w:pPr>
        <w:rPr>
          <w:rFonts w:cs="Times New Roman"/>
        </w:rPr>
      </w:pPr>
      <w:r w:rsidRPr="00FF4D4B">
        <w:rPr>
          <w:rFonts w:cs="Times New Roman"/>
        </w:rPr>
        <w:t>According to the offer document</w:t>
      </w:r>
      <w:r w:rsidR="00B40E46" w:rsidRPr="00FF4D4B">
        <w:rPr>
          <w:rFonts w:cs="Times New Roman"/>
        </w:rPr>
        <w:t>,</w:t>
      </w:r>
      <w:r w:rsidRPr="00FF4D4B">
        <w:rPr>
          <w:rFonts w:cs="Times New Roman"/>
        </w:rPr>
        <w:t xml:space="preserve"> Bennink </w:t>
      </w:r>
      <w:r w:rsidR="0057026C" w:rsidRPr="00FF4D4B">
        <w:rPr>
          <w:rFonts w:cs="Times New Roman"/>
        </w:rPr>
        <w:t>held</w:t>
      </w:r>
      <w:r w:rsidRPr="00FF4D4B">
        <w:rPr>
          <w:rFonts w:cs="Times New Roman"/>
        </w:rPr>
        <w:t xml:space="preserve"> 270,027 shares and 425</w:t>
      </w:r>
      <w:r w:rsidR="0057026C" w:rsidRPr="00FF4D4B">
        <w:rPr>
          <w:rFonts w:cs="Times New Roman"/>
        </w:rPr>
        <w:t xml:space="preserve">,660 performance shares, which </w:t>
      </w:r>
      <w:r w:rsidR="00B40E46" w:rsidRPr="00FF4D4B">
        <w:rPr>
          <w:rFonts w:cs="Times New Roman"/>
        </w:rPr>
        <w:t>vested</w:t>
      </w:r>
      <w:r w:rsidR="0057026C" w:rsidRPr="00FF4D4B">
        <w:rPr>
          <w:rFonts w:cs="Times New Roman"/>
        </w:rPr>
        <w:t xml:space="preserve"> at the moment of resignation. </w:t>
      </w:r>
      <w:r w:rsidRPr="00FF4D4B">
        <w:rPr>
          <w:rFonts w:cs="Times New Roman"/>
        </w:rPr>
        <w:t xml:space="preserve">These </w:t>
      </w:r>
      <w:r w:rsidR="0057026C" w:rsidRPr="00FF4D4B">
        <w:rPr>
          <w:rFonts w:cs="Times New Roman"/>
        </w:rPr>
        <w:t>had</w:t>
      </w:r>
      <w:r w:rsidRPr="00FF4D4B">
        <w:rPr>
          <w:rFonts w:cs="Times New Roman"/>
        </w:rPr>
        <w:t xml:space="preserve"> a total amount of </w:t>
      </w:r>
      <w:r w:rsidR="002B7E1F" w:rsidRPr="00FF4D4B">
        <w:rPr>
          <w:rFonts w:cs="Times New Roman"/>
        </w:rPr>
        <w:t>€</w:t>
      </w:r>
      <w:r w:rsidRPr="00FF4D4B">
        <w:rPr>
          <w:rFonts w:cs="Times New Roman"/>
        </w:rPr>
        <w:t xml:space="preserve">38,262,785. According to the remuneration report Bennink also </w:t>
      </w:r>
      <w:r w:rsidR="0057026C" w:rsidRPr="00FF4D4B">
        <w:rPr>
          <w:rFonts w:cs="Times New Roman"/>
        </w:rPr>
        <w:t>had</w:t>
      </w:r>
      <w:r w:rsidRPr="00FF4D4B">
        <w:rPr>
          <w:rFonts w:cs="Times New Roman"/>
        </w:rPr>
        <w:t xml:space="preserve"> 1.5 million stock options outstanding. These stock options </w:t>
      </w:r>
      <w:r w:rsidR="0057026C" w:rsidRPr="00FF4D4B">
        <w:rPr>
          <w:rFonts w:cs="Times New Roman"/>
        </w:rPr>
        <w:t>became</w:t>
      </w:r>
      <w:r w:rsidRPr="00FF4D4B">
        <w:rPr>
          <w:rFonts w:cs="Times New Roman"/>
        </w:rPr>
        <w:t xml:space="preserve"> exercisable upon change</w:t>
      </w:r>
      <w:r w:rsidR="00B40E46" w:rsidRPr="00FF4D4B">
        <w:rPr>
          <w:rFonts w:cs="Times New Roman"/>
        </w:rPr>
        <w:t>-</w:t>
      </w:r>
      <w:r w:rsidRPr="00FF4D4B">
        <w:rPr>
          <w:rFonts w:cs="Times New Roman"/>
        </w:rPr>
        <w:t>of</w:t>
      </w:r>
      <w:r w:rsidR="00B40E46" w:rsidRPr="00FF4D4B">
        <w:rPr>
          <w:rFonts w:cs="Times New Roman"/>
        </w:rPr>
        <w:t>-</w:t>
      </w:r>
      <w:r w:rsidRPr="00FF4D4B">
        <w:rPr>
          <w:rFonts w:cs="Times New Roman"/>
        </w:rPr>
        <w:t xml:space="preserve">control. The total value of the stock options represents an amount of </w:t>
      </w:r>
      <w:r w:rsidR="002B7E1F" w:rsidRPr="00FF4D4B">
        <w:rPr>
          <w:rFonts w:cs="Times New Roman"/>
        </w:rPr>
        <w:t>€</w:t>
      </w:r>
      <w:r w:rsidRPr="00FF4D4B">
        <w:rPr>
          <w:rFonts w:cs="Times New Roman"/>
        </w:rPr>
        <w:t>39,201,789</w:t>
      </w:r>
      <w:r w:rsidR="0057026C" w:rsidRPr="00FF4D4B">
        <w:rPr>
          <w:rFonts w:cs="Times New Roman"/>
        </w:rPr>
        <w:t>.</w:t>
      </w:r>
      <w:r w:rsidRPr="00FF4D4B">
        <w:rPr>
          <w:rFonts w:cs="Times New Roman"/>
        </w:rPr>
        <w:t xml:space="preserve"> Total severance of Bennink, therefore, represents a value of about </w:t>
      </w:r>
      <w:r w:rsidR="002B7E1F" w:rsidRPr="00FF4D4B">
        <w:rPr>
          <w:rFonts w:cs="Times New Roman"/>
        </w:rPr>
        <w:t>€</w:t>
      </w:r>
      <w:r w:rsidRPr="00FF4D4B">
        <w:rPr>
          <w:rFonts w:cs="Times New Roman"/>
        </w:rPr>
        <w:t>82</w:t>
      </w:r>
      <w:r w:rsidR="00041523" w:rsidRPr="00FF4D4B">
        <w:rPr>
          <w:rFonts w:cs="Times New Roman"/>
        </w:rPr>
        <w:t>,863,174</w:t>
      </w:r>
      <w:r w:rsidRPr="00FF4D4B">
        <w:rPr>
          <w:rFonts w:cs="Times New Roman"/>
        </w:rPr>
        <w:t>.</w:t>
      </w:r>
      <w:r w:rsidR="00041523" w:rsidRPr="00FF4D4B">
        <w:rPr>
          <w:rFonts w:cs="Times New Roman"/>
        </w:rPr>
        <w:t xml:space="preserve"> </w:t>
      </w:r>
      <w:r w:rsidR="00EC595F" w:rsidRPr="00FF4D4B">
        <w:rPr>
          <w:rStyle w:val="Voetnootmarkering"/>
          <w:rFonts w:cs="Times New Roman"/>
        </w:rPr>
        <w:footnoteReference w:id="9"/>
      </w:r>
    </w:p>
    <w:p w14:paraId="6E43F229" w14:textId="6A5B5BA0" w:rsidR="007C4BF5" w:rsidRPr="00FF4D4B" w:rsidRDefault="0043269B" w:rsidP="00093FA0">
      <w:pPr>
        <w:pStyle w:val="Kop3"/>
      </w:pPr>
      <w:bookmarkStart w:id="30" w:name="_Toc301441852"/>
      <w:r w:rsidRPr="00FF4D4B">
        <w:lastRenderedPageBreak/>
        <w:t xml:space="preserve">4.2.4 </w:t>
      </w:r>
      <w:r w:rsidRPr="00FF4D4B">
        <w:tab/>
      </w:r>
      <w:r w:rsidR="007C4BF5" w:rsidRPr="00FF4D4B">
        <w:t>Hypothetical outcome</w:t>
      </w:r>
      <w:bookmarkEnd w:id="30"/>
    </w:p>
    <w:p w14:paraId="100DCBDE" w14:textId="7879B3F6" w:rsidR="007C4BF5" w:rsidRPr="00FF4D4B" w:rsidRDefault="00934B6D" w:rsidP="007C4BF5">
      <w:pPr>
        <w:rPr>
          <w:rFonts w:cs="Times New Roman"/>
        </w:rPr>
      </w:pPr>
      <w:r w:rsidRPr="00FF4D4B">
        <w:rPr>
          <w:rFonts w:cs="Times New Roman"/>
        </w:rPr>
        <w:t>Bennink owned a total of 695,</w:t>
      </w:r>
      <w:r w:rsidR="00E81242" w:rsidRPr="00FF4D4B">
        <w:rPr>
          <w:rFonts w:cs="Times New Roman"/>
        </w:rPr>
        <w:t xml:space="preserve">687 shares and </w:t>
      </w:r>
      <w:r w:rsidR="0026397F" w:rsidRPr="00FF4D4B">
        <w:rPr>
          <w:rFonts w:cs="Times New Roman"/>
        </w:rPr>
        <w:t xml:space="preserve">approximately </w:t>
      </w:r>
      <w:r w:rsidR="00E81242" w:rsidRPr="00FF4D4B">
        <w:rPr>
          <w:rFonts w:cs="Times New Roman"/>
        </w:rPr>
        <w:t>1.5 million stock options at the time of the takeover. These options were all vested at the moment of change-of-control.</w:t>
      </w:r>
    </w:p>
    <w:p w14:paraId="7034C5FD" w14:textId="1EA2AE6C" w:rsidR="00AA1E20" w:rsidRPr="00FF4D4B" w:rsidRDefault="00EC3D73" w:rsidP="00AA1E20">
      <w:pPr>
        <w:rPr>
          <w:rFonts w:cs="Times New Roman"/>
        </w:rPr>
      </w:pPr>
      <w:r w:rsidRPr="00FF4D4B">
        <w:rPr>
          <w:rFonts w:cs="Times New Roman"/>
        </w:rPr>
        <w:t>July 9, 2007, the public offer was made by Danone, the share price four weeks prior to that date was €38</w:t>
      </w:r>
      <w:r w:rsidR="00DA5C14" w:rsidRPr="00FF4D4B">
        <w:rPr>
          <w:rFonts w:cs="Times New Roman"/>
        </w:rPr>
        <w:t>.</w:t>
      </w:r>
      <w:r w:rsidRPr="00FF4D4B">
        <w:rPr>
          <w:rFonts w:cs="Times New Roman"/>
        </w:rPr>
        <w:t>53</w:t>
      </w:r>
      <w:r w:rsidR="003B4A89" w:rsidRPr="00FF4D4B">
        <w:rPr>
          <w:rFonts w:cs="Times New Roman"/>
        </w:rPr>
        <w:t xml:space="preserve"> (appendix III)</w:t>
      </w:r>
      <w:r w:rsidRPr="00FF4D4B">
        <w:rPr>
          <w:rFonts w:cs="Times New Roman"/>
        </w:rPr>
        <w:t>.</w:t>
      </w:r>
      <w:r w:rsidR="00BC6201" w:rsidRPr="00FF4D4B">
        <w:rPr>
          <w:rFonts w:cs="Times New Roman"/>
        </w:rPr>
        <w:t xml:space="preserve"> </w:t>
      </w:r>
    </w:p>
    <w:p w14:paraId="33758484" w14:textId="339C75B8" w:rsidR="00AA1E20" w:rsidRPr="00FF4D4B" w:rsidRDefault="00BC6201" w:rsidP="00AA1E20">
      <w:pPr>
        <w:rPr>
          <w:rFonts w:cs="Times New Roman"/>
        </w:rPr>
      </w:pPr>
      <w:r w:rsidRPr="00FF4D4B">
        <w:rPr>
          <w:rFonts w:cs="Times New Roman"/>
        </w:rPr>
        <w:t>The acceptance period for the tender offer began on August 21, 2007, and ended on October 31, 2007. The second reference date for the Provision is therefore November 30, 2007. A distinction should</w:t>
      </w:r>
      <w:r w:rsidR="00EC56A5" w:rsidRPr="00FF4D4B">
        <w:rPr>
          <w:rFonts w:cs="Times New Roman"/>
        </w:rPr>
        <w:t xml:space="preserve"> be made between the shares and the options however. </w:t>
      </w:r>
    </w:p>
    <w:p w14:paraId="099516EF" w14:textId="0CADB7E3" w:rsidR="00ED25D1" w:rsidRPr="00FF4D4B" w:rsidRDefault="00AA1E20" w:rsidP="007C4BF5">
      <w:pPr>
        <w:rPr>
          <w:rFonts w:cs="Times New Roman"/>
        </w:rPr>
      </w:pPr>
      <w:r w:rsidRPr="00FF4D4B">
        <w:rPr>
          <w:rFonts w:cs="Times New Roman"/>
        </w:rPr>
        <w:t xml:space="preserve">After the special meeting of November 30, 2007, the management board of Numico resigned. At the time, the share price was 54.35. </w:t>
      </w:r>
    </w:p>
    <w:p w14:paraId="75B33558" w14:textId="1749537D" w:rsidR="00CC6D3D" w:rsidRPr="00FF4D4B" w:rsidRDefault="00BC6201" w:rsidP="007C4BF5">
      <w:pPr>
        <w:rPr>
          <w:rFonts w:cs="Times New Roman"/>
        </w:rPr>
      </w:pPr>
      <w:r w:rsidRPr="00FF4D4B">
        <w:rPr>
          <w:rFonts w:cs="Times New Roman"/>
        </w:rPr>
        <w:t xml:space="preserve">The increase in value in </w:t>
      </w:r>
      <w:r w:rsidR="00EC56A5" w:rsidRPr="00FF4D4B">
        <w:rPr>
          <w:rFonts w:cs="Times New Roman"/>
        </w:rPr>
        <w:t>both reference periods is therefore €15,82. When this value is deducted from the</w:t>
      </w:r>
      <w:r w:rsidR="0026397F" w:rsidRPr="00FF4D4B">
        <w:rPr>
          <w:rFonts w:cs="Times New Roman"/>
        </w:rPr>
        <w:t xml:space="preserve"> tender offer of</w:t>
      </w:r>
      <w:r w:rsidR="00EC56A5" w:rsidRPr="00FF4D4B">
        <w:rPr>
          <w:rFonts w:cs="Times New Roman"/>
        </w:rPr>
        <w:t xml:space="preserve"> </w:t>
      </w:r>
      <w:r w:rsidR="00934B6D" w:rsidRPr="00FF4D4B">
        <w:rPr>
          <w:rFonts w:cs="Times New Roman"/>
        </w:rPr>
        <w:t>€</w:t>
      </w:r>
      <w:r w:rsidR="0026397F" w:rsidRPr="00FF4D4B">
        <w:rPr>
          <w:rFonts w:cs="Times New Roman"/>
        </w:rPr>
        <w:t>55,</w:t>
      </w:r>
      <w:r w:rsidR="00934B6D" w:rsidRPr="00FF4D4B">
        <w:rPr>
          <w:rFonts w:cs="Times New Roman"/>
        </w:rPr>
        <w:t xml:space="preserve"> only </w:t>
      </w:r>
      <w:r w:rsidR="00DA5C14" w:rsidRPr="00FF4D4B">
        <w:rPr>
          <w:rFonts w:cs="Times New Roman"/>
        </w:rPr>
        <w:t>€3</w:t>
      </w:r>
      <w:r w:rsidR="0026397F" w:rsidRPr="00FF4D4B">
        <w:rPr>
          <w:rFonts w:cs="Times New Roman"/>
        </w:rPr>
        <w:t>9</w:t>
      </w:r>
      <w:r w:rsidR="00934B6D" w:rsidRPr="00FF4D4B">
        <w:rPr>
          <w:rFonts w:cs="Times New Roman"/>
        </w:rPr>
        <w:t>.</w:t>
      </w:r>
      <w:r w:rsidR="0026397F" w:rsidRPr="00FF4D4B">
        <w:rPr>
          <w:rFonts w:cs="Times New Roman"/>
        </w:rPr>
        <w:t>18</w:t>
      </w:r>
      <w:r w:rsidR="00DA5C14" w:rsidRPr="00FF4D4B">
        <w:rPr>
          <w:rFonts w:cs="Times New Roman"/>
        </w:rPr>
        <w:t xml:space="preserve"> remains</w:t>
      </w:r>
      <w:r w:rsidR="00934B6D" w:rsidRPr="00FF4D4B">
        <w:rPr>
          <w:rFonts w:cs="Times New Roman"/>
        </w:rPr>
        <w:t>. The new value for the 270,027</w:t>
      </w:r>
      <w:r w:rsidR="0026397F" w:rsidRPr="00FF4D4B">
        <w:rPr>
          <w:rFonts w:cs="Times New Roman"/>
        </w:rPr>
        <w:t xml:space="preserve"> performance </w:t>
      </w:r>
      <w:r w:rsidR="00934B6D" w:rsidRPr="00FF4D4B">
        <w:rPr>
          <w:rFonts w:cs="Times New Roman"/>
        </w:rPr>
        <w:t xml:space="preserve">shares and 425,660 </w:t>
      </w:r>
      <w:r w:rsidR="0026397F" w:rsidRPr="00FF4D4B">
        <w:rPr>
          <w:rFonts w:cs="Times New Roman"/>
        </w:rPr>
        <w:t xml:space="preserve">shares </w:t>
      </w:r>
      <w:r w:rsidR="00934B6D" w:rsidRPr="00FF4D4B">
        <w:rPr>
          <w:rFonts w:cs="Times New Roman"/>
        </w:rPr>
        <w:t>then beco</w:t>
      </w:r>
      <w:r w:rsidR="00E819D4" w:rsidRPr="00FF4D4B">
        <w:rPr>
          <w:rFonts w:cs="Times New Roman"/>
        </w:rPr>
        <w:t xml:space="preserve">mes </w:t>
      </w:r>
      <w:r w:rsidR="0026397F" w:rsidRPr="00FF4D4B">
        <w:rPr>
          <w:rFonts w:cs="Times New Roman"/>
        </w:rPr>
        <w:t>€27,257,016.66</w:t>
      </w:r>
      <w:r w:rsidR="00934B6D" w:rsidRPr="00FF4D4B">
        <w:rPr>
          <w:rFonts w:cs="Times New Roman"/>
        </w:rPr>
        <w:t>.</w:t>
      </w:r>
    </w:p>
    <w:p w14:paraId="1D9BF01B" w14:textId="7C319D4F" w:rsidR="00ED25D1" w:rsidRPr="00FF4D4B" w:rsidRDefault="00ED25D1" w:rsidP="007C4BF5">
      <w:pPr>
        <w:rPr>
          <w:rFonts w:cs="Times New Roman"/>
        </w:rPr>
      </w:pPr>
      <w:r w:rsidRPr="00FF4D4B">
        <w:rPr>
          <w:rFonts w:cs="Times New Roman"/>
        </w:rPr>
        <w:t xml:space="preserve">The </w:t>
      </w:r>
      <w:r w:rsidR="00EB7BDE" w:rsidRPr="00FF4D4B">
        <w:rPr>
          <w:rFonts w:cs="Times New Roman"/>
        </w:rPr>
        <w:t>stock</w:t>
      </w:r>
      <w:r w:rsidRPr="00FF4D4B">
        <w:rPr>
          <w:rFonts w:cs="Times New Roman"/>
        </w:rPr>
        <w:t xml:space="preserve"> option plan is detailed below</w:t>
      </w:r>
      <w:r w:rsidR="0091674F" w:rsidRPr="00FF4D4B">
        <w:rPr>
          <w:rFonts w:cs="Times New Roman"/>
        </w:rPr>
        <w:t xml:space="preserve"> </w:t>
      </w:r>
      <w:r w:rsidR="0026397F" w:rsidRPr="00FF4D4B">
        <w:rPr>
          <w:rStyle w:val="Voetnootmarkering"/>
          <w:rFonts w:cs="Times New Roman"/>
        </w:rPr>
        <w:footnoteReference w:id="10"/>
      </w:r>
      <w:r w:rsidRPr="00FF4D4B">
        <w:rPr>
          <w:rFonts w:cs="Times New Roman"/>
        </w:rPr>
        <w:t>:</w:t>
      </w:r>
    </w:p>
    <w:tbl>
      <w:tblPr>
        <w:tblStyle w:val="Tabelraster"/>
        <w:tblW w:w="7338" w:type="dxa"/>
        <w:tblLayout w:type="fixed"/>
        <w:tblLook w:val="04A0" w:firstRow="1" w:lastRow="0" w:firstColumn="1" w:lastColumn="0" w:noHBand="0" w:noVBand="1"/>
      </w:tblPr>
      <w:tblGrid>
        <w:gridCol w:w="959"/>
        <w:gridCol w:w="992"/>
        <w:gridCol w:w="992"/>
        <w:gridCol w:w="851"/>
        <w:gridCol w:w="1276"/>
        <w:gridCol w:w="992"/>
        <w:gridCol w:w="1276"/>
      </w:tblGrid>
      <w:tr w:rsidR="00E819D4" w:rsidRPr="00FF4D4B" w14:paraId="56029C80" w14:textId="77777777" w:rsidTr="00E819D4">
        <w:tc>
          <w:tcPr>
            <w:tcW w:w="959" w:type="dxa"/>
          </w:tcPr>
          <w:p w14:paraId="2A0EC4C6" w14:textId="4A565111" w:rsidR="00ED25D1" w:rsidRPr="00FF4D4B" w:rsidRDefault="00ED25D1" w:rsidP="00E819D4">
            <w:pPr>
              <w:jc w:val="center"/>
              <w:rPr>
                <w:rFonts w:cs="Times New Roman"/>
                <w:b/>
                <w:sz w:val="16"/>
                <w:szCs w:val="16"/>
              </w:rPr>
            </w:pPr>
            <w:r w:rsidRPr="00FF4D4B">
              <w:rPr>
                <w:rFonts w:cs="Times New Roman"/>
                <w:b/>
                <w:sz w:val="16"/>
                <w:szCs w:val="16"/>
              </w:rPr>
              <w:lastRenderedPageBreak/>
              <w:t>Year</w:t>
            </w:r>
          </w:p>
        </w:tc>
        <w:tc>
          <w:tcPr>
            <w:tcW w:w="992" w:type="dxa"/>
          </w:tcPr>
          <w:p w14:paraId="139FAF35" w14:textId="3E40ABCC" w:rsidR="00ED25D1" w:rsidRPr="00FF4D4B" w:rsidRDefault="00ED25D1" w:rsidP="00E819D4">
            <w:pPr>
              <w:tabs>
                <w:tab w:val="left" w:pos="1182"/>
              </w:tabs>
              <w:jc w:val="center"/>
              <w:rPr>
                <w:rFonts w:cs="Times New Roman"/>
                <w:b/>
                <w:sz w:val="16"/>
                <w:szCs w:val="16"/>
              </w:rPr>
            </w:pPr>
            <w:r w:rsidRPr="00FF4D4B">
              <w:rPr>
                <w:rFonts w:cs="Times New Roman"/>
                <w:b/>
                <w:sz w:val="16"/>
                <w:szCs w:val="16"/>
              </w:rPr>
              <w:t>Options</w:t>
            </w:r>
          </w:p>
        </w:tc>
        <w:tc>
          <w:tcPr>
            <w:tcW w:w="992" w:type="dxa"/>
          </w:tcPr>
          <w:p w14:paraId="70113E78" w14:textId="6D8B670E" w:rsidR="00ED25D1" w:rsidRPr="00FF4D4B" w:rsidRDefault="00ED25D1" w:rsidP="00E819D4">
            <w:pPr>
              <w:jc w:val="center"/>
              <w:rPr>
                <w:rFonts w:cs="Times New Roman"/>
                <w:b/>
                <w:sz w:val="16"/>
                <w:szCs w:val="16"/>
              </w:rPr>
            </w:pPr>
            <w:r w:rsidRPr="00FF4D4B">
              <w:rPr>
                <w:rFonts w:cs="Times New Roman"/>
                <w:b/>
                <w:sz w:val="16"/>
                <w:szCs w:val="16"/>
              </w:rPr>
              <w:t>Exercise price</w:t>
            </w:r>
          </w:p>
        </w:tc>
        <w:tc>
          <w:tcPr>
            <w:tcW w:w="851" w:type="dxa"/>
          </w:tcPr>
          <w:p w14:paraId="609686F7" w14:textId="4DC25763" w:rsidR="00ED25D1" w:rsidRPr="00FF4D4B" w:rsidRDefault="00ED25D1" w:rsidP="00E819D4">
            <w:pPr>
              <w:jc w:val="center"/>
              <w:rPr>
                <w:rFonts w:cs="Times New Roman"/>
                <w:b/>
                <w:sz w:val="16"/>
                <w:szCs w:val="16"/>
              </w:rPr>
            </w:pPr>
            <w:r w:rsidRPr="00FF4D4B">
              <w:rPr>
                <w:rFonts w:cs="Times New Roman"/>
                <w:b/>
                <w:sz w:val="16"/>
                <w:szCs w:val="16"/>
              </w:rPr>
              <w:t>Tender offer</w:t>
            </w:r>
          </w:p>
        </w:tc>
        <w:tc>
          <w:tcPr>
            <w:tcW w:w="1276" w:type="dxa"/>
          </w:tcPr>
          <w:p w14:paraId="35572F33" w14:textId="4367F3F8" w:rsidR="00ED25D1" w:rsidRPr="00FF4D4B" w:rsidRDefault="00ED25D1" w:rsidP="00E819D4">
            <w:pPr>
              <w:jc w:val="center"/>
              <w:rPr>
                <w:rFonts w:cs="Times New Roman"/>
                <w:b/>
                <w:sz w:val="16"/>
                <w:szCs w:val="16"/>
              </w:rPr>
            </w:pPr>
            <w:r w:rsidRPr="00FF4D4B">
              <w:rPr>
                <w:rFonts w:cs="Times New Roman"/>
                <w:b/>
                <w:sz w:val="16"/>
                <w:szCs w:val="16"/>
              </w:rPr>
              <w:t>Earning</w:t>
            </w:r>
            <w:r w:rsidR="003D4390" w:rsidRPr="00FF4D4B">
              <w:rPr>
                <w:rFonts w:cs="Times New Roman"/>
                <w:b/>
                <w:sz w:val="16"/>
                <w:szCs w:val="16"/>
              </w:rPr>
              <w:t>s</w:t>
            </w:r>
          </w:p>
        </w:tc>
        <w:tc>
          <w:tcPr>
            <w:tcW w:w="992" w:type="dxa"/>
          </w:tcPr>
          <w:p w14:paraId="72F91758" w14:textId="60F07FF0" w:rsidR="00ED25D1" w:rsidRPr="00FF4D4B" w:rsidRDefault="00ED25D1" w:rsidP="00E819D4">
            <w:pPr>
              <w:jc w:val="center"/>
              <w:rPr>
                <w:rFonts w:cs="Times New Roman"/>
                <w:b/>
                <w:sz w:val="16"/>
                <w:szCs w:val="16"/>
              </w:rPr>
            </w:pPr>
            <w:r w:rsidRPr="00FF4D4B">
              <w:rPr>
                <w:rFonts w:cs="Times New Roman"/>
                <w:b/>
                <w:sz w:val="16"/>
                <w:szCs w:val="16"/>
              </w:rPr>
              <w:t>Provision value</w:t>
            </w:r>
          </w:p>
        </w:tc>
        <w:tc>
          <w:tcPr>
            <w:tcW w:w="1276" w:type="dxa"/>
          </w:tcPr>
          <w:p w14:paraId="09C497DD" w14:textId="65793F12" w:rsidR="00ED25D1" w:rsidRPr="00FF4D4B" w:rsidRDefault="00ED25D1" w:rsidP="00E819D4">
            <w:pPr>
              <w:jc w:val="center"/>
              <w:rPr>
                <w:rFonts w:cs="Times New Roman"/>
                <w:b/>
                <w:sz w:val="16"/>
                <w:szCs w:val="16"/>
              </w:rPr>
            </w:pPr>
            <w:r w:rsidRPr="00FF4D4B">
              <w:rPr>
                <w:rFonts w:cs="Times New Roman"/>
                <w:b/>
                <w:sz w:val="16"/>
                <w:szCs w:val="16"/>
              </w:rPr>
              <w:t>Revised earning</w:t>
            </w:r>
          </w:p>
        </w:tc>
      </w:tr>
      <w:tr w:rsidR="00E819D4" w:rsidRPr="00FF4D4B" w14:paraId="0F2C75C6" w14:textId="77777777" w:rsidTr="00E819D4">
        <w:tc>
          <w:tcPr>
            <w:tcW w:w="959" w:type="dxa"/>
          </w:tcPr>
          <w:p w14:paraId="3D3AC293" w14:textId="6C70C620" w:rsidR="00ED25D1" w:rsidRPr="00FF4D4B" w:rsidRDefault="00ED25D1" w:rsidP="00E819D4">
            <w:pPr>
              <w:jc w:val="center"/>
              <w:rPr>
                <w:rFonts w:cs="Times New Roman"/>
                <w:sz w:val="16"/>
                <w:szCs w:val="16"/>
              </w:rPr>
            </w:pPr>
            <w:r w:rsidRPr="00FF4D4B">
              <w:rPr>
                <w:rFonts w:cs="Times New Roman"/>
                <w:sz w:val="16"/>
                <w:szCs w:val="16"/>
              </w:rPr>
              <w:t>2003</w:t>
            </w:r>
          </w:p>
        </w:tc>
        <w:tc>
          <w:tcPr>
            <w:tcW w:w="992" w:type="dxa"/>
          </w:tcPr>
          <w:p w14:paraId="124766B5" w14:textId="46DA79AA" w:rsidR="00ED25D1" w:rsidRPr="00FF4D4B" w:rsidRDefault="00ED25D1" w:rsidP="007C4BF5">
            <w:pPr>
              <w:rPr>
                <w:rFonts w:cs="Times New Roman"/>
                <w:sz w:val="16"/>
                <w:szCs w:val="16"/>
              </w:rPr>
            </w:pPr>
            <w:r w:rsidRPr="00FF4D4B">
              <w:rPr>
                <w:rFonts w:cs="Times New Roman"/>
                <w:sz w:val="16"/>
                <w:szCs w:val="16"/>
              </w:rPr>
              <w:t>300,000</w:t>
            </w:r>
          </w:p>
        </w:tc>
        <w:tc>
          <w:tcPr>
            <w:tcW w:w="992" w:type="dxa"/>
          </w:tcPr>
          <w:p w14:paraId="583BF768" w14:textId="385DD86B" w:rsidR="00ED25D1" w:rsidRPr="00FF4D4B" w:rsidRDefault="00ED25D1" w:rsidP="007C6B86">
            <w:pPr>
              <w:rPr>
                <w:rFonts w:cs="Times New Roman"/>
                <w:sz w:val="16"/>
                <w:szCs w:val="16"/>
              </w:rPr>
            </w:pPr>
            <w:r w:rsidRPr="00FF4D4B">
              <w:rPr>
                <w:rFonts w:cs="Times New Roman"/>
                <w:sz w:val="16"/>
                <w:szCs w:val="16"/>
              </w:rPr>
              <w:t>€10</w:t>
            </w:r>
            <w:r w:rsidR="007C6B86" w:rsidRPr="00FF4D4B">
              <w:rPr>
                <w:rFonts w:cs="Times New Roman"/>
                <w:sz w:val="16"/>
                <w:szCs w:val="16"/>
              </w:rPr>
              <w:t>.</w:t>
            </w:r>
            <w:r w:rsidRPr="00FF4D4B">
              <w:rPr>
                <w:rFonts w:cs="Times New Roman"/>
                <w:sz w:val="16"/>
                <w:szCs w:val="16"/>
              </w:rPr>
              <w:t>71</w:t>
            </w:r>
          </w:p>
        </w:tc>
        <w:tc>
          <w:tcPr>
            <w:tcW w:w="851" w:type="dxa"/>
          </w:tcPr>
          <w:p w14:paraId="0F8F3FD4" w14:textId="339F47A8" w:rsidR="00ED25D1" w:rsidRPr="00FF4D4B" w:rsidRDefault="00ED25D1" w:rsidP="007C4BF5">
            <w:pPr>
              <w:rPr>
                <w:rFonts w:cs="Times New Roman"/>
                <w:sz w:val="16"/>
                <w:szCs w:val="16"/>
              </w:rPr>
            </w:pPr>
            <w:r w:rsidRPr="00FF4D4B">
              <w:rPr>
                <w:rFonts w:cs="Times New Roman"/>
                <w:sz w:val="16"/>
                <w:szCs w:val="16"/>
              </w:rPr>
              <w:t>€55</w:t>
            </w:r>
          </w:p>
        </w:tc>
        <w:tc>
          <w:tcPr>
            <w:tcW w:w="1276" w:type="dxa"/>
          </w:tcPr>
          <w:p w14:paraId="49A474A2" w14:textId="095F5721" w:rsidR="00ED25D1" w:rsidRPr="00FF4D4B" w:rsidRDefault="007C6B86" w:rsidP="007C6B86">
            <w:pPr>
              <w:rPr>
                <w:rFonts w:cs="Times New Roman"/>
                <w:sz w:val="16"/>
                <w:szCs w:val="16"/>
                <w:lang w:eastAsia="nl-NL"/>
              </w:rPr>
            </w:pPr>
            <w:r w:rsidRPr="00FF4D4B">
              <w:rPr>
                <w:rFonts w:cs="Times New Roman"/>
                <w:sz w:val="16"/>
                <w:szCs w:val="16"/>
                <w:lang w:eastAsia="nl-NL"/>
              </w:rPr>
              <w:t>€13,287,000</w:t>
            </w:r>
            <w:r w:rsidR="00ED25D1" w:rsidRPr="00FF4D4B">
              <w:rPr>
                <w:rFonts w:cs="Times New Roman"/>
                <w:sz w:val="16"/>
                <w:szCs w:val="16"/>
                <w:lang w:eastAsia="nl-NL"/>
              </w:rPr>
              <w:t xml:space="preserve"> </w:t>
            </w:r>
          </w:p>
        </w:tc>
        <w:tc>
          <w:tcPr>
            <w:tcW w:w="992" w:type="dxa"/>
          </w:tcPr>
          <w:p w14:paraId="2B4AA879" w14:textId="4994A242" w:rsidR="00ED25D1" w:rsidRPr="00FF4D4B" w:rsidRDefault="007C6B86" w:rsidP="0026397F">
            <w:pPr>
              <w:rPr>
                <w:rFonts w:cs="Times New Roman"/>
                <w:sz w:val="16"/>
                <w:szCs w:val="16"/>
              </w:rPr>
            </w:pPr>
            <w:r w:rsidRPr="00FF4D4B">
              <w:rPr>
                <w:rFonts w:cs="Times New Roman"/>
                <w:sz w:val="16"/>
                <w:szCs w:val="16"/>
              </w:rPr>
              <w:t>€3</w:t>
            </w:r>
            <w:r w:rsidR="0026397F" w:rsidRPr="00FF4D4B">
              <w:rPr>
                <w:rFonts w:cs="Times New Roman"/>
                <w:sz w:val="16"/>
                <w:szCs w:val="16"/>
              </w:rPr>
              <w:t>9</w:t>
            </w:r>
            <w:r w:rsidRPr="00FF4D4B">
              <w:rPr>
                <w:rFonts w:cs="Times New Roman"/>
                <w:sz w:val="16"/>
                <w:szCs w:val="16"/>
              </w:rPr>
              <w:t>.</w:t>
            </w:r>
            <w:r w:rsidR="0026397F" w:rsidRPr="00FF4D4B">
              <w:rPr>
                <w:rFonts w:cs="Times New Roman"/>
                <w:sz w:val="16"/>
                <w:szCs w:val="16"/>
              </w:rPr>
              <w:t>18</w:t>
            </w:r>
          </w:p>
        </w:tc>
        <w:tc>
          <w:tcPr>
            <w:tcW w:w="1276" w:type="dxa"/>
          </w:tcPr>
          <w:p w14:paraId="059062D7" w14:textId="032C89B6" w:rsidR="00ED25D1" w:rsidRPr="00FF4D4B" w:rsidRDefault="007C6B86" w:rsidP="0026397F">
            <w:pPr>
              <w:rPr>
                <w:rFonts w:cs="Times New Roman"/>
                <w:sz w:val="16"/>
                <w:szCs w:val="16"/>
                <w:lang w:eastAsia="nl-NL"/>
              </w:rPr>
            </w:pPr>
            <w:r w:rsidRPr="00FF4D4B">
              <w:rPr>
                <w:rFonts w:cs="Times New Roman"/>
                <w:sz w:val="16"/>
                <w:szCs w:val="16"/>
                <w:lang w:eastAsia="nl-NL"/>
              </w:rPr>
              <w:t>€8,</w:t>
            </w:r>
            <w:r w:rsidR="0026397F" w:rsidRPr="00FF4D4B">
              <w:rPr>
                <w:rFonts w:cs="Times New Roman"/>
                <w:sz w:val="16"/>
                <w:szCs w:val="16"/>
                <w:lang w:eastAsia="nl-NL"/>
              </w:rPr>
              <w:t>541</w:t>
            </w:r>
            <w:r w:rsidRPr="00FF4D4B">
              <w:rPr>
                <w:rFonts w:cs="Times New Roman"/>
                <w:sz w:val="16"/>
                <w:szCs w:val="16"/>
                <w:lang w:eastAsia="nl-NL"/>
              </w:rPr>
              <w:t>,000</w:t>
            </w:r>
          </w:p>
        </w:tc>
      </w:tr>
      <w:tr w:rsidR="00E819D4" w:rsidRPr="00FF4D4B" w14:paraId="0403C349" w14:textId="77777777" w:rsidTr="00E819D4">
        <w:tc>
          <w:tcPr>
            <w:tcW w:w="959" w:type="dxa"/>
          </w:tcPr>
          <w:p w14:paraId="37AEF217" w14:textId="3D6DA85F" w:rsidR="00ED25D1" w:rsidRPr="00FF4D4B" w:rsidRDefault="00ED25D1" w:rsidP="00E819D4">
            <w:pPr>
              <w:jc w:val="center"/>
              <w:rPr>
                <w:rFonts w:cs="Times New Roman"/>
                <w:sz w:val="16"/>
                <w:szCs w:val="16"/>
              </w:rPr>
            </w:pPr>
            <w:r w:rsidRPr="00FF4D4B">
              <w:rPr>
                <w:rFonts w:cs="Times New Roman"/>
                <w:sz w:val="16"/>
                <w:szCs w:val="16"/>
              </w:rPr>
              <w:t>2004</w:t>
            </w:r>
          </w:p>
        </w:tc>
        <w:tc>
          <w:tcPr>
            <w:tcW w:w="992" w:type="dxa"/>
          </w:tcPr>
          <w:p w14:paraId="4D8A28EF" w14:textId="079EAE25" w:rsidR="00ED25D1" w:rsidRPr="00FF4D4B" w:rsidRDefault="00ED25D1" w:rsidP="00ED25D1">
            <w:pPr>
              <w:rPr>
                <w:rFonts w:cs="Times New Roman"/>
                <w:sz w:val="16"/>
                <w:szCs w:val="16"/>
              </w:rPr>
            </w:pPr>
            <w:r w:rsidRPr="00FF4D4B">
              <w:rPr>
                <w:rFonts w:cs="Times New Roman"/>
                <w:sz w:val="16"/>
                <w:szCs w:val="16"/>
              </w:rPr>
              <w:t>277,500</w:t>
            </w:r>
          </w:p>
        </w:tc>
        <w:tc>
          <w:tcPr>
            <w:tcW w:w="992" w:type="dxa"/>
          </w:tcPr>
          <w:p w14:paraId="485124BA" w14:textId="70198CA2" w:rsidR="00ED25D1" w:rsidRPr="00FF4D4B" w:rsidRDefault="00ED25D1" w:rsidP="007C6B86">
            <w:pPr>
              <w:rPr>
                <w:rFonts w:cs="Times New Roman"/>
                <w:sz w:val="16"/>
                <w:szCs w:val="16"/>
              </w:rPr>
            </w:pPr>
            <w:r w:rsidRPr="00FF4D4B">
              <w:rPr>
                <w:rFonts w:cs="Times New Roman"/>
                <w:sz w:val="16"/>
                <w:szCs w:val="16"/>
              </w:rPr>
              <w:t>€25</w:t>
            </w:r>
            <w:r w:rsidR="007C6B86" w:rsidRPr="00FF4D4B">
              <w:rPr>
                <w:rFonts w:cs="Times New Roman"/>
                <w:sz w:val="16"/>
                <w:szCs w:val="16"/>
              </w:rPr>
              <w:t>.</w:t>
            </w:r>
            <w:r w:rsidRPr="00FF4D4B">
              <w:rPr>
                <w:rFonts w:cs="Times New Roman"/>
                <w:sz w:val="16"/>
                <w:szCs w:val="16"/>
              </w:rPr>
              <w:t>86</w:t>
            </w:r>
          </w:p>
        </w:tc>
        <w:tc>
          <w:tcPr>
            <w:tcW w:w="851" w:type="dxa"/>
          </w:tcPr>
          <w:p w14:paraId="6BFACD7B" w14:textId="0FFF791D" w:rsidR="00ED25D1" w:rsidRPr="00FF4D4B" w:rsidRDefault="00ED25D1" w:rsidP="007C4BF5">
            <w:pPr>
              <w:rPr>
                <w:rFonts w:cs="Times New Roman"/>
                <w:sz w:val="16"/>
                <w:szCs w:val="16"/>
              </w:rPr>
            </w:pPr>
            <w:r w:rsidRPr="00FF4D4B">
              <w:rPr>
                <w:rFonts w:cs="Times New Roman"/>
                <w:sz w:val="16"/>
                <w:szCs w:val="16"/>
              </w:rPr>
              <w:t>€55</w:t>
            </w:r>
          </w:p>
        </w:tc>
        <w:tc>
          <w:tcPr>
            <w:tcW w:w="1276" w:type="dxa"/>
          </w:tcPr>
          <w:p w14:paraId="4488708E" w14:textId="67C0F8FF" w:rsidR="00ED25D1" w:rsidRPr="00FF4D4B" w:rsidRDefault="007C6B86" w:rsidP="007C6B86">
            <w:pPr>
              <w:rPr>
                <w:rFonts w:cs="Times New Roman"/>
                <w:sz w:val="16"/>
                <w:szCs w:val="16"/>
                <w:lang w:eastAsia="nl-NL"/>
              </w:rPr>
            </w:pPr>
            <w:r w:rsidRPr="00FF4D4B">
              <w:rPr>
                <w:rFonts w:cs="Times New Roman"/>
                <w:sz w:val="16"/>
                <w:szCs w:val="16"/>
                <w:lang w:eastAsia="nl-NL"/>
              </w:rPr>
              <w:t xml:space="preserve">€8,086,350 </w:t>
            </w:r>
          </w:p>
        </w:tc>
        <w:tc>
          <w:tcPr>
            <w:tcW w:w="992" w:type="dxa"/>
          </w:tcPr>
          <w:p w14:paraId="02125DC3" w14:textId="6F95B1C2" w:rsidR="00ED25D1" w:rsidRPr="00FF4D4B" w:rsidRDefault="0026397F" w:rsidP="007C4BF5">
            <w:pPr>
              <w:rPr>
                <w:rFonts w:cs="Times New Roman"/>
                <w:sz w:val="16"/>
                <w:szCs w:val="16"/>
              </w:rPr>
            </w:pPr>
            <w:r w:rsidRPr="00FF4D4B">
              <w:rPr>
                <w:rFonts w:cs="Times New Roman"/>
                <w:sz w:val="16"/>
                <w:szCs w:val="16"/>
              </w:rPr>
              <w:t>€39.18</w:t>
            </w:r>
          </w:p>
        </w:tc>
        <w:tc>
          <w:tcPr>
            <w:tcW w:w="1276" w:type="dxa"/>
          </w:tcPr>
          <w:p w14:paraId="0FA9E6B1" w14:textId="7090F037" w:rsidR="00ED25D1" w:rsidRPr="00FF4D4B" w:rsidRDefault="007C6B86" w:rsidP="0026397F">
            <w:pPr>
              <w:rPr>
                <w:rFonts w:cs="Times New Roman"/>
                <w:sz w:val="16"/>
                <w:szCs w:val="16"/>
                <w:lang w:eastAsia="nl-NL"/>
              </w:rPr>
            </w:pPr>
            <w:r w:rsidRPr="00FF4D4B">
              <w:rPr>
                <w:rFonts w:cs="Times New Roman"/>
                <w:sz w:val="16"/>
                <w:szCs w:val="16"/>
                <w:lang w:eastAsia="nl-NL"/>
              </w:rPr>
              <w:t>€3,</w:t>
            </w:r>
            <w:r w:rsidR="0026397F" w:rsidRPr="00FF4D4B">
              <w:rPr>
                <w:rFonts w:cs="Times New Roman"/>
                <w:sz w:val="16"/>
                <w:szCs w:val="16"/>
                <w:lang w:eastAsia="nl-NL"/>
              </w:rPr>
              <w:t>696</w:t>
            </w:r>
            <w:r w:rsidRPr="00FF4D4B">
              <w:rPr>
                <w:rFonts w:cs="Times New Roman"/>
                <w:sz w:val="16"/>
                <w:szCs w:val="16"/>
                <w:lang w:eastAsia="nl-NL"/>
              </w:rPr>
              <w:t>,</w:t>
            </w:r>
            <w:r w:rsidR="0026397F" w:rsidRPr="00FF4D4B">
              <w:rPr>
                <w:rFonts w:cs="Times New Roman"/>
                <w:sz w:val="16"/>
                <w:szCs w:val="16"/>
                <w:lang w:eastAsia="nl-NL"/>
              </w:rPr>
              <w:t>300</w:t>
            </w:r>
          </w:p>
        </w:tc>
      </w:tr>
      <w:tr w:rsidR="00E819D4" w:rsidRPr="00FF4D4B" w14:paraId="2809316A" w14:textId="77777777" w:rsidTr="00E819D4">
        <w:tc>
          <w:tcPr>
            <w:tcW w:w="959" w:type="dxa"/>
          </w:tcPr>
          <w:p w14:paraId="1F6776BA" w14:textId="7E48578A" w:rsidR="00ED25D1" w:rsidRPr="00FF4D4B" w:rsidRDefault="00ED25D1" w:rsidP="00E819D4">
            <w:pPr>
              <w:jc w:val="center"/>
              <w:rPr>
                <w:rFonts w:cs="Times New Roman"/>
                <w:sz w:val="16"/>
                <w:szCs w:val="16"/>
              </w:rPr>
            </w:pPr>
            <w:r w:rsidRPr="00FF4D4B">
              <w:rPr>
                <w:rFonts w:cs="Times New Roman"/>
                <w:sz w:val="16"/>
                <w:szCs w:val="16"/>
              </w:rPr>
              <w:t>2005</w:t>
            </w:r>
          </w:p>
        </w:tc>
        <w:tc>
          <w:tcPr>
            <w:tcW w:w="992" w:type="dxa"/>
          </w:tcPr>
          <w:p w14:paraId="5F4281AE" w14:textId="3836E4EC" w:rsidR="00ED25D1" w:rsidRPr="00FF4D4B" w:rsidRDefault="00ED25D1" w:rsidP="007C4BF5">
            <w:pPr>
              <w:rPr>
                <w:rFonts w:cs="Times New Roman"/>
                <w:sz w:val="16"/>
                <w:szCs w:val="16"/>
              </w:rPr>
            </w:pPr>
            <w:r w:rsidRPr="00FF4D4B">
              <w:rPr>
                <w:rFonts w:cs="Times New Roman"/>
                <w:sz w:val="16"/>
                <w:szCs w:val="16"/>
              </w:rPr>
              <w:t>300,000</w:t>
            </w:r>
          </w:p>
        </w:tc>
        <w:tc>
          <w:tcPr>
            <w:tcW w:w="992" w:type="dxa"/>
          </w:tcPr>
          <w:p w14:paraId="1575CE53" w14:textId="50D463B2" w:rsidR="00ED25D1" w:rsidRPr="00FF4D4B" w:rsidRDefault="00ED25D1" w:rsidP="007C6B86">
            <w:pPr>
              <w:rPr>
                <w:rFonts w:cs="Times New Roman"/>
                <w:sz w:val="16"/>
                <w:szCs w:val="16"/>
              </w:rPr>
            </w:pPr>
            <w:r w:rsidRPr="00FF4D4B">
              <w:rPr>
                <w:rFonts w:cs="Times New Roman"/>
                <w:sz w:val="16"/>
                <w:szCs w:val="16"/>
              </w:rPr>
              <w:t>€32</w:t>
            </w:r>
            <w:r w:rsidR="007C6B86" w:rsidRPr="00FF4D4B">
              <w:rPr>
                <w:rFonts w:cs="Times New Roman"/>
                <w:sz w:val="16"/>
                <w:szCs w:val="16"/>
              </w:rPr>
              <w:t>.</w:t>
            </w:r>
            <w:r w:rsidRPr="00FF4D4B">
              <w:rPr>
                <w:rFonts w:cs="Times New Roman"/>
                <w:sz w:val="16"/>
                <w:szCs w:val="16"/>
              </w:rPr>
              <w:t>27</w:t>
            </w:r>
          </w:p>
        </w:tc>
        <w:tc>
          <w:tcPr>
            <w:tcW w:w="851" w:type="dxa"/>
          </w:tcPr>
          <w:p w14:paraId="6378FF05" w14:textId="56D5F8D8" w:rsidR="00ED25D1" w:rsidRPr="00FF4D4B" w:rsidRDefault="00ED25D1" w:rsidP="007C4BF5">
            <w:pPr>
              <w:rPr>
                <w:rFonts w:cs="Times New Roman"/>
                <w:sz w:val="16"/>
                <w:szCs w:val="16"/>
              </w:rPr>
            </w:pPr>
            <w:r w:rsidRPr="00FF4D4B">
              <w:rPr>
                <w:rFonts w:cs="Times New Roman"/>
                <w:sz w:val="16"/>
                <w:szCs w:val="16"/>
              </w:rPr>
              <w:t>€55</w:t>
            </w:r>
          </w:p>
        </w:tc>
        <w:tc>
          <w:tcPr>
            <w:tcW w:w="1276" w:type="dxa"/>
          </w:tcPr>
          <w:p w14:paraId="2275460C" w14:textId="3F6B6A6B" w:rsidR="00ED25D1" w:rsidRPr="00FF4D4B" w:rsidRDefault="007C6B86" w:rsidP="007C6B86">
            <w:pPr>
              <w:rPr>
                <w:rFonts w:cs="Times New Roman"/>
                <w:sz w:val="16"/>
                <w:szCs w:val="16"/>
                <w:lang w:eastAsia="nl-NL"/>
              </w:rPr>
            </w:pPr>
            <w:r w:rsidRPr="00FF4D4B">
              <w:rPr>
                <w:rFonts w:cs="Times New Roman"/>
                <w:sz w:val="16"/>
                <w:szCs w:val="16"/>
                <w:lang w:eastAsia="nl-NL"/>
              </w:rPr>
              <w:t>€</w:t>
            </w:r>
            <w:r w:rsidR="00ED25D1" w:rsidRPr="00FF4D4B">
              <w:rPr>
                <w:rFonts w:cs="Times New Roman"/>
                <w:sz w:val="16"/>
                <w:szCs w:val="16"/>
                <w:lang w:eastAsia="nl-NL"/>
              </w:rPr>
              <w:t>6</w:t>
            </w:r>
            <w:r w:rsidRPr="00FF4D4B">
              <w:rPr>
                <w:rFonts w:cs="Times New Roman"/>
                <w:sz w:val="16"/>
                <w:szCs w:val="16"/>
                <w:lang w:eastAsia="nl-NL"/>
              </w:rPr>
              <w:t>,819,000</w:t>
            </w:r>
          </w:p>
        </w:tc>
        <w:tc>
          <w:tcPr>
            <w:tcW w:w="992" w:type="dxa"/>
          </w:tcPr>
          <w:p w14:paraId="415379EC" w14:textId="656D7DAF" w:rsidR="00ED25D1" w:rsidRPr="00FF4D4B" w:rsidRDefault="0026397F" w:rsidP="007C4BF5">
            <w:pPr>
              <w:rPr>
                <w:rFonts w:cs="Times New Roman"/>
                <w:sz w:val="16"/>
                <w:szCs w:val="16"/>
              </w:rPr>
            </w:pPr>
            <w:r w:rsidRPr="00FF4D4B">
              <w:rPr>
                <w:rFonts w:cs="Times New Roman"/>
                <w:sz w:val="16"/>
                <w:szCs w:val="16"/>
              </w:rPr>
              <w:t>€39.18</w:t>
            </w:r>
          </w:p>
        </w:tc>
        <w:tc>
          <w:tcPr>
            <w:tcW w:w="1276" w:type="dxa"/>
          </w:tcPr>
          <w:p w14:paraId="33DC5DDA" w14:textId="0C8CDB4F" w:rsidR="00ED25D1" w:rsidRPr="00FF4D4B" w:rsidRDefault="007C6B86" w:rsidP="005C0B01">
            <w:pPr>
              <w:rPr>
                <w:rFonts w:cs="Times New Roman"/>
                <w:sz w:val="16"/>
                <w:szCs w:val="16"/>
                <w:lang w:eastAsia="nl-NL"/>
              </w:rPr>
            </w:pPr>
            <w:r w:rsidRPr="00FF4D4B">
              <w:rPr>
                <w:rFonts w:cs="Times New Roman"/>
                <w:sz w:val="16"/>
                <w:szCs w:val="16"/>
                <w:lang w:eastAsia="nl-NL"/>
              </w:rPr>
              <w:t>€</w:t>
            </w:r>
            <w:r w:rsidR="005C0B01" w:rsidRPr="00FF4D4B">
              <w:rPr>
                <w:rFonts w:cs="Times New Roman"/>
                <w:sz w:val="16"/>
                <w:szCs w:val="16"/>
                <w:lang w:eastAsia="nl-NL"/>
              </w:rPr>
              <w:t>2</w:t>
            </w:r>
            <w:r w:rsidRPr="00FF4D4B">
              <w:rPr>
                <w:rFonts w:cs="Times New Roman"/>
                <w:sz w:val="16"/>
                <w:szCs w:val="16"/>
                <w:lang w:eastAsia="nl-NL"/>
              </w:rPr>
              <w:t>,</w:t>
            </w:r>
            <w:r w:rsidR="005C0B01" w:rsidRPr="00FF4D4B">
              <w:rPr>
                <w:rFonts w:cs="Times New Roman"/>
                <w:sz w:val="16"/>
                <w:szCs w:val="16"/>
                <w:lang w:eastAsia="nl-NL"/>
              </w:rPr>
              <w:t>073</w:t>
            </w:r>
            <w:r w:rsidRPr="00FF4D4B">
              <w:rPr>
                <w:rFonts w:cs="Times New Roman"/>
                <w:sz w:val="16"/>
                <w:szCs w:val="16"/>
                <w:lang w:eastAsia="nl-NL"/>
              </w:rPr>
              <w:t>,000</w:t>
            </w:r>
          </w:p>
        </w:tc>
      </w:tr>
      <w:tr w:rsidR="00E819D4" w:rsidRPr="00FF4D4B" w14:paraId="0E660FE8" w14:textId="77777777" w:rsidTr="00E819D4">
        <w:tc>
          <w:tcPr>
            <w:tcW w:w="959" w:type="dxa"/>
          </w:tcPr>
          <w:p w14:paraId="03B97259" w14:textId="38535147" w:rsidR="00ED25D1" w:rsidRPr="00FF4D4B" w:rsidRDefault="00ED25D1" w:rsidP="00E819D4">
            <w:pPr>
              <w:jc w:val="center"/>
              <w:rPr>
                <w:rFonts w:cs="Times New Roman"/>
                <w:sz w:val="16"/>
                <w:szCs w:val="16"/>
              </w:rPr>
            </w:pPr>
            <w:r w:rsidRPr="00FF4D4B">
              <w:rPr>
                <w:rFonts w:cs="Times New Roman"/>
                <w:sz w:val="16"/>
                <w:szCs w:val="16"/>
              </w:rPr>
              <w:t>2006</w:t>
            </w:r>
          </w:p>
        </w:tc>
        <w:tc>
          <w:tcPr>
            <w:tcW w:w="992" w:type="dxa"/>
          </w:tcPr>
          <w:p w14:paraId="7C6474B4" w14:textId="2CF91577" w:rsidR="00ED25D1" w:rsidRPr="00FF4D4B" w:rsidRDefault="00ED25D1" w:rsidP="007C4BF5">
            <w:pPr>
              <w:rPr>
                <w:rFonts w:cs="Times New Roman"/>
                <w:sz w:val="16"/>
                <w:szCs w:val="16"/>
              </w:rPr>
            </w:pPr>
            <w:r w:rsidRPr="00FF4D4B">
              <w:rPr>
                <w:rFonts w:cs="Times New Roman"/>
                <w:sz w:val="16"/>
                <w:szCs w:val="16"/>
              </w:rPr>
              <w:t>300,000</w:t>
            </w:r>
          </w:p>
        </w:tc>
        <w:tc>
          <w:tcPr>
            <w:tcW w:w="992" w:type="dxa"/>
          </w:tcPr>
          <w:p w14:paraId="34DE1C52" w14:textId="799CD3FC" w:rsidR="00ED25D1" w:rsidRPr="00FF4D4B" w:rsidRDefault="00ED25D1" w:rsidP="007C6B86">
            <w:pPr>
              <w:rPr>
                <w:rFonts w:cs="Times New Roman"/>
                <w:sz w:val="16"/>
                <w:szCs w:val="16"/>
              </w:rPr>
            </w:pPr>
            <w:r w:rsidRPr="00FF4D4B">
              <w:rPr>
                <w:rFonts w:cs="Times New Roman"/>
                <w:sz w:val="16"/>
                <w:szCs w:val="16"/>
              </w:rPr>
              <w:t>€35</w:t>
            </w:r>
            <w:r w:rsidR="007C6B86" w:rsidRPr="00FF4D4B">
              <w:rPr>
                <w:rFonts w:cs="Times New Roman"/>
                <w:sz w:val="16"/>
                <w:szCs w:val="16"/>
              </w:rPr>
              <w:t>.</w:t>
            </w:r>
            <w:r w:rsidRPr="00FF4D4B">
              <w:rPr>
                <w:rFonts w:cs="Times New Roman"/>
                <w:sz w:val="16"/>
                <w:szCs w:val="16"/>
              </w:rPr>
              <w:t>02</w:t>
            </w:r>
          </w:p>
        </w:tc>
        <w:tc>
          <w:tcPr>
            <w:tcW w:w="851" w:type="dxa"/>
          </w:tcPr>
          <w:p w14:paraId="47F1443D" w14:textId="69B84FDB" w:rsidR="00ED25D1" w:rsidRPr="00FF4D4B" w:rsidRDefault="00ED25D1" w:rsidP="007C4BF5">
            <w:pPr>
              <w:rPr>
                <w:rFonts w:cs="Times New Roman"/>
                <w:sz w:val="16"/>
                <w:szCs w:val="16"/>
              </w:rPr>
            </w:pPr>
            <w:r w:rsidRPr="00FF4D4B">
              <w:rPr>
                <w:rFonts w:cs="Times New Roman"/>
                <w:sz w:val="16"/>
                <w:szCs w:val="16"/>
              </w:rPr>
              <w:t>€55</w:t>
            </w:r>
          </w:p>
        </w:tc>
        <w:tc>
          <w:tcPr>
            <w:tcW w:w="1276" w:type="dxa"/>
          </w:tcPr>
          <w:p w14:paraId="7409F108" w14:textId="0A75E31A" w:rsidR="00ED25D1" w:rsidRPr="00FF4D4B" w:rsidRDefault="007C6B86" w:rsidP="007C6B86">
            <w:pPr>
              <w:rPr>
                <w:rFonts w:cs="Times New Roman"/>
                <w:sz w:val="16"/>
                <w:szCs w:val="16"/>
                <w:lang w:eastAsia="nl-NL"/>
              </w:rPr>
            </w:pPr>
            <w:r w:rsidRPr="00FF4D4B">
              <w:rPr>
                <w:rFonts w:cs="Times New Roman"/>
                <w:sz w:val="16"/>
                <w:szCs w:val="16"/>
                <w:lang w:eastAsia="nl-NL"/>
              </w:rPr>
              <w:t>€5,994,000</w:t>
            </w:r>
          </w:p>
        </w:tc>
        <w:tc>
          <w:tcPr>
            <w:tcW w:w="992" w:type="dxa"/>
          </w:tcPr>
          <w:p w14:paraId="57A9BE50" w14:textId="019FD1D4" w:rsidR="00ED25D1" w:rsidRPr="00FF4D4B" w:rsidRDefault="0026397F" w:rsidP="007C4BF5">
            <w:pPr>
              <w:rPr>
                <w:rFonts w:cs="Times New Roman"/>
                <w:sz w:val="16"/>
                <w:szCs w:val="16"/>
              </w:rPr>
            </w:pPr>
            <w:r w:rsidRPr="00FF4D4B">
              <w:rPr>
                <w:rFonts w:cs="Times New Roman"/>
                <w:sz w:val="16"/>
                <w:szCs w:val="16"/>
              </w:rPr>
              <w:t>€39.18</w:t>
            </w:r>
          </w:p>
        </w:tc>
        <w:tc>
          <w:tcPr>
            <w:tcW w:w="1276" w:type="dxa"/>
          </w:tcPr>
          <w:p w14:paraId="0DD3B8D2" w14:textId="57A92386" w:rsidR="00ED25D1" w:rsidRPr="00FF4D4B" w:rsidRDefault="007C6B86" w:rsidP="005C0B01">
            <w:pPr>
              <w:rPr>
                <w:rFonts w:cs="Times New Roman"/>
                <w:sz w:val="16"/>
                <w:szCs w:val="16"/>
                <w:lang w:eastAsia="nl-NL"/>
              </w:rPr>
            </w:pPr>
            <w:r w:rsidRPr="00FF4D4B">
              <w:rPr>
                <w:rFonts w:cs="Times New Roman"/>
                <w:sz w:val="16"/>
                <w:szCs w:val="16"/>
                <w:lang w:eastAsia="nl-NL"/>
              </w:rPr>
              <w:t>€1,</w:t>
            </w:r>
            <w:r w:rsidR="005C0B01" w:rsidRPr="00FF4D4B">
              <w:rPr>
                <w:rFonts w:cs="Times New Roman"/>
                <w:sz w:val="16"/>
                <w:szCs w:val="16"/>
                <w:lang w:eastAsia="nl-NL"/>
              </w:rPr>
              <w:t>248</w:t>
            </w:r>
            <w:r w:rsidRPr="00FF4D4B">
              <w:rPr>
                <w:rFonts w:cs="Times New Roman"/>
                <w:sz w:val="16"/>
                <w:szCs w:val="16"/>
                <w:lang w:eastAsia="nl-NL"/>
              </w:rPr>
              <w:t xml:space="preserve">,000 </w:t>
            </w:r>
          </w:p>
        </w:tc>
      </w:tr>
      <w:tr w:rsidR="00E819D4" w:rsidRPr="00FF4D4B" w14:paraId="1054ED1C" w14:textId="77777777" w:rsidTr="00E819D4">
        <w:tc>
          <w:tcPr>
            <w:tcW w:w="959" w:type="dxa"/>
          </w:tcPr>
          <w:p w14:paraId="269E2A89" w14:textId="77777777" w:rsidR="00ED25D1" w:rsidRPr="00FF4D4B" w:rsidRDefault="00ED25D1" w:rsidP="00E819D4">
            <w:pPr>
              <w:jc w:val="center"/>
              <w:rPr>
                <w:rFonts w:cs="Times New Roman"/>
                <w:sz w:val="16"/>
                <w:szCs w:val="16"/>
              </w:rPr>
            </w:pPr>
            <w:r w:rsidRPr="00FF4D4B">
              <w:rPr>
                <w:rFonts w:cs="Times New Roman"/>
                <w:sz w:val="16"/>
                <w:szCs w:val="16"/>
              </w:rPr>
              <w:t>2007</w:t>
            </w:r>
          </w:p>
        </w:tc>
        <w:tc>
          <w:tcPr>
            <w:tcW w:w="992" w:type="dxa"/>
          </w:tcPr>
          <w:p w14:paraId="1CD28EB5" w14:textId="77777777" w:rsidR="00ED25D1" w:rsidRPr="00FF4D4B" w:rsidRDefault="00ED25D1" w:rsidP="00ED25D1">
            <w:pPr>
              <w:rPr>
                <w:rFonts w:cs="Times New Roman"/>
                <w:sz w:val="16"/>
                <w:szCs w:val="16"/>
              </w:rPr>
            </w:pPr>
            <w:r w:rsidRPr="00FF4D4B">
              <w:rPr>
                <w:rFonts w:cs="Times New Roman"/>
                <w:sz w:val="16"/>
                <w:szCs w:val="16"/>
              </w:rPr>
              <w:t>300,000</w:t>
            </w:r>
          </w:p>
        </w:tc>
        <w:tc>
          <w:tcPr>
            <w:tcW w:w="992" w:type="dxa"/>
          </w:tcPr>
          <w:p w14:paraId="54B96D6D" w14:textId="37161241" w:rsidR="00ED25D1" w:rsidRPr="00FF4D4B" w:rsidRDefault="00ED25D1" w:rsidP="007C6B86">
            <w:pPr>
              <w:rPr>
                <w:rFonts w:cs="Times New Roman"/>
                <w:sz w:val="16"/>
                <w:szCs w:val="16"/>
              </w:rPr>
            </w:pPr>
            <w:r w:rsidRPr="00FF4D4B">
              <w:rPr>
                <w:rFonts w:cs="Times New Roman"/>
                <w:sz w:val="16"/>
                <w:szCs w:val="16"/>
              </w:rPr>
              <w:t>€38</w:t>
            </w:r>
            <w:r w:rsidR="007C6B86" w:rsidRPr="00FF4D4B">
              <w:rPr>
                <w:rFonts w:cs="Times New Roman"/>
                <w:sz w:val="16"/>
                <w:szCs w:val="16"/>
              </w:rPr>
              <w:t>.</w:t>
            </w:r>
            <w:r w:rsidRPr="00FF4D4B">
              <w:rPr>
                <w:rFonts w:cs="Times New Roman"/>
                <w:sz w:val="16"/>
                <w:szCs w:val="16"/>
              </w:rPr>
              <w:t>28</w:t>
            </w:r>
          </w:p>
        </w:tc>
        <w:tc>
          <w:tcPr>
            <w:tcW w:w="851" w:type="dxa"/>
          </w:tcPr>
          <w:p w14:paraId="68A7C6DC" w14:textId="5EDC7925" w:rsidR="00ED25D1" w:rsidRPr="00FF4D4B" w:rsidRDefault="00ED25D1" w:rsidP="00ED25D1">
            <w:pPr>
              <w:rPr>
                <w:rFonts w:cs="Times New Roman"/>
                <w:sz w:val="16"/>
                <w:szCs w:val="16"/>
              </w:rPr>
            </w:pPr>
            <w:r w:rsidRPr="00FF4D4B">
              <w:rPr>
                <w:rFonts w:cs="Times New Roman"/>
                <w:sz w:val="16"/>
                <w:szCs w:val="16"/>
              </w:rPr>
              <w:t>€55</w:t>
            </w:r>
          </w:p>
        </w:tc>
        <w:tc>
          <w:tcPr>
            <w:tcW w:w="1276" w:type="dxa"/>
          </w:tcPr>
          <w:p w14:paraId="49DAA2B3" w14:textId="48293BDE" w:rsidR="00ED25D1" w:rsidRPr="00FF4D4B" w:rsidRDefault="007C6B86" w:rsidP="007C6B86">
            <w:pPr>
              <w:rPr>
                <w:rFonts w:cs="Times New Roman"/>
                <w:sz w:val="16"/>
                <w:szCs w:val="16"/>
                <w:lang w:eastAsia="nl-NL"/>
              </w:rPr>
            </w:pPr>
            <w:r w:rsidRPr="00FF4D4B">
              <w:rPr>
                <w:rFonts w:cs="Times New Roman"/>
                <w:sz w:val="16"/>
                <w:szCs w:val="16"/>
                <w:lang w:eastAsia="nl-NL"/>
              </w:rPr>
              <w:t>€5,015,439</w:t>
            </w:r>
          </w:p>
        </w:tc>
        <w:tc>
          <w:tcPr>
            <w:tcW w:w="992" w:type="dxa"/>
          </w:tcPr>
          <w:p w14:paraId="0AFE1629" w14:textId="473E402E" w:rsidR="00ED25D1" w:rsidRPr="00FF4D4B" w:rsidRDefault="0026397F" w:rsidP="00ED25D1">
            <w:pPr>
              <w:rPr>
                <w:rFonts w:cs="Times New Roman"/>
                <w:sz w:val="16"/>
                <w:szCs w:val="16"/>
              </w:rPr>
            </w:pPr>
            <w:r w:rsidRPr="00FF4D4B">
              <w:rPr>
                <w:rFonts w:cs="Times New Roman"/>
                <w:sz w:val="16"/>
                <w:szCs w:val="16"/>
              </w:rPr>
              <w:t>€39.18</w:t>
            </w:r>
          </w:p>
        </w:tc>
        <w:tc>
          <w:tcPr>
            <w:tcW w:w="1276" w:type="dxa"/>
          </w:tcPr>
          <w:p w14:paraId="0784E514" w14:textId="2A0305FF" w:rsidR="00ED25D1" w:rsidRPr="00FF4D4B" w:rsidRDefault="007C6B86" w:rsidP="005C0B01">
            <w:pPr>
              <w:rPr>
                <w:rFonts w:cs="Times New Roman"/>
                <w:sz w:val="16"/>
                <w:szCs w:val="16"/>
                <w:lang w:eastAsia="nl-NL"/>
              </w:rPr>
            </w:pPr>
            <w:r w:rsidRPr="00FF4D4B">
              <w:rPr>
                <w:rFonts w:cs="Times New Roman"/>
                <w:sz w:val="16"/>
                <w:szCs w:val="16"/>
                <w:lang w:eastAsia="nl-NL"/>
              </w:rPr>
              <w:t>€</w:t>
            </w:r>
            <w:r w:rsidR="005C0B01" w:rsidRPr="00FF4D4B">
              <w:rPr>
                <w:rFonts w:cs="Times New Roman"/>
                <w:sz w:val="16"/>
                <w:szCs w:val="16"/>
                <w:lang w:eastAsia="nl-NL"/>
              </w:rPr>
              <w:t>269</w:t>
            </w:r>
            <w:r w:rsidRPr="00FF4D4B">
              <w:rPr>
                <w:rFonts w:cs="Times New Roman"/>
                <w:sz w:val="16"/>
                <w:szCs w:val="16"/>
                <w:lang w:eastAsia="nl-NL"/>
              </w:rPr>
              <w:t>,439</w:t>
            </w:r>
          </w:p>
        </w:tc>
      </w:tr>
      <w:tr w:rsidR="00E819D4" w:rsidRPr="00FF4D4B" w14:paraId="55738A6F" w14:textId="77777777" w:rsidTr="00E819D4">
        <w:tc>
          <w:tcPr>
            <w:tcW w:w="959" w:type="dxa"/>
          </w:tcPr>
          <w:p w14:paraId="3BC2B746" w14:textId="25191188" w:rsidR="00ED25D1" w:rsidRPr="00FF4D4B" w:rsidRDefault="00ED25D1" w:rsidP="00E819D4">
            <w:pPr>
              <w:jc w:val="center"/>
              <w:rPr>
                <w:rFonts w:cs="Times New Roman"/>
                <w:sz w:val="16"/>
                <w:szCs w:val="16"/>
              </w:rPr>
            </w:pPr>
            <w:r w:rsidRPr="00FF4D4B">
              <w:rPr>
                <w:rFonts w:cs="Times New Roman"/>
                <w:sz w:val="16"/>
                <w:szCs w:val="16"/>
              </w:rPr>
              <w:t>Total</w:t>
            </w:r>
          </w:p>
        </w:tc>
        <w:tc>
          <w:tcPr>
            <w:tcW w:w="992" w:type="dxa"/>
          </w:tcPr>
          <w:p w14:paraId="37FDC24F" w14:textId="77777777" w:rsidR="00ED25D1" w:rsidRPr="00FF4D4B" w:rsidRDefault="00ED25D1" w:rsidP="007C4BF5">
            <w:pPr>
              <w:rPr>
                <w:rFonts w:cs="Times New Roman"/>
                <w:sz w:val="16"/>
                <w:szCs w:val="16"/>
              </w:rPr>
            </w:pPr>
          </w:p>
        </w:tc>
        <w:tc>
          <w:tcPr>
            <w:tcW w:w="992" w:type="dxa"/>
          </w:tcPr>
          <w:p w14:paraId="1D142E4A" w14:textId="77777777" w:rsidR="00ED25D1" w:rsidRPr="00FF4D4B" w:rsidRDefault="00ED25D1" w:rsidP="007C4BF5">
            <w:pPr>
              <w:rPr>
                <w:rFonts w:cs="Times New Roman"/>
                <w:sz w:val="16"/>
                <w:szCs w:val="16"/>
              </w:rPr>
            </w:pPr>
          </w:p>
        </w:tc>
        <w:tc>
          <w:tcPr>
            <w:tcW w:w="851" w:type="dxa"/>
          </w:tcPr>
          <w:p w14:paraId="2A407B57" w14:textId="77777777" w:rsidR="00ED25D1" w:rsidRPr="00FF4D4B" w:rsidRDefault="00ED25D1" w:rsidP="007C4BF5">
            <w:pPr>
              <w:rPr>
                <w:rFonts w:cs="Times New Roman"/>
                <w:sz w:val="16"/>
                <w:szCs w:val="16"/>
              </w:rPr>
            </w:pPr>
          </w:p>
        </w:tc>
        <w:tc>
          <w:tcPr>
            <w:tcW w:w="1276" w:type="dxa"/>
          </w:tcPr>
          <w:p w14:paraId="1EDEB5C8" w14:textId="78B9289E" w:rsidR="00ED25D1" w:rsidRPr="00FF4D4B" w:rsidRDefault="007C6B86" w:rsidP="007C6B86">
            <w:pPr>
              <w:rPr>
                <w:rFonts w:cs="Times New Roman"/>
                <w:sz w:val="16"/>
                <w:szCs w:val="16"/>
                <w:lang w:eastAsia="nl-NL"/>
              </w:rPr>
            </w:pPr>
            <w:r w:rsidRPr="00FF4D4B">
              <w:rPr>
                <w:rFonts w:cs="Times New Roman"/>
                <w:sz w:val="16"/>
                <w:szCs w:val="16"/>
                <w:lang w:eastAsia="nl-NL"/>
              </w:rPr>
              <w:t>€39,201,789</w:t>
            </w:r>
          </w:p>
        </w:tc>
        <w:tc>
          <w:tcPr>
            <w:tcW w:w="992" w:type="dxa"/>
          </w:tcPr>
          <w:p w14:paraId="617E2CA0" w14:textId="63A07CC0" w:rsidR="00ED25D1" w:rsidRPr="00FF4D4B" w:rsidRDefault="00ED25D1" w:rsidP="007C4BF5">
            <w:pPr>
              <w:rPr>
                <w:rFonts w:cs="Times New Roman"/>
                <w:sz w:val="16"/>
                <w:szCs w:val="16"/>
              </w:rPr>
            </w:pPr>
          </w:p>
        </w:tc>
        <w:tc>
          <w:tcPr>
            <w:tcW w:w="1276" w:type="dxa"/>
          </w:tcPr>
          <w:p w14:paraId="06C883C3" w14:textId="3E4CAF14" w:rsidR="00ED25D1" w:rsidRPr="00FF4D4B" w:rsidRDefault="007C6B86" w:rsidP="005C0B01">
            <w:pPr>
              <w:rPr>
                <w:rFonts w:cs="Times New Roman"/>
                <w:sz w:val="16"/>
                <w:szCs w:val="16"/>
                <w:lang w:eastAsia="nl-NL"/>
              </w:rPr>
            </w:pPr>
            <w:r w:rsidRPr="00FF4D4B">
              <w:rPr>
                <w:rFonts w:cs="Times New Roman"/>
                <w:sz w:val="16"/>
                <w:szCs w:val="16"/>
                <w:lang w:eastAsia="nl-NL"/>
              </w:rPr>
              <w:t>€1</w:t>
            </w:r>
            <w:r w:rsidR="005C0B01" w:rsidRPr="00FF4D4B">
              <w:rPr>
                <w:rFonts w:cs="Times New Roman"/>
                <w:sz w:val="16"/>
                <w:szCs w:val="16"/>
                <w:lang w:eastAsia="nl-NL"/>
              </w:rPr>
              <w:t>5</w:t>
            </w:r>
            <w:r w:rsidRPr="00FF4D4B">
              <w:rPr>
                <w:rFonts w:cs="Times New Roman"/>
                <w:sz w:val="16"/>
                <w:szCs w:val="16"/>
                <w:lang w:eastAsia="nl-NL"/>
              </w:rPr>
              <w:t>,</w:t>
            </w:r>
            <w:r w:rsidR="005C0B01" w:rsidRPr="00FF4D4B">
              <w:rPr>
                <w:rFonts w:cs="Times New Roman"/>
                <w:sz w:val="16"/>
                <w:szCs w:val="16"/>
                <w:lang w:eastAsia="nl-NL"/>
              </w:rPr>
              <w:t>827</w:t>
            </w:r>
            <w:r w:rsidRPr="00FF4D4B">
              <w:rPr>
                <w:rFonts w:cs="Times New Roman"/>
                <w:sz w:val="16"/>
                <w:szCs w:val="16"/>
                <w:lang w:eastAsia="nl-NL"/>
              </w:rPr>
              <w:t>,</w:t>
            </w:r>
            <w:r w:rsidR="005C0B01" w:rsidRPr="00FF4D4B">
              <w:rPr>
                <w:rFonts w:cs="Times New Roman"/>
                <w:sz w:val="16"/>
                <w:szCs w:val="16"/>
                <w:lang w:eastAsia="nl-NL"/>
              </w:rPr>
              <w:t>739</w:t>
            </w:r>
          </w:p>
        </w:tc>
      </w:tr>
    </w:tbl>
    <w:p w14:paraId="7B4ECECC" w14:textId="77777777" w:rsidR="00E819D4" w:rsidRPr="00FF4D4B" w:rsidRDefault="00E819D4" w:rsidP="007C4BF5">
      <w:pPr>
        <w:rPr>
          <w:rFonts w:cs="Times New Roman"/>
        </w:rPr>
      </w:pPr>
    </w:p>
    <w:p w14:paraId="26231796" w14:textId="0A578A3F" w:rsidR="00EB7BDE" w:rsidRPr="00FF4D4B" w:rsidRDefault="00E819D4" w:rsidP="00EB7BDE">
      <w:pPr>
        <w:rPr>
          <w:rFonts w:eastAsia="Times New Roman" w:cs="Times New Roman"/>
          <w:color w:val="000000"/>
          <w:sz w:val="24"/>
          <w:szCs w:val="24"/>
          <w:lang w:eastAsia="nl-NL"/>
        </w:rPr>
      </w:pPr>
      <w:r w:rsidRPr="00FF4D4B">
        <w:rPr>
          <w:rFonts w:cs="Times New Roman"/>
        </w:rPr>
        <w:t xml:space="preserve">In </w:t>
      </w:r>
      <w:r w:rsidR="00EB7BDE" w:rsidRPr="00FF4D4B">
        <w:rPr>
          <w:rFonts w:cs="Times New Roman"/>
        </w:rPr>
        <w:t>total Bennink would receive €26,804,802.11 for his shares in the company and €1</w:t>
      </w:r>
      <w:r w:rsidR="005C0B01" w:rsidRPr="00FF4D4B">
        <w:rPr>
          <w:rFonts w:cs="Times New Roman"/>
        </w:rPr>
        <w:t>5</w:t>
      </w:r>
      <w:r w:rsidR="00EB7BDE" w:rsidRPr="00FF4D4B">
        <w:rPr>
          <w:rFonts w:cs="Times New Roman"/>
        </w:rPr>
        <w:t>,8</w:t>
      </w:r>
      <w:r w:rsidR="005C0B01" w:rsidRPr="00FF4D4B">
        <w:rPr>
          <w:rFonts w:cs="Times New Roman"/>
        </w:rPr>
        <w:t>2</w:t>
      </w:r>
      <w:r w:rsidR="00EB7BDE" w:rsidRPr="00FF4D4B">
        <w:rPr>
          <w:rFonts w:cs="Times New Roman"/>
        </w:rPr>
        <w:t>7,</w:t>
      </w:r>
      <w:r w:rsidR="005C0B01" w:rsidRPr="00FF4D4B">
        <w:rPr>
          <w:rFonts w:cs="Times New Roman"/>
        </w:rPr>
        <w:t>739</w:t>
      </w:r>
      <w:r w:rsidR="00EB7BDE" w:rsidRPr="00FF4D4B">
        <w:rPr>
          <w:rFonts w:cs="Times New Roman"/>
        </w:rPr>
        <w:t xml:space="preserve"> for his stock options, this totals €</w:t>
      </w:r>
      <w:r w:rsidR="005C0B01" w:rsidRPr="00FF4D4B">
        <w:rPr>
          <w:rFonts w:cs="Times New Roman"/>
        </w:rPr>
        <w:t>43,084,755.66</w:t>
      </w:r>
      <w:r w:rsidR="00EB7BDE" w:rsidRPr="00FF4D4B">
        <w:rPr>
          <w:rFonts w:cs="Times New Roman"/>
        </w:rPr>
        <w:t xml:space="preserve">. Including bonus and compensation this amount would rank up to €47,070,784.11. </w:t>
      </w:r>
    </w:p>
    <w:p w14:paraId="31EFC663" w14:textId="6E824664" w:rsidR="00ED25D1" w:rsidRPr="00FF4D4B" w:rsidRDefault="00EB7BDE" w:rsidP="007C4BF5">
      <w:pPr>
        <w:rPr>
          <w:rFonts w:cs="Times New Roman"/>
        </w:rPr>
      </w:pPr>
      <w:r w:rsidRPr="00FF4D4B">
        <w:rPr>
          <w:rFonts w:cs="Times New Roman"/>
        </w:rPr>
        <w:t>Th</w:t>
      </w:r>
      <w:r w:rsidR="005E721A" w:rsidRPr="00FF4D4B">
        <w:rPr>
          <w:rFonts w:cs="Times New Roman"/>
        </w:rPr>
        <w:t>e difference betwee</w:t>
      </w:r>
      <w:r w:rsidR="006B78AB" w:rsidRPr="00FF4D4B">
        <w:rPr>
          <w:rFonts w:cs="Times New Roman"/>
        </w:rPr>
        <w:t>n the original</w:t>
      </w:r>
      <w:r w:rsidRPr="00FF4D4B">
        <w:rPr>
          <w:rFonts w:cs="Times New Roman"/>
        </w:rPr>
        <w:t xml:space="preserve"> amount</w:t>
      </w:r>
      <w:r w:rsidR="006B78AB" w:rsidRPr="00FF4D4B">
        <w:rPr>
          <w:rFonts w:cs="Times New Roman"/>
        </w:rPr>
        <w:t xml:space="preserve"> and the amount under the provision is</w:t>
      </w:r>
      <w:r w:rsidR="007E086C" w:rsidRPr="00FF4D4B">
        <w:rPr>
          <w:rFonts w:cs="Times New Roman"/>
        </w:rPr>
        <w:t xml:space="preserve"> </w:t>
      </w:r>
      <w:r w:rsidR="006B78AB" w:rsidRPr="00FF4D4B">
        <w:rPr>
          <w:rFonts w:cs="Times New Roman"/>
        </w:rPr>
        <w:t xml:space="preserve"> €34,379,818.34</w:t>
      </w:r>
      <w:r w:rsidR="007E086C" w:rsidRPr="00FF4D4B">
        <w:rPr>
          <w:rFonts w:cs="Times New Roman"/>
        </w:rPr>
        <w:t>.</w:t>
      </w:r>
      <w:r w:rsidR="00582547" w:rsidRPr="00FF4D4B">
        <w:rPr>
          <w:rFonts w:cs="Times New Roman"/>
        </w:rPr>
        <w:t xml:space="preserve"> In this case the Provision would have a significant impact.</w:t>
      </w:r>
      <w:r w:rsidR="007E086C" w:rsidRPr="00FF4D4B">
        <w:rPr>
          <w:rFonts w:cs="Times New Roman"/>
        </w:rPr>
        <w:t xml:space="preserve"> Would the deal still go through if the management of Numico would have received the amount according to the </w:t>
      </w:r>
      <w:r w:rsidR="006B78AB" w:rsidRPr="00FF4D4B">
        <w:rPr>
          <w:rFonts w:cs="Times New Roman"/>
        </w:rPr>
        <w:t>P</w:t>
      </w:r>
      <w:r w:rsidR="007E086C" w:rsidRPr="00FF4D4B">
        <w:rPr>
          <w:rFonts w:cs="Times New Roman"/>
        </w:rPr>
        <w:t>rovision? It probably wou</w:t>
      </w:r>
      <w:r w:rsidR="004D5C33" w:rsidRPr="00FF4D4B">
        <w:rPr>
          <w:rFonts w:cs="Times New Roman"/>
        </w:rPr>
        <w:t>ld have. Danone was eager for an acquisition because it was in need for a poison pill due to the luring gaze of PepsiCo. Moreover, €41 million is still considerable amount for severance payment.</w:t>
      </w:r>
    </w:p>
    <w:p w14:paraId="308A267E" w14:textId="5D9E2C48" w:rsidR="00303D44" w:rsidRPr="00FF4D4B" w:rsidRDefault="004D5C33" w:rsidP="007C4BF5">
      <w:pPr>
        <w:rPr>
          <w:rFonts w:cs="Times New Roman"/>
        </w:rPr>
      </w:pPr>
      <w:r w:rsidRPr="00FF4D4B">
        <w:rPr>
          <w:rFonts w:cs="Times New Roman"/>
        </w:rPr>
        <w:lastRenderedPageBreak/>
        <w:t>There would have been no</w:t>
      </w:r>
      <w:r w:rsidR="006B78AB" w:rsidRPr="00FF4D4B">
        <w:rPr>
          <w:rFonts w:cs="Times New Roman"/>
        </w:rPr>
        <w:t xml:space="preserve"> direct</w:t>
      </w:r>
      <w:r w:rsidRPr="00FF4D4B">
        <w:rPr>
          <w:rFonts w:cs="Times New Roman"/>
        </w:rPr>
        <w:t xml:space="preserve"> effect </w:t>
      </w:r>
      <w:r w:rsidR="006B78AB" w:rsidRPr="00FF4D4B">
        <w:rPr>
          <w:rFonts w:cs="Times New Roman"/>
        </w:rPr>
        <w:t>to</w:t>
      </w:r>
      <w:r w:rsidRPr="00FF4D4B">
        <w:rPr>
          <w:rFonts w:cs="Times New Roman"/>
        </w:rPr>
        <w:t xml:space="preserve"> the shareholders.</w:t>
      </w:r>
      <w:r w:rsidR="006B78AB" w:rsidRPr="00FF4D4B">
        <w:rPr>
          <w:rFonts w:cs="Times New Roman"/>
        </w:rPr>
        <w:t xml:space="preserve"> </w:t>
      </w:r>
      <w:r w:rsidR="00582547" w:rsidRPr="00FF4D4B">
        <w:rPr>
          <w:rFonts w:cs="Times New Roman"/>
        </w:rPr>
        <w:t>A benefit to the shareholders is however, the decrease in public criticism. T</w:t>
      </w:r>
      <w:r w:rsidR="006B78AB" w:rsidRPr="00FF4D4B">
        <w:rPr>
          <w:rFonts w:cs="Times New Roman"/>
        </w:rPr>
        <w:t xml:space="preserve">he offer was purely in cash, all the shares were sold, and shareholders did not get any </w:t>
      </w:r>
      <w:r w:rsidR="00582547" w:rsidRPr="00FF4D4B">
        <w:rPr>
          <w:rFonts w:cs="Times New Roman"/>
        </w:rPr>
        <w:t xml:space="preserve">Danone shares </w:t>
      </w:r>
      <w:r w:rsidR="006B78AB" w:rsidRPr="00FF4D4B">
        <w:rPr>
          <w:rFonts w:cs="Times New Roman"/>
        </w:rPr>
        <w:t>in return for the deal,</w:t>
      </w:r>
      <w:r w:rsidR="00582547" w:rsidRPr="00FF4D4B">
        <w:rPr>
          <w:rFonts w:cs="Times New Roman"/>
        </w:rPr>
        <w:t xml:space="preserve"> therefore</w:t>
      </w:r>
      <w:r w:rsidR="006B78AB" w:rsidRPr="00FF4D4B">
        <w:rPr>
          <w:rFonts w:cs="Times New Roman"/>
        </w:rPr>
        <w:t xml:space="preserve"> shareholders would not have benefit from the </w:t>
      </w:r>
      <w:r w:rsidR="00582547" w:rsidRPr="00FF4D4B">
        <w:rPr>
          <w:rFonts w:cs="Times New Roman"/>
        </w:rPr>
        <w:t xml:space="preserve">€ 34.4 million that the company would save form the Provision. </w:t>
      </w:r>
    </w:p>
    <w:p w14:paraId="712ADD7E" w14:textId="0CDC9502" w:rsidR="004B5BD7" w:rsidRPr="00FF4D4B" w:rsidRDefault="004D5C33" w:rsidP="001B383D">
      <w:pPr>
        <w:rPr>
          <w:rFonts w:cs="Times New Roman"/>
        </w:rPr>
      </w:pPr>
      <w:r w:rsidRPr="00FF4D4B">
        <w:rPr>
          <w:rFonts w:cs="Times New Roman"/>
        </w:rPr>
        <w:t xml:space="preserve">The government originally gained €43,088,850.48 tax from Bennink, this amount would be reduced to </w:t>
      </w:r>
      <w:r w:rsidR="001B383D" w:rsidRPr="00FF4D4B">
        <w:rPr>
          <w:rFonts w:cs="Times New Roman"/>
        </w:rPr>
        <w:t>€24,476,807.74 in the case of the Provision.</w:t>
      </w:r>
    </w:p>
    <w:p w14:paraId="054D18F7" w14:textId="77777777" w:rsidR="00B64F66" w:rsidRPr="00FF4D4B" w:rsidRDefault="00B64F66" w:rsidP="001B383D">
      <w:pPr>
        <w:rPr>
          <w:rFonts w:cs="Times New Roman"/>
        </w:rPr>
      </w:pPr>
    </w:p>
    <w:p w14:paraId="0F57801C" w14:textId="4DD70774" w:rsidR="004B5BD7" w:rsidRPr="00FF4D4B" w:rsidRDefault="0043269B" w:rsidP="00B650B6">
      <w:pPr>
        <w:pStyle w:val="Kop2"/>
      </w:pPr>
      <w:bookmarkStart w:id="31" w:name="_Toc301441853"/>
      <w:r w:rsidRPr="00FF4D4B">
        <w:t xml:space="preserve">4.3 </w:t>
      </w:r>
      <w:r w:rsidRPr="00FF4D4B">
        <w:tab/>
      </w:r>
      <w:r w:rsidR="004B5BD7" w:rsidRPr="00FF4D4B">
        <w:t>Draka Holding NV (2011)</w:t>
      </w:r>
      <w:bookmarkEnd w:id="31"/>
    </w:p>
    <w:p w14:paraId="0F17D478" w14:textId="4D45D06C" w:rsidR="00201F93" w:rsidRPr="00FF4D4B" w:rsidRDefault="0043269B" w:rsidP="00093FA0">
      <w:pPr>
        <w:pStyle w:val="Kop3"/>
      </w:pPr>
      <w:bookmarkStart w:id="32" w:name="_Toc301441854"/>
      <w:r w:rsidRPr="00FF4D4B">
        <w:t xml:space="preserve">4.3.1 </w:t>
      </w:r>
      <w:r w:rsidRPr="00FF4D4B">
        <w:tab/>
      </w:r>
      <w:r w:rsidR="00A1342E" w:rsidRPr="00FF4D4B">
        <w:t>Background</w:t>
      </w:r>
      <w:bookmarkEnd w:id="32"/>
    </w:p>
    <w:p w14:paraId="7554FA3F" w14:textId="5412D60F" w:rsidR="00A1342E" w:rsidRPr="00FF4D4B" w:rsidRDefault="00080ED0" w:rsidP="00A1342E">
      <w:pPr>
        <w:rPr>
          <w:rFonts w:cs="Times New Roman"/>
        </w:rPr>
      </w:pPr>
      <w:r w:rsidRPr="00FF4D4B">
        <w:rPr>
          <w:rFonts w:cs="Times New Roman"/>
        </w:rPr>
        <w:t>On October 14, 2010, Draka’</w:t>
      </w:r>
      <w:r w:rsidR="00A1342E" w:rsidRPr="00FF4D4B">
        <w:rPr>
          <w:rFonts w:cs="Times New Roman"/>
        </w:rPr>
        <w:t>s major shareholder Flint Beheer hire</w:t>
      </w:r>
      <w:r w:rsidRPr="00FF4D4B">
        <w:rPr>
          <w:rFonts w:cs="Times New Roman"/>
        </w:rPr>
        <w:t>d</w:t>
      </w:r>
      <w:r w:rsidR="00A1342E" w:rsidRPr="00FF4D4B">
        <w:rPr>
          <w:rFonts w:cs="Times New Roman"/>
        </w:rPr>
        <w:t xml:space="preserve"> Lazard to find a party to acquire its stake in Draka. According to Dutch law, a party acquiring 30 percent of the outstanding share capital is obliged to make an offer on all outstanding shares. </w:t>
      </w:r>
      <w:r w:rsidR="00F9591B" w:rsidRPr="00FF4D4B">
        <w:rPr>
          <w:rFonts w:cs="Times New Roman"/>
        </w:rPr>
        <w:t>On November</w:t>
      </w:r>
      <w:r w:rsidR="00A1342E" w:rsidRPr="00FF4D4B">
        <w:rPr>
          <w:rFonts w:cs="Times New Roman"/>
        </w:rPr>
        <w:t xml:space="preserve"> 22, 2010, Draka present</w:t>
      </w:r>
      <w:r w:rsidR="00F9591B" w:rsidRPr="00FF4D4B">
        <w:rPr>
          <w:rFonts w:cs="Times New Roman"/>
        </w:rPr>
        <w:t>ed</w:t>
      </w:r>
      <w:r w:rsidR="00A1342E" w:rsidRPr="00FF4D4B">
        <w:rPr>
          <w:rFonts w:cs="Times New Roman"/>
        </w:rPr>
        <w:t xml:space="preserve"> its white knight Prysmian, with whom they entered earlier </w:t>
      </w:r>
      <w:r w:rsidR="00301D14" w:rsidRPr="00FF4D4B">
        <w:rPr>
          <w:rFonts w:cs="Times New Roman"/>
        </w:rPr>
        <w:t>talks on a take-over</w:t>
      </w:r>
      <w:r w:rsidR="00A1342E" w:rsidRPr="00FF4D4B">
        <w:rPr>
          <w:rFonts w:cs="Times New Roman"/>
        </w:rPr>
        <w:t xml:space="preserve">. </w:t>
      </w:r>
      <w:r w:rsidR="006018E2" w:rsidRPr="00FF4D4B">
        <w:rPr>
          <w:rFonts w:cs="Times New Roman"/>
        </w:rPr>
        <w:t>T</w:t>
      </w:r>
      <w:r w:rsidR="00A1342E" w:rsidRPr="00FF4D4B">
        <w:rPr>
          <w:rFonts w:cs="Times New Roman"/>
        </w:rPr>
        <w:t>he</w:t>
      </w:r>
      <w:r w:rsidR="006018E2" w:rsidRPr="00FF4D4B">
        <w:rPr>
          <w:rFonts w:cs="Times New Roman"/>
        </w:rPr>
        <w:t xml:space="preserve"> same day, Xinmao also announced its interests and came</w:t>
      </w:r>
      <w:r w:rsidR="00A1342E" w:rsidRPr="00FF4D4B">
        <w:rPr>
          <w:rFonts w:cs="Times New Roman"/>
        </w:rPr>
        <w:t xml:space="preserve"> with a bid price </w:t>
      </w:r>
      <w:r w:rsidR="006018E2" w:rsidRPr="00FF4D4B">
        <w:rPr>
          <w:rFonts w:cs="Times New Roman"/>
        </w:rPr>
        <w:t>that</w:t>
      </w:r>
      <w:r w:rsidR="00A1342E" w:rsidRPr="00FF4D4B">
        <w:rPr>
          <w:rFonts w:cs="Times New Roman"/>
        </w:rPr>
        <w:t xml:space="preserve"> </w:t>
      </w:r>
      <w:r w:rsidR="006018E2" w:rsidRPr="00FF4D4B">
        <w:rPr>
          <w:rFonts w:cs="Times New Roman"/>
        </w:rPr>
        <w:t>was</w:t>
      </w:r>
      <w:r w:rsidR="00A1342E" w:rsidRPr="00FF4D4B">
        <w:rPr>
          <w:rFonts w:cs="Times New Roman"/>
        </w:rPr>
        <w:t xml:space="preserve"> approximately 19 percent above the Prysmian offe</w:t>
      </w:r>
      <w:r w:rsidR="006018E2" w:rsidRPr="00FF4D4B">
        <w:rPr>
          <w:rFonts w:cs="Times New Roman"/>
        </w:rPr>
        <w:t>r. Although Draka and Xinmao kne</w:t>
      </w:r>
      <w:r w:rsidR="00A1342E" w:rsidRPr="00FF4D4B">
        <w:rPr>
          <w:rFonts w:cs="Times New Roman"/>
        </w:rPr>
        <w:t>w each other from joint ventures in which they participate</w:t>
      </w:r>
      <w:r w:rsidR="006018E2" w:rsidRPr="00FF4D4B">
        <w:rPr>
          <w:rFonts w:cs="Times New Roman"/>
        </w:rPr>
        <w:t>d</w:t>
      </w:r>
      <w:r w:rsidR="00A1342E" w:rsidRPr="00FF4D4B">
        <w:rPr>
          <w:rFonts w:cs="Times New Roman"/>
        </w:rPr>
        <w:t>, the Dr</w:t>
      </w:r>
      <w:r w:rsidR="006018E2" w:rsidRPr="00FF4D4B">
        <w:rPr>
          <w:rFonts w:cs="Times New Roman"/>
        </w:rPr>
        <w:t>aka management stated</w:t>
      </w:r>
      <w:r w:rsidR="00A1342E" w:rsidRPr="00FF4D4B">
        <w:rPr>
          <w:rFonts w:cs="Times New Roman"/>
        </w:rPr>
        <w:t xml:space="preserve"> that it did not ask </w:t>
      </w:r>
      <w:r w:rsidR="00A1342E" w:rsidRPr="00FF4D4B">
        <w:rPr>
          <w:rFonts w:cs="Times New Roman"/>
        </w:rPr>
        <w:lastRenderedPageBreak/>
        <w:t xml:space="preserve">Xinmao to make an offer on Draka. As also shareholders requested, Draka entered into discussions with both Prysmian and Xinamo on the offers. </w:t>
      </w:r>
    </w:p>
    <w:p w14:paraId="4D9C7FE3" w14:textId="7A59AD35" w:rsidR="006018E2" w:rsidRPr="00FF4D4B" w:rsidRDefault="00A1342E" w:rsidP="00A1342E">
      <w:pPr>
        <w:rPr>
          <w:rFonts w:cs="Times New Roman"/>
        </w:rPr>
      </w:pPr>
      <w:r w:rsidRPr="00FF4D4B">
        <w:rPr>
          <w:rFonts w:cs="Times New Roman"/>
        </w:rPr>
        <w:t>Prysmian acted promptly on its offer and filed the necessary documents with authorities in order to continue the official bid</w:t>
      </w:r>
      <w:r w:rsidR="00301D14" w:rsidRPr="00FF4D4B">
        <w:rPr>
          <w:rFonts w:cs="Times New Roman"/>
        </w:rPr>
        <w:t xml:space="preserve">. </w:t>
      </w:r>
      <w:r w:rsidRPr="00FF4D4B">
        <w:rPr>
          <w:rFonts w:cs="Times New Roman"/>
        </w:rPr>
        <w:t xml:space="preserve">Xinmao failed to issue the necessary documents and information to continue the bidding process. </w:t>
      </w:r>
    </w:p>
    <w:p w14:paraId="2864853F" w14:textId="3D624506" w:rsidR="00A1342E" w:rsidRPr="00FF4D4B" w:rsidRDefault="00A1342E" w:rsidP="00A1342E">
      <w:pPr>
        <w:rPr>
          <w:rFonts w:cs="Times New Roman"/>
        </w:rPr>
      </w:pPr>
      <w:r w:rsidRPr="00FF4D4B">
        <w:rPr>
          <w:rFonts w:cs="Times New Roman"/>
        </w:rPr>
        <w:t xml:space="preserve">On Jan. 5, 2011, Draka and Prysmian issued the offer memorandum and Draka reconfirmed its support for the Prysmian bid. </w:t>
      </w:r>
    </w:p>
    <w:p w14:paraId="46029652" w14:textId="47368FEF" w:rsidR="00A1342E" w:rsidRPr="00FF4D4B" w:rsidRDefault="00A1342E" w:rsidP="00A1342E">
      <w:pPr>
        <w:rPr>
          <w:rFonts w:cs="Times New Roman"/>
        </w:rPr>
      </w:pPr>
      <w:r w:rsidRPr="00FF4D4B">
        <w:rPr>
          <w:rFonts w:cs="Times New Roman"/>
        </w:rPr>
        <w:t xml:space="preserve">Due to the fact that both Prysmain and Xinmao made offer on all outstanding Draka shares, </w:t>
      </w:r>
      <w:r w:rsidR="00301D14" w:rsidRPr="00FF4D4B">
        <w:rPr>
          <w:rFonts w:cs="Times New Roman"/>
        </w:rPr>
        <w:t>the case received considerable</w:t>
      </w:r>
      <w:r w:rsidRPr="00FF4D4B">
        <w:rPr>
          <w:rFonts w:cs="Times New Roman"/>
        </w:rPr>
        <w:t xml:space="preserve"> media attention, especially since the Chinese bid was considerably above the Italian bid. </w:t>
      </w:r>
    </w:p>
    <w:p w14:paraId="309CBD86" w14:textId="0A598C90" w:rsidR="0093042F" w:rsidRPr="00FF4D4B" w:rsidRDefault="0043269B" w:rsidP="00093FA0">
      <w:pPr>
        <w:pStyle w:val="Kop3"/>
      </w:pPr>
      <w:bookmarkStart w:id="33" w:name="_Toc301441855"/>
      <w:r w:rsidRPr="00FF4D4B">
        <w:t xml:space="preserve">4.3.2 </w:t>
      </w:r>
      <w:r w:rsidRPr="00FF4D4B">
        <w:tab/>
      </w:r>
      <w:r w:rsidR="00A1342E" w:rsidRPr="00FF4D4B">
        <w:t>Sales process</w:t>
      </w:r>
      <w:bookmarkEnd w:id="33"/>
    </w:p>
    <w:p w14:paraId="2ADA7E4D" w14:textId="7C7BE741" w:rsidR="00B650B6" w:rsidRPr="00FF4D4B" w:rsidRDefault="00B650B6" w:rsidP="00B650B6">
      <w:pPr>
        <w:rPr>
          <w:rFonts w:cs="Times New Roman"/>
        </w:rPr>
      </w:pPr>
      <w:r w:rsidRPr="00FF4D4B">
        <w:rPr>
          <w:rFonts w:cs="Times New Roman"/>
        </w:rPr>
        <w:t>On Nov</w:t>
      </w:r>
      <w:r w:rsidR="006018E2" w:rsidRPr="00FF4D4B">
        <w:rPr>
          <w:rFonts w:cs="Times New Roman"/>
        </w:rPr>
        <w:t>ember</w:t>
      </w:r>
      <w:r w:rsidRPr="00FF4D4B">
        <w:rPr>
          <w:rFonts w:cs="Times New Roman"/>
        </w:rPr>
        <w:t xml:space="preserve"> 22, 2010, Prysmian announced a public offer on all outstanding Draka shares for a price of </w:t>
      </w:r>
      <w:r w:rsidR="006018E2" w:rsidRPr="00FF4D4B">
        <w:rPr>
          <w:rFonts w:cs="Times New Roman"/>
        </w:rPr>
        <w:t>€</w:t>
      </w:r>
      <w:r w:rsidRPr="00FF4D4B">
        <w:rPr>
          <w:rFonts w:cs="Times New Roman"/>
        </w:rPr>
        <w:t xml:space="preserve">8.60 and 0.6595 Prysmian shares per Draka share, which represents an implied value of </w:t>
      </w:r>
      <w:r w:rsidR="006018E2" w:rsidRPr="00FF4D4B">
        <w:rPr>
          <w:rFonts w:cs="Times New Roman"/>
        </w:rPr>
        <w:t>€</w:t>
      </w:r>
      <w:r w:rsidRPr="00FF4D4B">
        <w:rPr>
          <w:rFonts w:cs="Times New Roman"/>
        </w:rPr>
        <w:t xml:space="preserve">17.20 per Draka share. On the same day, Xinmao made an all cash offer for a price of </w:t>
      </w:r>
      <w:r w:rsidR="006018E2" w:rsidRPr="00FF4D4B">
        <w:rPr>
          <w:rFonts w:cs="Times New Roman"/>
        </w:rPr>
        <w:t>€</w:t>
      </w:r>
      <w:r w:rsidRPr="00FF4D4B">
        <w:rPr>
          <w:rFonts w:cs="Times New Roman"/>
        </w:rPr>
        <w:t>20.50 per Draka share. Xinmao failed to provide additional details on its offer and t</w:t>
      </w:r>
      <w:r w:rsidR="002F3560" w:rsidRPr="00FF4D4B">
        <w:rPr>
          <w:rFonts w:cs="Times New Roman"/>
        </w:rPr>
        <w:t>he financing thereof. As such, t</w:t>
      </w:r>
      <w:r w:rsidRPr="00FF4D4B">
        <w:rPr>
          <w:rFonts w:cs="Times New Roman"/>
        </w:rPr>
        <w:t xml:space="preserve">he Draka board supports the Prysmian bid </w:t>
      </w:r>
      <w:r w:rsidR="002F3560" w:rsidRPr="00FF4D4B">
        <w:rPr>
          <w:rFonts w:cs="Times New Roman"/>
        </w:rPr>
        <w:t>unanimously. On January</w:t>
      </w:r>
      <w:r w:rsidRPr="00FF4D4B">
        <w:rPr>
          <w:rFonts w:cs="Times New Roman"/>
        </w:rPr>
        <w:t xml:space="preserve"> 6, 2011, Xinmao announced it </w:t>
      </w:r>
      <w:r w:rsidR="002F3560" w:rsidRPr="00FF4D4B">
        <w:rPr>
          <w:rFonts w:cs="Times New Roman"/>
        </w:rPr>
        <w:t>would</w:t>
      </w:r>
      <w:r w:rsidRPr="00FF4D4B">
        <w:rPr>
          <w:rFonts w:cs="Times New Roman"/>
        </w:rPr>
        <w:t xml:space="preserve"> not continue its bid for Draka, which paved the way for the Prysmian offer.</w:t>
      </w:r>
    </w:p>
    <w:p w14:paraId="55B4DD4F" w14:textId="2872352C" w:rsidR="00A1342E" w:rsidRPr="00FF4D4B" w:rsidRDefault="0043269B" w:rsidP="00093FA0">
      <w:pPr>
        <w:pStyle w:val="Kop3"/>
      </w:pPr>
      <w:bookmarkStart w:id="34" w:name="_Toc301441856"/>
      <w:r w:rsidRPr="00FF4D4B">
        <w:lastRenderedPageBreak/>
        <w:t xml:space="preserve">4.3.3 </w:t>
      </w:r>
      <w:r w:rsidRPr="00FF4D4B">
        <w:tab/>
      </w:r>
      <w:r w:rsidR="00A1342E" w:rsidRPr="00FF4D4B">
        <w:t>Outcome</w:t>
      </w:r>
      <w:bookmarkEnd w:id="34"/>
    </w:p>
    <w:p w14:paraId="0A2D96AD" w14:textId="01B80754" w:rsidR="00C304DC" w:rsidRPr="00FF4D4B" w:rsidRDefault="00FC21A8" w:rsidP="00823D0F">
      <w:pPr>
        <w:rPr>
          <w:rFonts w:cs="Times New Roman"/>
        </w:rPr>
      </w:pPr>
      <w:r w:rsidRPr="00FF4D4B">
        <w:rPr>
          <w:rFonts w:cs="Times New Roman"/>
        </w:rPr>
        <w:t>At the time of the termination of the</w:t>
      </w:r>
      <w:r w:rsidR="00C14B88" w:rsidRPr="00FF4D4B">
        <w:rPr>
          <w:rFonts w:cs="Times New Roman"/>
        </w:rPr>
        <w:t xml:space="preserve"> contract, Dorjee</w:t>
      </w:r>
      <w:r w:rsidRPr="00FF4D4B">
        <w:rPr>
          <w:rFonts w:cs="Times New Roman"/>
        </w:rPr>
        <w:t xml:space="preserve"> owned 9,940 </w:t>
      </w:r>
      <w:r w:rsidR="0020324C" w:rsidRPr="00FF4D4B">
        <w:rPr>
          <w:rFonts w:cs="Times New Roman"/>
        </w:rPr>
        <w:t xml:space="preserve">ordinary </w:t>
      </w:r>
      <w:r w:rsidRPr="00FF4D4B">
        <w:rPr>
          <w:rFonts w:cs="Times New Roman"/>
        </w:rPr>
        <w:t>shares of Draka</w:t>
      </w:r>
      <w:r w:rsidR="00C14B88" w:rsidRPr="00FF4D4B">
        <w:rPr>
          <w:rFonts w:cs="Times New Roman"/>
        </w:rPr>
        <w:t xml:space="preserve">, which had a value of </w:t>
      </w:r>
      <w:r w:rsidR="0038382F" w:rsidRPr="00FF4D4B">
        <w:rPr>
          <w:rFonts w:cs="Times New Roman"/>
        </w:rPr>
        <w:t>€170,968 (</w:t>
      </w:r>
      <w:r w:rsidR="00C14B88" w:rsidRPr="00FF4D4B">
        <w:rPr>
          <w:rFonts w:cs="Times New Roman"/>
        </w:rPr>
        <w:t>€85,484</w:t>
      </w:r>
      <w:r w:rsidR="0038382F" w:rsidRPr="00FF4D4B">
        <w:rPr>
          <w:rFonts w:cs="Times New Roman"/>
        </w:rPr>
        <w:t xml:space="preserve"> in cash</w:t>
      </w:r>
      <w:r w:rsidR="00C14B88" w:rsidRPr="00FF4D4B">
        <w:rPr>
          <w:rFonts w:cs="Times New Roman"/>
        </w:rPr>
        <w:t xml:space="preserve"> plus 6,555.43 Prysmian shares</w:t>
      </w:r>
      <w:r w:rsidR="0038382F" w:rsidRPr="00FF4D4B">
        <w:rPr>
          <w:rFonts w:cs="Times New Roman"/>
        </w:rPr>
        <w:t xml:space="preserve"> at €13,04 a share)</w:t>
      </w:r>
      <w:r w:rsidRPr="00FF4D4B">
        <w:rPr>
          <w:rFonts w:cs="Times New Roman"/>
        </w:rPr>
        <w:t>.</w:t>
      </w:r>
      <w:r w:rsidRPr="00FF4D4B">
        <w:rPr>
          <w:rStyle w:val="Voetnootmarkering"/>
          <w:rFonts w:cs="Times New Roman"/>
        </w:rPr>
        <w:footnoteReference w:id="11"/>
      </w:r>
      <w:r w:rsidRPr="00FF4D4B">
        <w:rPr>
          <w:rFonts w:cs="Times New Roman"/>
        </w:rPr>
        <w:t xml:space="preserve"> </w:t>
      </w:r>
      <w:r w:rsidR="0020324C" w:rsidRPr="00FF4D4B">
        <w:rPr>
          <w:rFonts w:cs="Times New Roman"/>
        </w:rPr>
        <w:t xml:space="preserve">Moreover, he owned a total of </w:t>
      </w:r>
      <w:r w:rsidR="00C14B88" w:rsidRPr="00FF4D4B">
        <w:rPr>
          <w:rFonts w:cs="Times New Roman"/>
        </w:rPr>
        <w:t>95</w:t>
      </w:r>
      <w:r w:rsidR="0020324C" w:rsidRPr="00FF4D4B">
        <w:rPr>
          <w:rFonts w:cs="Times New Roman"/>
        </w:rPr>
        <w:t>,</w:t>
      </w:r>
      <w:r w:rsidR="00C14B88" w:rsidRPr="00FF4D4B">
        <w:rPr>
          <w:rFonts w:cs="Times New Roman"/>
        </w:rPr>
        <w:t>267</w:t>
      </w:r>
      <w:r w:rsidR="0020324C" w:rsidRPr="00FF4D4B">
        <w:rPr>
          <w:rFonts w:cs="Times New Roman"/>
        </w:rPr>
        <w:t xml:space="preserve"> conditionally granted performance shares</w:t>
      </w:r>
      <w:r w:rsidR="00C14B88" w:rsidRPr="00FF4D4B">
        <w:rPr>
          <w:rFonts w:cs="Times New Roman"/>
        </w:rPr>
        <w:t>, which were valued at €720,567</w:t>
      </w:r>
      <w:r w:rsidR="0020324C" w:rsidRPr="00FF4D4B">
        <w:rPr>
          <w:rFonts w:cs="Times New Roman"/>
        </w:rPr>
        <w:t>.</w:t>
      </w:r>
      <w:r w:rsidR="00C14B88" w:rsidRPr="00FF4D4B">
        <w:rPr>
          <w:rStyle w:val="Voetnootmarkering"/>
          <w:rFonts w:cs="Times New Roman"/>
        </w:rPr>
        <w:footnoteReference w:id="12"/>
      </w:r>
      <w:r w:rsidR="0020324C" w:rsidRPr="00FF4D4B">
        <w:rPr>
          <w:rFonts w:cs="Times New Roman"/>
        </w:rPr>
        <w:t xml:space="preserve"> Dorjee received </w:t>
      </w:r>
      <w:r w:rsidR="00301D14" w:rsidRPr="00FF4D4B">
        <w:rPr>
          <w:rFonts w:cs="Times New Roman"/>
        </w:rPr>
        <w:t xml:space="preserve">a one-off bonus </w:t>
      </w:r>
      <w:r w:rsidR="0020324C" w:rsidRPr="00FF4D4B">
        <w:rPr>
          <w:rFonts w:cs="Times New Roman"/>
        </w:rPr>
        <w:t>€991</w:t>
      </w:r>
      <w:r w:rsidR="00823D0F" w:rsidRPr="00FF4D4B">
        <w:rPr>
          <w:rFonts w:cs="Times New Roman"/>
        </w:rPr>
        <w:t>,</w:t>
      </w:r>
      <w:r w:rsidR="00C14B88" w:rsidRPr="00FF4D4B">
        <w:rPr>
          <w:rFonts w:cs="Times New Roman"/>
        </w:rPr>
        <w:t>500</w:t>
      </w:r>
      <w:r w:rsidR="0020324C" w:rsidRPr="00FF4D4B">
        <w:rPr>
          <w:rFonts w:cs="Times New Roman"/>
        </w:rPr>
        <w:t xml:space="preserve"> for the completion of the </w:t>
      </w:r>
      <w:r w:rsidR="00823D0F" w:rsidRPr="00FF4D4B">
        <w:rPr>
          <w:rFonts w:cs="Times New Roman"/>
        </w:rPr>
        <w:t>take-over</w:t>
      </w:r>
      <w:r w:rsidR="0020324C" w:rsidRPr="00FF4D4B">
        <w:rPr>
          <w:rFonts w:cs="Times New Roman"/>
        </w:rPr>
        <w:t>.</w:t>
      </w:r>
      <w:r w:rsidR="00823D0F" w:rsidRPr="00FF4D4B">
        <w:rPr>
          <w:rFonts w:cs="Times New Roman"/>
        </w:rPr>
        <w:t xml:space="preserve"> Furthermore, he received</w:t>
      </w:r>
      <w:r w:rsidR="00823D0F" w:rsidRPr="00FF4D4B">
        <w:rPr>
          <w:rFonts w:eastAsia="Times New Roman" w:cs="Times New Roman"/>
          <w:sz w:val="20"/>
          <w:szCs w:val="20"/>
          <w:lang w:eastAsia="nl-NL"/>
        </w:rPr>
        <w:t xml:space="preserve"> </w:t>
      </w:r>
      <w:r w:rsidR="00823D0F" w:rsidRPr="00FF4D4B">
        <w:rPr>
          <w:rFonts w:eastAsia="Times New Roman" w:cs="Times New Roman"/>
          <w:lang w:eastAsia="nl-NL"/>
        </w:rPr>
        <w:t>€</w:t>
      </w:r>
      <w:r w:rsidR="00823D0F" w:rsidRPr="00FF4D4B">
        <w:rPr>
          <w:rFonts w:cs="Times New Roman"/>
        </w:rPr>
        <w:t>801</w:t>
      </w:r>
      <w:r w:rsidR="0038382F" w:rsidRPr="00FF4D4B">
        <w:rPr>
          <w:rFonts w:cs="Times New Roman"/>
        </w:rPr>
        <w:t xml:space="preserve">,390 </w:t>
      </w:r>
      <w:r w:rsidR="00301D14" w:rsidRPr="00FF4D4B">
        <w:rPr>
          <w:rFonts w:cs="Times New Roman"/>
        </w:rPr>
        <w:t xml:space="preserve">in </w:t>
      </w:r>
      <w:r w:rsidR="0038382F" w:rsidRPr="00FF4D4B">
        <w:rPr>
          <w:rFonts w:cs="Times New Roman"/>
        </w:rPr>
        <w:t>compensation for</w:t>
      </w:r>
      <w:r w:rsidR="00823D0F" w:rsidRPr="00FF4D4B">
        <w:rPr>
          <w:rFonts w:cs="Times New Roman"/>
        </w:rPr>
        <w:t xml:space="preserve"> the early closure of the long-term incentive plans of Draka following the takeover.</w:t>
      </w:r>
      <w:r w:rsidR="00823D0F" w:rsidRPr="00FF4D4B">
        <w:rPr>
          <w:rStyle w:val="Voetnootmarkering"/>
          <w:rFonts w:cs="Times New Roman"/>
        </w:rPr>
        <w:footnoteReference w:id="13"/>
      </w:r>
      <w:r w:rsidR="0038382F" w:rsidRPr="00FF4D4B">
        <w:rPr>
          <w:rFonts w:cs="Times New Roman"/>
        </w:rPr>
        <w:t xml:space="preserve"> In Dorjee’s employment contract it was listed that in case of early termination of the contract he will receive one year base salary of €561,000, plus one year bonus of €</w:t>
      </w:r>
      <w:r w:rsidR="00C304DC" w:rsidRPr="00FF4D4B">
        <w:rPr>
          <w:rFonts w:cs="Times New Roman"/>
        </w:rPr>
        <w:t>518,666.67.</w:t>
      </w:r>
      <w:r w:rsidR="00C304DC" w:rsidRPr="00FF4D4B">
        <w:rPr>
          <w:rStyle w:val="Voetnootmarkering"/>
          <w:rFonts w:cs="Times New Roman"/>
        </w:rPr>
        <w:footnoteReference w:id="14"/>
      </w:r>
      <w:r w:rsidR="00301D14" w:rsidRPr="00FF4D4B">
        <w:rPr>
          <w:rFonts w:cs="Times New Roman"/>
          <w:vertAlign w:val="superscript"/>
        </w:rPr>
        <w:t>,</w:t>
      </w:r>
      <w:r w:rsidR="00C304DC" w:rsidRPr="00FF4D4B">
        <w:rPr>
          <w:rStyle w:val="Voetnootmarkering"/>
          <w:rFonts w:cs="Times New Roman"/>
        </w:rPr>
        <w:footnoteReference w:id="15"/>
      </w:r>
      <w:r w:rsidR="0038382F" w:rsidRPr="00FF4D4B">
        <w:rPr>
          <w:rFonts w:cs="Times New Roman"/>
        </w:rPr>
        <w:t xml:space="preserve"> </w:t>
      </w:r>
      <w:r w:rsidR="00C304DC" w:rsidRPr="00FF4D4B">
        <w:rPr>
          <w:rFonts w:cs="Times New Roman"/>
        </w:rPr>
        <w:t xml:space="preserve">In total Dorjee received </w:t>
      </w:r>
      <w:r w:rsidR="00AC3BCD" w:rsidRPr="00FF4D4B">
        <w:rPr>
          <w:rFonts w:cs="Times New Roman"/>
        </w:rPr>
        <w:t>€3,764,091.67 in severance.</w:t>
      </w:r>
    </w:p>
    <w:p w14:paraId="5088CE5C" w14:textId="406EB00D" w:rsidR="00AC3BCD" w:rsidRPr="00FF4D4B" w:rsidRDefault="0043269B" w:rsidP="00093FA0">
      <w:pPr>
        <w:pStyle w:val="Kop3"/>
      </w:pPr>
      <w:bookmarkStart w:id="35" w:name="_Toc301441857"/>
      <w:r w:rsidRPr="00FF4D4B">
        <w:t xml:space="preserve">4.3.4 </w:t>
      </w:r>
      <w:r w:rsidRPr="00FF4D4B">
        <w:tab/>
      </w:r>
      <w:r w:rsidR="00AC3BCD" w:rsidRPr="00FF4D4B">
        <w:t>Hypothetical outcome</w:t>
      </w:r>
      <w:bookmarkEnd w:id="35"/>
    </w:p>
    <w:p w14:paraId="57363CD6" w14:textId="6E8AD18A" w:rsidR="00AC3BCD" w:rsidRPr="00FF4D4B" w:rsidRDefault="00AC3BCD" w:rsidP="00AC3BCD">
      <w:pPr>
        <w:rPr>
          <w:rFonts w:cs="Times New Roman"/>
        </w:rPr>
      </w:pPr>
      <w:r w:rsidRPr="00FF4D4B">
        <w:rPr>
          <w:rFonts w:cs="Times New Roman"/>
        </w:rPr>
        <w:t xml:space="preserve">Dorjee owned a total of 9,940 ordinary shares of Draka and 95,267 performance shares at the time of the takeover. </w:t>
      </w:r>
    </w:p>
    <w:p w14:paraId="6964ED23" w14:textId="1E85FCE7" w:rsidR="00AA1E20" w:rsidRPr="00FF4D4B" w:rsidRDefault="00AA1E20" w:rsidP="00AA1E20">
      <w:pPr>
        <w:rPr>
          <w:rFonts w:cs="Times New Roman"/>
        </w:rPr>
      </w:pPr>
      <w:r w:rsidRPr="00FF4D4B">
        <w:rPr>
          <w:rFonts w:cs="Times New Roman"/>
        </w:rPr>
        <w:lastRenderedPageBreak/>
        <w:t xml:space="preserve">Although Prysmian announced its intention for a takeover in November 22, 2010, it was until January 5, 2011, that the offer was formally announced. In December </w:t>
      </w:r>
      <w:r w:rsidR="003B4A89" w:rsidRPr="00FF4D4B">
        <w:rPr>
          <w:rFonts w:cs="Times New Roman"/>
        </w:rPr>
        <w:t>2010, the share price was €19.1</w:t>
      </w:r>
      <w:r w:rsidR="003E22A7" w:rsidRPr="00FF4D4B">
        <w:rPr>
          <w:rFonts w:cs="Times New Roman"/>
        </w:rPr>
        <w:t>0</w:t>
      </w:r>
      <w:r w:rsidR="003B4A89" w:rsidRPr="00FF4D4B">
        <w:rPr>
          <w:rFonts w:cs="Times New Roman"/>
        </w:rPr>
        <w:t xml:space="preserve"> (appendix IV)</w:t>
      </w:r>
      <w:r w:rsidRPr="00FF4D4B">
        <w:rPr>
          <w:rFonts w:cs="Times New Roman"/>
        </w:rPr>
        <w:t xml:space="preserve">. </w:t>
      </w:r>
    </w:p>
    <w:p w14:paraId="43CDAF52" w14:textId="77777777" w:rsidR="00AA1E20" w:rsidRPr="00FF4D4B" w:rsidRDefault="00AA1E20" w:rsidP="00AA1E20">
      <w:pPr>
        <w:rPr>
          <w:rFonts w:cs="Times New Roman"/>
        </w:rPr>
      </w:pPr>
      <w:r w:rsidRPr="00FF4D4B">
        <w:rPr>
          <w:rFonts w:cs="Times New Roman"/>
        </w:rPr>
        <w:t>On February 8, 2011, Prysmian declared the offer unconditional, having then received acceptances from 44,064,798 shares, representing around 90.4% of Draka's ordinary share capital. The share price four weeks later - reference period 2 – was thus €17.82.</w:t>
      </w:r>
    </w:p>
    <w:p w14:paraId="05AE96CD" w14:textId="0BFDD166" w:rsidR="00942880" w:rsidRPr="00FF4D4B" w:rsidRDefault="00942880" w:rsidP="00AC3BCD">
      <w:pPr>
        <w:rPr>
          <w:rFonts w:cs="Times New Roman"/>
        </w:rPr>
      </w:pPr>
      <w:r w:rsidRPr="00FF4D4B">
        <w:rPr>
          <w:rFonts w:cs="Times New Roman"/>
        </w:rPr>
        <w:t xml:space="preserve">On March 1, 2011, the consolidation of Draka and Prysmian </w:t>
      </w:r>
      <w:r w:rsidR="003E22A7" w:rsidRPr="00FF4D4B">
        <w:rPr>
          <w:rFonts w:cs="Times New Roman"/>
        </w:rPr>
        <w:t>was set in motion</w:t>
      </w:r>
      <w:r w:rsidRPr="00FF4D4B">
        <w:rPr>
          <w:rFonts w:cs="Times New Roman"/>
        </w:rPr>
        <w:t xml:space="preserve">, hereby ending the employment of Dorjee as CEO. The share price at the time was €17.82. </w:t>
      </w:r>
    </w:p>
    <w:p w14:paraId="2EF626FB" w14:textId="4A677C80" w:rsidR="003E22A7" w:rsidRPr="00FF4D4B" w:rsidRDefault="000D05B2" w:rsidP="0020324C">
      <w:pPr>
        <w:rPr>
          <w:rFonts w:cs="Times New Roman"/>
        </w:rPr>
      </w:pPr>
      <w:r w:rsidRPr="00FF4D4B">
        <w:rPr>
          <w:rFonts w:cs="Times New Roman"/>
        </w:rPr>
        <w:t xml:space="preserve">In both reference periods there is a decrease in </w:t>
      </w:r>
      <w:r w:rsidR="00EE164B" w:rsidRPr="00FF4D4B">
        <w:rPr>
          <w:rFonts w:cs="Times New Roman"/>
        </w:rPr>
        <w:t>value of €1.28.</w:t>
      </w:r>
      <w:r w:rsidR="005B12C2" w:rsidRPr="00FF4D4B">
        <w:rPr>
          <w:rFonts w:cs="Times New Roman"/>
        </w:rPr>
        <w:t xml:space="preserve"> </w:t>
      </w:r>
      <w:r w:rsidR="00EE164B" w:rsidRPr="00FF4D4B">
        <w:rPr>
          <w:rFonts w:cs="Times New Roman"/>
        </w:rPr>
        <w:t xml:space="preserve">According to the Provision, </w:t>
      </w:r>
      <w:r w:rsidR="00F9032B" w:rsidRPr="00FF4D4B">
        <w:rPr>
          <w:rFonts w:cs="Times New Roman"/>
        </w:rPr>
        <w:t>only an increase in share price should be deducted to the share value. The director would therefore receive the exact same amount of severance</w:t>
      </w:r>
      <w:r w:rsidR="003E22A7" w:rsidRPr="00FF4D4B">
        <w:rPr>
          <w:rFonts w:cs="Times New Roman"/>
        </w:rPr>
        <w:t xml:space="preserve">. </w:t>
      </w:r>
      <w:r w:rsidR="00F9032B" w:rsidRPr="00FF4D4B">
        <w:rPr>
          <w:rFonts w:cs="Times New Roman"/>
        </w:rPr>
        <w:t>As the outcome would be the same, the effect on the director, shareholder and stakeholders would remain the same.</w:t>
      </w:r>
      <w:r w:rsidR="005B12C2" w:rsidRPr="00FF4D4B">
        <w:rPr>
          <w:rFonts w:cs="Times New Roman"/>
        </w:rPr>
        <w:t xml:space="preserve"> </w:t>
      </w:r>
    </w:p>
    <w:p w14:paraId="7F202246" w14:textId="77777777" w:rsidR="00B64F66" w:rsidRPr="00FF4D4B" w:rsidRDefault="00B64F66" w:rsidP="0020324C">
      <w:pPr>
        <w:rPr>
          <w:rFonts w:cs="Times New Roman"/>
        </w:rPr>
      </w:pPr>
    </w:p>
    <w:p w14:paraId="204DFE5E" w14:textId="7164BF1B" w:rsidR="004B5BD7" w:rsidRPr="00FF4D4B" w:rsidRDefault="0043269B" w:rsidP="00B650B6">
      <w:pPr>
        <w:pStyle w:val="Kop2"/>
      </w:pPr>
      <w:bookmarkStart w:id="36" w:name="_Toc301441858"/>
      <w:r w:rsidRPr="00FF4D4B">
        <w:lastRenderedPageBreak/>
        <w:t xml:space="preserve">4.4 </w:t>
      </w:r>
      <w:r w:rsidRPr="00FF4D4B">
        <w:tab/>
      </w:r>
      <w:r w:rsidR="004B5BD7" w:rsidRPr="00FF4D4B">
        <w:t>Crucell NV (2011)</w:t>
      </w:r>
      <w:bookmarkEnd w:id="36"/>
      <w:r w:rsidR="004B5BD7" w:rsidRPr="00FF4D4B">
        <w:t xml:space="preserve"> </w:t>
      </w:r>
    </w:p>
    <w:p w14:paraId="54781BD7" w14:textId="41046D96" w:rsidR="004B474B" w:rsidRPr="00FF4D4B" w:rsidRDefault="0043269B" w:rsidP="00093FA0">
      <w:pPr>
        <w:pStyle w:val="Kop3"/>
      </w:pPr>
      <w:bookmarkStart w:id="37" w:name="_Toc301441859"/>
      <w:r w:rsidRPr="00FF4D4B">
        <w:t xml:space="preserve">4.4.1 </w:t>
      </w:r>
      <w:r w:rsidRPr="00FF4D4B">
        <w:tab/>
      </w:r>
      <w:r w:rsidR="004B474B" w:rsidRPr="00FF4D4B">
        <w:t>Background</w:t>
      </w:r>
      <w:bookmarkEnd w:id="37"/>
    </w:p>
    <w:p w14:paraId="6B241025" w14:textId="1B437F1A" w:rsidR="004B5BD7" w:rsidRPr="00FF4D4B" w:rsidRDefault="0097777E" w:rsidP="004B5BD7">
      <w:pPr>
        <w:rPr>
          <w:rFonts w:cs="Times New Roman"/>
        </w:rPr>
      </w:pPr>
      <w:r w:rsidRPr="00FF4D4B">
        <w:rPr>
          <w:rFonts w:cs="Times New Roman"/>
        </w:rPr>
        <w:t>On September</w:t>
      </w:r>
      <w:r w:rsidR="00C95E8D" w:rsidRPr="00FF4D4B">
        <w:rPr>
          <w:rFonts w:cs="Times New Roman"/>
        </w:rPr>
        <w:t xml:space="preserve"> 17, 2010, Johnson &amp; Johnson announced its intention to make a public offer on all outstanding Crucell shares for a price of </w:t>
      </w:r>
      <w:r w:rsidR="00ED2DC0" w:rsidRPr="00FF4D4B">
        <w:rPr>
          <w:rFonts w:cs="Times New Roman"/>
        </w:rPr>
        <w:t>€</w:t>
      </w:r>
      <w:r w:rsidR="00C95E8D" w:rsidRPr="00FF4D4B">
        <w:rPr>
          <w:rFonts w:cs="Times New Roman"/>
        </w:rPr>
        <w:t xml:space="preserve">24.75 per share, which represents a total transaction value of approximately </w:t>
      </w:r>
      <w:r w:rsidR="00ED2DC0" w:rsidRPr="00FF4D4B">
        <w:rPr>
          <w:rFonts w:cs="Times New Roman"/>
        </w:rPr>
        <w:t>€</w:t>
      </w:r>
      <w:r w:rsidR="00C95E8D" w:rsidRPr="00FF4D4B">
        <w:rPr>
          <w:rFonts w:cs="Times New Roman"/>
        </w:rPr>
        <w:t>1.75 billion</w:t>
      </w:r>
      <w:r w:rsidR="00D96FEB" w:rsidRPr="00FF4D4B">
        <w:rPr>
          <w:rFonts w:cs="Times New Roman"/>
        </w:rPr>
        <w:t xml:space="preserve">. </w:t>
      </w:r>
      <w:r w:rsidRPr="00FF4D4B">
        <w:rPr>
          <w:rFonts w:cs="Times New Roman"/>
        </w:rPr>
        <w:t>Although t</w:t>
      </w:r>
      <w:r w:rsidR="00C95E8D" w:rsidRPr="00FF4D4B">
        <w:rPr>
          <w:rFonts w:cs="Times New Roman"/>
        </w:rPr>
        <w:t xml:space="preserve">he bid </w:t>
      </w:r>
      <w:r w:rsidRPr="00FF4D4B">
        <w:rPr>
          <w:rFonts w:cs="Times New Roman"/>
        </w:rPr>
        <w:t>was</w:t>
      </w:r>
      <w:r w:rsidR="00C95E8D" w:rsidRPr="00FF4D4B">
        <w:rPr>
          <w:rFonts w:cs="Times New Roman"/>
        </w:rPr>
        <w:t xml:space="preserve"> supported by </w:t>
      </w:r>
      <w:r w:rsidR="003E22A7" w:rsidRPr="00FF4D4B">
        <w:rPr>
          <w:rFonts w:cs="Times New Roman"/>
        </w:rPr>
        <w:t>Crucell</w:t>
      </w:r>
      <w:r w:rsidR="00C95E8D" w:rsidRPr="00FF4D4B">
        <w:rPr>
          <w:rFonts w:cs="Times New Roman"/>
        </w:rPr>
        <w:t>, several shareholders announced their disagreement with the bid as they consider</w:t>
      </w:r>
      <w:r w:rsidRPr="00FF4D4B">
        <w:rPr>
          <w:rFonts w:cs="Times New Roman"/>
        </w:rPr>
        <w:t>ed</w:t>
      </w:r>
      <w:r w:rsidR="00C95E8D" w:rsidRPr="00FF4D4B">
        <w:rPr>
          <w:rFonts w:cs="Times New Roman"/>
        </w:rPr>
        <w:t xml:space="preserve"> it poor and too early. </w:t>
      </w:r>
    </w:p>
    <w:p w14:paraId="0A2D98B0" w14:textId="55EEE336" w:rsidR="00C95E8D" w:rsidRPr="00FF4D4B" w:rsidRDefault="0097777E" w:rsidP="00C95E8D">
      <w:pPr>
        <w:rPr>
          <w:rFonts w:cs="Times New Roman"/>
        </w:rPr>
      </w:pPr>
      <w:r w:rsidRPr="00FF4D4B">
        <w:rPr>
          <w:rFonts w:cs="Times New Roman"/>
        </w:rPr>
        <w:t>On October</w:t>
      </w:r>
      <w:r w:rsidR="004B474B" w:rsidRPr="00FF4D4B">
        <w:rPr>
          <w:rFonts w:cs="Times New Roman"/>
        </w:rPr>
        <w:t xml:space="preserve"> 6, 2010, Johnson &amp; Johnson and Crucell announced they had reached agreement on the acquisition for an offer price of </w:t>
      </w:r>
      <w:r w:rsidRPr="00FF4D4B">
        <w:rPr>
          <w:rFonts w:cs="Times New Roman"/>
        </w:rPr>
        <w:t>€</w:t>
      </w:r>
      <w:r w:rsidR="004B474B" w:rsidRPr="00FF4D4B">
        <w:rPr>
          <w:rFonts w:cs="Times New Roman"/>
        </w:rPr>
        <w:t xml:space="preserve">24.75. </w:t>
      </w:r>
    </w:p>
    <w:p w14:paraId="124753BC" w14:textId="61ECFA38" w:rsidR="00C95E8D" w:rsidRPr="00FF4D4B" w:rsidRDefault="0043269B" w:rsidP="00093FA0">
      <w:pPr>
        <w:pStyle w:val="Kop3"/>
      </w:pPr>
      <w:bookmarkStart w:id="38" w:name="_Toc301441860"/>
      <w:r w:rsidRPr="00FF4D4B">
        <w:t xml:space="preserve">4.4.2 </w:t>
      </w:r>
      <w:r w:rsidRPr="00FF4D4B">
        <w:tab/>
      </w:r>
      <w:r w:rsidR="004B474B" w:rsidRPr="00FF4D4B">
        <w:t>Sales process</w:t>
      </w:r>
      <w:bookmarkEnd w:id="38"/>
    </w:p>
    <w:p w14:paraId="7D510BA8" w14:textId="28A0A571" w:rsidR="00786E8A" w:rsidRPr="00FF4D4B" w:rsidRDefault="00D96FEB" w:rsidP="00C95E8D">
      <w:pPr>
        <w:rPr>
          <w:rFonts w:cs="Times New Roman"/>
        </w:rPr>
      </w:pPr>
      <w:r w:rsidRPr="00FF4D4B">
        <w:rPr>
          <w:rFonts w:cs="Times New Roman"/>
        </w:rPr>
        <w:t>The bid for all outstanding Crucell shares was €24.75 and fully in cash, which is a premium of 57.7 percent on the closing price of one day before the announcement.</w:t>
      </w:r>
    </w:p>
    <w:p w14:paraId="33B63378" w14:textId="5B48114E" w:rsidR="00C95E8D" w:rsidRPr="00FF4D4B" w:rsidRDefault="0043269B" w:rsidP="00093FA0">
      <w:pPr>
        <w:pStyle w:val="Kop3"/>
      </w:pPr>
      <w:bookmarkStart w:id="39" w:name="_Toc301441861"/>
      <w:r w:rsidRPr="00FF4D4B">
        <w:t xml:space="preserve">4.4.3 </w:t>
      </w:r>
      <w:r w:rsidRPr="00FF4D4B">
        <w:tab/>
      </w:r>
      <w:r w:rsidR="004B474B" w:rsidRPr="00FF4D4B">
        <w:t>Outcome</w:t>
      </w:r>
      <w:bookmarkEnd w:id="39"/>
    </w:p>
    <w:p w14:paraId="1673A851" w14:textId="0D3FC16B" w:rsidR="006F5392" w:rsidRPr="00FF4D4B" w:rsidRDefault="004B474B" w:rsidP="004B474B">
      <w:pPr>
        <w:rPr>
          <w:rFonts w:cs="Times New Roman"/>
        </w:rPr>
      </w:pPr>
      <w:r w:rsidRPr="00FF4D4B">
        <w:rPr>
          <w:rFonts w:cs="Times New Roman"/>
        </w:rPr>
        <w:t>At the time of the takeover,</w:t>
      </w:r>
      <w:r w:rsidR="006F5392" w:rsidRPr="00FF4D4B">
        <w:rPr>
          <w:rFonts w:cs="Times New Roman"/>
        </w:rPr>
        <w:t xml:space="preserve"> </w:t>
      </w:r>
      <w:r w:rsidRPr="00FF4D4B">
        <w:rPr>
          <w:rFonts w:cs="Times New Roman"/>
        </w:rPr>
        <w:t xml:space="preserve">R.H.P Brus, the CEO of Crucell NV, owned a total of 239,202 shares with a value of </w:t>
      </w:r>
      <w:r w:rsidR="001E51E2" w:rsidRPr="00FF4D4B">
        <w:rPr>
          <w:rFonts w:cs="Times New Roman"/>
        </w:rPr>
        <w:t>€5,920,249.50</w:t>
      </w:r>
      <w:r w:rsidRPr="00FF4D4B">
        <w:rPr>
          <w:rFonts w:cs="Times New Roman"/>
        </w:rPr>
        <w:t xml:space="preserve">. Moreover, he owned </w:t>
      </w:r>
      <w:r w:rsidR="006F5392" w:rsidRPr="00FF4D4B">
        <w:rPr>
          <w:rFonts w:cs="Times New Roman"/>
        </w:rPr>
        <w:t>a total of 646,057 s</w:t>
      </w:r>
      <w:r w:rsidR="001E51E2" w:rsidRPr="00FF4D4B">
        <w:rPr>
          <w:rFonts w:cs="Times New Roman"/>
        </w:rPr>
        <w:t>tock options with a value of €9,</w:t>
      </w:r>
      <w:r w:rsidR="006F5392" w:rsidRPr="00FF4D4B">
        <w:rPr>
          <w:rFonts w:cs="Times New Roman"/>
        </w:rPr>
        <w:t>738</w:t>
      </w:r>
      <w:r w:rsidR="001E51E2" w:rsidRPr="00FF4D4B">
        <w:rPr>
          <w:rFonts w:cs="Times New Roman"/>
        </w:rPr>
        <w:t>,</w:t>
      </w:r>
      <w:r w:rsidR="006F5392" w:rsidRPr="00FF4D4B">
        <w:rPr>
          <w:rFonts w:cs="Times New Roman"/>
        </w:rPr>
        <w:t>402</w:t>
      </w:r>
      <w:r w:rsidR="001E51E2" w:rsidRPr="00FF4D4B">
        <w:rPr>
          <w:rFonts w:cs="Times New Roman"/>
        </w:rPr>
        <w:t>.</w:t>
      </w:r>
      <w:r w:rsidR="006F5392" w:rsidRPr="00FF4D4B">
        <w:rPr>
          <w:rFonts w:cs="Times New Roman"/>
        </w:rPr>
        <w:t>63, that vested at the moment of takeover.</w:t>
      </w:r>
      <w:r w:rsidR="006F5392" w:rsidRPr="00FF4D4B">
        <w:rPr>
          <w:rStyle w:val="Voetnootmarkering"/>
          <w:rFonts w:cs="Times New Roman"/>
        </w:rPr>
        <w:footnoteReference w:id="16"/>
      </w:r>
    </w:p>
    <w:p w14:paraId="46CCF0F4" w14:textId="0F685115" w:rsidR="006F5392" w:rsidRPr="00FF4D4B" w:rsidRDefault="001E51E2" w:rsidP="004B474B">
      <w:pPr>
        <w:rPr>
          <w:rFonts w:cs="Times New Roman"/>
        </w:rPr>
      </w:pPr>
      <w:r w:rsidRPr="00FF4D4B">
        <w:rPr>
          <w:rFonts w:cs="Times New Roman"/>
        </w:rPr>
        <w:lastRenderedPageBreak/>
        <w:t xml:space="preserve">He received a one-off cash bonus as a reward for the completion of successful negotiations with Johnson and Johnson with a value of </w:t>
      </w:r>
      <w:r w:rsidR="0097777E" w:rsidRPr="00FF4D4B">
        <w:rPr>
          <w:rFonts w:cs="Times New Roman"/>
        </w:rPr>
        <w:t>€384,000</w:t>
      </w:r>
      <w:r w:rsidRPr="00FF4D4B">
        <w:rPr>
          <w:rFonts w:cs="Times New Roman"/>
        </w:rPr>
        <w:t xml:space="preserve">. Crucell did not list any severance that the CEO would receive in case of a friendly takeover. </w:t>
      </w:r>
    </w:p>
    <w:p w14:paraId="7AFE03ED" w14:textId="31C9E850" w:rsidR="001E51E2" w:rsidRPr="00FF4D4B" w:rsidRDefault="001E51E2" w:rsidP="004B474B">
      <w:pPr>
        <w:rPr>
          <w:rFonts w:cs="Times New Roman"/>
        </w:rPr>
      </w:pPr>
      <w:r w:rsidRPr="00FF4D4B">
        <w:rPr>
          <w:rFonts w:cs="Times New Roman"/>
        </w:rPr>
        <w:t>The total amount the CEO received for the completion of the takeover was €16,042,652.13.</w:t>
      </w:r>
    </w:p>
    <w:p w14:paraId="61EBE555" w14:textId="76CCCACE" w:rsidR="001E51E2" w:rsidRPr="00FF4D4B" w:rsidRDefault="0043269B" w:rsidP="00093FA0">
      <w:pPr>
        <w:pStyle w:val="Kop3"/>
      </w:pPr>
      <w:bookmarkStart w:id="40" w:name="_Toc301441862"/>
      <w:r w:rsidRPr="00FF4D4B">
        <w:t xml:space="preserve">4.4.4 </w:t>
      </w:r>
      <w:r w:rsidRPr="00FF4D4B">
        <w:tab/>
      </w:r>
      <w:r w:rsidR="001E51E2" w:rsidRPr="00FF4D4B">
        <w:t>Hypothetical outcome</w:t>
      </w:r>
      <w:bookmarkEnd w:id="40"/>
    </w:p>
    <w:p w14:paraId="5FBA3451" w14:textId="11F4E451" w:rsidR="00AA1E20" w:rsidRPr="00FF4D4B" w:rsidRDefault="00AA1E20" w:rsidP="00AA1E20">
      <w:pPr>
        <w:rPr>
          <w:rFonts w:cs="Times New Roman"/>
        </w:rPr>
      </w:pPr>
      <w:r w:rsidRPr="00FF4D4B">
        <w:rPr>
          <w:rFonts w:cs="Times New Roman"/>
        </w:rPr>
        <w:t>The official press release for the merger agreement was made on October 6, 2011. The share price four weeks prior to this date was €15.69</w:t>
      </w:r>
      <w:r w:rsidR="003B4A89" w:rsidRPr="00FF4D4B">
        <w:rPr>
          <w:rFonts w:cs="Times New Roman"/>
        </w:rPr>
        <w:t xml:space="preserve"> (appendix V)</w:t>
      </w:r>
      <w:r w:rsidRPr="00FF4D4B">
        <w:rPr>
          <w:rFonts w:cs="Times New Roman"/>
        </w:rPr>
        <w:t xml:space="preserve">. </w:t>
      </w:r>
    </w:p>
    <w:p w14:paraId="11E6ED91" w14:textId="77777777" w:rsidR="00AA1E20" w:rsidRPr="00FF4D4B" w:rsidRDefault="0046119E" w:rsidP="00AA1E20">
      <w:pPr>
        <w:rPr>
          <w:rFonts w:cs="Times New Roman"/>
        </w:rPr>
      </w:pPr>
      <w:r w:rsidRPr="00FF4D4B">
        <w:rPr>
          <w:rFonts w:cs="Times New Roman"/>
        </w:rPr>
        <w:t>On February 22, 2011, the offer was declared unconditional.</w:t>
      </w:r>
      <w:r w:rsidRPr="00FF4D4B">
        <w:rPr>
          <w:rStyle w:val="Voetnootmarkering"/>
          <w:rFonts w:cs="Times New Roman"/>
        </w:rPr>
        <w:footnoteReference w:id="17"/>
      </w:r>
      <w:r w:rsidRPr="00FF4D4B">
        <w:rPr>
          <w:rFonts w:cs="Times New Roman"/>
        </w:rPr>
        <w:t xml:space="preserve"> The share price four weeks later was, again, €24.55.</w:t>
      </w:r>
      <w:r w:rsidR="00AA1E20" w:rsidRPr="00FF4D4B">
        <w:rPr>
          <w:rFonts w:cs="Times New Roman"/>
        </w:rPr>
        <w:t xml:space="preserve"> </w:t>
      </w:r>
    </w:p>
    <w:p w14:paraId="25404D33" w14:textId="2FFB517F" w:rsidR="0046119E" w:rsidRPr="00FF4D4B" w:rsidRDefault="00AA1E20" w:rsidP="001E51E2">
      <w:pPr>
        <w:rPr>
          <w:rFonts w:cs="Times New Roman"/>
        </w:rPr>
      </w:pPr>
      <w:r w:rsidRPr="00FF4D4B">
        <w:rPr>
          <w:rFonts w:cs="Times New Roman"/>
        </w:rPr>
        <w:t>On March 8, 2011, Johnson &amp; Johnson acquired 98.89 percent of issued Crucell shares as of the end of the subsequent offering period.</w:t>
      </w:r>
      <w:r w:rsidRPr="00FF4D4B">
        <w:rPr>
          <w:rStyle w:val="Voetnootmarkering"/>
          <w:rFonts w:cs="Times New Roman"/>
        </w:rPr>
        <w:footnoteReference w:id="18"/>
      </w:r>
      <w:r w:rsidRPr="00FF4D4B">
        <w:rPr>
          <w:rFonts w:cs="Times New Roman"/>
        </w:rPr>
        <w:t xml:space="preserve"> The share price at the moment was €24.55. </w:t>
      </w:r>
    </w:p>
    <w:p w14:paraId="15F48122" w14:textId="66E8B217" w:rsidR="005605A7" w:rsidRPr="00FF4D4B" w:rsidRDefault="00D96FEB" w:rsidP="001E51E2">
      <w:pPr>
        <w:rPr>
          <w:rFonts w:cs="Times New Roman"/>
        </w:rPr>
      </w:pPr>
      <w:r w:rsidRPr="00FF4D4B">
        <w:rPr>
          <w:rFonts w:cs="Times New Roman"/>
        </w:rPr>
        <w:t>There is no difference in the two reference periods</w:t>
      </w:r>
      <w:r w:rsidRPr="00FF4D4B" w:rsidDel="00D96FEB">
        <w:rPr>
          <w:rFonts w:cs="Times New Roman"/>
        </w:rPr>
        <w:t xml:space="preserve"> </w:t>
      </w:r>
      <w:r w:rsidR="005605A7" w:rsidRPr="00FF4D4B">
        <w:rPr>
          <w:rFonts w:cs="Times New Roman"/>
        </w:rPr>
        <w:t>since the share price is equal in</w:t>
      </w:r>
      <w:r w:rsidR="00C57622" w:rsidRPr="00FF4D4B">
        <w:rPr>
          <w:rFonts w:cs="Times New Roman"/>
        </w:rPr>
        <w:t xml:space="preserve"> reference period two and three</w:t>
      </w:r>
      <w:r w:rsidRPr="00FF4D4B">
        <w:rPr>
          <w:rFonts w:cs="Times New Roman"/>
        </w:rPr>
        <w:t>.</w:t>
      </w:r>
      <w:r w:rsidR="007153D3" w:rsidRPr="00FF4D4B">
        <w:rPr>
          <w:rFonts w:cs="Times New Roman"/>
        </w:rPr>
        <w:t xml:space="preserve">The amount to be deducted from the tender price is </w:t>
      </w:r>
      <w:r w:rsidR="007153D3" w:rsidRPr="00FF4D4B">
        <w:rPr>
          <w:rFonts w:cs="Times New Roman"/>
        </w:rPr>
        <w:lastRenderedPageBreak/>
        <w:t>therefore €8.68 and the</w:t>
      </w:r>
      <w:r w:rsidR="00C57622" w:rsidRPr="00FF4D4B">
        <w:rPr>
          <w:rFonts w:cs="Times New Roman"/>
        </w:rPr>
        <w:t xml:space="preserve"> value</w:t>
      </w:r>
      <w:r w:rsidR="007153D3" w:rsidRPr="00FF4D4B">
        <w:rPr>
          <w:rFonts w:cs="Times New Roman"/>
        </w:rPr>
        <w:t xml:space="preserve"> per share</w:t>
      </w:r>
      <w:r w:rsidR="00C57622" w:rsidRPr="00FF4D4B">
        <w:rPr>
          <w:rFonts w:cs="Times New Roman"/>
        </w:rPr>
        <w:t xml:space="preserve"> that the CEO will receive under the provision will be €15.</w:t>
      </w:r>
      <w:r w:rsidR="007153D3" w:rsidRPr="00FF4D4B">
        <w:rPr>
          <w:rFonts w:cs="Times New Roman"/>
        </w:rPr>
        <w:t>8</w:t>
      </w:r>
      <w:r w:rsidR="00C57622" w:rsidRPr="00FF4D4B">
        <w:rPr>
          <w:rFonts w:cs="Times New Roman"/>
        </w:rPr>
        <w:t>9</w:t>
      </w:r>
      <w:r w:rsidR="007153D3" w:rsidRPr="00FF4D4B">
        <w:rPr>
          <w:rFonts w:cs="Times New Roman"/>
        </w:rPr>
        <w:t>.</w:t>
      </w:r>
    </w:p>
    <w:p w14:paraId="2C7B8BD9" w14:textId="73A211D9" w:rsidR="00C57622" w:rsidRPr="00FF4D4B" w:rsidRDefault="00C57622" w:rsidP="001E51E2">
      <w:pPr>
        <w:rPr>
          <w:rFonts w:cs="Times New Roman"/>
        </w:rPr>
      </w:pPr>
      <w:r w:rsidRPr="00FF4D4B">
        <w:rPr>
          <w:rFonts w:cs="Times New Roman"/>
        </w:rPr>
        <w:t xml:space="preserve">The </w:t>
      </w:r>
      <w:r w:rsidR="00791E98" w:rsidRPr="00FF4D4B">
        <w:rPr>
          <w:rFonts w:cs="Times New Roman"/>
        </w:rPr>
        <w:t>239,202 shares that Brus owned would be valued at €3,</w:t>
      </w:r>
      <w:r w:rsidR="007153D3" w:rsidRPr="00FF4D4B">
        <w:rPr>
          <w:rFonts w:cs="Times New Roman"/>
        </w:rPr>
        <w:t>800</w:t>
      </w:r>
      <w:r w:rsidR="00791E98" w:rsidRPr="00FF4D4B">
        <w:rPr>
          <w:rFonts w:cs="Times New Roman"/>
        </w:rPr>
        <w:t>,</w:t>
      </w:r>
      <w:r w:rsidR="007153D3" w:rsidRPr="00FF4D4B">
        <w:rPr>
          <w:rFonts w:cs="Times New Roman"/>
        </w:rPr>
        <w:t>919</w:t>
      </w:r>
      <w:r w:rsidR="00791E98" w:rsidRPr="00FF4D4B">
        <w:rPr>
          <w:rFonts w:cs="Times New Roman"/>
        </w:rPr>
        <w:t>.</w:t>
      </w:r>
      <w:r w:rsidR="007153D3" w:rsidRPr="00FF4D4B">
        <w:rPr>
          <w:rFonts w:cs="Times New Roman"/>
        </w:rPr>
        <w:t>7</w:t>
      </w:r>
      <w:r w:rsidR="00791E98" w:rsidRPr="00FF4D4B">
        <w:rPr>
          <w:rFonts w:cs="Times New Roman"/>
        </w:rPr>
        <w:t>8 instead of the original €5,920,249.50.</w:t>
      </w:r>
    </w:p>
    <w:p w14:paraId="2D2060AA" w14:textId="5B97085B" w:rsidR="0046119E" w:rsidRPr="00FF4D4B" w:rsidRDefault="00791E98" w:rsidP="0066667E">
      <w:pPr>
        <w:tabs>
          <w:tab w:val="left" w:pos="6321"/>
        </w:tabs>
        <w:rPr>
          <w:rFonts w:cs="Times New Roman"/>
        </w:rPr>
      </w:pPr>
      <w:r w:rsidRPr="00FF4D4B">
        <w:rPr>
          <w:rFonts w:cs="Times New Roman"/>
        </w:rPr>
        <w:t>The revised option payout is listed below</w:t>
      </w:r>
      <w:r w:rsidR="0091674F" w:rsidRPr="00FF4D4B">
        <w:rPr>
          <w:rFonts w:cs="Times New Roman"/>
        </w:rPr>
        <w:t xml:space="preserve"> </w:t>
      </w:r>
      <w:r w:rsidR="0091674F" w:rsidRPr="00FF4D4B">
        <w:rPr>
          <w:rStyle w:val="Voetnootmarkering"/>
          <w:rFonts w:cs="Times New Roman"/>
        </w:rPr>
        <w:footnoteReference w:id="19"/>
      </w:r>
      <w:r w:rsidRPr="00FF4D4B">
        <w:rPr>
          <w:rFonts w:cs="Times New Roman"/>
        </w:rPr>
        <w:t>:</w:t>
      </w:r>
      <w:r w:rsidR="0066667E" w:rsidRPr="00FF4D4B">
        <w:rPr>
          <w:rFonts w:cs="Times New Roman"/>
        </w:rPr>
        <w:tab/>
      </w:r>
    </w:p>
    <w:tbl>
      <w:tblPr>
        <w:tblStyle w:val="Tabelraster"/>
        <w:tblW w:w="7338" w:type="dxa"/>
        <w:tblLayout w:type="fixed"/>
        <w:tblLook w:val="04A0" w:firstRow="1" w:lastRow="0" w:firstColumn="1" w:lastColumn="0" w:noHBand="0" w:noVBand="1"/>
      </w:tblPr>
      <w:tblGrid>
        <w:gridCol w:w="959"/>
        <w:gridCol w:w="992"/>
        <w:gridCol w:w="992"/>
        <w:gridCol w:w="851"/>
        <w:gridCol w:w="1276"/>
        <w:gridCol w:w="992"/>
        <w:gridCol w:w="1276"/>
      </w:tblGrid>
      <w:tr w:rsidR="00C57622" w:rsidRPr="00FF4D4B" w14:paraId="7121FABB" w14:textId="77777777" w:rsidTr="00C57622">
        <w:tc>
          <w:tcPr>
            <w:tcW w:w="959" w:type="dxa"/>
          </w:tcPr>
          <w:p w14:paraId="65E2CC91" w14:textId="77777777" w:rsidR="00C57622" w:rsidRPr="00FF4D4B" w:rsidRDefault="00C57622" w:rsidP="00C57622">
            <w:pPr>
              <w:jc w:val="center"/>
              <w:rPr>
                <w:rFonts w:cs="Times New Roman"/>
                <w:b/>
                <w:sz w:val="16"/>
                <w:szCs w:val="16"/>
              </w:rPr>
            </w:pPr>
            <w:r w:rsidRPr="00FF4D4B">
              <w:rPr>
                <w:rFonts w:cs="Times New Roman"/>
                <w:b/>
                <w:sz w:val="16"/>
                <w:szCs w:val="16"/>
              </w:rPr>
              <w:t>Year</w:t>
            </w:r>
          </w:p>
        </w:tc>
        <w:tc>
          <w:tcPr>
            <w:tcW w:w="992" w:type="dxa"/>
          </w:tcPr>
          <w:p w14:paraId="48CECA84" w14:textId="77777777" w:rsidR="00C57622" w:rsidRPr="00FF4D4B" w:rsidRDefault="00C57622" w:rsidP="00C57622">
            <w:pPr>
              <w:tabs>
                <w:tab w:val="left" w:pos="1182"/>
              </w:tabs>
              <w:jc w:val="center"/>
              <w:rPr>
                <w:rFonts w:cs="Times New Roman"/>
                <w:b/>
                <w:sz w:val="16"/>
                <w:szCs w:val="16"/>
              </w:rPr>
            </w:pPr>
            <w:r w:rsidRPr="00FF4D4B">
              <w:rPr>
                <w:rFonts w:cs="Times New Roman"/>
                <w:b/>
                <w:sz w:val="16"/>
                <w:szCs w:val="16"/>
              </w:rPr>
              <w:t>Options</w:t>
            </w:r>
          </w:p>
        </w:tc>
        <w:tc>
          <w:tcPr>
            <w:tcW w:w="992" w:type="dxa"/>
          </w:tcPr>
          <w:p w14:paraId="403BFCC0" w14:textId="77777777" w:rsidR="00C57622" w:rsidRPr="00FF4D4B" w:rsidRDefault="00C57622" w:rsidP="00C57622">
            <w:pPr>
              <w:jc w:val="center"/>
              <w:rPr>
                <w:rFonts w:cs="Times New Roman"/>
                <w:b/>
                <w:sz w:val="16"/>
                <w:szCs w:val="16"/>
              </w:rPr>
            </w:pPr>
            <w:r w:rsidRPr="00FF4D4B">
              <w:rPr>
                <w:rFonts w:cs="Times New Roman"/>
                <w:b/>
                <w:sz w:val="16"/>
                <w:szCs w:val="16"/>
              </w:rPr>
              <w:t>Exercise price</w:t>
            </w:r>
          </w:p>
        </w:tc>
        <w:tc>
          <w:tcPr>
            <w:tcW w:w="851" w:type="dxa"/>
          </w:tcPr>
          <w:p w14:paraId="585C2093" w14:textId="77777777" w:rsidR="00C57622" w:rsidRPr="00FF4D4B" w:rsidRDefault="00C57622" w:rsidP="00C57622">
            <w:pPr>
              <w:jc w:val="center"/>
              <w:rPr>
                <w:rFonts w:cs="Times New Roman"/>
                <w:b/>
                <w:sz w:val="16"/>
                <w:szCs w:val="16"/>
              </w:rPr>
            </w:pPr>
            <w:r w:rsidRPr="00FF4D4B">
              <w:rPr>
                <w:rFonts w:cs="Times New Roman"/>
                <w:b/>
                <w:sz w:val="16"/>
                <w:szCs w:val="16"/>
              </w:rPr>
              <w:t>Tender offer</w:t>
            </w:r>
          </w:p>
        </w:tc>
        <w:tc>
          <w:tcPr>
            <w:tcW w:w="1276" w:type="dxa"/>
          </w:tcPr>
          <w:p w14:paraId="615A8489" w14:textId="77777777" w:rsidR="00C57622" w:rsidRPr="00FF4D4B" w:rsidRDefault="00C57622" w:rsidP="00C57622">
            <w:pPr>
              <w:jc w:val="center"/>
              <w:rPr>
                <w:rFonts w:cs="Times New Roman"/>
                <w:b/>
                <w:sz w:val="16"/>
                <w:szCs w:val="16"/>
              </w:rPr>
            </w:pPr>
            <w:r w:rsidRPr="00FF4D4B">
              <w:rPr>
                <w:rFonts w:cs="Times New Roman"/>
                <w:b/>
                <w:sz w:val="16"/>
                <w:szCs w:val="16"/>
              </w:rPr>
              <w:t>Earning</w:t>
            </w:r>
          </w:p>
        </w:tc>
        <w:tc>
          <w:tcPr>
            <w:tcW w:w="992" w:type="dxa"/>
          </w:tcPr>
          <w:p w14:paraId="689B7381" w14:textId="77777777" w:rsidR="00C57622" w:rsidRPr="00FF4D4B" w:rsidRDefault="00C57622" w:rsidP="00C57622">
            <w:pPr>
              <w:jc w:val="center"/>
              <w:rPr>
                <w:rFonts w:cs="Times New Roman"/>
                <w:b/>
                <w:sz w:val="16"/>
                <w:szCs w:val="16"/>
              </w:rPr>
            </w:pPr>
            <w:r w:rsidRPr="00FF4D4B">
              <w:rPr>
                <w:rFonts w:cs="Times New Roman"/>
                <w:b/>
                <w:sz w:val="16"/>
                <w:szCs w:val="16"/>
              </w:rPr>
              <w:t>Provision value</w:t>
            </w:r>
          </w:p>
        </w:tc>
        <w:tc>
          <w:tcPr>
            <w:tcW w:w="1276" w:type="dxa"/>
          </w:tcPr>
          <w:p w14:paraId="2EAAFFBE" w14:textId="77777777" w:rsidR="00C57622" w:rsidRPr="00FF4D4B" w:rsidRDefault="00C57622" w:rsidP="00C57622">
            <w:pPr>
              <w:jc w:val="center"/>
              <w:rPr>
                <w:rFonts w:cs="Times New Roman"/>
                <w:b/>
                <w:sz w:val="16"/>
                <w:szCs w:val="16"/>
              </w:rPr>
            </w:pPr>
            <w:r w:rsidRPr="00FF4D4B">
              <w:rPr>
                <w:rFonts w:cs="Times New Roman"/>
                <w:b/>
                <w:sz w:val="16"/>
                <w:szCs w:val="16"/>
              </w:rPr>
              <w:t>Revised earning</w:t>
            </w:r>
          </w:p>
        </w:tc>
      </w:tr>
      <w:tr w:rsidR="00C57622" w:rsidRPr="00FF4D4B" w14:paraId="33E6F45E" w14:textId="77777777" w:rsidTr="00C57622">
        <w:tc>
          <w:tcPr>
            <w:tcW w:w="959" w:type="dxa"/>
          </w:tcPr>
          <w:p w14:paraId="3F9CC88D" w14:textId="77777777" w:rsidR="00C57622" w:rsidRPr="00FF4D4B" w:rsidRDefault="00C57622" w:rsidP="00C57622">
            <w:pPr>
              <w:jc w:val="center"/>
              <w:rPr>
                <w:rFonts w:cs="Times New Roman"/>
                <w:sz w:val="16"/>
                <w:szCs w:val="16"/>
              </w:rPr>
            </w:pPr>
            <w:r w:rsidRPr="00FF4D4B">
              <w:rPr>
                <w:rFonts w:cs="Times New Roman"/>
                <w:sz w:val="16"/>
                <w:szCs w:val="16"/>
              </w:rPr>
              <w:t>2003</w:t>
            </w:r>
          </w:p>
        </w:tc>
        <w:tc>
          <w:tcPr>
            <w:tcW w:w="992" w:type="dxa"/>
          </w:tcPr>
          <w:p w14:paraId="7CC6A35C" w14:textId="2C37BE88" w:rsidR="00C57622" w:rsidRPr="00FF4D4B" w:rsidRDefault="00C57622" w:rsidP="00C57622">
            <w:pPr>
              <w:jc w:val="center"/>
              <w:rPr>
                <w:rFonts w:cs="Times New Roman"/>
                <w:sz w:val="16"/>
                <w:szCs w:val="16"/>
              </w:rPr>
            </w:pPr>
            <w:r w:rsidRPr="00FF4D4B">
              <w:rPr>
                <w:rFonts w:cs="Times New Roman"/>
                <w:sz w:val="16"/>
                <w:szCs w:val="16"/>
              </w:rPr>
              <w:t>90,000</w:t>
            </w:r>
          </w:p>
        </w:tc>
        <w:tc>
          <w:tcPr>
            <w:tcW w:w="992" w:type="dxa"/>
          </w:tcPr>
          <w:p w14:paraId="6B75EDF7" w14:textId="79FB8DFB" w:rsidR="00C57622" w:rsidRPr="00FF4D4B" w:rsidRDefault="00C57622" w:rsidP="007153D3">
            <w:pPr>
              <w:jc w:val="right"/>
              <w:rPr>
                <w:rFonts w:cs="Times New Roman"/>
                <w:sz w:val="16"/>
                <w:szCs w:val="16"/>
              </w:rPr>
            </w:pPr>
            <w:r w:rsidRPr="00FF4D4B">
              <w:rPr>
                <w:rFonts w:cs="Times New Roman"/>
                <w:sz w:val="16"/>
                <w:szCs w:val="16"/>
              </w:rPr>
              <w:t>€2.64</w:t>
            </w:r>
          </w:p>
        </w:tc>
        <w:tc>
          <w:tcPr>
            <w:tcW w:w="851" w:type="dxa"/>
          </w:tcPr>
          <w:p w14:paraId="26370C27" w14:textId="4E910770" w:rsidR="00C57622" w:rsidRPr="00FF4D4B" w:rsidRDefault="00C57622" w:rsidP="007153D3">
            <w:pPr>
              <w:jc w:val="right"/>
              <w:rPr>
                <w:rFonts w:cs="Times New Roman"/>
                <w:sz w:val="16"/>
                <w:szCs w:val="16"/>
              </w:rPr>
            </w:pPr>
            <w:r w:rsidRPr="00FF4D4B">
              <w:rPr>
                <w:rFonts w:cs="Times New Roman"/>
                <w:sz w:val="16"/>
                <w:szCs w:val="16"/>
              </w:rPr>
              <w:t>€24.75</w:t>
            </w:r>
          </w:p>
        </w:tc>
        <w:tc>
          <w:tcPr>
            <w:tcW w:w="1276" w:type="dxa"/>
          </w:tcPr>
          <w:p w14:paraId="28D9EB8B" w14:textId="10D67516" w:rsidR="00C57622" w:rsidRPr="00FF4D4B" w:rsidRDefault="00C57622" w:rsidP="007153D3">
            <w:pPr>
              <w:jc w:val="right"/>
              <w:rPr>
                <w:rFonts w:cs="Times New Roman"/>
                <w:sz w:val="16"/>
                <w:szCs w:val="16"/>
                <w:lang w:eastAsia="nl-NL"/>
              </w:rPr>
            </w:pPr>
            <w:r w:rsidRPr="00FF4D4B">
              <w:rPr>
                <w:rFonts w:cs="Times New Roman"/>
                <w:sz w:val="16"/>
                <w:szCs w:val="16"/>
                <w:lang w:eastAsia="nl-NL"/>
              </w:rPr>
              <w:t xml:space="preserve">€1,989,900 </w:t>
            </w:r>
          </w:p>
        </w:tc>
        <w:tc>
          <w:tcPr>
            <w:tcW w:w="992" w:type="dxa"/>
          </w:tcPr>
          <w:p w14:paraId="4B2DEFE3" w14:textId="5A7B47F3" w:rsidR="00C57622" w:rsidRPr="00FF4D4B" w:rsidRDefault="00C57622" w:rsidP="007153D3">
            <w:pPr>
              <w:jc w:val="right"/>
              <w:rPr>
                <w:rFonts w:cs="Times New Roman"/>
                <w:sz w:val="16"/>
                <w:szCs w:val="16"/>
              </w:rPr>
            </w:pPr>
            <w:r w:rsidRPr="00FF4D4B">
              <w:rPr>
                <w:rFonts w:cs="Times New Roman"/>
                <w:sz w:val="16"/>
                <w:szCs w:val="16"/>
              </w:rPr>
              <w:t>€</w:t>
            </w:r>
            <w:r w:rsidR="00791E98" w:rsidRPr="00FF4D4B">
              <w:rPr>
                <w:rFonts w:cs="Times New Roman"/>
                <w:sz w:val="16"/>
                <w:szCs w:val="16"/>
              </w:rPr>
              <w:t>15</w:t>
            </w:r>
            <w:r w:rsidRPr="00FF4D4B">
              <w:rPr>
                <w:rFonts w:cs="Times New Roman"/>
                <w:sz w:val="16"/>
                <w:szCs w:val="16"/>
              </w:rPr>
              <w:t>.</w:t>
            </w:r>
            <w:r w:rsidR="007153D3" w:rsidRPr="00FF4D4B">
              <w:rPr>
                <w:rFonts w:cs="Times New Roman"/>
                <w:sz w:val="16"/>
                <w:szCs w:val="16"/>
              </w:rPr>
              <w:t>8</w:t>
            </w:r>
            <w:r w:rsidR="00791E98" w:rsidRPr="00FF4D4B">
              <w:rPr>
                <w:rFonts w:cs="Times New Roman"/>
                <w:sz w:val="16"/>
                <w:szCs w:val="16"/>
              </w:rPr>
              <w:t>9</w:t>
            </w:r>
          </w:p>
        </w:tc>
        <w:tc>
          <w:tcPr>
            <w:tcW w:w="1276" w:type="dxa"/>
          </w:tcPr>
          <w:p w14:paraId="3C58C0BD" w14:textId="62F01B53" w:rsidR="00C57622" w:rsidRPr="00FF4D4B" w:rsidRDefault="00791E98" w:rsidP="007153D3">
            <w:pPr>
              <w:jc w:val="right"/>
              <w:rPr>
                <w:rFonts w:cs="Times New Roman"/>
                <w:sz w:val="16"/>
                <w:szCs w:val="16"/>
                <w:lang w:eastAsia="nl-NL"/>
              </w:rPr>
            </w:pPr>
            <w:r w:rsidRPr="00FF4D4B">
              <w:rPr>
                <w:rFonts w:cs="Times New Roman"/>
                <w:sz w:val="16"/>
                <w:szCs w:val="16"/>
                <w:lang w:eastAsia="nl-NL"/>
              </w:rPr>
              <w:t>€1,1</w:t>
            </w:r>
            <w:r w:rsidR="007153D3" w:rsidRPr="00FF4D4B">
              <w:rPr>
                <w:rFonts w:cs="Times New Roman"/>
                <w:sz w:val="16"/>
                <w:szCs w:val="16"/>
                <w:lang w:eastAsia="nl-NL"/>
              </w:rPr>
              <w:t>92</w:t>
            </w:r>
            <w:r w:rsidRPr="00FF4D4B">
              <w:rPr>
                <w:rFonts w:cs="Times New Roman"/>
                <w:sz w:val="16"/>
                <w:szCs w:val="16"/>
                <w:lang w:eastAsia="nl-NL"/>
              </w:rPr>
              <w:t>,500</w:t>
            </w:r>
          </w:p>
        </w:tc>
      </w:tr>
      <w:tr w:rsidR="00C57622" w:rsidRPr="00FF4D4B" w14:paraId="0EB50B76" w14:textId="77777777" w:rsidTr="00C57622">
        <w:tc>
          <w:tcPr>
            <w:tcW w:w="959" w:type="dxa"/>
          </w:tcPr>
          <w:p w14:paraId="3E398E98" w14:textId="7C51F952" w:rsidR="00C57622" w:rsidRPr="00FF4D4B" w:rsidRDefault="00C57622" w:rsidP="00C57622">
            <w:pPr>
              <w:jc w:val="center"/>
              <w:rPr>
                <w:rFonts w:cs="Times New Roman"/>
                <w:sz w:val="16"/>
                <w:szCs w:val="16"/>
              </w:rPr>
            </w:pPr>
            <w:r w:rsidRPr="00FF4D4B">
              <w:rPr>
                <w:rFonts w:cs="Times New Roman"/>
                <w:sz w:val="16"/>
                <w:szCs w:val="16"/>
              </w:rPr>
              <w:t>2003</w:t>
            </w:r>
          </w:p>
        </w:tc>
        <w:tc>
          <w:tcPr>
            <w:tcW w:w="992" w:type="dxa"/>
          </w:tcPr>
          <w:p w14:paraId="41202BE5" w14:textId="6016F176" w:rsidR="00C57622" w:rsidRPr="00FF4D4B" w:rsidRDefault="00C57622" w:rsidP="00C57622">
            <w:pPr>
              <w:jc w:val="center"/>
              <w:rPr>
                <w:rFonts w:cs="Times New Roman"/>
                <w:sz w:val="16"/>
                <w:szCs w:val="16"/>
              </w:rPr>
            </w:pPr>
            <w:r w:rsidRPr="00FF4D4B">
              <w:rPr>
                <w:rFonts w:cs="Times New Roman"/>
                <w:sz w:val="16"/>
                <w:szCs w:val="16"/>
              </w:rPr>
              <w:t>125,000</w:t>
            </w:r>
          </w:p>
        </w:tc>
        <w:tc>
          <w:tcPr>
            <w:tcW w:w="992" w:type="dxa"/>
          </w:tcPr>
          <w:p w14:paraId="0A40BF65" w14:textId="64EBBF7B" w:rsidR="00C57622" w:rsidRPr="00FF4D4B" w:rsidRDefault="00C57622" w:rsidP="007153D3">
            <w:pPr>
              <w:jc w:val="right"/>
              <w:rPr>
                <w:rFonts w:cs="Times New Roman"/>
                <w:sz w:val="16"/>
                <w:szCs w:val="16"/>
              </w:rPr>
            </w:pPr>
            <w:r w:rsidRPr="00FF4D4B">
              <w:rPr>
                <w:rFonts w:cs="Times New Roman"/>
                <w:sz w:val="16"/>
                <w:szCs w:val="16"/>
              </w:rPr>
              <w:t>€5.94</w:t>
            </w:r>
          </w:p>
        </w:tc>
        <w:tc>
          <w:tcPr>
            <w:tcW w:w="851" w:type="dxa"/>
          </w:tcPr>
          <w:p w14:paraId="70FB38F1" w14:textId="3AD9471D" w:rsidR="00C57622" w:rsidRPr="00FF4D4B" w:rsidRDefault="00C57622" w:rsidP="007153D3">
            <w:pPr>
              <w:jc w:val="right"/>
              <w:rPr>
                <w:rFonts w:cs="Times New Roman"/>
                <w:sz w:val="16"/>
                <w:szCs w:val="16"/>
              </w:rPr>
            </w:pPr>
            <w:r w:rsidRPr="00FF4D4B">
              <w:rPr>
                <w:rFonts w:cs="Times New Roman"/>
                <w:sz w:val="16"/>
                <w:szCs w:val="16"/>
              </w:rPr>
              <w:t>€24.75</w:t>
            </w:r>
          </w:p>
        </w:tc>
        <w:tc>
          <w:tcPr>
            <w:tcW w:w="1276" w:type="dxa"/>
          </w:tcPr>
          <w:p w14:paraId="70C458AE" w14:textId="51939A88" w:rsidR="00C57622" w:rsidRPr="00FF4D4B" w:rsidRDefault="00C57622" w:rsidP="007153D3">
            <w:pPr>
              <w:jc w:val="right"/>
              <w:rPr>
                <w:rFonts w:cs="Times New Roman"/>
                <w:sz w:val="16"/>
                <w:szCs w:val="16"/>
                <w:lang w:eastAsia="nl-NL"/>
              </w:rPr>
            </w:pPr>
            <w:r w:rsidRPr="00FF4D4B">
              <w:rPr>
                <w:rFonts w:cs="Times New Roman"/>
                <w:sz w:val="16"/>
                <w:szCs w:val="16"/>
                <w:lang w:eastAsia="nl-NL"/>
              </w:rPr>
              <w:t xml:space="preserve">€2,351,250 </w:t>
            </w:r>
          </w:p>
        </w:tc>
        <w:tc>
          <w:tcPr>
            <w:tcW w:w="992" w:type="dxa"/>
          </w:tcPr>
          <w:p w14:paraId="378AF10A" w14:textId="57BFAFF8" w:rsidR="00C57622" w:rsidRPr="00FF4D4B" w:rsidRDefault="00791E98" w:rsidP="007153D3">
            <w:pPr>
              <w:jc w:val="right"/>
              <w:rPr>
                <w:rFonts w:cs="Times New Roman"/>
                <w:sz w:val="16"/>
                <w:szCs w:val="16"/>
              </w:rPr>
            </w:pPr>
            <w:r w:rsidRPr="00FF4D4B">
              <w:rPr>
                <w:rFonts w:cs="Times New Roman"/>
                <w:sz w:val="16"/>
                <w:szCs w:val="16"/>
              </w:rPr>
              <w:t>€15.</w:t>
            </w:r>
            <w:r w:rsidR="007153D3" w:rsidRPr="00FF4D4B">
              <w:rPr>
                <w:rFonts w:cs="Times New Roman"/>
                <w:sz w:val="16"/>
                <w:szCs w:val="16"/>
              </w:rPr>
              <w:t>8</w:t>
            </w:r>
            <w:r w:rsidRPr="00FF4D4B">
              <w:rPr>
                <w:rFonts w:cs="Times New Roman"/>
                <w:sz w:val="16"/>
                <w:szCs w:val="16"/>
              </w:rPr>
              <w:t>9</w:t>
            </w:r>
          </w:p>
        </w:tc>
        <w:tc>
          <w:tcPr>
            <w:tcW w:w="1276" w:type="dxa"/>
          </w:tcPr>
          <w:p w14:paraId="684DE0C6" w14:textId="4CCC0D03" w:rsidR="00C57622" w:rsidRPr="00FF4D4B" w:rsidRDefault="00C57622" w:rsidP="007153D3">
            <w:pPr>
              <w:jc w:val="right"/>
              <w:rPr>
                <w:rFonts w:cs="Times New Roman"/>
                <w:sz w:val="16"/>
                <w:szCs w:val="16"/>
                <w:lang w:eastAsia="nl-NL"/>
              </w:rPr>
            </w:pPr>
            <w:r w:rsidRPr="00FF4D4B">
              <w:rPr>
                <w:rFonts w:cs="Times New Roman"/>
                <w:sz w:val="16"/>
                <w:szCs w:val="16"/>
                <w:lang w:eastAsia="nl-NL"/>
              </w:rPr>
              <w:t>€</w:t>
            </w:r>
            <w:r w:rsidR="00791E98" w:rsidRPr="00FF4D4B">
              <w:rPr>
                <w:rFonts w:cs="Times New Roman"/>
                <w:sz w:val="16"/>
                <w:szCs w:val="16"/>
                <w:lang w:eastAsia="nl-NL"/>
              </w:rPr>
              <w:t>1</w:t>
            </w:r>
            <w:r w:rsidRPr="00FF4D4B">
              <w:rPr>
                <w:rFonts w:cs="Times New Roman"/>
                <w:sz w:val="16"/>
                <w:szCs w:val="16"/>
                <w:lang w:eastAsia="nl-NL"/>
              </w:rPr>
              <w:t>,</w:t>
            </w:r>
            <w:r w:rsidR="00791E98" w:rsidRPr="00FF4D4B">
              <w:rPr>
                <w:rFonts w:cs="Times New Roman"/>
                <w:sz w:val="16"/>
                <w:szCs w:val="16"/>
                <w:lang w:eastAsia="nl-NL"/>
              </w:rPr>
              <w:t>2</w:t>
            </w:r>
            <w:r w:rsidR="007153D3" w:rsidRPr="00FF4D4B">
              <w:rPr>
                <w:rFonts w:cs="Times New Roman"/>
                <w:sz w:val="16"/>
                <w:szCs w:val="16"/>
                <w:lang w:eastAsia="nl-NL"/>
              </w:rPr>
              <w:t>43</w:t>
            </w:r>
            <w:r w:rsidRPr="00FF4D4B">
              <w:rPr>
                <w:rFonts w:cs="Times New Roman"/>
                <w:sz w:val="16"/>
                <w:szCs w:val="16"/>
                <w:lang w:eastAsia="nl-NL"/>
              </w:rPr>
              <w:t>,</w:t>
            </w:r>
            <w:r w:rsidR="00791E98" w:rsidRPr="00FF4D4B">
              <w:rPr>
                <w:rFonts w:cs="Times New Roman"/>
                <w:sz w:val="16"/>
                <w:szCs w:val="16"/>
                <w:lang w:eastAsia="nl-NL"/>
              </w:rPr>
              <w:t>750</w:t>
            </w:r>
          </w:p>
        </w:tc>
      </w:tr>
      <w:tr w:rsidR="00C57622" w:rsidRPr="00FF4D4B" w14:paraId="6AB201A0" w14:textId="77777777" w:rsidTr="00C57622">
        <w:tc>
          <w:tcPr>
            <w:tcW w:w="959" w:type="dxa"/>
          </w:tcPr>
          <w:p w14:paraId="52856730" w14:textId="1B5BB42E" w:rsidR="00C57622" w:rsidRPr="00FF4D4B" w:rsidRDefault="00C57622" w:rsidP="00C57622">
            <w:pPr>
              <w:jc w:val="center"/>
              <w:rPr>
                <w:rFonts w:cs="Times New Roman"/>
                <w:sz w:val="16"/>
                <w:szCs w:val="16"/>
              </w:rPr>
            </w:pPr>
            <w:r w:rsidRPr="00FF4D4B">
              <w:rPr>
                <w:rFonts w:cs="Times New Roman"/>
                <w:sz w:val="16"/>
                <w:szCs w:val="16"/>
              </w:rPr>
              <w:t>2008</w:t>
            </w:r>
          </w:p>
        </w:tc>
        <w:tc>
          <w:tcPr>
            <w:tcW w:w="992" w:type="dxa"/>
          </w:tcPr>
          <w:p w14:paraId="62D4748D" w14:textId="77777777" w:rsidR="00C57622" w:rsidRPr="00FF4D4B" w:rsidRDefault="00C57622" w:rsidP="00C57622">
            <w:pPr>
              <w:jc w:val="center"/>
              <w:rPr>
                <w:rFonts w:cs="Times New Roman"/>
                <w:sz w:val="16"/>
                <w:szCs w:val="16"/>
              </w:rPr>
            </w:pPr>
            <w:r w:rsidRPr="00FF4D4B">
              <w:rPr>
                <w:rFonts w:cs="Times New Roman"/>
                <w:sz w:val="16"/>
                <w:szCs w:val="16"/>
              </w:rPr>
              <w:t>300,000</w:t>
            </w:r>
          </w:p>
        </w:tc>
        <w:tc>
          <w:tcPr>
            <w:tcW w:w="992" w:type="dxa"/>
          </w:tcPr>
          <w:p w14:paraId="0B883671" w14:textId="5AD95B19" w:rsidR="00C57622" w:rsidRPr="00FF4D4B" w:rsidRDefault="00C57622" w:rsidP="007153D3">
            <w:pPr>
              <w:jc w:val="right"/>
              <w:rPr>
                <w:rFonts w:cs="Times New Roman"/>
                <w:sz w:val="16"/>
                <w:szCs w:val="16"/>
              </w:rPr>
            </w:pPr>
            <w:r w:rsidRPr="00FF4D4B">
              <w:rPr>
                <w:rFonts w:cs="Times New Roman"/>
                <w:sz w:val="16"/>
                <w:szCs w:val="16"/>
              </w:rPr>
              <w:t>€12.23</w:t>
            </w:r>
          </w:p>
        </w:tc>
        <w:tc>
          <w:tcPr>
            <w:tcW w:w="851" w:type="dxa"/>
          </w:tcPr>
          <w:p w14:paraId="039D5224" w14:textId="12B93559" w:rsidR="00C57622" w:rsidRPr="00FF4D4B" w:rsidRDefault="00C57622" w:rsidP="007153D3">
            <w:pPr>
              <w:jc w:val="right"/>
              <w:rPr>
                <w:rFonts w:cs="Times New Roman"/>
                <w:sz w:val="16"/>
                <w:szCs w:val="16"/>
              </w:rPr>
            </w:pPr>
            <w:r w:rsidRPr="00FF4D4B">
              <w:rPr>
                <w:rFonts w:cs="Times New Roman"/>
                <w:sz w:val="16"/>
                <w:szCs w:val="16"/>
              </w:rPr>
              <w:t>€24.75</w:t>
            </w:r>
          </w:p>
        </w:tc>
        <w:tc>
          <w:tcPr>
            <w:tcW w:w="1276" w:type="dxa"/>
          </w:tcPr>
          <w:p w14:paraId="4564CE53" w14:textId="651AB57F" w:rsidR="00C57622" w:rsidRPr="00FF4D4B" w:rsidRDefault="00C57622" w:rsidP="007153D3">
            <w:pPr>
              <w:jc w:val="right"/>
              <w:rPr>
                <w:rFonts w:cs="Times New Roman"/>
                <w:sz w:val="16"/>
                <w:szCs w:val="16"/>
                <w:lang w:eastAsia="nl-NL"/>
              </w:rPr>
            </w:pPr>
            <w:r w:rsidRPr="00FF4D4B">
              <w:rPr>
                <w:rFonts w:cs="Times New Roman"/>
                <w:sz w:val="16"/>
                <w:szCs w:val="16"/>
                <w:lang w:eastAsia="nl-NL"/>
              </w:rPr>
              <w:t>€3,756,000</w:t>
            </w:r>
          </w:p>
        </w:tc>
        <w:tc>
          <w:tcPr>
            <w:tcW w:w="992" w:type="dxa"/>
          </w:tcPr>
          <w:p w14:paraId="474C162D" w14:textId="643BF817" w:rsidR="00C57622" w:rsidRPr="00FF4D4B" w:rsidRDefault="00791E98" w:rsidP="007153D3">
            <w:pPr>
              <w:jc w:val="right"/>
              <w:rPr>
                <w:rFonts w:cs="Times New Roman"/>
                <w:sz w:val="16"/>
                <w:szCs w:val="16"/>
              </w:rPr>
            </w:pPr>
            <w:r w:rsidRPr="00FF4D4B">
              <w:rPr>
                <w:rFonts w:cs="Times New Roman"/>
                <w:sz w:val="16"/>
                <w:szCs w:val="16"/>
              </w:rPr>
              <w:t>€15.</w:t>
            </w:r>
            <w:r w:rsidR="007153D3" w:rsidRPr="00FF4D4B">
              <w:rPr>
                <w:rFonts w:cs="Times New Roman"/>
                <w:sz w:val="16"/>
                <w:szCs w:val="16"/>
              </w:rPr>
              <w:t>8</w:t>
            </w:r>
            <w:r w:rsidRPr="00FF4D4B">
              <w:rPr>
                <w:rFonts w:cs="Times New Roman"/>
                <w:sz w:val="16"/>
                <w:szCs w:val="16"/>
              </w:rPr>
              <w:t>9</w:t>
            </w:r>
          </w:p>
        </w:tc>
        <w:tc>
          <w:tcPr>
            <w:tcW w:w="1276" w:type="dxa"/>
          </w:tcPr>
          <w:p w14:paraId="4CFB95E3" w14:textId="0E867CD7" w:rsidR="00C57622" w:rsidRPr="00FF4D4B" w:rsidRDefault="00C57622" w:rsidP="007153D3">
            <w:pPr>
              <w:jc w:val="right"/>
              <w:rPr>
                <w:rFonts w:cs="Times New Roman"/>
                <w:sz w:val="16"/>
                <w:szCs w:val="16"/>
                <w:lang w:eastAsia="nl-NL"/>
              </w:rPr>
            </w:pPr>
            <w:r w:rsidRPr="00FF4D4B">
              <w:rPr>
                <w:rFonts w:cs="Times New Roman"/>
                <w:sz w:val="16"/>
                <w:szCs w:val="16"/>
                <w:lang w:eastAsia="nl-NL"/>
              </w:rPr>
              <w:t>€1</w:t>
            </w:r>
            <w:r w:rsidR="00791E98" w:rsidRPr="00FF4D4B">
              <w:rPr>
                <w:rFonts w:cs="Times New Roman"/>
                <w:sz w:val="16"/>
                <w:szCs w:val="16"/>
                <w:lang w:eastAsia="nl-NL"/>
              </w:rPr>
              <w:t>,0</w:t>
            </w:r>
            <w:r w:rsidR="007153D3" w:rsidRPr="00FF4D4B">
              <w:rPr>
                <w:rFonts w:cs="Times New Roman"/>
                <w:sz w:val="16"/>
                <w:szCs w:val="16"/>
                <w:lang w:eastAsia="nl-NL"/>
              </w:rPr>
              <w:t>98</w:t>
            </w:r>
            <w:r w:rsidRPr="00FF4D4B">
              <w:rPr>
                <w:rFonts w:cs="Times New Roman"/>
                <w:sz w:val="16"/>
                <w:szCs w:val="16"/>
                <w:lang w:eastAsia="nl-NL"/>
              </w:rPr>
              <w:t>,000</w:t>
            </w:r>
          </w:p>
        </w:tc>
      </w:tr>
      <w:tr w:rsidR="00C57622" w:rsidRPr="00FF4D4B" w14:paraId="6562585B" w14:textId="77777777" w:rsidTr="00C57622">
        <w:tc>
          <w:tcPr>
            <w:tcW w:w="959" w:type="dxa"/>
          </w:tcPr>
          <w:p w14:paraId="49F54100" w14:textId="56333D43" w:rsidR="00C57622" w:rsidRPr="00FF4D4B" w:rsidRDefault="00C57622" w:rsidP="00C57622">
            <w:pPr>
              <w:jc w:val="center"/>
              <w:rPr>
                <w:rFonts w:cs="Times New Roman"/>
                <w:sz w:val="16"/>
                <w:szCs w:val="16"/>
              </w:rPr>
            </w:pPr>
            <w:r w:rsidRPr="00FF4D4B">
              <w:rPr>
                <w:rFonts w:cs="Times New Roman"/>
                <w:sz w:val="16"/>
                <w:szCs w:val="16"/>
              </w:rPr>
              <w:t>2009</w:t>
            </w:r>
          </w:p>
        </w:tc>
        <w:tc>
          <w:tcPr>
            <w:tcW w:w="992" w:type="dxa"/>
          </w:tcPr>
          <w:p w14:paraId="60CB69BA" w14:textId="472A7976" w:rsidR="00C57622" w:rsidRPr="00FF4D4B" w:rsidRDefault="00C57622" w:rsidP="00C57622">
            <w:pPr>
              <w:jc w:val="center"/>
              <w:rPr>
                <w:rFonts w:cs="Times New Roman"/>
                <w:sz w:val="16"/>
                <w:szCs w:val="16"/>
              </w:rPr>
            </w:pPr>
            <w:r w:rsidRPr="00FF4D4B">
              <w:rPr>
                <w:rFonts w:cs="Times New Roman"/>
                <w:sz w:val="16"/>
                <w:szCs w:val="16"/>
              </w:rPr>
              <w:t>72,340</w:t>
            </w:r>
          </w:p>
        </w:tc>
        <w:tc>
          <w:tcPr>
            <w:tcW w:w="992" w:type="dxa"/>
          </w:tcPr>
          <w:p w14:paraId="76A3DE68" w14:textId="3D14302B" w:rsidR="00C57622" w:rsidRPr="00FF4D4B" w:rsidRDefault="00C57622" w:rsidP="007153D3">
            <w:pPr>
              <w:jc w:val="right"/>
              <w:rPr>
                <w:rFonts w:cs="Times New Roman"/>
                <w:sz w:val="16"/>
                <w:szCs w:val="16"/>
              </w:rPr>
            </w:pPr>
            <w:r w:rsidRPr="00FF4D4B">
              <w:rPr>
                <w:rFonts w:cs="Times New Roman"/>
                <w:sz w:val="16"/>
                <w:szCs w:val="16"/>
              </w:rPr>
              <w:t>€10.82</w:t>
            </w:r>
          </w:p>
        </w:tc>
        <w:tc>
          <w:tcPr>
            <w:tcW w:w="851" w:type="dxa"/>
          </w:tcPr>
          <w:p w14:paraId="079833D2" w14:textId="4A18892A" w:rsidR="00C57622" w:rsidRPr="00FF4D4B" w:rsidRDefault="00C57622" w:rsidP="007153D3">
            <w:pPr>
              <w:jc w:val="right"/>
              <w:rPr>
                <w:rFonts w:cs="Times New Roman"/>
                <w:sz w:val="16"/>
                <w:szCs w:val="16"/>
              </w:rPr>
            </w:pPr>
            <w:r w:rsidRPr="00FF4D4B">
              <w:rPr>
                <w:rFonts w:cs="Times New Roman"/>
                <w:sz w:val="16"/>
                <w:szCs w:val="16"/>
              </w:rPr>
              <w:t>€24.75</w:t>
            </w:r>
          </w:p>
        </w:tc>
        <w:tc>
          <w:tcPr>
            <w:tcW w:w="1276" w:type="dxa"/>
          </w:tcPr>
          <w:p w14:paraId="7508B276" w14:textId="26CBB8B9" w:rsidR="00C57622" w:rsidRPr="00FF4D4B" w:rsidRDefault="00C57622" w:rsidP="007153D3">
            <w:pPr>
              <w:jc w:val="right"/>
              <w:rPr>
                <w:rFonts w:cs="Times New Roman"/>
                <w:sz w:val="16"/>
                <w:szCs w:val="16"/>
                <w:lang w:eastAsia="nl-NL"/>
              </w:rPr>
            </w:pPr>
            <w:r w:rsidRPr="00FF4D4B">
              <w:rPr>
                <w:rFonts w:cs="Times New Roman"/>
                <w:sz w:val="16"/>
                <w:szCs w:val="16"/>
                <w:lang w:eastAsia="nl-NL"/>
              </w:rPr>
              <w:t>€1,007,696</w:t>
            </w:r>
          </w:p>
        </w:tc>
        <w:tc>
          <w:tcPr>
            <w:tcW w:w="992" w:type="dxa"/>
          </w:tcPr>
          <w:p w14:paraId="69B35B64" w14:textId="5C812351" w:rsidR="00C57622" w:rsidRPr="00FF4D4B" w:rsidRDefault="00791E98" w:rsidP="007153D3">
            <w:pPr>
              <w:jc w:val="right"/>
              <w:rPr>
                <w:rFonts w:cs="Times New Roman"/>
                <w:sz w:val="16"/>
                <w:szCs w:val="16"/>
              </w:rPr>
            </w:pPr>
            <w:r w:rsidRPr="00FF4D4B">
              <w:rPr>
                <w:rFonts w:cs="Times New Roman"/>
                <w:sz w:val="16"/>
                <w:szCs w:val="16"/>
              </w:rPr>
              <w:t>€15.</w:t>
            </w:r>
            <w:r w:rsidR="007153D3" w:rsidRPr="00FF4D4B">
              <w:rPr>
                <w:rFonts w:cs="Times New Roman"/>
                <w:sz w:val="16"/>
                <w:szCs w:val="16"/>
              </w:rPr>
              <w:t>8</w:t>
            </w:r>
            <w:r w:rsidRPr="00FF4D4B">
              <w:rPr>
                <w:rFonts w:cs="Times New Roman"/>
                <w:sz w:val="16"/>
                <w:szCs w:val="16"/>
              </w:rPr>
              <w:t>9</w:t>
            </w:r>
          </w:p>
        </w:tc>
        <w:tc>
          <w:tcPr>
            <w:tcW w:w="1276" w:type="dxa"/>
          </w:tcPr>
          <w:p w14:paraId="20C5F55B" w14:textId="12C1288E" w:rsidR="00C57622" w:rsidRPr="00FF4D4B" w:rsidRDefault="00791E98" w:rsidP="007153D3">
            <w:pPr>
              <w:jc w:val="right"/>
              <w:rPr>
                <w:rFonts w:cs="Times New Roman"/>
                <w:sz w:val="16"/>
                <w:szCs w:val="16"/>
                <w:lang w:eastAsia="nl-NL"/>
              </w:rPr>
            </w:pPr>
            <w:r w:rsidRPr="00FF4D4B">
              <w:rPr>
                <w:rFonts w:cs="Times New Roman"/>
                <w:sz w:val="16"/>
                <w:szCs w:val="16"/>
                <w:lang w:eastAsia="nl-NL"/>
              </w:rPr>
              <w:t>€3</w:t>
            </w:r>
            <w:r w:rsidR="007153D3" w:rsidRPr="00FF4D4B">
              <w:rPr>
                <w:rFonts w:cs="Times New Roman"/>
                <w:sz w:val="16"/>
                <w:szCs w:val="16"/>
                <w:lang w:eastAsia="nl-NL"/>
              </w:rPr>
              <w:t>66</w:t>
            </w:r>
            <w:r w:rsidR="00C57622" w:rsidRPr="00FF4D4B">
              <w:rPr>
                <w:rFonts w:cs="Times New Roman"/>
                <w:sz w:val="16"/>
                <w:szCs w:val="16"/>
                <w:lang w:eastAsia="nl-NL"/>
              </w:rPr>
              <w:t>,</w:t>
            </w:r>
            <w:r w:rsidR="007153D3" w:rsidRPr="00FF4D4B">
              <w:rPr>
                <w:rFonts w:cs="Times New Roman"/>
                <w:sz w:val="16"/>
                <w:szCs w:val="16"/>
                <w:lang w:eastAsia="nl-NL"/>
              </w:rPr>
              <w:t>764</w:t>
            </w:r>
            <w:r w:rsidR="00C57622" w:rsidRPr="00FF4D4B">
              <w:rPr>
                <w:rFonts w:cs="Times New Roman"/>
                <w:sz w:val="16"/>
                <w:szCs w:val="16"/>
                <w:lang w:eastAsia="nl-NL"/>
              </w:rPr>
              <w:t xml:space="preserve"> </w:t>
            </w:r>
          </w:p>
        </w:tc>
      </w:tr>
      <w:tr w:rsidR="00C57622" w:rsidRPr="00FF4D4B" w14:paraId="3C5E495C" w14:textId="77777777" w:rsidTr="00C57622">
        <w:tc>
          <w:tcPr>
            <w:tcW w:w="959" w:type="dxa"/>
          </w:tcPr>
          <w:p w14:paraId="08E49306" w14:textId="5E71E485" w:rsidR="00C57622" w:rsidRPr="00FF4D4B" w:rsidRDefault="00C57622" w:rsidP="00C57622">
            <w:pPr>
              <w:jc w:val="center"/>
              <w:rPr>
                <w:rFonts w:cs="Times New Roman"/>
                <w:sz w:val="16"/>
                <w:szCs w:val="16"/>
              </w:rPr>
            </w:pPr>
            <w:r w:rsidRPr="00FF4D4B">
              <w:rPr>
                <w:rFonts w:cs="Times New Roman"/>
                <w:sz w:val="16"/>
                <w:szCs w:val="16"/>
              </w:rPr>
              <w:t>2010</w:t>
            </w:r>
          </w:p>
        </w:tc>
        <w:tc>
          <w:tcPr>
            <w:tcW w:w="992" w:type="dxa"/>
          </w:tcPr>
          <w:p w14:paraId="43E8F93D" w14:textId="6D50831F" w:rsidR="00C57622" w:rsidRPr="00FF4D4B" w:rsidRDefault="00C57622" w:rsidP="00C57622">
            <w:pPr>
              <w:jc w:val="center"/>
              <w:rPr>
                <w:rFonts w:cs="Times New Roman"/>
                <w:sz w:val="16"/>
                <w:szCs w:val="16"/>
              </w:rPr>
            </w:pPr>
            <w:r w:rsidRPr="00FF4D4B">
              <w:rPr>
                <w:rFonts w:cs="Times New Roman"/>
                <w:sz w:val="16"/>
                <w:szCs w:val="16"/>
              </w:rPr>
              <w:t>58,717</w:t>
            </w:r>
          </w:p>
        </w:tc>
        <w:tc>
          <w:tcPr>
            <w:tcW w:w="992" w:type="dxa"/>
          </w:tcPr>
          <w:p w14:paraId="5BAE6B81" w14:textId="380CA612" w:rsidR="00C57622" w:rsidRPr="00FF4D4B" w:rsidRDefault="00C57622" w:rsidP="007153D3">
            <w:pPr>
              <w:jc w:val="right"/>
              <w:rPr>
                <w:rFonts w:cs="Times New Roman"/>
                <w:sz w:val="16"/>
                <w:szCs w:val="16"/>
              </w:rPr>
            </w:pPr>
            <w:r w:rsidRPr="00FF4D4B">
              <w:rPr>
                <w:rFonts w:cs="Times New Roman"/>
                <w:sz w:val="16"/>
                <w:szCs w:val="16"/>
              </w:rPr>
              <w:t>€13.96</w:t>
            </w:r>
          </w:p>
        </w:tc>
        <w:tc>
          <w:tcPr>
            <w:tcW w:w="851" w:type="dxa"/>
          </w:tcPr>
          <w:p w14:paraId="4D5F259B" w14:textId="4CEDF018" w:rsidR="00C57622" w:rsidRPr="00FF4D4B" w:rsidRDefault="00C57622" w:rsidP="007153D3">
            <w:pPr>
              <w:jc w:val="right"/>
              <w:rPr>
                <w:rFonts w:cs="Times New Roman"/>
                <w:sz w:val="16"/>
                <w:szCs w:val="16"/>
              </w:rPr>
            </w:pPr>
            <w:r w:rsidRPr="00FF4D4B">
              <w:rPr>
                <w:rFonts w:cs="Times New Roman"/>
                <w:sz w:val="16"/>
                <w:szCs w:val="16"/>
              </w:rPr>
              <w:t>€24.75</w:t>
            </w:r>
          </w:p>
        </w:tc>
        <w:tc>
          <w:tcPr>
            <w:tcW w:w="1276" w:type="dxa"/>
          </w:tcPr>
          <w:p w14:paraId="56327ACE" w14:textId="125295E1" w:rsidR="00C57622" w:rsidRPr="00FF4D4B" w:rsidRDefault="00C57622" w:rsidP="007153D3">
            <w:pPr>
              <w:jc w:val="right"/>
              <w:rPr>
                <w:rFonts w:cs="Times New Roman"/>
                <w:sz w:val="16"/>
                <w:szCs w:val="16"/>
                <w:lang w:eastAsia="nl-NL"/>
              </w:rPr>
            </w:pPr>
            <w:r w:rsidRPr="00FF4D4B">
              <w:rPr>
                <w:rFonts w:cs="Times New Roman"/>
                <w:sz w:val="16"/>
                <w:szCs w:val="16"/>
                <w:lang w:eastAsia="nl-NL"/>
              </w:rPr>
              <w:t>€</w:t>
            </w:r>
            <w:r w:rsidR="00791E98" w:rsidRPr="00FF4D4B">
              <w:rPr>
                <w:rFonts w:cs="Times New Roman"/>
                <w:sz w:val="16"/>
                <w:szCs w:val="16"/>
                <w:lang w:eastAsia="nl-NL"/>
              </w:rPr>
              <w:t>633</w:t>
            </w:r>
            <w:r w:rsidRPr="00FF4D4B">
              <w:rPr>
                <w:rFonts w:cs="Times New Roman"/>
                <w:sz w:val="16"/>
                <w:szCs w:val="16"/>
                <w:lang w:eastAsia="nl-NL"/>
              </w:rPr>
              <w:t>,</w:t>
            </w:r>
            <w:r w:rsidR="00791E98" w:rsidRPr="00FF4D4B">
              <w:rPr>
                <w:rFonts w:cs="Times New Roman"/>
                <w:sz w:val="16"/>
                <w:szCs w:val="16"/>
                <w:lang w:eastAsia="nl-NL"/>
              </w:rPr>
              <w:t>556</w:t>
            </w:r>
          </w:p>
        </w:tc>
        <w:tc>
          <w:tcPr>
            <w:tcW w:w="992" w:type="dxa"/>
          </w:tcPr>
          <w:p w14:paraId="699E2652" w14:textId="41304121" w:rsidR="00C57622" w:rsidRPr="00FF4D4B" w:rsidRDefault="00791E98" w:rsidP="007153D3">
            <w:pPr>
              <w:jc w:val="right"/>
              <w:rPr>
                <w:rFonts w:cs="Times New Roman"/>
                <w:sz w:val="16"/>
                <w:szCs w:val="16"/>
              </w:rPr>
            </w:pPr>
            <w:r w:rsidRPr="00FF4D4B">
              <w:rPr>
                <w:rFonts w:cs="Times New Roman"/>
                <w:sz w:val="16"/>
                <w:szCs w:val="16"/>
              </w:rPr>
              <w:t>€15.</w:t>
            </w:r>
            <w:r w:rsidR="007153D3" w:rsidRPr="00FF4D4B">
              <w:rPr>
                <w:rFonts w:cs="Times New Roman"/>
                <w:sz w:val="16"/>
                <w:szCs w:val="16"/>
              </w:rPr>
              <w:t>8</w:t>
            </w:r>
            <w:r w:rsidRPr="00FF4D4B">
              <w:rPr>
                <w:rFonts w:cs="Times New Roman"/>
                <w:sz w:val="16"/>
                <w:szCs w:val="16"/>
              </w:rPr>
              <w:t>9</w:t>
            </w:r>
          </w:p>
        </w:tc>
        <w:tc>
          <w:tcPr>
            <w:tcW w:w="1276" w:type="dxa"/>
          </w:tcPr>
          <w:p w14:paraId="733110CC" w14:textId="7573AC01" w:rsidR="00C57622" w:rsidRPr="00FF4D4B" w:rsidRDefault="00C57622" w:rsidP="007153D3">
            <w:pPr>
              <w:jc w:val="right"/>
              <w:rPr>
                <w:rFonts w:cs="Times New Roman"/>
                <w:sz w:val="16"/>
                <w:szCs w:val="16"/>
                <w:lang w:eastAsia="nl-NL"/>
              </w:rPr>
            </w:pPr>
            <w:r w:rsidRPr="00FF4D4B">
              <w:rPr>
                <w:rFonts w:cs="Times New Roman"/>
                <w:sz w:val="16"/>
                <w:szCs w:val="16"/>
                <w:lang w:eastAsia="nl-NL"/>
              </w:rPr>
              <w:t>€</w:t>
            </w:r>
            <w:r w:rsidR="00791E98" w:rsidRPr="00FF4D4B">
              <w:rPr>
                <w:rFonts w:cs="Times New Roman"/>
                <w:sz w:val="16"/>
                <w:szCs w:val="16"/>
                <w:lang w:eastAsia="nl-NL"/>
              </w:rPr>
              <w:t>1</w:t>
            </w:r>
            <w:r w:rsidR="007153D3" w:rsidRPr="00FF4D4B">
              <w:rPr>
                <w:rFonts w:cs="Times New Roman"/>
                <w:sz w:val="16"/>
                <w:szCs w:val="16"/>
                <w:lang w:eastAsia="nl-NL"/>
              </w:rPr>
              <w:t>13</w:t>
            </w:r>
            <w:r w:rsidRPr="00FF4D4B">
              <w:rPr>
                <w:rFonts w:cs="Times New Roman"/>
                <w:sz w:val="16"/>
                <w:szCs w:val="16"/>
                <w:lang w:eastAsia="nl-NL"/>
              </w:rPr>
              <w:t>,</w:t>
            </w:r>
            <w:r w:rsidR="007153D3" w:rsidRPr="00FF4D4B">
              <w:rPr>
                <w:rFonts w:cs="Times New Roman"/>
                <w:sz w:val="16"/>
                <w:szCs w:val="16"/>
                <w:lang w:eastAsia="nl-NL"/>
              </w:rPr>
              <w:t>24</w:t>
            </w:r>
          </w:p>
        </w:tc>
      </w:tr>
      <w:tr w:rsidR="00C57622" w:rsidRPr="00FF4D4B" w14:paraId="4B7287E8" w14:textId="77777777" w:rsidTr="00C57622">
        <w:tc>
          <w:tcPr>
            <w:tcW w:w="959" w:type="dxa"/>
          </w:tcPr>
          <w:p w14:paraId="083133F4" w14:textId="77777777" w:rsidR="00C57622" w:rsidRPr="00FF4D4B" w:rsidRDefault="00C57622" w:rsidP="00C57622">
            <w:pPr>
              <w:jc w:val="center"/>
              <w:rPr>
                <w:rFonts w:cs="Times New Roman"/>
                <w:sz w:val="16"/>
                <w:szCs w:val="16"/>
              </w:rPr>
            </w:pPr>
            <w:r w:rsidRPr="00FF4D4B">
              <w:rPr>
                <w:rFonts w:cs="Times New Roman"/>
                <w:sz w:val="16"/>
                <w:szCs w:val="16"/>
              </w:rPr>
              <w:t>Total</w:t>
            </w:r>
          </w:p>
        </w:tc>
        <w:tc>
          <w:tcPr>
            <w:tcW w:w="992" w:type="dxa"/>
          </w:tcPr>
          <w:p w14:paraId="62A2CFD6" w14:textId="77777777" w:rsidR="00C57622" w:rsidRPr="00FF4D4B" w:rsidRDefault="00C57622" w:rsidP="00C57622">
            <w:pPr>
              <w:rPr>
                <w:rFonts w:cs="Times New Roman"/>
                <w:sz w:val="16"/>
                <w:szCs w:val="16"/>
              </w:rPr>
            </w:pPr>
          </w:p>
        </w:tc>
        <w:tc>
          <w:tcPr>
            <w:tcW w:w="992" w:type="dxa"/>
          </w:tcPr>
          <w:p w14:paraId="1B0C276D" w14:textId="77777777" w:rsidR="00C57622" w:rsidRPr="00FF4D4B" w:rsidRDefault="00C57622" w:rsidP="00C57622">
            <w:pPr>
              <w:rPr>
                <w:rFonts w:cs="Times New Roman"/>
                <w:sz w:val="16"/>
                <w:szCs w:val="16"/>
              </w:rPr>
            </w:pPr>
          </w:p>
        </w:tc>
        <w:tc>
          <w:tcPr>
            <w:tcW w:w="851" w:type="dxa"/>
          </w:tcPr>
          <w:p w14:paraId="3C513C8A" w14:textId="77777777" w:rsidR="00C57622" w:rsidRPr="00FF4D4B" w:rsidRDefault="00C57622" w:rsidP="00C57622">
            <w:pPr>
              <w:rPr>
                <w:rFonts w:cs="Times New Roman"/>
                <w:sz w:val="16"/>
                <w:szCs w:val="16"/>
              </w:rPr>
            </w:pPr>
          </w:p>
        </w:tc>
        <w:tc>
          <w:tcPr>
            <w:tcW w:w="1276" w:type="dxa"/>
          </w:tcPr>
          <w:p w14:paraId="138C5FF7" w14:textId="7F9315BE" w:rsidR="00C57622" w:rsidRPr="00FF4D4B" w:rsidRDefault="00791E98" w:rsidP="007153D3">
            <w:pPr>
              <w:jc w:val="right"/>
              <w:rPr>
                <w:rFonts w:cs="Times New Roman"/>
                <w:sz w:val="16"/>
                <w:szCs w:val="16"/>
                <w:lang w:eastAsia="nl-NL"/>
              </w:rPr>
            </w:pPr>
            <w:r w:rsidRPr="00FF4D4B">
              <w:rPr>
                <w:rFonts w:cs="Times New Roman"/>
                <w:sz w:val="16"/>
                <w:szCs w:val="16"/>
                <w:lang w:eastAsia="nl-NL"/>
              </w:rPr>
              <w:t>€9</w:t>
            </w:r>
            <w:r w:rsidR="00C57622" w:rsidRPr="00FF4D4B">
              <w:rPr>
                <w:rFonts w:cs="Times New Roman"/>
                <w:sz w:val="16"/>
                <w:szCs w:val="16"/>
                <w:lang w:eastAsia="nl-NL"/>
              </w:rPr>
              <w:t>,</w:t>
            </w:r>
            <w:r w:rsidRPr="00FF4D4B">
              <w:rPr>
                <w:rFonts w:cs="Times New Roman"/>
                <w:sz w:val="16"/>
                <w:szCs w:val="16"/>
                <w:lang w:eastAsia="nl-NL"/>
              </w:rPr>
              <w:t>738</w:t>
            </w:r>
            <w:r w:rsidR="00C57622" w:rsidRPr="00FF4D4B">
              <w:rPr>
                <w:rFonts w:cs="Times New Roman"/>
                <w:sz w:val="16"/>
                <w:szCs w:val="16"/>
                <w:lang w:eastAsia="nl-NL"/>
              </w:rPr>
              <w:t>,</w:t>
            </w:r>
            <w:r w:rsidRPr="00FF4D4B">
              <w:rPr>
                <w:rFonts w:cs="Times New Roman"/>
                <w:sz w:val="16"/>
                <w:szCs w:val="16"/>
                <w:lang w:eastAsia="nl-NL"/>
              </w:rPr>
              <w:t>403</w:t>
            </w:r>
          </w:p>
        </w:tc>
        <w:tc>
          <w:tcPr>
            <w:tcW w:w="992" w:type="dxa"/>
          </w:tcPr>
          <w:p w14:paraId="0B4A3471" w14:textId="77777777" w:rsidR="00C57622" w:rsidRPr="00FF4D4B" w:rsidRDefault="00C57622" w:rsidP="00C57622">
            <w:pPr>
              <w:rPr>
                <w:rFonts w:cs="Times New Roman"/>
                <w:sz w:val="16"/>
                <w:szCs w:val="16"/>
              </w:rPr>
            </w:pPr>
          </w:p>
        </w:tc>
        <w:tc>
          <w:tcPr>
            <w:tcW w:w="1276" w:type="dxa"/>
          </w:tcPr>
          <w:p w14:paraId="38CA7EE2" w14:textId="7C34D8D0" w:rsidR="00C57622" w:rsidRPr="00FF4D4B" w:rsidRDefault="00C57622" w:rsidP="007153D3">
            <w:pPr>
              <w:jc w:val="right"/>
              <w:rPr>
                <w:rFonts w:cs="Times New Roman"/>
                <w:sz w:val="16"/>
                <w:szCs w:val="16"/>
                <w:lang w:eastAsia="nl-NL"/>
              </w:rPr>
            </w:pPr>
            <w:r w:rsidRPr="00FF4D4B">
              <w:rPr>
                <w:rFonts w:cs="Times New Roman"/>
                <w:sz w:val="16"/>
                <w:szCs w:val="16"/>
                <w:lang w:eastAsia="nl-NL"/>
              </w:rPr>
              <w:t>€</w:t>
            </w:r>
            <w:r w:rsidR="007153D3" w:rsidRPr="00FF4D4B">
              <w:rPr>
                <w:rFonts w:cs="Times New Roman"/>
                <w:sz w:val="16"/>
                <w:szCs w:val="16"/>
                <w:lang w:eastAsia="nl-NL"/>
              </w:rPr>
              <w:t>4</w:t>
            </w:r>
            <w:r w:rsidRPr="00FF4D4B">
              <w:rPr>
                <w:rFonts w:cs="Times New Roman"/>
                <w:sz w:val="16"/>
                <w:szCs w:val="16"/>
                <w:lang w:eastAsia="nl-NL"/>
              </w:rPr>
              <w:t>,</w:t>
            </w:r>
            <w:r w:rsidR="007153D3" w:rsidRPr="00FF4D4B">
              <w:rPr>
                <w:rFonts w:cs="Times New Roman"/>
                <w:sz w:val="16"/>
                <w:szCs w:val="16"/>
                <w:lang w:eastAsia="nl-NL"/>
              </w:rPr>
              <w:t>014</w:t>
            </w:r>
            <w:r w:rsidRPr="00FF4D4B">
              <w:rPr>
                <w:rFonts w:cs="Times New Roman"/>
                <w:sz w:val="16"/>
                <w:szCs w:val="16"/>
                <w:lang w:eastAsia="nl-NL"/>
              </w:rPr>
              <w:t>,</w:t>
            </w:r>
            <w:r w:rsidR="007153D3" w:rsidRPr="00FF4D4B">
              <w:rPr>
                <w:rFonts w:cs="Times New Roman"/>
                <w:sz w:val="16"/>
                <w:szCs w:val="16"/>
                <w:lang w:eastAsia="nl-NL"/>
              </w:rPr>
              <w:t>338</w:t>
            </w:r>
          </w:p>
        </w:tc>
      </w:tr>
    </w:tbl>
    <w:p w14:paraId="790310FF" w14:textId="77777777" w:rsidR="00791E98" w:rsidRPr="00FF4D4B" w:rsidRDefault="00791E98" w:rsidP="001E51E2">
      <w:pPr>
        <w:rPr>
          <w:rFonts w:cs="Times New Roman"/>
        </w:rPr>
      </w:pPr>
    </w:p>
    <w:p w14:paraId="05AFF54F" w14:textId="54DDF3A4" w:rsidR="00791E98" w:rsidRPr="00FF4D4B" w:rsidRDefault="002519AF" w:rsidP="001E51E2">
      <w:pPr>
        <w:rPr>
          <w:rFonts w:cs="Times New Roman"/>
        </w:rPr>
      </w:pPr>
      <w:r w:rsidRPr="00FF4D4B">
        <w:rPr>
          <w:rFonts w:cs="Times New Roman"/>
        </w:rPr>
        <w:t>For the options, Brus</w:t>
      </w:r>
      <w:r w:rsidR="00791E98" w:rsidRPr="00FF4D4B">
        <w:rPr>
          <w:rFonts w:cs="Times New Roman"/>
        </w:rPr>
        <w:t xml:space="preserve"> would receive </w:t>
      </w:r>
      <w:r w:rsidRPr="00FF4D4B">
        <w:rPr>
          <w:rFonts w:cs="Times New Roman"/>
        </w:rPr>
        <w:t>€</w:t>
      </w:r>
      <w:r w:rsidR="007153D3" w:rsidRPr="00FF4D4B">
        <w:rPr>
          <w:rFonts w:cs="Times New Roman"/>
        </w:rPr>
        <w:t>4</w:t>
      </w:r>
      <w:r w:rsidRPr="00FF4D4B">
        <w:rPr>
          <w:rFonts w:cs="Times New Roman"/>
        </w:rPr>
        <w:t>,</w:t>
      </w:r>
      <w:r w:rsidR="007153D3" w:rsidRPr="00FF4D4B">
        <w:rPr>
          <w:rFonts w:cs="Times New Roman"/>
        </w:rPr>
        <w:t>014</w:t>
      </w:r>
      <w:r w:rsidRPr="00FF4D4B">
        <w:rPr>
          <w:rFonts w:cs="Times New Roman"/>
        </w:rPr>
        <w:t>,</w:t>
      </w:r>
      <w:r w:rsidR="007153D3" w:rsidRPr="00FF4D4B">
        <w:rPr>
          <w:rFonts w:cs="Times New Roman"/>
        </w:rPr>
        <w:t>338</w:t>
      </w:r>
      <w:r w:rsidRPr="00FF4D4B">
        <w:rPr>
          <w:rFonts w:cs="Times New Roman"/>
        </w:rPr>
        <w:t xml:space="preserve">, a difference of approximately €6 million. </w:t>
      </w:r>
    </w:p>
    <w:p w14:paraId="07A50C4E" w14:textId="64AB553C" w:rsidR="002519AF" w:rsidRPr="00FF4D4B" w:rsidRDefault="00A40672" w:rsidP="001E51E2">
      <w:pPr>
        <w:rPr>
          <w:rFonts w:cs="Times New Roman"/>
        </w:rPr>
      </w:pPr>
      <w:r w:rsidRPr="00FF4D4B">
        <w:rPr>
          <w:rFonts w:cs="Times New Roman"/>
        </w:rPr>
        <w:lastRenderedPageBreak/>
        <w:t xml:space="preserve">The total amount of severance the </w:t>
      </w:r>
      <w:r w:rsidR="00C84C76" w:rsidRPr="00FF4D4B">
        <w:rPr>
          <w:rFonts w:cs="Times New Roman"/>
        </w:rPr>
        <w:t>CEO would receive under the Provision would be €8,</w:t>
      </w:r>
      <w:r w:rsidR="007153D3" w:rsidRPr="00FF4D4B">
        <w:rPr>
          <w:rFonts w:cs="Times New Roman"/>
        </w:rPr>
        <w:t>199</w:t>
      </w:r>
      <w:r w:rsidR="00C84C76" w:rsidRPr="00FF4D4B">
        <w:rPr>
          <w:rFonts w:cs="Times New Roman"/>
        </w:rPr>
        <w:t>,25</w:t>
      </w:r>
      <w:r w:rsidR="007153D3" w:rsidRPr="00FF4D4B">
        <w:rPr>
          <w:rFonts w:cs="Times New Roman"/>
        </w:rPr>
        <w:t>7</w:t>
      </w:r>
      <w:r w:rsidR="00C84C76" w:rsidRPr="00FF4D4B">
        <w:rPr>
          <w:rFonts w:cs="Times New Roman"/>
        </w:rPr>
        <w:t>.59, a difference of approximately €8 million.</w:t>
      </w:r>
    </w:p>
    <w:p w14:paraId="4F995A82" w14:textId="33FCC0B8" w:rsidR="0091674F" w:rsidRPr="00FF4D4B" w:rsidRDefault="0091674F" w:rsidP="001E51E2">
      <w:pPr>
        <w:rPr>
          <w:rFonts w:cs="Times New Roman"/>
        </w:rPr>
      </w:pPr>
      <w:r w:rsidRPr="00FF4D4B">
        <w:rPr>
          <w:rFonts w:cs="Times New Roman"/>
        </w:rPr>
        <w:t xml:space="preserve">The application of the provision would have no real effect on the shareholders. The government however, would receive </w:t>
      </w:r>
      <w:r w:rsidR="00577F3E" w:rsidRPr="00FF4D4B">
        <w:rPr>
          <w:rFonts w:cs="Times New Roman"/>
        </w:rPr>
        <w:t>€4,263,613.95 less in taxes.</w:t>
      </w:r>
    </w:p>
    <w:p w14:paraId="21741493" w14:textId="77777777" w:rsidR="00BA1617" w:rsidRPr="00FF4D4B" w:rsidRDefault="00BA1617" w:rsidP="002B1FD0"/>
    <w:p w14:paraId="31427B6A" w14:textId="276FF790" w:rsidR="00AB079C" w:rsidRPr="00FF4D4B" w:rsidRDefault="0043269B" w:rsidP="00B650B6">
      <w:pPr>
        <w:pStyle w:val="Kop2"/>
      </w:pPr>
      <w:bookmarkStart w:id="41" w:name="_Toc301441863"/>
      <w:r w:rsidRPr="00FF4D4B">
        <w:t xml:space="preserve">4.5 </w:t>
      </w:r>
      <w:r w:rsidRPr="00FF4D4B">
        <w:tab/>
      </w:r>
      <w:r w:rsidR="004B5BD7" w:rsidRPr="00FF4D4B">
        <w:t>DE Master Blenders 1753 NV (2013)</w:t>
      </w:r>
      <w:bookmarkEnd w:id="41"/>
    </w:p>
    <w:p w14:paraId="148F3030" w14:textId="0D790C9B" w:rsidR="00DA38BE" w:rsidRPr="00FF4D4B" w:rsidRDefault="0043269B" w:rsidP="00093FA0">
      <w:pPr>
        <w:pStyle w:val="Kop3"/>
      </w:pPr>
      <w:bookmarkStart w:id="42" w:name="_Toc301441864"/>
      <w:r w:rsidRPr="00FF4D4B">
        <w:t xml:space="preserve">4.5.1 </w:t>
      </w:r>
      <w:r w:rsidRPr="00FF4D4B">
        <w:tab/>
      </w:r>
      <w:r w:rsidR="00DA38BE" w:rsidRPr="00FF4D4B">
        <w:t>Background</w:t>
      </w:r>
      <w:bookmarkEnd w:id="42"/>
    </w:p>
    <w:p w14:paraId="7E7503AF" w14:textId="150D5EB4" w:rsidR="00D10183" w:rsidRPr="00FF4D4B" w:rsidRDefault="00117D5E" w:rsidP="006806F2">
      <w:pPr>
        <w:rPr>
          <w:rFonts w:cs="Times New Roman"/>
        </w:rPr>
      </w:pPr>
      <w:r w:rsidRPr="00FF4D4B">
        <w:rPr>
          <w:rFonts w:cs="Times New Roman"/>
        </w:rPr>
        <w:t>I</w:t>
      </w:r>
      <w:r w:rsidR="00BF561B" w:rsidRPr="00FF4D4B">
        <w:rPr>
          <w:rFonts w:cs="Times New Roman"/>
        </w:rPr>
        <w:t>n April of 2013</w:t>
      </w:r>
      <w:r w:rsidR="00C95E8D" w:rsidRPr="00FF4D4B">
        <w:rPr>
          <w:rFonts w:cs="Times New Roman"/>
        </w:rPr>
        <w:t xml:space="preserve"> Douwe Egberts</w:t>
      </w:r>
      <w:r w:rsidRPr="00FF4D4B">
        <w:rPr>
          <w:rFonts w:cs="Times New Roman"/>
        </w:rPr>
        <w:t xml:space="preserve"> Master Blenders (DEMB)</w:t>
      </w:r>
      <w:r w:rsidR="00C95E8D" w:rsidRPr="00FF4D4B">
        <w:rPr>
          <w:rFonts w:cs="Times New Roman"/>
        </w:rPr>
        <w:t xml:space="preserve"> received a public tender offer on all outstanding shares for </w:t>
      </w:r>
      <w:r w:rsidR="00BF561B" w:rsidRPr="00FF4D4B">
        <w:rPr>
          <w:rFonts w:cs="Times New Roman"/>
        </w:rPr>
        <w:t>€</w:t>
      </w:r>
      <w:r w:rsidR="00C95E8D" w:rsidRPr="00FF4D4B">
        <w:rPr>
          <w:rFonts w:cs="Times New Roman"/>
        </w:rPr>
        <w:t xml:space="preserve">12.50 per share from </w:t>
      </w:r>
      <w:r w:rsidRPr="00FF4D4B">
        <w:rPr>
          <w:rFonts w:cs="Times New Roman"/>
        </w:rPr>
        <w:t xml:space="preserve">Joh. A. </w:t>
      </w:r>
      <w:r w:rsidR="00C95E8D" w:rsidRPr="00FF4D4B">
        <w:rPr>
          <w:rFonts w:cs="Times New Roman"/>
        </w:rPr>
        <w:t>Benckiser</w:t>
      </w:r>
      <w:r w:rsidRPr="00FF4D4B">
        <w:rPr>
          <w:rFonts w:cs="Times New Roman"/>
        </w:rPr>
        <w:t xml:space="preserve"> (JAB)</w:t>
      </w:r>
      <w:r w:rsidR="00C95E8D" w:rsidRPr="00FF4D4B">
        <w:rPr>
          <w:rFonts w:cs="Times New Roman"/>
        </w:rPr>
        <w:t xml:space="preserve">. </w:t>
      </w:r>
    </w:p>
    <w:p w14:paraId="579AC9EE" w14:textId="5A4DA295" w:rsidR="009A51C4" w:rsidRPr="00FF4D4B" w:rsidRDefault="0040377E" w:rsidP="006806F2">
      <w:pPr>
        <w:rPr>
          <w:rFonts w:cs="Times New Roman"/>
        </w:rPr>
      </w:pPr>
      <w:r w:rsidRPr="00FF4D4B">
        <w:rPr>
          <w:rFonts w:cs="Times New Roman"/>
        </w:rPr>
        <w:t xml:space="preserve">In the beginning of March 2012, DEMB announced a general meeting of shareholders where it was proposed to approve Bennink's compensation plan as CEO. This proposed compensation package remarkably did not consist of the </w:t>
      </w:r>
      <w:r w:rsidR="00117D5E" w:rsidRPr="00FF4D4B">
        <w:rPr>
          <w:rFonts w:cs="Times New Roman"/>
        </w:rPr>
        <w:t xml:space="preserve">common </w:t>
      </w:r>
      <w:r w:rsidRPr="00FF4D4B">
        <w:rPr>
          <w:rFonts w:cs="Times New Roman"/>
        </w:rPr>
        <w:t>elements (i.e. base salary, short-term cash incentive, pension plan), but only an €4 million share grant</w:t>
      </w:r>
      <w:r w:rsidR="00117D5E" w:rsidRPr="00FF4D4B">
        <w:rPr>
          <w:rFonts w:cs="Times New Roman"/>
        </w:rPr>
        <w:t xml:space="preserve"> per year</w:t>
      </w:r>
      <w:r w:rsidRPr="00FF4D4B">
        <w:rPr>
          <w:rFonts w:cs="Times New Roman"/>
        </w:rPr>
        <w:t>. Although the EGM was cancelled and this compensation plan was not approved, it is remarkable because Bennink was aware of</w:t>
      </w:r>
      <w:r w:rsidR="00117D5E" w:rsidRPr="00FF4D4B">
        <w:rPr>
          <w:rFonts w:cs="Times New Roman"/>
        </w:rPr>
        <w:t xml:space="preserve"> </w:t>
      </w:r>
      <w:r w:rsidRPr="00FF4D4B">
        <w:rPr>
          <w:rFonts w:cs="Times New Roman"/>
        </w:rPr>
        <w:t>JAB</w:t>
      </w:r>
      <w:r w:rsidR="00117D5E" w:rsidRPr="00FF4D4B">
        <w:rPr>
          <w:rFonts w:cs="Times New Roman"/>
        </w:rPr>
        <w:t xml:space="preserve">s </w:t>
      </w:r>
      <w:r w:rsidRPr="00FF4D4B">
        <w:rPr>
          <w:rFonts w:cs="Times New Roman"/>
        </w:rPr>
        <w:t>interest in acquiring all outstanding DEMB shares. Despite this package's not being approved, it should</w:t>
      </w:r>
      <w:r w:rsidR="00117D5E" w:rsidRPr="00FF4D4B">
        <w:rPr>
          <w:rFonts w:cs="Times New Roman"/>
        </w:rPr>
        <w:t xml:space="preserve"> be noted</w:t>
      </w:r>
      <w:r w:rsidRPr="00FF4D4B">
        <w:rPr>
          <w:rFonts w:cs="Times New Roman"/>
        </w:rPr>
        <w:t xml:space="preserve"> Bennink received a compensation package for Bennink of €10.4 million, of which €4.7 million results from share units that were previously </w:t>
      </w:r>
      <w:r w:rsidRPr="00FF4D4B">
        <w:rPr>
          <w:rFonts w:cs="Times New Roman"/>
        </w:rPr>
        <w:lastRenderedPageBreak/>
        <w:t>granted and €5.7 million as a cash compensation. It is rather suspicious that Bennink would want to receive a compensation plan without the usual elements and</w:t>
      </w:r>
      <w:r w:rsidR="00D74492" w:rsidRPr="00FF4D4B">
        <w:rPr>
          <w:rFonts w:cs="Times New Roman"/>
        </w:rPr>
        <w:t>, especially because JAB is Bennink’s old employer.</w:t>
      </w:r>
      <w:r w:rsidR="00D74492" w:rsidRPr="00FF4D4B">
        <w:rPr>
          <w:rStyle w:val="Voetnootmarkering"/>
          <w:rFonts w:cs="Times New Roman"/>
        </w:rPr>
        <w:footnoteReference w:id="20"/>
      </w:r>
      <w:r w:rsidR="00D74492" w:rsidRPr="00FF4D4B">
        <w:rPr>
          <w:rFonts w:cs="Times New Roman"/>
        </w:rPr>
        <w:t xml:space="preserve"> </w:t>
      </w:r>
      <w:r w:rsidRPr="00FF4D4B">
        <w:rPr>
          <w:rFonts w:cs="Times New Roman"/>
        </w:rPr>
        <w:t>This could indicate prior knowledge of the takeover intentions and therefore anticipating the takeover by choosing to go for an annualized share</w:t>
      </w:r>
      <w:r w:rsidR="009C3BDD" w:rsidRPr="00FF4D4B">
        <w:rPr>
          <w:rFonts w:cs="Times New Roman"/>
        </w:rPr>
        <w:t xml:space="preserve"> grant, thereby indicating personal gain.</w:t>
      </w:r>
    </w:p>
    <w:p w14:paraId="09E66771" w14:textId="77E5601C" w:rsidR="006806F2" w:rsidRPr="00FF4D4B" w:rsidRDefault="0043269B" w:rsidP="00093FA0">
      <w:pPr>
        <w:pStyle w:val="Kop3"/>
      </w:pPr>
      <w:bookmarkStart w:id="43" w:name="_Toc301441865"/>
      <w:r w:rsidRPr="00FF4D4B">
        <w:t xml:space="preserve">4.5.2 </w:t>
      </w:r>
      <w:r w:rsidRPr="00FF4D4B">
        <w:tab/>
      </w:r>
      <w:r w:rsidR="00DA38BE" w:rsidRPr="00FF4D4B">
        <w:t>Sales proces</w:t>
      </w:r>
      <w:r w:rsidR="009A51C4" w:rsidRPr="00FF4D4B">
        <w:t>s</w:t>
      </w:r>
      <w:bookmarkEnd w:id="43"/>
    </w:p>
    <w:p w14:paraId="671B09DA" w14:textId="23E1AC1C" w:rsidR="006806F2" w:rsidRPr="00FF4D4B" w:rsidRDefault="00E51FBF" w:rsidP="006806F2">
      <w:pPr>
        <w:rPr>
          <w:rFonts w:cs="Times New Roman"/>
        </w:rPr>
      </w:pPr>
      <w:r w:rsidRPr="00FF4D4B">
        <w:rPr>
          <w:rFonts w:cs="Times New Roman"/>
        </w:rPr>
        <w:t xml:space="preserve">JAB </w:t>
      </w:r>
      <w:r w:rsidR="006806F2" w:rsidRPr="00FF4D4B">
        <w:rPr>
          <w:rFonts w:cs="Times New Roman"/>
        </w:rPr>
        <w:t>propose</w:t>
      </w:r>
      <w:r w:rsidR="009A51C4" w:rsidRPr="00FF4D4B">
        <w:rPr>
          <w:rFonts w:cs="Times New Roman"/>
        </w:rPr>
        <w:t>d</w:t>
      </w:r>
      <w:r w:rsidR="006806F2" w:rsidRPr="00FF4D4B">
        <w:rPr>
          <w:rFonts w:cs="Times New Roman"/>
        </w:rPr>
        <w:t xml:space="preserve"> to pay a consideration of </w:t>
      </w:r>
      <w:r w:rsidR="009A51C4" w:rsidRPr="00FF4D4B">
        <w:rPr>
          <w:rFonts w:cs="Times New Roman"/>
        </w:rPr>
        <w:t>€</w:t>
      </w:r>
      <w:r w:rsidR="006806F2" w:rsidRPr="00FF4D4B">
        <w:rPr>
          <w:rFonts w:cs="Times New Roman"/>
        </w:rPr>
        <w:t xml:space="preserve">12.50 per share in cash. The acquisition </w:t>
      </w:r>
      <w:r w:rsidR="009A51C4" w:rsidRPr="00FF4D4B">
        <w:rPr>
          <w:rFonts w:cs="Times New Roman"/>
        </w:rPr>
        <w:t>was</w:t>
      </w:r>
      <w:r w:rsidR="006806F2" w:rsidRPr="00FF4D4B">
        <w:rPr>
          <w:rFonts w:cs="Times New Roman"/>
        </w:rPr>
        <w:t xml:space="preserve"> financed through </w:t>
      </w:r>
      <w:r w:rsidR="009A51C4" w:rsidRPr="00FF4D4B">
        <w:rPr>
          <w:rFonts w:cs="Times New Roman"/>
        </w:rPr>
        <w:t>€</w:t>
      </w:r>
      <w:r w:rsidR="006806F2" w:rsidRPr="00FF4D4B">
        <w:rPr>
          <w:rFonts w:cs="Times New Roman"/>
        </w:rPr>
        <w:t xml:space="preserve">3 billion in fully committed debt and </w:t>
      </w:r>
      <w:r w:rsidR="009A51C4" w:rsidRPr="00FF4D4B">
        <w:rPr>
          <w:rFonts w:cs="Times New Roman"/>
        </w:rPr>
        <w:t>€</w:t>
      </w:r>
      <w:r w:rsidR="006806F2" w:rsidRPr="00FF4D4B">
        <w:rPr>
          <w:rFonts w:cs="Times New Roman"/>
        </w:rPr>
        <w:t>4.9 billion in equity</w:t>
      </w:r>
      <w:r w:rsidR="009910F9" w:rsidRPr="00FF4D4B">
        <w:rPr>
          <w:rFonts w:cs="Times New Roman"/>
        </w:rPr>
        <w:t>.</w:t>
      </w:r>
    </w:p>
    <w:p w14:paraId="18C01AE3" w14:textId="35A50F27" w:rsidR="006806F2" w:rsidRPr="00FF4D4B" w:rsidRDefault="0043269B" w:rsidP="00093FA0">
      <w:pPr>
        <w:pStyle w:val="Kop3"/>
      </w:pPr>
      <w:bookmarkStart w:id="44" w:name="_Toc301441866"/>
      <w:r w:rsidRPr="00FF4D4B">
        <w:t xml:space="preserve">4.5.3 </w:t>
      </w:r>
      <w:r w:rsidRPr="00FF4D4B">
        <w:tab/>
      </w:r>
      <w:r w:rsidR="00DA38BE" w:rsidRPr="00FF4D4B">
        <w:t>Outcome</w:t>
      </w:r>
      <w:bookmarkEnd w:id="44"/>
    </w:p>
    <w:p w14:paraId="1AAAAF6A" w14:textId="23947030" w:rsidR="00E65C8D" w:rsidRPr="00FF4D4B" w:rsidRDefault="009A51C4" w:rsidP="00546396">
      <w:pPr>
        <w:rPr>
          <w:rFonts w:cs="Times New Roman"/>
        </w:rPr>
      </w:pPr>
      <w:r w:rsidRPr="00FF4D4B">
        <w:rPr>
          <w:rFonts w:cs="Times New Roman"/>
        </w:rPr>
        <w:t>At the time of the takeover Bennink</w:t>
      </w:r>
      <w:r w:rsidR="00546396" w:rsidRPr="00FF4D4B">
        <w:rPr>
          <w:rFonts w:cs="Times New Roman"/>
        </w:rPr>
        <w:t xml:space="preserve"> owned a total of 619,376 shares of DEMB. These shares were acquired upon completion of the spin-off from Sara Lee Corporation from conversion of the Sara Lee shares</w:t>
      </w:r>
      <w:r w:rsidR="00444A99" w:rsidRPr="00FF4D4B">
        <w:rPr>
          <w:rFonts w:cs="Times New Roman"/>
        </w:rPr>
        <w:t>, from the conversion of the Sara Lee incentive award plan, and by own purchase</w:t>
      </w:r>
      <w:r w:rsidR="00546396" w:rsidRPr="00FF4D4B">
        <w:rPr>
          <w:rFonts w:cs="Times New Roman"/>
        </w:rPr>
        <w:t>.</w:t>
      </w:r>
      <w:r w:rsidR="00E65C8D" w:rsidRPr="00FF4D4B">
        <w:rPr>
          <w:rFonts w:cs="Times New Roman"/>
        </w:rPr>
        <w:t xml:space="preserve"> As the purchase price was €12,50, these shares were worth €7,742,000. </w:t>
      </w:r>
      <w:r w:rsidR="00197A1E" w:rsidRPr="00FF4D4B">
        <w:rPr>
          <w:rStyle w:val="Voetnootmarkering"/>
          <w:rFonts w:cs="Times New Roman"/>
        </w:rPr>
        <w:footnoteReference w:id="21"/>
      </w:r>
    </w:p>
    <w:p w14:paraId="342D71B4" w14:textId="5CC605EC" w:rsidR="00DA38BE" w:rsidRPr="00FF4D4B" w:rsidRDefault="00E65C8D" w:rsidP="00DA38BE">
      <w:pPr>
        <w:rPr>
          <w:rFonts w:cs="Times New Roman"/>
        </w:rPr>
      </w:pPr>
      <w:r w:rsidRPr="00FF4D4B">
        <w:rPr>
          <w:rFonts w:cs="Times New Roman"/>
        </w:rPr>
        <w:t xml:space="preserve">Moreover, as part of severance payment Bennink received Performance Stock Units (PSUs) and a cash payment. A total of 377,650 PSUs with a value of €4,720,625 and </w:t>
      </w:r>
      <w:r w:rsidRPr="00FF4D4B">
        <w:rPr>
          <w:rFonts w:cs="Times New Roman"/>
        </w:rPr>
        <w:lastRenderedPageBreak/>
        <w:t>a cash payment of €5,697,350. Totaling in €10,417,975 as part of the severance agreement with JAB.</w:t>
      </w:r>
      <w:r w:rsidR="00DE59D5" w:rsidRPr="00FF4D4B">
        <w:rPr>
          <w:rFonts w:cs="Times New Roman"/>
        </w:rPr>
        <w:t xml:space="preserve"> A</w:t>
      </w:r>
      <w:r w:rsidRPr="00FF4D4B">
        <w:rPr>
          <w:rFonts w:cs="Times New Roman"/>
        </w:rPr>
        <w:t xml:space="preserve"> total</w:t>
      </w:r>
      <w:r w:rsidR="00DE59D5" w:rsidRPr="00FF4D4B">
        <w:rPr>
          <w:rFonts w:cs="Times New Roman"/>
        </w:rPr>
        <w:t xml:space="preserve"> of</w:t>
      </w:r>
      <w:r w:rsidRPr="00FF4D4B">
        <w:rPr>
          <w:rFonts w:cs="Times New Roman"/>
        </w:rPr>
        <w:t xml:space="preserve"> </w:t>
      </w:r>
      <w:r w:rsidR="00DE59D5" w:rsidRPr="00FF4D4B">
        <w:rPr>
          <w:rFonts w:cs="Times New Roman"/>
        </w:rPr>
        <w:t>€18,160,175 for the takeover.</w:t>
      </w:r>
      <w:r w:rsidR="00C37621" w:rsidRPr="00FF4D4B">
        <w:rPr>
          <w:rStyle w:val="Voetnootmarkering"/>
          <w:rFonts w:cs="Times New Roman"/>
        </w:rPr>
        <w:footnoteReference w:id="22"/>
      </w:r>
    </w:p>
    <w:p w14:paraId="33143EF6" w14:textId="1843241C" w:rsidR="00DA38BE" w:rsidRPr="00FF4D4B" w:rsidRDefault="0043269B" w:rsidP="00093FA0">
      <w:pPr>
        <w:pStyle w:val="Kop3"/>
      </w:pPr>
      <w:bookmarkStart w:id="45" w:name="_Toc301441867"/>
      <w:r w:rsidRPr="00FF4D4B">
        <w:t xml:space="preserve">4.5.4 </w:t>
      </w:r>
      <w:r w:rsidRPr="00FF4D4B">
        <w:tab/>
      </w:r>
      <w:r w:rsidR="00DA38BE" w:rsidRPr="00FF4D4B">
        <w:t>Hypothetical outcome</w:t>
      </w:r>
      <w:bookmarkEnd w:id="45"/>
    </w:p>
    <w:p w14:paraId="2AC042AD" w14:textId="1AF54765" w:rsidR="00DA38BE" w:rsidRPr="00FF4D4B" w:rsidRDefault="00DE59D5" w:rsidP="00DA38BE">
      <w:pPr>
        <w:rPr>
          <w:rFonts w:cs="Times New Roman"/>
        </w:rPr>
      </w:pPr>
      <w:r w:rsidRPr="00FF4D4B">
        <w:rPr>
          <w:rFonts w:cs="Times New Roman"/>
        </w:rPr>
        <w:t xml:space="preserve">Bennink </w:t>
      </w:r>
      <w:r w:rsidR="004034B1" w:rsidRPr="00FF4D4B">
        <w:rPr>
          <w:rFonts w:cs="Times New Roman"/>
        </w:rPr>
        <w:t>owned</w:t>
      </w:r>
      <w:r w:rsidRPr="00FF4D4B">
        <w:rPr>
          <w:rFonts w:cs="Times New Roman"/>
        </w:rPr>
        <w:t xml:space="preserve"> a total of 9</w:t>
      </w:r>
      <w:r w:rsidR="004034B1" w:rsidRPr="00FF4D4B">
        <w:rPr>
          <w:rFonts w:cs="Times New Roman"/>
        </w:rPr>
        <w:t>97,026 of shares and PSUs at the moment the takeover was final.</w:t>
      </w:r>
    </w:p>
    <w:p w14:paraId="238E08D3" w14:textId="7AE7C533" w:rsidR="004034B1" w:rsidRPr="00FF4D4B" w:rsidRDefault="004034B1" w:rsidP="00DA38BE">
      <w:pPr>
        <w:rPr>
          <w:rFonts w:cs="Times New Roman"/>
        </w:rPr>
      </w:pPr>
      <w:r w:rsidRPr="00FF4D4B">
        <w:rPr>
          <w:rFonts w:cs="Times New Roman"/>
        </w:rPr>
        <w:t xml:space="preserve">The </w:t>
      </w:r>
      <w:r w:rsidR="00BE3969" w:rsidRPr="00FF4D4B">
        <w:rPr>
          <w:rFonts w:cs="Times New Roman"/>
        </w:rPr>
        <w:t>conditional</w:t>
      </w:r>
      <w:r w:rsidRPr="00FF4D4B">
        <w:rPr>
          <w:rFonts w:cs="Times New Roman"/>
        </w:rPr>
        <w:t xml:space="preserve"> announcement of</w:t>
      </w:r>
      <w:r w:rsidR="00BE3969" w:rsidRPr="00FF4D4B">
        <w:rPr>
          <w:rFonts w:cs="Times New Roman"/>
        </w:rPr>
        <w:t xml:space="preserve"> agreement between the two parties was made on April 12</w:t>
      </w:r>
      <w:r w:rsidRPr="00FF4D4B">
        <w:rPr>
          <w:rFonts w:cs="Times New Roman"/>
        </w:rPr>
        <w:t>, 2013. The share price four we</w:t>
      </w:r>
      <w:r w:rsidR="00BE3969" w:rsidRPr="00FF4D4B">
        <w:rPr>
          <w:rFonts w:cs="Times New Roman"/>
        </w:rPr>
        <w:t>eks prior to that date was €9.75</w:t>
      </w:r>
      <w:r w:rsidR="003B4A89" w:rsidRPr="00FF4D4B">
        <w:rPr>
          <w:rFonts w:cs="Times New Roman"/>
        </w:rPr>
        <w:t xml:space="preserve"> (appendix VI)</w:t>
      </w:r>
      <w:r w:rsidRPr="00FF4D4B">
        <w:rPr>
          <w:rFonts w:cs="Times New Roman"/>
        </w:rPr>
        <w:t>.</w:t>
      </w:r>
    </w:p>
    <w:p w14:paraId="451C05D5" w14:textId="0A1B6267" w:rsidR="007B4917" w:rsidRPr="00FF4D4B" w:rsidRDefault="00BE3969" w:rsidP="007B4917">
      <w:pPr>
        <w:rPr>
          <w:rFonts w:cs="Times New Roman"/>
        </w:rPr>
      </w:pPr>
      <w:r w:rsidRPr="00FF4D4B">
        <w:rPr>
          <w:rFonts w:cs="Times New Roman"/>
        </w:rPr>
        <w:t>On September 18, 2013, the offer was made unconditional after Oak Leaf announced that all conditions been met or waived. Oak Leaf had tendered 456,812,887 s</w:t>
      </w:r>
      <w:r w:rsidR="009A51C4" w:rsidRPr="00FF4D4B">
        <w:rPr>
          <w:rFonts w:cs="Times New Roman"/>
        </w:rPr>
        <w:t>hares, representing a 76.79 per</w:t>
      </w:r>
      <w:r w:rsidRPr="00FF4D4B">
        <w:rPr>
          <w:rFonts w:cs="Times New Roman"/>
        </w:rPr>
        <w:t>cent stake of DEMB's share capital</w:t>
      </w:r>
      <w:r w:rsidR="007B4917" w:rsidRPr="00FF4D4B">
        <w:rPr>
          <w:rFonts w:cs="Times New Roman"/>
        </w:rPr>
        <w:t>, the share price four weeks later was €12.45.</w:t>
      </w:r>
    </w:p>
    <w:p w14:paraId="059D75F0" w14:textId="2421FD2C" w:rsidR="007B4917" w:rsidRPr="00FF4D4B" w:rsidRDefault="007B4917" w:rsidP="007B4917">
      <w:pPr>
        <w:rPr>
          <w:rFonts w:cs="Times New Roman"/>
        </w:rPr>
      </w:pPr>
      <w:r w:rsidRPr="00FF4D4B">
        <w:rPr>
          <w:rFonts w:cs="Times New Roman"/>
        </w:rPr>
        <w:t xml:space="preserve">Bennink and other executive members resigned per the settlement date, which was on September 23, 2013. The share price at the time was </w:t>
      </w:r>
      <w:r w:rsidR="00197A1E" w:rsidRPr="00FF4D4B">
        <w:rPr>
          <w:rFonts w:cs="Times New Roman"/>
        </w:rPr>
        <w:t>€12.49.</w:t>
      </w:r>
    </w:p>
    <w:p w14:paraId="6498750D" w14:textId="3844B360" w:rsidR="00DE59D5" w:rsidRPr="00FF4D4B" w:rsidRDefault="00197A1E" w:rsidP="00DA38BE">
      <w:pPr>
        <w:rPr>
          <w:rFonts w:cs="Times New Roman"/>
        </w:rPr>
      </w:pPr>
      <w:r w:rsidRPr="00FF4D4B">
        <w:rPr>
          <w:rFonts w:cs="Times New Roman"/>
        </w:rPr>
        <w:t>The increase in reference period 1 is therefore €2.70, the increase in reference period 2 is €2.74. That makes the share price under the Provision €9.</w:t>
      </w:r>
      <w:r w:rsidR="008D61E0" w:rsidRPr="00FF4D4B">
        <w:rPr>
          <w:rFonts w:cs="Times New Roman"/>
        </w:rPr>
        <w:t>80</w:t>
      </w:r>
      <w:r w:rsidRPr="00FF4D4B">
        <w:rPr>
          <w:rFonts w:cs="Times New Roman"/>
        </w:rPr>
        <w:t>. This would mean that the 997,026 shares and PSUs Bennink owned w</w:t>
      </w:r>
      <w:r w:rsidR="00EB37B4" w:rsidRPr="00FF4D4B">
        <w:rPr>
          <w:rFonts w:cs="Times New Roman"/>
        </w:rPr>
        <w:t xml:space="preserve">ould now be worth </w:t>
      </w:r>
      <w:r w:rsidR="00EB37B4" w:rsidRPr="00FF4D4B">
        <w:rPr>
          <w:rFonts w:cs="Times New Roman"/>
        </w:rPr>
        <w:lastRenderedPageBreak/>
        <w:t>€9,7</w:t>
      </w:r>
      <w:r w:rsidR="008D61E0" w:rsidRPr="00FF4D4B">
        <w:rPr>
          <w:rFonts w:cs="Times New Roman"/>
        </w:rPr>
        <w:t>70</w:t>
      </w:r>
      <w:r w:rsidR="00EB37B4" w:rsidRPr="00FF4D4B">
        <w:rPr>
          <w:rFonts w:cs="Times New Roman"/>
        </w:rPr>
        <w:t>,8</w:t>
      </w:r>
      <w:r w:rsidR="008D61E0" w:rsidRPr="00FF4D4B">
        <w:rPr>
          <w:rFonts w:cs="Times New Roman"/>
        </w:rPr>
        <w:t>5</w:t>
      </w:r>
      <w:r w:rsidR="00EB37B4" w:rsidRPr="00FF4D4B">
        <w:rPr>
          <w:rFonts w:cs="Times New Roman"/>
        </w:rPr>
        <w:t>4.</w:t>
      </w:r>
      <w:r w:rsidR="008D61E0" w:rsidRPr="00FF4D4B">
        <w:rPr>
          <w:rFonts w:cs="Times New Roman"/>
        </w:rPr>
        <w:t>80</w:t>
      </w:r>
      <w:r w:rsidR="00EB37B4" w:rsidRPr="00FF4D4B">
        <w:rPr>
          <w:rFonts w:cs="Times New Roman"/>
        </w:rPr>
        <w:t>. In total, Bennink would receive €15,4</w:t>
      </w:r>
      <w:r w:rsidR="008D61E0" w:rsidRPr="00FF4D4B">
        <w:rPr>
          <w:rFonts w:cs="Times New Roman"/>
        </w:rPr>
        <w:t>6</w:t>
      </w:r>
      <w:r w:rsidR="00EB37B4" w:rsidRPr="00FF4D4B">
        <w:rPr>
          <w:rFonts w:cs="Times New Roman"/>
        </w:rPr>
        <w:t>8,2</w:t>
      </w:r>
      <w:r w:rsidR="008D61E0" w:rsidRPr="00FF4D4B">
        <w:rPr>
          <w:rFonts w:cs="Times New Roman"/>
        </w:rPr>
        <w:t>04</w:t>
      </w:r>
      <w:r w:rsidR="00EB37B4" w:rsidRPr="00FF4D4B">
        <w:rPr>
          <w:rFonts w:cs="Times New Roman"/>
        </w:rPr>
        <w:t>.</w:t>
      </w:r>
      <w:r w:rsidR="008D61E0" w:rsidRPr="00FF4D4B">
        <w:rPr>
          <w:rFonts w:cs="Times New Roman"/>
        </w:rPr>
        <w:t>80</w:t>
      </w:r>
      <w:r w:rsidR="00EB37B4" w:rsidRPr="00FF4D4B">
        <w:rPr>
          <w:rFonts w:cs="Times New Roman"/>
        </w:rPr>
        <w:t>, approximately €3 million less than the original case.</w:t>
      </w:r>
    </w:p>
    <w:p w14:paraId="23306E4B" w14:textId="5FA5CF1B" w:rsidR="00577F3E" w:rsidRPr="00FF4D4B" w:rsidRDefault="00577F3E" w:rsidP="00577F3E">
      <w:pPr>
        <w:rPr>
          <w:rFonts w:cs="Times New Roman"/>
        </w:rPr>
      </w:pPr>
      <w:r w:rsidRPr="00FF4D4B">
        <w:rPr>
          <w:rFonts w:cs="Times New Roman"/>
        </w:rPr>
        <w:t>The application of the provision would have no real effect on the shareholders. The government however, would receive approximately €1.56 million less in taxes.</w:t>
      </w:r>
    </w:p>
    <w:p w14:paraId="069B8C5E" w14:textId="77777777" w:rsidR="009C3BDD" w:rsidRPr="00FF4D4B" w:rsidRDefault="009C3BDD" w:rsidP="00C95E8D">
      <w:pPr>
        <w:rPr>
          <w:rFonts w:cs="Times New Roman"/>
        </w:rPr>
      </w:pPr>
    </w:p>
    <w:p w14:paraId="20B9C836" w14:textId="70CB10BA" w:rsidR="009C3BDD" w:rsidRDefault="0043269B" w:rsidP="00DE39DA">
      <w:pPr>
        <w:pStyle w:val="Kop2"/>
      </w:pPr>
      <w:bookmarkStart w:id="46" w:name="_Toc301441868"/>
      <w:r w:rsidRPr="00FF4D4B">
        <w:t xml:space="preserve">4.6 </w:t>
      </w:r>
      <w:r w:rsidRPr="00FF4D4B">
        <w:tab/>
      </w:r>
      <w:r w:rsidR="004D5F0D">
        <w:t>Results of interview</w:t>
      </w:r>
      <w:bookmarkEnd w:id="46"/>
    </w:p>
    <w:p w14:paraId="25C77B1F" w14:textId="3E362125" w:rsidR="004D5F0D" w:rsidRDefault="005C77EF" w:rsidP="004D5F0D">
      <w:pPr>
        <w:rPr>
          <w:rFonts w:cs="Times New Roman"/>
        </w:rPr>
      </w:pPr>
      <w:r>
        <w:rPr>
          <w:rFonts w:cs="Times New Roman"/>
        </w:rPr>
        <w:t>The interview was held in order to find how the conclusions of the research could be implemented so that ISS</w:t>
      </w:r>
      <w:r w:rsidR="008502DD">
        <w:rPr>
          <w:rFonts w:cs="Times New Roman"/>
        </w:rPr>
        <w:t xml:space="preserve"> and its</w:t>
      </w:r>
      <w:r>
        <w:rPr>
          <w:rFonts w:cs="Times New Roman"/>
        </w:rPr>
        <w:t xml:space="preserve"> customers can benefit from the results. The interview was held with Rob</w:t>
      </w:r>
      <w:r w:rsidR="008764EC">
        <w:rPr>
          <w:rFonts w:cs="Times New Roman"/>
        </w:rPr>
        <w:t>bert Gerrit</w:t>
      </w:r>
      <w:r w:rsidR="008502DD">
        <w:rPr>
          <w:rFonts w:cs="Times New Roman"/>
        </w:rPr>
        <w:t>sen, head research analyst</w:t>
      </w:r>
      <w:r>
        <w:rPr>
          <w:rFonts w:cs="Times New Roman"/>
        </w:rPr>
        <w:t xml:space="preserve"> for the Benelux market at ISS. The complete interview can be found in appendix VIII.</w:t>
      </w:r>
    </w:p>
    <w:p w14:paraId="0F210FD4" w14:textId="77777777" w:rsidR="00FE2B8C" w:rsidRDefault="005C77EF" w:rsidP="004D5F0D">
      <w:pPr>
        <w:rPr>
          <w:rFonts w:cs="Times New Roman"/>
        </w:rPr>
      </w:pPr>
      <w:r>
        <w:rPr>
          <w:rFonts w:cs="Times New Roman"/>
        </w:rPr>
        <w:t>In order to add the results of this research to ISS policy, the policy update needs to go through the policy development cycle. The policy development cycle contains of different stages of development in which the policy update is tested, discussed and evaluated</w:t>
      </w:r>
      <w:r w:rsidR="00FE2B8C">
        <w:rPr>
          <w:rFonts w:cs="Times New Roman"/>
        </w:rPr>
        <w:t xml:space="preserve">. </w:t>
      </w:r>
    </w:p>
    <w:p w14:paraId="27BCDE7A" w14:textId="2823F7D5" w:rsidR="0019472B" w:rsidRDefault="00FE2B8C" w:rsidP="004D5F0D">
      <w:pPr>
        <w:rPr>
          <w:rFonts w:cs="Times New Roman"/>
        </w:rPr>
      </w:pPr>
      <w:r>
        <w:rPr>
          <w:rFonts w:cs="Times New Roman"/>
        </w:rPr>
        <w:t xml:space="preserve">The policy update is send to the customers by a policy survey to get the opinion of the customers on the topic. This is the moment that customers can give feedback on either the policy update and the current policy. The </w:t>
      </w:r>
      <w:r w:rsidR="008502DD">
        <w:rPr>
          <w:rFonts w:cs="Times New Roman"/>
        </w:rPr>
        <w:t>customer’s</w:t>
      </w:r>
      <w:r>
        <w:rPr>
          <w:rFonts w:cs="Times New Roman"/>
        </w:rPr>
        <w:t xml:space="preserve"> response is taken into account and, when necessary, policy update is </w:t>
      </w:r>
      <w:r w:rsidR="008502DD">
        <w:rPr>
          <w:rFonts w:cs="Times New Roman"/>
        </w:rPr>
        <w:t>amended</w:t>
      </w:r>
      <w:r>
        <w:rPr>
          <w:rFonts w:cs="Times New Roman"/>
        </w:rPr>
        <w:t xml:space="preserve">. The policy update is then discussed in a European subcommittee. Senior analysts of ISS have annual </w:t>
      </w:r>
      <w:r>
        <w:rPr>
          <w:rFonts w:cs="Times New Roman"/>
        </w:rPr>
        <w:lastRenderedPageBreak/>
        <w:t>meetings to discuss the current policy, policy updates and other relevant issues. In these committees the policy is assessment by a scenario and impact analysis. If the European subcommittee approves of the policy update it is assessed by the European Committee and later by the World</w:t>
      </w:r>
      <w:r w:rsidR="008502DD">
        <w:rPr>
          <w:rFonts w:cs="Times New Roman"/>
        </w:rPr>
        <w:t xml:space="preserve"> Wide Policy Steering Committee.</w:t>
      </w:r>
      <w:r w:rsidR="0019472B">
        <w:rPr>
          <w:rFonts w:cs="Times New Roman"/>
        </w:rPr>
        <w:t xml:space="preserve"> </w:t>
      </w:r>
      <w:r w:rsidR="008502DD">
        <w:rPr>
          <w:rFonts w:cs="Times New Roman"/>
        </w:rPr>
        <w:t xml:space="preserve">When approved by all the committees, the policy update is communicated to the customers by the pre-proxy season news update. </w:t>
      </w:r>
      <w:r w:rsidR="0019472B">
        <w:rPr>
          <w:rFonts w:cs="Times New Roman"/>
        </w:rPr>
        <w:t>The policy update is then a part of the ISS policy that will be used to analyze the following proxy season.</w:t>
      </w:r>
    </w:p>
    <w:p w14:paraId="6ED01FF0" w14:textId="77777777" w:rsidR="0019472B" w:rsidRPr="00F37563" w:rsidRDefault="0019472B" w:rsidP="004D5F0D">
      <w:pPr>
        <w:rPr>
          <w:rFonts w:cs="Times New Roman"/>
        </w:rPr>
      </w:pPr>
    </w:p>
    <w:p w14:paraId="65863157" w14:textId="77777777" w:rsidR="00C95E8D" w:rsidRPr="00FF4D4B" w:rsidRDefault="00C95E8D" w:rsidP="00C95E8D">
      <w:pPr>
        <w:rPr>
          <w:rFonts w:cs="Times New Roman"/>
        </w:rPr>
      </w:pPr>
    </w:p>
    <w:p w14:paraId="681FBAA2" w14:textId="17C58F04" w:rsidR="00AB079C" w:rsidRPr="00FF4D4B" w:rsidRDefault="00AB079C" w:rsidP="00097E16">
      <w:pPr>
        <w:pStyle w:val="Kop1"/>
        <w:numPr>
          <w:ilvl w:val="0"/>
          <w:numId w:val="24"/>
        </w:numPr>
        <w:rPr>
          <w:rFonts w:cs="Times New Roman"/>
        </w:rPr>
      </w:pPr>
      <w:r w:rsidRPr="00FF4D4B">
        <w:rPr>
          <w:rFonts w:cs="Times New Roman"/>
        </w:rPr>
        <w:br w:type="column"/>
      </w:r>
      <w:bookmarkStart w:id="47" w:name="_Toc301441869"/>
      <w:r w:rsidRPr="00FF4D4B">
        <w:rPr>
          <w:rFonts w:cs="Times New Roman"/>
        </w:rPr>
        <w:lastRenderedPageBreak/>
        <w:t>Discussion</w:t>
      </w:r>
      <w:bookmarkEnd w:id="47"/>
    </w:p>
    <w:p w14:paraId="0A52503A" w14:textId="0ADB1441" w:rsidR="00156E8C" w:rsidRPr="00FF4D4B" w:rsidRDefault="00F8541B" w:rsidP="00C23B4E">
      <w:pPr>
        <w:rPr>
          <w:rFonts w:cs="Times New Roman"/>
        </w:rPr>
      </w:pPr>
      <w:r w:rsidRPr="00FF4D4B">
        <w:rPr>
          <w:rFonts w:cs="Times New Roman"/>
        </w:rPr>
        <w:t xml:space="preserve">The five case studies give an indication of the implications </w:t>
      </w:r>
      <w:r w:rsidR="00CB35B7" w:rsidRPr="00FF4D4B">
        <w:rPr>
          <w:rFonts w:cs="Times New Roman"/>
        </w:rPr>
        <w:t xml:space="preserve">of </w:t>
      </w:r>
      <w:r w:rsidRPr="00FF4D4B">
        <w:rPr>
          <w:rFonts w:cs="Times New Roman"/>
        </w:rPr>
        <w:t>the Provision on shareholders, the companies, and its CEOs.</w:t>
      </w:r>
      <w:r w:rsidR="000C4DB2">
        <w:rPr>
          <w:rFonts w:cs="Times New Roman"/>
        </w:rPr>
        <w:t xml:space="preserve"> </w:t>
      </w:r>
      <w:r w:rsidR="00411FA9" w:rsidRPr="00FF4D4B">
        <w:rPr>
          <w:rFonts w:cs="Times New Roman"/>
        </w:rPr>
        <w:t xml:space="preserve">While the intentions of the Provision is to limit personal gain in order to protect the shareholders, </w:t>
      </w:r>
      <w:r w:rsidR="008217A9">
        <w:rPr>
          <w:rFonts w:cs="Times New Roman"/>
        </w:rPr>
        <w:t>the case studies highlight other consequences of the Provision</w:t>
      </w:r>
      <w:r w:rsidR="00411FA9" w:rsidRPr="00FF4D4B">
        <w:rPr>
          <w:rFonts w:cs="Times New Roman"/>
        </w:rPr>
        <w:t xml:space="preserve">. </w:t>
      </w:r>
    </w:p>
    <w:p w14:paraId="47127602" w14:textId="100231AA" w:rsidR="00E40433" w:rsidRPr="00FF4D4B" w:rsidRDefault="00E40433" w:rsidP="00E40433">
      <w:pPr>
        <w:pStyle w:val="Kop2"/>
      </w:pPr>
      <w:bookmarkStart w:id="48" w:name="_Toc301441870"/>
      <w:r w:rsidRPr="00FF4D4B">
        <w:t xml:space="preserve">5.1 </w:t>
      </w:r>
      <w:r w:rsidR="00A04156" w:rsidRPr="00FF4D4B">
        <w:t>Outcome</w:t>
      </w:r>
      <w:r w:rsidRPr="00FF4D4B">
        <w:t xml:space="preserve"> of findings</w:t>
      </w:r>
      <w:bookmarkEnd w:id="48"/>
    </w:p>
    <w:p w14:paraId="1EDAEC81" w14:textId="29450AFE" w:rsidR="00E40433" w:rsidRPr="00FF4D4B" w:rsidRDefault="00E40433" w:rsidP="00093FA0">
      <w:pPr>
        <w:pStyle w:val="Kop3"/>
      </w:pPr>
      <w:bookmarkStart w:id="49" w:name="_Toc301441871"/>
      <w:r w:rsidRPr="00FF4D4B">
        <w:t xml:space="preserve">5.1.1 </w:t>
      </w:r>
      <w:r w:rsidRPr="00FF4D4B">
        <w:tab/>
        <w:t>Decreased incentive to increase premium</w:t>
      </w:r>
      <w:bookmarkEnd w:id="49"/>
    </w:p>
    <w:p w14:paraId="5AEE834E" w14:textId="7A02BFA6" w:rsidR="00E40433" w:rsidRPr="00FF4D4B" w:rsidRDefault="00CF3D33" w:rsidP="00C23B4E">
      <w:pPr>
        <w:rPr>
          <w:rFonts w:cs="Times New Roman"/>
        </w:rPr>
      </w:pPr>
      <w:r w:rsidRPr="00FF4D4B">
        <w:rPr>
          <w:rFonts w:cs="Times New Roman"/>
        </w:rPr>
        <w:t>In the case of Draka Holding NV,</w:t>
      </w:r>
      <w:r w:rsidR="003D2215" w:rsidRPr="00FF4D4B">
        <w:rPr>
          <w:rFonts w:cs="Times New Roman"/>
        </w:rPr>
        <w:t xml:space="preserve"> we have seen that the CEO would receive the exact same amount of severance in both cases.</w:t>
      </w:r>
      <w:r w:rsidR="001507C9" w:rsidRPr="00FF4D4B">
        <w:rPr>
          <w:rFonts w:cs="Times New Roman"/>
        </w:rPr>
        <w:t xml:space="preserve"> This captures an interesting problem with the Provision: there is no </w:t>
      </w:r>
      <w:r w:rsidR="008217A9">
        <w:rPr>
          <w:rFonts w:cs="Times New Roman"/>
        </w:rPr>
        <w:t xml:space="preserve">(monetary) </w:t>
      </w:r>
      <w:r w:rsidR="001507C9" w:rsidRPr="00FF4D4B">
        <w:rPr>
          <w:rFonts w:cs="Times New Roman"/>
        </w:rPr>
        <w:t>incentive for the CEO to increase share price</w:t>
      </w:r>
      <w:r w:rsidR="008217A9">
        <w:rPr>
          <w:rFonts w:cs="Times New Roman"/>
        </w:rPr>
        <w:t xml:space="preserve"> in the case of change-in-control</w:t>
      </w:r>
      <w:r w:rsidR="001507C9" w:rsidRPr="00FF4D4B">
        <w:rPr>
          <w:rFonts w:cs="Times New Roman"/>
        </w:rPr>
        <w:t>.</w:t>
      </w:r>
      <w:r w:rsidR="003D2215" w:rsidRPr="00FF4D4B">
        <w:rPr>
          <w:rFonts w:cs="Times New Roman"/>
        </w:rPr>
        <w:t xml:space="preserve"> </w:t>
      </w:r>
      <w:r w:rsidR="00B85C4F" w:rsidRPr="00FF4D4B">
        <w:rPr>
          <w:rFonts w:cs="Times New Roman"/>
        </w:rPr>
        <w:t xml:space="preserve">At </w:t>
      </w:r>
      <w:r w:rsidRPr="00FF4D4B">
        <w:rPr>
          <w:rFonts w:cs="Times New Roman"/>
        </w:rPr>
        <w:t xml:space="preserve">Drake Holdings NV, the share price dropped due to the negotiations with two different parties. Due to the decrease in share price the value of the reference period turned into a decrease. Ultimately, </w:t>
      </w:r>
      <w:r w:rsidR="001507C9" w:rsidRPr="00FF4D4B">
        <w:rPr>
          <w:rFonts w:cs="Times New Roman"/>
        </w:rPr>
        <w:t>this led to the fact that there was no deduction in share value for the CEO.</w:t>
      </w:r>
      <w:r w:rsidRPr="00FF4D4B">
        <w:rPr>
          <w:rFonts w:cs="Times New Roman"/>
        </w:rPr>
        <w:t xml:space="preserve"> This is completely contrary</w:t>
      </w:r>
      <w:r w:rsidR="001507C9" w:rsidRPr="00FF4D4B">
        <w:rPr>
          <w:rFonts w:cs="Times New Roman"/>
        </w:rPr>
        <w:t xml:space="preserve"> to the </w:t>
      </w:r>
      <w:r w:rsidR="00F37563">
        <w:rPr>
          <w:rFonts w:cs="Times New Roman"/>
        </w:rPr>
        <w:t>agency</w:t>
      </w:r>
      <w:r w:rsidR="001507C9" w:rsidRPr="00FF4D4B">
        <w:rPr>
          <w:rFonts w:cs="Times New Roman"/>
        </w:rPr>
        <w:t xml:space="preserve"> theory</w:t>
      </w:r>
      <w:r w:rsidRPr="00FF4D4B">
        <w:rPr>
          <w:rFonts w:cs="Times New Roman"/>
        </w:rPr>
        <w:t xml:space="preserve"> since</w:t>
      </w:r>
      <w:r w:rsidR="001507C9" w:rsidRPr="00FF4D4B">
        <w:rPr>
          <w:rFonts w:cs="Times New Roman"/>
        </w:rPr>
        <w:t>, in this case,</w:t>
      </w:r>
      <w:r w:rsidRPr="00FF4D4B">
        <w:rPr>
          <w:rFonts w:cs="Times New Roman"/>
        </w:rPr>
        <w:t xml:space="preserve"> </w:t>
      </w:r>
      <w:r w:rsidR="001507C9" w:rsidRPr="00FF4D4B">
        <w:rPr>
          <w:rFonts w:cs="Times New Roman"/>
        </w:rPr>
        <w:t>the Provision</w:t>
      </w:r>
      <w:r w:rsidRPr="00FF4D4B">
        <w:rPr>
          <w:rFonts w:cs="Times New Roman"/>
        </w:rPr>
        <w:t xml:space="preserve"> promotes a disruption of the principal agent connection in which the agent is rewarded for following the interests of the principal. </w:t>
      </w:r>
      <w:r w:rsidR="001507C9" w:rsidRPr="00FF4D4B">
        <w:rPr>
          <w:rFonts w:cs="Times New Roman"/>
        </w:rPr>
        <w:t xml:space="preserve">Thus, the CEO is not incentivized to increase the share price. </w:t>
      </w:r>
    </w:p>
    <w:p w14:paraId="44E09F56" w14:textId="02D98C38" w:rsidR="00E40433" w:rsidRPr="00FF4D4B" w:rsidRDefault="00E40433" w:rsidP="00093FA0">
      <w:pPr>
        <w:pStyle w:val="Kop3"/>
      </w:pPr>
      <w:bookmarkStart w:id="50" w:name="_Toc301441872"/>
      <w:r w:rsidRPr="00FF4D4B">
        <w:lastRenderedPageBreak/>
        <w:t xml:space="preserve">5.1.2 </w:t>
      </w:r>
      <w:r w:rsidRPr="00FF4D4B">
        <w:tab/>
        <w:t>Disruption of agency theory</w:t>
      </w:r>
      <w:bookmarkEnd w:id="50"/>
    </w:p>
    <w:p w14:paraId="1441D2FB" w14:textId="34398B2D" w:rsidR="006E669A" w:rsidRPr="00FF4D4B" w:rsidRDefault="007E6AF9" w:rsidP="00C23B4E">
      <w:pPr>
        <w:rPr>
          <w:rFonts w:cs="Times New Roman"/>
        </w:rPr>
      </w:pPr>
      <w:r>
        <w:rPr>
          <w:rFonts w:cs="Times New Roman"/>
        </w:rPr>
        <w:t>While there</w:t>
      </w:r>
      <w:r w:rsidR="006621B5">
        <w:rPr>
          <w:rFonts w:cs="Times New Roman"/>
        </w:rPr>
        <w:t xml:space="preserve"> are several leading theories in corporate governance</w:t>
      </w:r>
      <w:r>
        <w:rPr>
          <w:rFonts w:cs="Times New Roman"/>
        </w:rPr>
        <w:t>, the</w:t>
      </w:r>
      <w:r w:rsidRPr="00FF4D4B">
        <w:rPr>
          <w:rFonts w:cs="Times New Roman"/>
        </w:rPr>
        <w:t xml:space="preserve"> Provision assumes the agen</w:t>
      </w:r>
      <w:r>
        <w:rPr>
          <w:rFonts w:cs="Times New Roman"/>
        </w:rPr>
        <w:t>cy</w:t>
      </w:r>
      <w:r w:rsidRPr="00FF4D4B">
        <w:rPr>
          <w:rFonts w:cs="Times New Roman"/>
        </w:rPr>
        <w:t xml:space="preserve"> theory; it assumes agency problems arise due to the opportunistic self-interest of CEOs</w:t>
      </w:r>
      <w:r w:rsidR="006621B5" w:rsidRPr="00FF4D4B">
        <w:rPr>
          <w:rFonts w:cs="Times New Roman"/>
        </w:rPr>
        <w:t xml:space="preserve">. The effects of the Provision are mainly focused on the severance itself and thus affect the CEO and the shareholder. </w:t>
      </w:r>
      <w:r w:rsidR="006621B5">
        <w:rPr>
          <w:rFonts w:cs="Times New Roman"/>
        </w:rPr>
        <w:t xml:space="preserve">However, in decreasing the personal gain, the Provision </w:t>
      </w:r>
      <w:r w:rsidR="00141307">
        <w:rPr>
          <w:rFonts w:cs="Times New Roman"/>
        </w:rPr>
        <w:t xml:space="preserve">disrupts the </w:t>
      </w:r>
      <w:r>
        <w:rPr>
          <w:rFonts w:cs="Times New Roman"/>
        </w:rPr>
        <w:t>principal and agent relation of the agency</w:t>
      </w:r>
      <w:r w:rsidR="00141307">
        <w:rPr>
          <w:rFonts w:cs="Times New Roman"/>
        </w:rPr>
        <w:t xml:space="preserve"> theory. This is illustrated in</w:t>
      </w:r>
      <w:r w:rsidR="00041815" w:rsidRPr="00FF4D4B">
        <w:rPr>
          <w:rFonts w:cs="Times New Roman"/>
        </w:rPr>
        <w:t xml:space="preserve"> the case of Crucell. </w:t>
      </w:r>
      <w:r w:rsidR="00076637" w:rsidRPr="00FF4D4B">
        <w:rPr>
          <w:rFonts w:cs="Times New Roman"/>
        </w:rPr>
        <w:t>The initial value of the CEO</w:t>
      </w:r>
      <w:r>
        <w:rPr>
          <w:rFonts w:cs="Times New Roman"/>
        </w:rPr>
        <w:t>’</w:t>
      </w:r>
      <w:r w:rsidR="00076637" w:rsidRPr="00FF4D4B">
        <w:rPr>
          <w:rFonts w:cs="Times New Roman"/>
        </w:rPr>
        <w:t xml:space="preserve">s options </w:t>
      </w:r>
      <w:r w:rsidR="00D21A90" w:rsidRPr="00FF4D4B">
        <w:rPr>
          <w:rFonts w:cs="Times New Roman"/>
        </w:rPr>
        <w:t>was €9,738</w:t>
      </w:r>
      <w:r>
        <w:rPr>
          <w:rFonts w:cs="Times New Roman"/>
        </w:rPr>
        <w:t xml:space="preserve">,402.63, the value of his shares </w:t>
      </w:r>
      <w:r w:rsidR="005979B2" w:rsidRPr="00FF4D4B">
        <w:rPr>
          <w:rFonts w:cs="Times New Roman"/>
        </w:rPr>
        <w:t xml:space="preserve">was €5,920,249.50, a total value of €15,658,652.13. This value is reduced to €8,199,257.59 under the provision. </w:t>
      </w:r>
      <w:r w:rsidR="006E669A" w:rsidRPr="00FF4D4B">
        <w:rPr>
          <w:rFonts w:cs="Times New Roman"/>
        </w:rPr>
        <w:t xml:space="preserve">This decrease in value discourages a CEO to </w:t>
      </w:r>
      <w:r>
        <w:rPr>
          <w:rFonts w:cs="Times New Roman"/>
        </w:rPr>
        <w:t>compy</w:t>
      </w:r>
      <w:r w:rsidR="001507C9" w:rsidRPr="00FF4D4B">
        <w:rPr>
          <w:rFonts w:cs="Times New Roman"/>
        </w:rPr>
        <w:t xml:space="preserve"> with</w:t>
      </w:r>
      <w:r w:rsidR="006E669A" w:rsidRPr="00FF4D4B">
        <w:rPr>
          <w:rFonts w:cs="Times New Roman"/>
        </w:rPr>
        <w:t xml:space="preserve"> a takeover. As was stated in the literature review, when a firm is acquired, managers of the target firm are able to lose their position or suffer sizable losses in compensation as a result of a tender offer</w:t>
      </w:r>
      <w:r w:rsidR="00D11D45" w:rsidRPr="00FF4D4B">
        <w:rPr>
          <w:rFonts w:cs="Times New Roman"/>
        </w:rPr>
        <w:t xml:space="preserve">. Thus, management of the target firm will frequently try to prevent the takeover or the CEO will bargain with the bidding firm to keep their job </w:t>
      </w:r>
      <w:r w:rsidR="006E669A" w:rsidRPr="00FF4D4B">
        <w:rPr>
          <w:rFonts w:cs="Times New Roman"/>
        </w:rPr>
        <w:t xml:space="preserve">(Jensen, 1988). In order to prevent this, shareholders of the targeted firm implement compensation schemes to provide proper managerial incentives, which often includes the accelerated vesting of restricted stock and stock options (Elkinawy </w:t>
      </w:r>
      <w:r w:rsidR="0004758B" w:rsidRPr="00FF4D4B">
        <w:rPr>
          <w:rFonts w:cs="Times New Roman"/>
        </w:rPr>
        <w:t>et al.</w:t>
      </w:r>
      <w:r w:rsidR="006E669A" w:rsidRPr="00FF4D4B">
        <w:rPr>
          <w:rFonts w:cs="Times New Roman"/>
        </w:rPr>
        <w:t xml:space="preserve">, 2013). However, the provision limits to target shareholders to pursue such an incentive plan, hereby </w:t>
      </w:r>
      <w:r w:rsidR="00D11D45" w:rsidRPr="00FF4D4B">
        <w:rPr>
          <w:rFonts w:cs="Times New Roman"/>
        </w:rPr>
        <w:t xml:space="preserve">limiting the options for shareholders to align the interests of the CEO with those </w:t>
      </w:r>
      <w:r w:rsidR="001507C9" w:rsidRPr="00FF4D4B">
        <w:rPr>
          <w:rFonts w:cs="Times New Roman"/>
        </w:rPr>
        <w:t xml:space="preserve">of </w:t>
      </w:r>
      <w:r w:rsidR="00D11D45" w:rsidRPr="00FF4D4B">
        <w:rPr>
          <w:rFonts w:cs="Times New Roman"/>
        </w:rPr>
        <w:t xml:space="preserve">the shareholders, and therefore damaging shareholder value for target companies. </w:t>
      </w:r>
      <w:r w:rsidR="00347777" w:rsidRPr="00FF4D4B">
        <w:rPr>
          <w:rFonts w:cs="Times New Roman"/>
        </w:rPr>
        <w:t>The P</w:t>
      </w:r>
      <w:r w:rsidR="00041815" w:rsidRPr="00FF4D4B">
        <w:rPr>
          <w:rFonts w:cs="Times New Roman"/>
        </w:rPr>
        <w:t>rovision therefore creates a discouragement for CEO</w:t>
      </w:r>
      <w:r w:rsidR="004B5CE3" w:rsidRPr="00FF4D4B">
        <w:rPr>
          <w:rFonts w:cs="Times New Roman"/>
        </w:rPr>
        <w:t>’s</w:t>
      </w:r>
      <w:r w:rsidR="00041815" w:rsidRPr="00FF4D4B">
        <w:rPr>
          <w:rFonts w:cs="Times New Roman"/>
        </w:rPr>
        <w:t xml:space="preserve"> to sell their companies. </w:t>
      </w:r>
      <w:r w:rsidR="00041815" w:rsidRPr="00FF4D4B">
        <w:rPr>
          <w:rFonts w:cs="Times New Roman"/>
        </w:rPr>
        <w:lastRenderedPageBreak/>
        <w:t xml:space="preserve">As target shareholders generally profit from an acquisition (Elkinawy </w:t>
      </w:r>
      <w:r w:rsidR="0004758B" w:rsidRPr="00FF4D4B">
        <w:rPr>
          <w:rFonts w:cs="Times New Roman"/>
        </w:rPr>
        <w:t>et al.</w:t>
      </w:r>
      <w:r w:rsidR="00041815" w:rsidRPr="00FF4D4B">
        <w:rPr>
          <w:rFonts w:cs="Times New Roman"/>
        </w:rPr>
        <w:t>, 2013)</w:t>
      </w:r>
      <w:r w:rsidR="00300BD2" w:rsidRPr="00FF4D4B">
        <w:rPr>
          <w:rFonts w:cs="Times New Roman"/>
        </w:rPr>
        <w:t>, this could decrease shareholder value.</w:t>
      </w:r>
    </w:p>
    <w:p w14:paraId="4FCA3C37" w14:textId="1E37BD21" w:rsidR="00E40433" w:rsidRPr="00FF4D4B" w:rsidRDefault="00E40433" w:rsidP="00093FA0">
      <w:pPr>
        <w:pStyle w:val="Kop3"/>
      </w:pPr>
      <w:bookmarkStart w:id="51" w:name="_Toc301441873"/>
      <w:r w:rsidRPr="00FF4D4B">
        <w:t xml:space="preserve">5.1.3 </w:t>
      </w:r>
      <w:r w:rsidRPr="00FF4D4B">
        <w:tab/>
        <w:t>Limited to shares and options</w:t>
      </w:r>
      <w:bookmarkEnd w:id="51"/>
    </w:p>
    <w:p w14:paraId="25FCA1A0" w14:textId="3E664EB0" w:rsidR="00594E59" w:rsidRPr="00FF4D4B" w:rsidRDefault="00594E59" w:rsidP="00C23B4E">
      <w:pPr>
        <w:rPr>
          <w:rFonts w:cs="Times New Roman"/>
        </w:rPr>
      </w:pPr>
      <w:r w:rsidRPr="00FF4D4B">
        <w:rPr>
          <w:rFonts w:cs="Times New Roman"/>
        </w:rPr>
        <w:t>Another flaw of the Provision is that it is limited to shares and options. Th</w:t>
      </w:r>
      <w:r w:rsidR="007A3445" w:rsidRPr="00FF4D4B">
        <w:rPr>
          <w:rFonts w:cs="Times New Roman"/>
        </w:rPr>
        <w:t>e Provision</w:t>
      </w:r>
      <w:r w:rsidRPr="00FF4D4B">
        <w:rPr>
          <w:rFonts w:cs="Times New Roman"/>
        </w:rPr>
        <w:t xml:space="preserve"> could</w:t>
      </w:r>
      <w:r w:rsidR="007A3445" w:rsidRPr="00FF4D4B">
        <w:rPr>
          <w:rFonts w:cs="Times New Roman"/>
        </w:rPr>
        <w:t xml:space="preserve"> therefore</w:t>
      </w:r>
      <w:r w:rsidRPr="00FF4D4B">
        <w:rPr>
          <w:rFonts w:cs="Times New Roman"/>
        </w:rPr>
        <w:t xml:space="preserve"> easily be </w:t>
      </w:r>
      <w:r w:rsidR="007A3445" w:rsidRPr="00FF4D4B">
        <w:rPr>
          <w:rFonts w:cs="Times New Roman"/>
        </w:rPr>
        <w:t xml:space="preserve">diverted </w:t>
      </w:r>
      <w:r w:rsidRPr="00FF4D4B">
        <w:rPr>
          <w:rFonts w:cs="Times New Roman"/>
        </w:rPr>
        <w:t xml:space="preserve">by awarding the CEO with cash incentive awards instead of shares or options. </w:t>
      </w:r>
      <w:r w:rsidR="007F3145" w:rsidRPr="00FF4D4B">
        <w:rPr>
          <w:rFonts w:cs="Times New Roman"/>
        </w:rPr>
        <w:t>This can be seen</w:t>
      </w:r>
      <w:r w:rsidR="00041815" w:rsidRPr="00FF4D4B">
        <w:rPr>
          <w:rFonts w:cs="Times New Roman"/>
        </w:rPr>
        <w:t xml:space="preserve"> in the case of DEMB. </w:t>
      </w:r>
      <w:r w:rsidR="007F3145" w:rsidRPr="00FF4D4B">
        <w:rPr>
          <w:rFonts w:cs="Times New Roman"/>
        </w:rPr>
        <w:t xml:space="preserve">Bennink received an excessive sum of cash as part of the takeover deal. As approximately 25 percent of the severance was paid in cash and the premium of the offer was 30 percent, the effect of the provision in this case is only a €3 million difference compared to the original situation. The decrease in value could easily be diverted by awarding the CEO with cash instead of shares or options. </w:t>
      </w:r>
      <w:r w:rsidR="00041815" w:rsidRPr="00FF4D4B">
        <w:rPr>
          <w:rFonts w:cs="Times New Roman"/>
        </w:rPr>
        <w:t>By awarding the severance in cash, the Provision ha</w:t>
      </w:r>
      <w:r w:rsidR="007A3445" w:rsidRPr="00FF4D4B">
        <w:rPr>
          <w:rFonts w:cs="Times New Roman"/>
        </w:rPr>
        <w:t>d</w:t>
      </w:r>
      <w:r w:rsidR="00041815" w:rsidRPr="00FF4D4B">
        <w:rPr>
          <w:rFonts w:cs="Times New Roman"/>
        </w:rPr>
        <w:t xml:space="preserve"> a smaller effect. Moreover, the severance would not be tied to equity-based incentives, therefore decreasing the principal-agent relation and possibly harm shareholder value.</w:t>
      </w:r>
    </w:p>
    <w:p w14:paraId="4BBC3C4E" w14:textId="7517FCF5" w:rsidR="00E40433" w:rsidRPr="00FF4D4B" w:rsidRDefault="00E40433" w:rsidP="00093FA0">
      <w:pPr>
        <w:pStyle w:val="Kop3"/>
      </w:pPr>
      <w:bookmarkStart w:id="52" w:name="_Toc301441874"/>
      <w:r w:rsidRPr="00FF4D4B">
        <w:t xml:space="preserve">5.1.4 </w:t>
      </w:r>
      <w:r w:rsidRPr="00FF4D4B">
        <w:tab/>
        <w:t>Severance approved by shareholders</w:t>
      </w:r>
      <w:bookmarkEnd w:id="52"/>
    </w:p>
    <w:p w14:paraId="5520E318" w14:textId="4601CBDF" w:rsidR="001F6B9F" w:rsidRPr="00FF4D4B" w:rsidRDefault="001F6B9F" w:rsidP="00C23B4E">
      <w:pPr>
        <w:rPr>
          <w:rFonts w:cs="Times New Roman"/>
        </w:rPr>
      </w:pPr>
      <w:r w:rsidRPr="00FF4D4B">
        <w:rPr>
          <w:rFonts w:cs="Times New Roman"/>
        </w:rPr>
        <w:t>The severance that a CEO receive</w:t>
      </w:r>
      <w:r w:rsidR="007E6AF9">
        <w:rPr>
          <w:rFonts w:cs="Times New Roman"/>
        </w:rPr>
        <w:t>s</w:t>
      </w:r>
      <w:r w:rsidRPr="00FF4D4B">
        <w:rPr>
          <w:rFonts w:cs="Times New Roman"/>
        </w:rPr>
        <w:t xml:space="preserve"> is predetermined. The remuneration policy for a CEO is created by the supervisory board of a company and approved by the shareholders of the company. This remuneration policy includes the severance agreements for the CEO and is often times in line with the Dutch Corporate Governance Code. This means that the shareholders ultimately approve the remuneration and the </w:t>
      </w:r>
      <w:r w:rsidRPr="00FF4D4B">
        <w:rPr>
          <w:rFonts w:cs="Times New Roman"/>
        </w:rPr>
        <w:lastRenderedPageBreak/>
        <w:t>severance that the CEO will receive in the case of a takeover. It could be questioned whether the Provision should intervene in this process. The gain deducted from the directors share value will return to the company and shareholders. However, if the company and the shareholders already decided on the remuneration and severance it is not reasonable to subtract a part of the gain from this amount. Moreover, since the value deduction is laid upon by the government, shareholders could even decide to correct the deducted value to pre-provision standards in order to retain the positive effects of vesting on share premium, as was shown in the literature review.</w:t>
      </w:r>
    </w:p>
    <w:p w14:paraId="14DEF5B4" w14:textId="4884C94A" w:rsidR="00093FA0" w:rsidRPr="00FF4D4B" w:rsidRDefault="00093FA0" w:rsidP="00093FA0">
      <w:pPr>
        <w:pStyle w:val="Kop3"/>
      </w:pPr>
      <w:bookmarkStart w:id="53" w:name="_Toc301441875"/>
      <w:r w:rsidRPr="00FF4D4B">
        <w:t xml:space="preserve">5.1.5 </w:t>
      </w:r>
      <w:r w:rsidRPr="00FF4D4B">
        <w:tab/>
        <w:t>Decreased fairness and ability to attract talent</w:t>
      </w:r>
      <w:bookmarkEnd w:id="53"/>
    </w:p>
    <w:p w14:paraId="6A07F399" w14:textId="2E0A5ECE" w:rsidR="001F6B9F" w:rsidRPr="00FF4D4B" w:rsidRDefault="001F6B9F" w:rsidP="00C23B4E">
      <w:pPr>
        <w:rPr>
          <w:rFonts w:cs="Times New Roman"/>
        </w:rPr>
      </w:pPr>
      <w:r w:rsidRPr="00FF4D4B">
        <w:rPr>
          <w:rFonts w:cs="Times New Roman"/>
        </w:rPr>
        <w:t xml:space="preserve">Remuneration policies and targets within these policies are often based on so-called peer groups. These peer groups consist of companies that are similar in size and are often in the same industry. For example, a company like ABN </w:t>
      </w:r>
      <w:r w:rsidR="007A3445" w:rsidRPr="00FF4D4B">
        <w:rPr>
          <w:rFonts w:cs="Times New Roman"/>
        </w:rPr>
        <w:t xml:space="preserve">AMRO </w:t>
      </w:r>
      <w:r w:rsidRPr="00FF4D4B">
        <w:rPr>
          <w:rFonts w:cs="Times New Roman"/>
        </w:rPr>
        <w:t>had a peer group of medium-large banks in Europe</w:t>
      </w:r>
      <w:r w:rsidR="007E6AF9">
        <w:rPr>
          <w:rFonts w:cs="Times New Roman"/>
        </w:rPr>
        <w:t>.</w:t>
      </w:r>
      <w:r w:rsidR="007A3445" w:rsidRPr="00FF4D4B">
        <w:rPr>
          <w:rStyle w:val="Voetnootmarkering"/>
          <w:rFonts w:cs="Times New Roman"/>
        </w:rPr>
        <w:footnoteReference w:id="23"/>
      </w:r>
      <w:r w:rsidRPr="00FF4D4B">
        <w:rPr>
          <w:rFonts w:cs="Times New Roman"/>
        </w:rPr>
        <w:t xml:space="preserve"> Remuneration committees use these peer groups in order to establish a certain level of fairness (equal level of payment) to the executives, but even more important, in order to attract talent. If Dutch companies have a less attractive remuneration policy compared to other countries, it will be harder for Dutch companies to attract talent. By implementing this Provision, the Dutch government hereby </w:t>
      </w:r>
      <w:r w:rsidR="007E6AF9">
        <w:rPr>
          <w:rFonts w:cs="Times New Roman"/>
        </w:rPr>
        <w:t>restricts</w:t>
      </w:r>
      <w:r w:rsidR="007A3445" w:rsidRPr="00FF4D4B">
        <w:rPr>
          <w:rFonts w:cs="Times New Roman"/>
        </w:rPr>
        <w:t xml:space="preserve"> </w:t>
      </w:r>
      <w:r w:rsidRPr="00FF4D4B">
        <w:rPr>
          <w:rFonts w:cs="Times New Roman"/>
        </w:rPr>
        <w:t>Dutch companies in its ability to attract talent.</w:t>
      </w:r>
    </w:p>
    <w:p w14:paraId="4E191C48" w14:textId="170E39D0" w:rsidR="001F6B9F" w:rsidRPr="00FF4D4B" w:rsidRDefault="007E6AF9" w:rsidP="00C23B4E">
      <w:pPr>
        <w:rPr>
          <w:rFonts w:cs="Times New Roman"/>
        </w:rPr>
      </w:pPr>
      <w:r>
        <w:rPr>
          <w:rFonts w:cs="Times New Roman"/>
        </w:rPr>
        <w:lastRenderedPageBreak/>
        <w:t>Moreover, s</w:t>
      </w:r>
      <w:r w:rsidR="001F6B9F" w:rsidRPr="00FF4D4B">
        <w:rPr>
          <w:rFonts w:cs="Times New Roman"/>
        </w:rPr>
        <w:t>ince the Provision only applies to Dutch companies this would decrease the overall value of the Dutch public companies on which the rules of the Provision apply, relative to public companies in foreign companies.</w:t>
      </w:r>
    </w:p>
    <w:p w14:paraId="292AFFFD" w14:textId="7CFD5B06" w:rsidR="00093FA0" w:rsidRPr="00FF4D4B" w:rsidRDefault="00093FA0" w:rsidP="00093FA0">
      <w:pPr>
        <w:pStyle w:val="Kop3"/>
      </w:pPr>
      <w:bookmarkStart w:id="54" w:name="_Toc301441876"/>
      <w:r w:rsidRPr="00FF4D4B">
        <w:t xml:space="preserve">5.1.6 </w:t>
      </w:r>
      <w:r w:rsidRPr="00FF4D4B">
        <w:tab/>
        <w:t>Positive effects</w:t>
      </w:r>
      <w:bookmarkEnd w:id="54"/>
    </w:p>
    <w:p w14:paraId="2F027648" w14:textId="0B28B64E" w:rsidR="00093FA0" w:rsidRPr="00FF4D4B" w:rsidRDefault="00093FA0" w:rsidP="00093FA0">
      <w:pPr>
        <w:rPr>
          <w:rFonts w:cs="Times New Roman"/>
        </w:rPr>
      </w:pPr>
      <w:r w:rsidRPr="00FF4D4B">
        <w:rPr>
          <w:rFonts w:cs="Times New Roman"/>
        </w:rPr>
        <w:t>There are also positive effects to the Provision. The ABN A</w:t>
      </w:r>
      <w:r w:rsidR="007E6AF9">
        <w:rPr>
          <w:rFonts w:cs="Times New Roman"/>
        </w:rPr>
        <w:t>MRO</w:t>
      </w:r>
      <w:r w:rsidRPr="00FF4D4B">
        <w:rPr>
          <w:rFonts w:cs="Times New Roman"/>
        </w:rPr>
        <w:t xml:space="preserve"> case shows that the company received a lot of criticism because of the severance that Rijkman Groenink received upon leaving the company. The Provision would reduce the severance that a director would receive and therefore companies would be less likely to receive public scrutiny. Moreover, the share premium on the equity-based incentives is to be deducted from the salar</w:t>
      </w:r>
      <w:r w:rsidR="007E6AF9">
        <w:rPr>
          <w:rFonts w:cs="Times New Roman"/>
        </w:rPr>
        <w:t>y and given back to the company. However, target shareholders would not profit from this.</w:t>
      </w:r>
    </w:p>
    <w:p w14:paraId="0C8063A7" w14:textId="375EBC7F" w:rsidR="00093FA0" w:rsidRPr="00FF4D4B" w:rsidRDefault="00093FA0" w:rsidP="00093FA0">
      <w:pPr>
        <w:rPr>
          <w:rFonts w:cs="Times New Roman"/>
        </w:rPr>
      </w:pPr>
      <w:r w:rsidRPr="00FF4D4B">
        <w:rPr>
          <w:rFonts w:cs="Times New Roman"/>
        </w:rPr>
        <w:t xml:space="preserve">Moreover, corporate action to pursue hostile takeover defenses generally benefits share price and therefore shareholder value (Pearson </w:t>
      </w:r>
      <w:r w:rsidR="00196178">
        <w:rPr>
          <w:rFonts w:cs="Times New Roman"/>
        </w:rPr>
        <w:t>et al.</w:t>
      </w:r>
      <w:r w:rsidRPr="00FF4D4B">
        <w:rPr>
          <w:rFonts w:cs="Times New Roman"/>
        </w:rPr>
        <w:t>, 2004). This is however limited to hostile takeovers. Furthermore, not all executives are guaranteed to pursue a takeover defense in the case of a hostile takeover.</w:t>
      </w:r>
    </w:p>
    <w:p w14:paraId="2B4E7C25" w14:textId="6055B8F8" w:rsidR="00093FA0" w:rsidRPr="00FF4D4B" w:rsidRDefault="00093FA0" w:rsidP="00093FA0">
      <w:pPr>
        <w:pStyle w:val="Kop3"/>
      </w:pPr>
      <w:bookmarkStart w:id="55" w:name="_Toc301441877"/>
      <w:r w:rsidRPr="00FF4D4B">
        <w:t xml:space="preserve">5.1.7 </w:t>
      </w:r>
      <w:r w:rsidRPr="00FF4D4B">
        <w:tab/>
        <w:t>Sub conclusion</w:t>
      </w:r>
      <w:bookmarkEnd w:id="55"/>
    </w:p>
    <w:p w14:paraId="1F4BF678" w14:textId="3787B9A6" w:rsidR="00093FA0" w:rsidRPr="00FF4D4B" w:rsidRDefault="00093FA0" w:rsidP="00AB079C">
      <w:pPr>
        <w:rPr>
          <w:rFonts w:cs="Times New Roman"/>
        </w:rPr>
      </w:pPr>
      <w:r w:rsidRPr="00FF4D4B">
        <w:rPr>
          <w:rFonts w:cs="Times New Roman"/>
        </w:rPr>
        <w:t xml:space="preserve">It is clear that the disadvantages outweigh the advantages. Therefore ISS should form a negative standpoint of the Provision and convey this to its customers. </w:t>
      </w:r>
    </w:p>
    <w:p w14:paraId="3A8E9D42" w14:textId="6D260E91" w:rsidR="00AB40A2" w:rsidRPr="00FF4D4B" w:rsidRDefault="00AB40A2" w:rsidP="00AB079C">
      <w:pPr>
        <w:rPr>
          <w:rFonts w:cs="Times New Roman"/>
        </w:rPr>
      </w:pPr>
      <w:r w:rsidRPr="00FF4D4B">
        <w:rPr>
          <w:rFonts w:cs="Times New Roman"/>
        </w:rPr>
        <w:lastRenderedPageBreak/>
        <w:t>Personal gain</w:t>
      </w:r>
      <w:r w:rsidR="007A3445" w:rsidRPr="00FF4D4B">
        <w:rPr>
          <w:rFonts w:cs="Times New Roman"/>
        </w:rPr>
        <w:t xml:space="preserve"> for CEOs</w:t>
      </w:r>
      <w:r w:rsidRPr="00FF4D4B">
        <w:rPr>
          <w:rFonts w:cs="Times New Roman"/>
        </w:rPr>
        <w:t xml:space="preserve"> is not necessarily a negative component </w:t>
      </w:r>
      <w:r w:rsidR="00756B6A" w:rsidRPr="00FF4D4B">
        <w:rPr>
          <w:rFonts w:cs="Times New Roman"/>
        </w:rPr>
        <w:t xml:space="preserve">in </w:t>
      </w:r>
      <w:r w:rsidRPr="00FF4D4B">
        <w:rPr>
          <w:rFonts w:cs="Times New Roman"/>
        </w:rPr>
        <w:t>a takeover</w:t>
      </w:r>
      <w:r w:rsidR="007A3445" w:rsidRPr="00FF4D4B">
        <w:rPr>
          <w:rFonts w:cs="Times New Roman"/>
        </w:rPr>
        <w:t xml:space="preserve"> for shareholders</w:t>
      </w:r>
      <w:r w:rsidR="00756B6A" w:rsidRPr="00FF4D4B">
        <w:rPr>
          <w:rFonts w:cs="Times New Roman"/>
        </w:rPr>
        <w:t>,</w:t>
      </w:r>
      <w:r w:rsidR="007A3445" w:rsidRPr="00FF4D4B">
        <w:rPr>
          <w:rFonts w:cs="Times New Roman"/>
        </w:rPr>
        <w:t xml:space="preserve"> as was shown </w:t>
      </w:r>
      <w:r w:rsidR="00756B6A" w:rsidRPr="00FF4D4B">
        <w:rPr>
          <w:rFonts w:cs="Times New Roman"/>
        </w:rPr>
        <w:t>in the literature review. Moreover, i</w:t>
      </w:r>
      <w:r w:rsidRPr="00FF4D4B">
        <w:rPr>
          <w:rFonts w:cs="Times New Roman"/>
        </w:rPr>
        <w:t xml:space="preserve">n the end the shareholders decide whether to approve of the takeover. </w:t>
      </w:r>
      <w:r w:rsidR="00756B6A" w:rsidRPr="00FF4D4B">
        <w:rPr>
          <w:rFonts w:cs="Times New Roman"/>
        </w:rPr>
        <w:t>T</w:t>
      </w:r>
      <w:r w:rsidRPr="00FF4D4B">
        <w:rPr>
          <w:rFonts w:cs="Times New Roman"/>
        </w:rPr>
        <w:t xml:space="preserve">he </w:t>
      </w:r>
      <w:r w:rsidR="00756B6A" w:rsidRPr="00FF4D4B">
        <w:rPr>
          <w:rFonts w:cs="Times New Roman"/>
        </w:rPr>
        <w:t>severance</w:t>
      </w:r>
      <w:r w:rsidRPr="00FF4D4B">
        <w:rPr>
          <w:rFonts w:cs="Times New Roman"/>
        </w:rPr>
        <w:t xml:space="preserve"> the </w:t>
      </w:r>
      <w:r w:rsidR="00756B6A" w:rsidRPr="00FF4D4B">
        <w:rPr>
          <w:rFonts w:cs="Times New Roman"/>
        </w:rPr>
        <w:t>CEO</w:t>
      </w:r>
      <w:r w:rsidRPr="00FF4D4B">
        <w:rPr>
          <w:rFonts w:cs="Times New Roman"/>
        </w:rPr>
        <w:t xml:space="preserve"> is a part of the remuneration policy that </w:t>
      </w:r>
      <w:r w:rsidR="00756B6A" w:rsidRPr="00FF4D4B">
        <w:rPr>
          <w:rFonts w:cs="Times New Roman"/>
        </w:rPr>
        <w:t xml:space="preserve">often </w:t>
      </w:r>
      <w:r w:rsidRPr="00FF4D4B">
        <w:rPr>
          <w:rFonts w:cs="Times New Roman"/>
        </w:rPr>
        <w:t xml:space="preserve">has been in place for several years. Recall that an implication of agency theory is that where CEO duality is retained, shareholder interests could be protected by aligning the interests of the CEO and the shareholders by a suitable incentive scheme for the CEO (Donaldson </w:t>
      </w:r>
      <w:r w:rsidR="0004758B" w:rsidRPr="00FF4D4B">
        <w:rPr>
          <w:rFonts w:cs="Times New Roman"/>
        </w:rPr>
        <w:t>et al.</w:t>
      </w:r>
      <w:r w:rsidRPr="00FF4D4B">
        <w:rPr>
          <w:rFonts w:cs="Times New Roman"/>
        </w:rPr>
        <w:t xml:space="preserve">, 1991). This indicates that the Provision is </w:t>
      </w:r>
      <w:r w:rsidR="00756B6A" w:rsidRPr="00FF4D4B">
        <w:rPr>
          <w:rFonts w:cs="Times New Roman"/>
        </w:rPr>
        <w:t>counteractive</w:t>
      </w:r>
      <w:r w:rsidRPr="00FF4D4B">
        <w:rPr>
          <w:rFonts w:cs="Times New Roman"/>
        </w:rPr>
        <w:t>. On one side it tries to increase shareholder value by eliminating personal gain, on the other side it reduces the alignment of interests that the agency theory establishes through the remuneration policy.</w:t>
      </w:r>
    </w:p>
    <w:p w14:paraId="427966CD" w14:textId="0B6B07BA" w:rsidR="001507C9" w:rsidRPr="00FF4D4B" w:rsidRDefault="001F6B9F" w:rsidP="00AB079C">
      <w:pPr>
        <w:rPr>
          <w:rFonts w:cs="Times New Roman"/>
        </w:rPr>
      </w:pPr>
      <w:r w:rsidRPr="00FF4D4B">
        <w:rPr>
          <w:rFonts w:cs="Times New Roman"/>
        </w:rPr>
        <w:t>To summarize, the provision has a negative effect on the shareholder</w:t>
      </w:r>
      <w:r w:rsidR="00347777" w:rsidRPr="00FF4D4B">
        <w:rPr>
          <w:rFonts w:cs="Times New Roman"/>
        </w:rPr>
        <w:t xml:space="preserve"> value due to the following issues:</w:t>
      </w:r>
    </w:p>
    <w:p w14:paraId="0D289383" w14:textId="1A3362B1" w:rsidR="00347777" w:rsidRPr="00FF4D4B" w:rsidRDefault="00347777" w:rsidP="00347777">
      <w:pPr>
        <w:pStyle w:val="Lijstalinea"/>
        <w:numPr>
          <w:ilvl w:val="0"/>
          <w:numId w:val="26"/>
        </w:numPr>
        <w:rPr>
          <w:rFonts w:cs="Times New Roman"/>
        </w:rPr>
      </w:pPr>
      <w:r w:rsidRPr="00FF4D4B">
        <w:rPr>
          <w:rFonts w:cs="Times New Roman"/>
        </w:rPr>
        <w:t xml:space="preserve">The CEO is not incentivized </w:t>
      </w:r>
      <w:r w:rsidR="007E6AF9">
        <w:rPr>
          <w:rFonts w:cs="Times New Roman"/>
        </w:rPr>
        <w:t>to bargain</w:t>
      </w:r>
      <w:r w:rsidRPr="00FF4D4B">
        <w:rPr>
          <w:rFonts w:cs="Times New Roman"/>
        </w:rPr>
        <w:t xml:space="preserve"> a higher premium in a takeover because the Provision eliminates the personal gain (the premium) for the CEO</w:t>
      </w:r>
      <w:r w:rsidR="00E9145E" w:rsidRPr="00FF4D4B">
        <w:rPr>
          <w:rFonts w:cs="Times New Roman"/>
        </w:rPr>
        <w:t>.</w:t>
      </w:r>
    </w:p>
    <w:p w14:paraId="538AB5BD" w14:textId="670E4408" w:rsidR="00347777" w:rsidRPr="00FF4D4B" w:rsidRDefault="00F7110F" w:rsidP="00347777">
      <w:pPr>
        <w:pStyle w:val="Lijstalinea"/>
        <w:numPr>
          <w:ilvl w:val="0"/>
          <w:numId w:val="26"/>
        </w:numPr>
        <w:rPr>
          <w:rFonts w:cs="Times New Roman"/>
        </w:rPr>
      </w:pPr>
      <w:r w:rsidRPr="00FF4D4B">
        <w:rPr>
          <w:rFonts w:cs="Times New Roman"/>
        </w:rPr>
        <w:t>In most</w:t>
      </w:r>
      <w:r w:rsidR="00347777" w:rsidRPr="00FF4D4B">
        <w:rPr>
          <w:rFonts w:cs="Times New Roman"/>
        </w:rPr>
        <w:t xml:space="preserve"> cases, the Provision discourages CEOs to </w:t>
      </w:r>
      <w:r w:rsidRPr="00FF4D4B">
        <w:rPr>
          <w:rFonts w:cs="Times New Roman"/>
        </w:rPr>
        <w:t xml:space="preserve">sell the company since the severance that the CEO would receive from the takeover is lower than </w:t>
      </w:r>
      <w:r w:rsidR="00E9145E" w:rsidRPr="00FF4D4B">
        <w:rPr>
          <w:rFonts w:cs="Times New Roman"/>
        </w:rPr>
        <w:t>the remuneration to be received.</w:t>
      </w:r>
    </w:p>
    <w:p w14:paraId="688924B5" w14:textId="6F271633" w:rsidR="00F7110F" w:rsidRPr="00FF4D4B" w:rsidRDefault="00F7110F" w:rsidP="00347777">
      <w:pPr>
        <w:pStyle w:val="Lijstalinea"/>
        <w:numPr>
          <w:ilvl w:val="0"/>
          <w:numId w:val="26"/>
        </w:numPr>
        <w:rPr>
          <w:rFonts w:cs="Times New Roman"/>
        </w:rPr>
      </w:pPr>
      <w:r w:rsidRPr="00FF4D4B">
        <w:rPr>
          <w:rFonts w:cs="Times New Roman"/>
        </w:rPr>
        <w:t xml:space="preserve">The Provision is limited to </w:t>
      </w:r>
      <w:r w:rsidR="007E6AF9">
        <w:rPr>
          <w:rFonts w:cs="Times New Roman"/>
        </w:rPr>
        <w:t>share and</w:t>
      </w:r>
      <w:r w:rsidR="00E47F79" w:rsidRPr="00FF4D4B">
        <w:rPr>
          <w:rFonts w:cs="Times New Roman"/>
        </w:rPr>
        <w:t xml:space="preserve"> option</w:t>
      </w:r>
      <w:r w:rsidR="00E9145E" w:rsidRPr="00FF4D4B">
        <w:rPr>
          <w:rFonts w:cs="Times New Roman"/>
        </w:rPr>
        <w:t xml:space="preserve"> incentives</w:t>
      </w:r>
      <w:r w:rsidRPr="00FF4D4B">
        <w:rPr>
          <w:rFonts w:cs="Times New Roman"/>
        </w:rPr>
        <w:t xml:space="preserve"> and could easily be diverted by awarding severance in cash, or other awards tied to share performance.</w:t>
      </w:r>
    </w:p>
    <w:p w14:paraId="3E91964E" w14:textId="14CD82D3" w:rsidR="00F7110F" w:rsidRPr="00FF4D4B" w:rsidRDefault="00F7110F" w:rsidP="00F7110F">
      <w:pPr>
        <w:pStyle w:val="Lijstalinea"/>
        <w:numPr>
          <w:ilvl w:val="0"/>
          <w:numId w:val="26"/>
        </w:numPr>
        <w:rPr>
          <w:rFonts w:eastAsiaTheme="majorEastAsia" w:cs="Times New Roman"/>
          <w:bCs/>
          <w:i/>
          <w:color w:val="4A442A" w:themeColor="background2" w:themeShade="40"/>
        </w:rPr>
      </w:pPr>
      <w:r w:rsidRPr="00FF4D4B">
        <w:rPr>
          <w:rFonts w:cs="Times New Roman"/>
        </w:rPr>
        <w:lastRenderedPageBreak/>
        <w:t xml:space="preserve">The devaluation of </w:t>
      </w:r>
      <w:r w:rsidR="00756B6A" w:rsidRPr="00FF4D4B">
        <w:rPr>
          <w:rFonts w:cs="Times New Roman"/>
        </w:rPr>
        <w:t xml:space="preserve">these </w:t>
      </w:r>
      <w:r w:rsidRPr="00FF4D4B">
        <w:rPr>
          <w:rFonts w:cs="Times New Roman"/>
        </w:rPr>
        <w:t>equity-based incentives disconnects the principal and agent relation</w:t>
      </w:r>
      <w:r w:rsidR="00E9145E" w:rsidRPr="00FF4D4B">
        <w:rPr>
          <w:rFonts w:cs="Times New Roman"/>
        </w:rPr>
        <w:t xml:space="preserve"> by removing the incentive for the CEO to negotiate a higher premium.</w:t>
      </w:r>
    </w:p>
    <w:p w14:paraId="15DC247E" w14:textId="73BEA1FC" w:rsidR="00EB0C3B" w:rsidRPr="00FF4D4B" w:rsidRDefault="00E9145E" w:rsidP="00EB0C3B">
      <w:pPr>
        <w:pStyle w:val="Lijstalinea"/>
        <w:numPr>
          <w:ilvl w:val="0"/>
          <w:numId w:val="26"/>
        </w:numPr>
        <w:rPr>
          <w:rFonts w:cs="Times New Roman"/>
        </w:rPr>
      </w:pPr>
      <w:r w:rsidRPr="00FF4D4B">
        <w:rPr>
          <w:rFonts w:cs="Times New Roman"/>
        </w:rPr>
        <w:t xml:space="preserve">The long-term incentives in remuneration policies are often based on international peer-groups. Devaluating the equity-based incentives </w:t>
      </w:r>
      <w:r w:rsidR="00430307" w:rsidRPr="00FF4D4B">
        <w:rPr>
          <w:rFonts w:cs="Times New Roman"/>
        </w:rPr>
        <w:t>for Dutch companies</w:t>
      </w:r>
      <w:r w:rsidR="00EB0C3B" w:rsidRPr="00FF4D4B">
        <w:rPr>
          <w:rFonts w:cs="Times New Roman"/>
        </w:rPr>
        <w:t xml:space="preserve"> makes it harder to attract talent.</w:t>
      </w:r>
    </w:p>
    <w:p w14:paraId="44D569B9" w14:textId="6CE9D9F0" w:rsidR="00E27FE9" w:rsidRPr="00FF4D4B" w:rsidRDefault="00093FA0" w:rsidP="00E40433">
      <w:pPr>
        <w:pStyle w:val="Kop2"/>
      </w:pPr>
      <w:bookmarkStart w:id="56" w:name="_Toc301441878"/>
      <w:r w:rsidRPr="00FF4D4B">
        <w:t xml:space="preserve">5.2 </w:t>
      </w:r>
      <w:r w:rsidRPr="00FF4D4B">
        <w:tab/>
        <w:t>Practical applications of findings</w:t>
      </w:r>
      <w:bookmarkEnd w:id="56"/>
    </w:p>
    <w:p w14:paraId="6CE17CC0" w14:textId="0A83B99D" w:rsidR="00480760" w:rsidRPr="00FF4D4B" w:rsidRDefault="007B2224" w:rsidP="00480760">
      <w:pPr>
        <w:rPr>
          <w:rFonts w:eastAsiaTheme="majorEastAsia" w:cs="Times New Roman"/>
          <w:bCs/>
        </w:rPr>
      </w:pPr>
      <w:r w:rsidRPr="00FF4D4B">
        <w:rPr>
          <w:rFonts w:cs="Times New Roman"/>
        </w:rPr>
        <w:t>It can be concluded that the overall effect of the Provision on shareholder value is negative. This is mainly the result of the fact that the Provision decreased the principal-agent relation and the effectiveness of incentives</w:t>
      </w:r>
      <w:r w:rsidR="00756B6A" w:rsidRPr="00FF4D4B">
        <w:rPr>
          <w:rFonts w:cs="Times New Roman"/>
        </w:rPr>
        <w:t xml:space="preserve"> (i.e. shares and options)</w:t>
      </w:r>
      <w:r w:rsidRPr="00FF4D4B">
        <w:rPr>
          <w:rFonts w:cs="Times New Roman"/>
        </w:rPr>
        <w:t>. There are however some solutions to the negative effects that can be pursued to restore this.</w:t>
      </w:r>
    </w:p>
    <w:p w14:paraId="4F0728A1" w14:textId="20A0CD7C" w:rsidR="00445B90" w:rsidRPr="007E6AF9" w:rsidRDefault="007E6AF9" w:rsidP="007E6AF9">
      <w:pPr>
        <w:ind w:firstLine="360"/>
        <w:rPr>
          <w:rFonts w:cs="Times New Roman"/>
          <w:i/>
        </w:rPr>
      </w:pPr>
      <w:r>
        <w:rPr>
          <w:rFonts w:cs="Times New Roman"/>
          <w:i/>
        </w:rPr>
        <w:t>1.</w:t>
      </w:r>
      <w:r>
        <w:rPr>
          <w:rFonts w:cs="Times New Roman"/>
          <w:i/>
        </w:rPr>
        <w:tab/>
      </w:r>
      <w:r>
        <w:rPr>
          <w:rFonts w:cs="Times New Roman"/>
          <w:i/>
        </w:rPr>
        <w:tab/>
      </w:r>
      <w:r w:rsidR="00093FA0" w:rsidRPr="007E6AF9">
        <w:rPr>
          <w:rFonts w:cs="Times New Roman"/>
          <w:i/>
        </w:rPr>
        <w:t>Extend the authority of the supervisory board to clawback excessive severance.</w:t>
      </w:r>
    </w:p>
    <w:p w14:paraId="4528E9FA" w14:textId="60AE92E3" w:rsidR="00ED5B64" w:rsidRPr="00FF4D4B" w:rsidRDefault="00ED5B64" w:rsidP="00445B90">
      <w:pPr>
        <w:ind w:left="360"/>
        <w:rPr>
          <w:rFonts w:cs="Times New Roman"/>
          <w:i/>
        </w:rPr>
      </w:pPr>
      <w:r w:rsidRPr="00FF4D4B">
        <w:rPr>
          <w:rFonts w:cs="Times New Roman"/>
        </w:rPr>
        <w:t xml:space="preserve">The problem with excessive severance has its foundations in the remuneration policy and the accelerated vesting of shares. It would be an improvement to promote the supervisory board with the power to clawback the excessive severance. This way early in the compensation process, the determination of the performance targets and the development of the incentive scheme are being taken into account in order to reduce future excessiveness of severance. </w:t>
      </w:r>
    </w:p>
    <w:p w14:paraId="52FA4FE2" w14:textId="6CD2D54B" w:rsidR="00445B90" w:rsidRPr="007E6AF9" w:rsidRDefault="007E6AF9" w:rsidP="007E6AF9">
      <w:pPr>
        <w:ind w:firstLine="360"/>
        <w:rPr>
          <w:rFonts w:cs="Times New Roman"/>
          <w:i/>
        </w:rPr>
      </w:pPr>
      <w:r>
        <w:rPr>
          <w:rFonts w:cs="Times New Roman"/>
          <w:i/>
        </w:rPr>
        <w:lastRenderedPageBreak/>
        <w:t>2.</w:t>
      </w:r>
      <w:r>
        <w:rPr>
          <w:rFonts w:cs="Times New Roman"/>
          <w:i/>
        </w:rPr>
        <w:tab/>
      </w:r>
      <w:r>
        <w:rPr>
          <w:rFonts w:cs="Times New Roman"/>
          <w:i/>
        </w:rPr>
        <w:tab/>
      </w:r>
      <w:r w:rsidR="00093FA0" w:rsidRPr="007E6AF9">
        <w:rPr>
          <w:rFonts w:cs="Times New Roman"/>
          <w:i/>
        </w:rPr>
        <w:t>Award directors with equity-based incentives other than shares and/or options.</w:t>
      </w:r>
    </w:p>
    <w:p w14:paraId="305980A9" w14:textId="67D76253" w:rsidR="002006BF" w:rsidRPr="00FF4D4B" w:rsidRDefault="0041556E" w:rsidP="00445B90">
      <w:pPr>
        <w:ind w:left="360"/>
        <w:rPr>
          <w:rFonts w:cs="Times New Roman"/>
          <w:i/>
        </w:rPr>
      </w:pPr>
      <w:r w:rsidRPr="00FF4D4B">
        <w:rPr>
          <w:rFonts w:cs="Times New Roman"/>
        </w:rPr>
        <w:t xml:space="preserve">Another solution is to award the director with phantom stock, stock appreciation rights (SARs), cash settled options or other kind of certificates that are based on the share value. </w:t>
      </w:r>
      <w:r w:rsidR="000512E4" w:rsidRPr="00FF4D4B">
        <w:rPr>
          <w:rFonts w:cs="Times New Roman"/>
        </w:rPr>
        <w:t xml:space="preserve">The Provision is only limited to </w:t>
      </w:r>
      <w:r w:rsidR="002006BF" w:rsidRPr="00FF4D4B">
        <w:rPr>
          <w:rFonts w:cs="Times New Roman"/>
        </w:rPr>
        <w:t>shares and options, not to other kind of certificates. It is normally preferred to award directors with shares, because in that case the director holds some ownership of the company. Since the Provision limits the effectiveness of incentivizing directors with shares and options, awarding the director with share-based certificates could restore the equity-based incentive scheme and strengthen the principal-agent relation.</w:t>
      </w:r>
    </w:p>
    <w:p w14:paraId="4BF9D32E" w14:textId="5D9FBBA9" w:rsidR="00445B90" w:rsidRPr="007E6AF9" w:rsidRDefault="007E6AF9" w:rsidP="007E6AF9">
      <w:pPr>
        <w:ind w:firstLine="360"/>
        <w:rPr>
          <w:rFonts w:cs="Times New Roman"/>
          <w:i/>
        </w:rPr>
      </w:pPr>
      <w:r>
        <w:rPr>
          <w:rFonts w:cs="Times New Roman"/>
          <w:i/>
        </w:rPr>
        <w:t>3.</w:t>
      </w:r>
      <w:r>
        <w:rPr>
          <w:rFonts w:cs="Times New Roman"/>
          <w:i/>
        </w:rPr>
        <w:tab/>
      </w:r>
      <w:r>
        <w:rPr>
          <w:rFonts w:cs="Times New Roman"/>
          <w:i/>
        </w:rPr>
        <w:tab/>
      </w:r>
      <w:r w:rsidR="00093FA0" w:rsidRPr="007E6AF9">
        <w:rPr>
          <w:rFonts w:cs="Times New Roman"/>
          <w:i/>
        </w:rPr>
        <w:t>Conditional cash awards.</w:t>
      </w:r>
    </w:p>
    <w:p w14:paraId="6F2C5888" w14:textId="4A276433" w:rsidR="005B6899" w:rsidRPr="00FF4D4B" w:rsidRDefault="002006BF" w:rsidP="00445B90">
      <w:pPr>
        <w:ind w:left="360"/>
        <w:rPr>
          <w:rFonts w:cs="Times New Roman"/>
          <w:i/>
        </w:rPr>
      </w:pPr>
      <w:r w:rsidRPr="00FF4D4B">
        <w:rPr>
          <w:rFonts w:cs="Times New Roman"/>
        </w:rPr>
        <w:t xml:space="preserve">Finally, the Provision does not apply to privately held shares held by the director. These are shares bought by the director and not awarded under an incentive plan. It is however possible to </w:t>
      </w:r>
      <w:r w:rsidR="00721494" w:rsidRPr="00FF4D4B">
        <w:rPr>
          <w:rFonts w:cs="Times New Roman"/>
        </w:rPr>
        <w:t>base the incentives of the director on the share price, but to award them in cash, under the condition that the director uses the cash award to buy shares in the company. This way the incentive will still be based on share value and the director is still incentivized to pursue a higher premium for shareholders in the case of a takeover.</w:t>
      </w:r>
    </w:p>
    <w:p w14:paraId="1C14103A" w14:textId="625AB4B6" w:rsidR="005B6899" w:rsidRPr="00FF4D4B" w:rsidRDefault="00093FA0" w:rsidP="005B6899">
      <w:pPr>
        <w:pStyle w:val="Kop2"/>
      </w:pPr>
      <w:bookmarkStart w:id="57" w:name="_Toc301441879"/>
      <w:r w:rsidRPr="00FF4D4B">
        <w:lastRenderedPageBreak/>
        <w:t xml:space="preserve">5.3 </w:t>
      </w:r>
      <w:r w:rsidRPr="00FF4D4B">
        <w:tab/>
      </w:r>
      <w:r w:rsidR="005B6899" w:rsidRPr="00FF4D4B">
        <w:t>Market reaction</w:t>
      </w:r>
      <w:bookmarkEnd w:id="57"/>
    </w:p>
    <w:p w14:paraId="20248F83" w14:textId="588F8EB2" w:rsidR="005B6899" w:rsidRPr="00FF4D4B" w:rsidRDefault="005B6899" w:rsidP="005B6899">
      <w:pPr>
        <w:tabs>
          <w:tab w:val="left" w:pos="1000"/>
        </w:tabs>
        <w:rPr>
          <w:rFonts w:cs="Times New Roman"/>
        </w:rPr>
      </w:pPr>
      <w:r w:rsidRPr="00FF4D4B">
        <w:rPr>
          <w:rFonts w:cs="Times New Roman"/>
        </w:rPr>
        <w:t>The Provision applies to all takeovers since January 2014. In 2014, OCI N.V., BE Semiconductors Industries N.V., and Pharming Group N.V. amended its remuneration policy to include a segment that creates the possibility for directors to receive their vested performance shares and stock options fully in cash in the case of a public offer or takeover, in this way these companies bypass the Provision.</w:t>
      </w:r>
    </w:p>
    <w:p w14:paraId="7FEA76DF" w14:textId="5595D1D3" w:rsidR="002F2C8B" w:rsidRPr="00FF4D4B" w:rsidRDefault="002F2C8B" w:rsidP="005B6899">
      <w:pPr>
        <w:tabs>
          <w:tab w:val="left" w:pos="1000"/>
        </w:tabs>
        <w:rPr>
          <w:rFonts w:cs="Times New Roman"/>
        </w:rPr>
      </w:pPr>
      <w:r w:rsidRPr="00FF4D4B">
        <w:rPr>
          <w:rFonts w:cs="Times New Roman"/>
        </w:rPr>
        <w:t xml:space="preserve">In 2015, Vastned Retail N.V., Telegraaf Media Groep N.V. and Batenburg Techniek N.V. have pursued similar actions. Moreover, upon request of its shareholders, Vastned Retail N.V., Telegraaf Media Groep N.V. and OCI N.V., have declared the Provision to voluntarily apply. </w:t>
      </w:r>
      <w:r w:rsidRPr="00FF4D4B">
        <w:rPr>
          <w:rStyle w:val="Voetnootmarkering"/>
          <w:rFonts w:cs="Times New Roman"/>
        </w:rPr>
        <w:footnoteReference w:id="24"/>
      </w:r>
    </w:p>
    <w:p w14:paraId="0A9325AD" w14:textId="61553CAE" w:rsidR="00152794" w:rsidRPr="00FF4D4B" w:rsidRDefault="00FB2077" w:rsidP="005B6899">
      <w:pPr>
        <w:tabs>
          <w:tab w:val="left" w:pos="1000"/>
        </w:tabs>
        <w:rPr>
          <w:rFonts w:cs="Times New Roman"/>
        </w:rPr>
      </w:pPr>
      <w:r w:rsidRPr="00FF4D4B">
        <w:rPr>
          <w:rFonts w:cs="Times New Roman"/>
        </w:rPr>
        <w:t xml:space="preserve">The Provision has been applied </w:t>
      </w:r>
      <w:r w:rsidR="00152794" w:rsidRPr="00FF4D4B">
        <w:rPr>
          <w:rFonts w:cs="Times New Roman"/>
        </w:rPr>
        <w:t>by</w:t>
      </w:r>
      <w:r w:rsidRPr="00FF4D4B">
        <w:rPr>
          <w:rFonts w:cs="Times New Roman"/>
        </w:rPr>
        <w:t xml:space="preserve"> Nutreco N.V. and</w:t>
      </w:r>
      <w:r w:rsidR="00152794" w:rsidRPr="00FF4D4B">
        <w:rPr>
          <w:rFonts w:cs="Times New Roman"/>
        </w:rPr>
        <w:t xml:space="preserve"> Philips N.V, in the spin-off of the light-division. Nutreco however, partly compensated </w:t>
      </w:r>
      <w:r w:rsidR="0070599E" w:rsidRPr="00FF4D4B">
        <w:rPr>
          <w:rFonts w:cs="Times New Roman"/>
        </w:rPr>
        <w:t>its directors with a cash bonus, hereby compensating the directors for approximately 60 percent of the loss.</w:t>
      </w:r>
    </w:p>
    <w:p w14:paraId="1AB62A1C" w14:textId="5DE66A64" w:rsidR="00152794" w:rsidRPr="00FF4D4B" w:rsidRDefault="00152794" w:rsidP="005B6899">
      <w:pPr>
        <w:tabs>
          <w:tab w:val="left" w:pos="1000"/>
        </w:tabs>
        <w:rPr>
          <w:rFonts w:cs="Times New Roman"/>
        </w:rPr>
      </w:pPr>
      <w:r w:rsidRPr="00FF4D4B">
        <w:rPr>
          <w:rFonts w:cs="Times New Roman"/>
        </w:rPr>
        <w:t>In the public offer for Exact</w:t>
      </w:r>
      <w:r w:rsidR="0070599E" w:rsidRPr="00FF4D4B">
        <w:rPr>
          <w:rFonts w:cs="Times New Roman"/>
        </w:rPr>
        <w:t xml:space="preserve"> N.V.</w:t>
      </w:r>
      <w:r w:rsidRPr="00FF4D4B">
        <w:rPr>
          <w:rFonts w:cs="Times New Roman"/>
        </w:rPr>
        <w:t xml:space="preserve"> the Provision was evaded by the decision of the supervisory board to remove the awarded performance shares (with a value of € 2.2 million) and to compensate the directors for the equivalent in cash.</w:t>
      </w:r>
      <w:r w:rsidRPr="00FF4D4B">
        <w:rPr>
          <w:rStyle w:val="Voetnootmarkering"/>
          <w:rFonts w:cs="Times New Roman"/>
        </w:rPr>
        <w:footnoteReference w:id="25"/>
      </w:r>
      <w:r w:rsidRPr="00FF4D4B">
        <w:rPr>
          <w:rFonts w:cs="Times New Roman"/>
        </w:rPr>
        <w:t xml:space="preserve"> </w:t>
      </w:r>
    </w:p>
    <w:p w14:paraId="1F067CC3" w14:textId="62496EB1" w:rsidR="006621B5" w:rsidRPr="00FF4D4B" w:rsidRDefault="0070599E" w:rsidP="00141307">
      <w:pPr>
        <w:tabs>
          <w:tab w:val="left" w:pos="1000"/>
        </w:tabs>
        <w:rPr>
          <w:rFonts w:cs="Times New Roman"/>
        </w:rPr>
      </w:pPr>
      <w:r w:rsidRPr="00FF4D4B">
        <w:rPr>
          <w:rFonts w:cs="Times New Roman"/>
        </w:rPr>
        <w:lastRenderedPageBreak/>
        <w:t>Moreover, the Provision was also not applied in the case of Roto Smeets Groep N.V. because the directors were not awarded in shares but in phantom stock.</w:t>
      </w:r>
    </w:p>
    <w:p w14:paraId="6EA6A9F0" w14:textId="77777777" w:rsidR="00141307" w:rsidRPr="00141307" w:rsidRDefault="00141307" w:rsidP="00141307"/>
    <w:p w14:paraId="32F82147" w14:textId="76FC5932" w:rsidR="008A0338" w:rsidRPr="00FF4D4B" w:rsidRDefault="00141307" w:rsidP="008A0338">
      <w:pPr>
        <w:pStyle w:val="Kop1"/>
        <w:numPr>
          <w:ilvl w:val="0"/>
          <w:numId w:val="26"/>
        </w:numPr>
        <w:rPr>
          <w:rFonts w:cs="Times New Roman"/>
        </w:rPr>
      </w:pPr>
      <w:r>
        <w:rPr>
          <w:rFonts w:cs="Times New Roman"/>
        </w:rPr>
        <w:br w:type="column"/>
      </w:r>
      <w:bookmarkStart w:id="58" w:name="_Toc301441880"/>
      <w:r w:rsidR="008A0338" w:rsidRPr="00FF4D4B">
        <w:rPr>
          <w:rFonts w:cs="Times New Roman"/>
        </w:rPr>
        <w:lastRenderedPageBreak/>
        <w:t>R</w:t>
      </w:r>
      <w:r w:rsidR="00AB079C" w:rsidRPr="00FF4D4B">
        <w:rPr>
          <w:rFonts w:cs="Times New Roman"/>
        </w:rPr>
        <w:t>ecommendation</w:t>
      </w:r>
      <w:bookmarkEnd w:id="58"/>
    </w:p>
    <w:p w14:paraId="2088F285" w14:textId="3BDCFB0F" w:rsidR="00122742" w:rsidRDefault="00122742" w:rsidP="00122742">
      <w:pPr>
        <w:pStyle w:val="Kop2"/>
      </w:pPr>
      <w:bookmarkStart w:id="59" w:name="_Toc301441881"/>
      <w:r>
        <w:t xml:space="preserve">6.1 </w:t>
      </w:r>
      <w:r>
        <w:tab/>
      </w:r>
      <w:r w:rsidR="005103FF">
        <w:t>Practical recommendations</w:t>
      </w:r>
      <w:bookmarkEnd w:id="59"/>
    </w:p>
    <w:p w14:paraId="035469D4" w14:textId="52DD1122" w:rsidR="009556F4" w:rsidRPr="00FF4D4B" w:rsidRDefault="00721494" w:rsidP="000045F3">
      <w:pPr>
        <w:rPr>
          <w:rFonts w:cs="Times New Roman"/>
        </w:rPr>
      </w:pPr>
      <w:r w:rsidRPr="00FF4D4B">
        <w:rPr>
          <w:rFonts w:cs="Times New Roman"/>
        </w:rPr>
        <w:t>The Provision has a negative effect on shareholder value</w:t>
      </w:r>
      <w:r w:rsidR="005103FF">
        <w:rPr>
          <w:rFonts w:cs="Times New Roman"/>
        </w:rPr>
        <w:t>.</w:t>
      </w:r>
      <w:r w:rsidR="00D64011" w:rsidRPr="00FF4D4B">
        <w:rPr>
          <w:rFonts w:cs="Times New Roman"/>
        </w:rPr>
        <w:t xml:space="preserve"> </w:t>
      </w:r>
      <w:r w:rsidR="000045F3" w:rsidRPr="00FF4D4B">
        <w:rPr>
          <w:rFonts w:cs="Times New Roman"/>
        </w:rPr>
        <w:t>ISS should therefore form a negative standpoint to</w:t>
      </w:r>
      <w:r w:rsidR="00D64011" w:rsidRPr="00FF4D4B">
        <w:rPr>
          <w:rFonts w:cs="Times New Roman"/>
        </w:rPr>
        <w:t>ward</w:t>
      </w:r>
      <w:r w:rsidR="000045F3" w:rsidRPr="00FF4D4B">
        <w:rPr>
          <w:rFonts w:cs="Times New Roman"/>
        </w:rPr>
        <w:t xml:space="preserve"> the Provision. Since the Provision is forced upon companies legislatively it will not be a voting item on a general shareholder meeting and therefore will not be possible for shareholders to vote against. </w:t>
      </w:r>
      <w:r w:rsidR="009556F4" w:rsidRPr="00FF4D4B">
        <w:rPr>
          <w:rFonts w:cs="Times New Roman"/>
        </w:rPr>
        <w:t>However, it is possible for majority shareholders to request an EGM or to place a</w:t>
      </w:r>
      <w:r w:rsidR="00974173" w:rsidRPr="00FF4D4B">
        <w:rPr>
          <w:rFonts w:cs="Times New Roman"/>
        </w:rPr>
        <w:t>n</w:t>
      </w:r>
      <w:r w:rsidR="009556F4" w:rsidRPr="00FF4D4B">
        <w:rPr>
          <w:rFonts w:cs="Times New Roman"/>
        </w:rPr>
        <w:t xml:space="preserve"> item on the agenda of </w:t>
      </w:r>
      <w:r w:rsidR="00974173" w:rsidRPr="00FF4D4B">
        <w:rPr>
          <w:rFonts w:cs="Times New Roman"/>
        </w:rPr>
        <w:t>a general meeting</w:t>
      </w:r>
      <w:r w:rsidR="009556F4" w:rsidRPr="00FF4D4B">
        <w:rPr>
          <w:rFonts w:cs="Times New Roman"/>
        </w:rPr>
        <w:t xml:space="preserve">. </w:t>
      </w:r>
      <w:r w:rsidR="005103FF">
        <w:rPr>
          <w:rFonts w:cs="Times New Roman"/>
        </w:rPr>
        <w:t xml:space="preserve">It is therefore proposed that </w:t>
      </w:r>
      <w:r w:rsidR="009556F4" w:rsidRPr="00FF4D4B">
        <w:rPr>
          <w:rFonts w:cs="Times New Roman"/>
        </w:rPr>
        <w:t xml:space="preserve">ISS should therefore take the following steps: </w:t>
      </w:r>
    </w:p>
    <w:p w14:paraId="6AC7803C" w14:textId="7179E1C6" w:rsidR="000045F3" w:rsidRPr="00FF4D4B" w:rsidRDefault="000045F3" w:rsidP="009556F4">
      <w:pPr>
        <w:pStyle w:val="Lijstalinea"/>
        <w:numPr>
          <w:ilvl w:val="0"/>
          <w:numId w:val="28"/>
        </w:numPr>
        <w:rPr>
          <w:rFonts w:cs="Times New Roman"/>
          <w:i/>
        </w:rPr>
      </w:pPr>
      <w:r w:rsidRPr="00FF4D4B">
        <w:rPr>
          <w:rFonts w:cs="Times New Roman"/>
          <w:i/>
        </w:rPr>
        <w:t>Inform the customers of the implication</w:t>
      </w:r>
      <w:r w:rsidR="005F121F" w:rsidRPr="00FF4D4B">
        <w:rPr>
          <w:rFonts w:cs="Times New Roman"/>
          <w:i/>
        </w:rPr>
        <w:t>s</w:t>
      </w:r>
      <w:r w:rsidRPr="00FF4D4B">
        <w:rPr>
          <w:rFonts w:cs="Times New Roman"/>
          <w:i/>
        </w:rPr>
        <w:t xml:space="preserve"> of the Provision.</w:t>
      </w:r>
    </w:p>
    <w:p w14:paraId="699E5F17" w14:textId="04118EA3" w:rsidR="00DE265F" w:rsidRPr="00FF4D4B" w:rsidRDefault="009556F4" w:rsidP="00582FA4">
      <w:pPr>
        <w:ind w:left="360"/>
        <w:rPr>
          <w:rFonts w:cs="Times New Roman"/>
        </w:rPr>
      </w:pPr>
      <w:r w:rsidRPr="00FF4D4B">
        <w:rPr>
          <w:rFonts w:cs="Times New Roman"/>
        </w:rPr>
        <w:t xml:space="preserve">In order to reduce the negative effects the Provision has on shareholder value ISS customers should be informed of the implications of the Provision. This way the customers can make </w:t>
      </w:r>
      <w:r w:rsidR="00D64011" w:rsidRPr="00FF4D4B">
        <w:rPr>
          <w:rFonts w:cs="Times New Roman"/>
        </w:rPr>
        <w:t>better-informed</w:t>
      </w:r>
      <w:r w:rsidRPr="00FF4D4B">
        <w:rPr>
          <w:rFonts w:cs="Times New Roman"/>
        </w:rPr>
        <w:t xml:space="preserve"> judgments.</w:t>
      </w:r>
      <w:r w:rsidR="005C7830" w:rsidRPr="00FF4D4B">
        <w:rPr>
          <w:rFonts w:cs="Times New Roman"/>
        </w:rPr>
        <w:t xml:space="preserve"> The customers can be informed through the pre-proxy season news update that clients receive.</w:t>
      </w:r>
    </w:p>
    <w:p w14:paraId="72B3FF51" w14:textId="086F4116" w:rsidR="000045F3" w:rsidRPr="00FF4D4B" w:rsidRDefault="000045F3" w:rsidP="009556F4">
      <w:pPr>
        <w:pStyle w:val="Lijstalinea"/>
        <w:numPr>
          <w:ilvl w:val="0"/>
          <w:numId w:val="28"/>
        </w:numPr>
        <w:rPr>
          <w:rFonts w:cs="Times New Roman"/>
          <w:i/>
        </w:rPr>
      </w:pPr>
      <w:r w:rsidRPr="00FF4D4B">
        <w:rPr>
          <w:rFonts w:cs="Times New Roman"/>
          <w:i/>
        </w:rPr>
        <w:t>Encourage institutional investors with a</w:t>
      </w:r>
      <w:r w:rsidR="00D64011" w:rsidRPr="00FF4D4B">
        <w:rPr>
          <w:rFonts w:cs="Times New Roman"/>
          <w:i/>
        </w:rPr>
        <w:t xml:space="preserve"> majority</w:t>
      </w:r>
      <w:r w:rsidRPr="00FF4D4B">
        <w:rPr>
          <w:rFonts w:cs="Times New Roman"/>
          <w:i/>
        </w:rPr>
        <w:t xml:space="preserve"> shareholding in companies to change the current remuneration policy.</w:t>
      </w:r>
    </w:p>
    <w:p w14:paraId="1FE4AF8C" w14:textId="5621D353" w:rsidR="00582FA4" w:rsidRPr="00FF4D4B" w:rsidRDefault="009556F4" w:rsidP="00E02B2C">
      <w:pPr>
        <w:ind w:left="360"/>
        <w:rPr>
          <w:rFonts w:cs="Times New Roman"/>
        </w:rPr>
      </w:pPr>
      <w:r w:rsidRPr="00FF4D4B">
        <w:rPr>
          <w:rFonts w:cs="Times New Roman"/>
        </w:rPr>
        <w:t>As previously stated, in</w:t>
      </w:r>
      <w:r w:rsidR="0027223B" w:rsidRPr="00FF4D4B">
        <w:rPr>
          <w:rFonts w:cs="Times New Roman"/>
        </w:rPr>
        <w:t>vestors with a shareholding of over 10 percent</w:t>
      </w:r>
      <w:r w:rsidR="00D64011" w:rsidRPr="00FF4D4B">
        <w:rPr>
          <w:rFonts w:cs="Times New Roman"/>
        </w:rPr>
        <w:t xml:space="preserve"> –</w:t>
      </w:r>
      <w:r w:rsidR="00DE265F" w:rsidRPr="00FF4D4B">
        <w:rPr>
          <w:rFonts w:cs="Times New Roman"/>
        </w:rPr>
        <w:t xml:space="preserve"> majority shareholders –</w:t>
      </w:r>
      <w:r w:rsidR="00582FA4" w:rsidRPr="00FF4D4B">
        <w:rPr>
          <w:rFonts w:cs="Times New Roman"/>
        </w:rPr>
        <w:t xml:space="preserve"> are able to request an EGM or add an item to the agenda of an </w:t>
      </w:r>
      <w:r w:rsidR="00582FA4" w:rsidRPr="00FF4D4B">
        <w:rPr>
          <w:rFonts w:cs="Times New Roman"/>
        </w:rPr>
        <w:lastRenderedPageBreak/>
        <w:t>AGM. These shareholders</w:t>
      </w:r>
      <w:r w:rsidR="00DE265F" w:rsidRPr="00FF4D4B">
        <w:rPr>
          <w:rFonts w:cs="Times New Roman"/>
        </w:rPr>
        <w:t xml:space="preserve"> should be encouraged </w:t>
      </w:r>
      <w:r w:rsidR="0027223B" w:rsidRPr="00FF4D4B">
        <w:rPr>
          <w:rFonts w:cs="Times New Roman"/>
        </w:rPr>
        <w:t xml:space="preserve">to </w:t>
      </w:r>
      <w:r w:rsidR="00582FA4" w:rsidRPr="00FF4D4B">
        <w:rPr>
          <w:rFonts w:cs="Times New Roman"/>
        </w:rPr>
        <w:t>discuss or vote for a change to current remunerat</w:t>
      </w:r>
      <w:r w:rsidR="00E02B2C" w:rsidRPr="00FF4D4B">
        <w:rPr>
          <w:rFonts w:cs="Times New Roman"/>
        </w:rPr>
        <w:t xml:space="preserve">ion policies. </w:t>
      </w:r>
      <w:r w:rsidR="000C7378" w:rsidRPr="00FF4D4B">
        <w:rPr>
          <w:rFonts w:cs="Times New Roman"/>
        </w:rPr>
        <w:t>However, like any other advi</w:t>
      </w:r>
      <w:r w:rsidR="00974173" w:rsidRPr="00FF4D4B">
        <w:rPr>
          <w:rFonts w:cs="Times New Roman"/>
        </w:rPr>
        <w:t>c</w:t>
      </w:r>
      <w:r w:rsidR="000C7378" w:rsidRPr="00FF4D4B">
        <w:rPr>
          <w:rFonts w:cs="Times New Roman"/>
        </w:rPr>
        <w:t xml:space="preserve">e, it remains a recommendation. The customer itself has to decide how to utilize its voting power. </w:t>
      </w:r>
      <w:r w:rsidR="00E02B2C" w:rsidRPr="00FF4D4B">
        <w:rPr>
          <w:rFonts w:cs="Times New Roman"/>
        </w:rPr>
        <w:t xml:space="preserve">A proposal for a possible </w:t>
      </w:r>
      <w:r w:rsidR="00582FA4" w:rsidRPr="00FF4D4B">
        <w:rPr>
          <w:rFonts w:cs="Times New Roman"/>
        </w:rPr>
        <w:t>discussion agenda item</w:t>
      </w:r>
      <w:r w:rsidR="00E02B2C" w:rsidRPr="00FF4D4B">
        <w:rPr>
          <w:rFonts w:cs="Times New Roman"/>
        </w:rPr>
        <w:t xml:space="preserve"> in ISS layout</w:t>
      </w:r>
      <w:r w:rsidR="00582FA4" w:rsidRPr="00FF4D4B">
        <w:rPr>
          <w:rFonts w:cs="Times New Roman"/>
        </w:rPr>
        <w:t xml:space="preserve"> can be found in </w:t>
      </w:r>
      <w:r w:rsidR="003B4A89" w:rsidRPr="00FF4D4B">
        <w:rPr>
          <w:rFonts w:cs="Times New Roman"/>
        </w:rPr>
        <w:t>appendix IX</w:t>
      </w:r>
      <w:r w:rsidR="00582FA4" w:rsidRPr="00FF4D4B">
        <w:rPr>
          <w:rFonts w:cs="Times New Roman"/>
        </w:rPr>
        <w:t>. This can be used by ISS in its research analyses.</w:t>
      </w:r>
    </w:p>
    <w:p w14:paraId="4213BEE9" w14:textId="352FF48D" w:rsidR="000045F3" w:rsidRPr="00FF4D4B" w:rsidRDefault="000045F3" w:rsidP="009556F4">
      <w:pPr>
        <w:pStyle w:val="Lijstalinea"/>
        <w:numPr>
          <w:ilvl w:val="0"/>
          <w:numId w:val="28"/>
        </w:numPr>
        <w:rPr>
          <w:rFonts w:cs="Times New Roman"/>
          <w:i/>
        </w:rPr>
      </w:pPr>
      <w:r w:rsidRPr="00FF4D4B">
        <w:rPr>
          <w:rFonts w:cs="Times New Roman"/>
          <w:i/>
        </w:rPr>
        <w:t>Advise FOR</w:t>
      </w:r>
      <w:r w:rsidR="005353CE" w:rsidRPr="00FF4D4B">
        <w:rPr>
          <w:rStyle w:val="Voetnootmarkering"/>
          <w:rFonts w:cs="Times New Roman"/>
          <w:i/>
        </w:rPr>
        <w:footnoteReference w:id="26"/>
      </w:r>
      <w:r w:rsidR="005353CE" w:rsidRPr="00FF4D4B">
        <w:rPr>
          <w:rFonts w:cs="Times New Roman"/>
          <w:i/>
        </w:rPr>
        <w:t xml:space="preserve"> </w:t>
      </w:r>
      <w:r w:rsidRPr="00FF4D4B">
        <w:rPr>
          <w:rFonts w:cs="Times New Roman"/>
          <w:i/>
        </w:rPr>
        <w:t xml:space="preserve">agenda items that include remuneration policies updates that change long-term incentive awards from shares </w:t>
      </w:r>
      <w:r w:rsidR="00974173" w:rsidRPr="00FF4D4B">
        <w:rPr>
          <w:rFonts w:cs="Times New Roman"/>
          <w:i/>
        </w:rPr>
        <w:t>and/</w:t>
      </w:r>
      <w:r w:rsidRPr="00FF4D4B">
        <w:rPr>
          <w:rFonts w:cs="Times New Roman"/>
          <w:i/>
        </w:rPr>
        <w:t>or options to phantom stock, SARs, cash settled</w:t>
      </w:r>
      <w:r w:rsidR="00582FA4" w:rsidRPr="00FF4D4B">
        <w:rPr>
          <w:rFonts w:cs="Times New Roman"/>
          <w:i/>
        </w:rPr>
        <w:t xml:space="preserve"> options, or conditional cash awards used for</w:t>
      </w:r>
      <w:r w:rsidRPr="00FF4D4B">
        <w:rPr>
          <w:rFonts w:cs="Times New Roman"/>
          <w:i/>
        </w:rPr>
        <w:t xml:space="preserve"> buy</w:t>
      </w:r>
      <w:r w:rsidR="00582FA4" w:rsidRPr="00FF4D4B">
        <w:rPr>
          <w:rFonts w:cs="Times New Roman"/>
          <w:i/>
        </w:rPr>
        <w:t>ing</w:t>
      </w:r>
      <w:r w:rsidRPr="00FF4D4B">
        <w:rPr>
          <w:rFonts w:cs="Times New Roman"/>
          <w:i/>
        </w:rPr>
        <w:t xml:space="preserve"> shares. </w:t>
      </w:r>
    </w:p>
    <w:p w14:paraId="304444BE" w14:textId="421B751F" w:rsidR="00445B90" w:rsidRPr="00FF4D4B" w:rsidRDefault="00582FA4" w:rsidP="00445B90">
      <w:pPr>
        <w:ind w:left="360"/>
        <w:rPr>
          <w:rFonts w:cs="Times New Roman"/>
        </w:rPr>
      </w:pPr>
      <w:r w:rsidRPr="00FF4D4B">
        <w:rPr>
          <w:rFonts w:cs="Times New Roman"/>
        </w:rPr>
        <w:t xml:space="preserve">ISS should </w:t>
      </w:r>
      <w:r w:rsidR="00974173" w:rsidRPr="00FF4D4B">
        <w:rPr>
          <w:rFonts w:cs="Times New Roman"/>
        </w:rPr>
        <w:t>advice</w:t>
      </w:r>
      <w:r w:rsidRPr="00FF4D4B">
        <w:rPr>
          <w:rFonts w:cs="Times New Roman"/>
        </w:rPr>
        <w:t xml:space="preserve"> its clients to vote FOR agenda items that </w:t>
      </w:r>
      <w:r w:rsidR="00E02B2C" w:rsidRPr="00FF4D4B">
        <w:rPr>
          <w:rFonts w:cs="Times New Roman"/>
        </w:rPr>
        <w:t>amend</w:t>
      </w:r>
      <w:r w:rsidRPr="00FF4D4B">
        <w:rPr>
          <w:rFonts w:cs="Times New Roman"/>
        </w:rPr>
        <w:t xml:space="preserve"> </w:t>
      </w:r>
      <w:r w:rsidR="00E02B2C" w:rsidRPr="00FF4D4B">
        <w:rPr>
          <w:rFonts w:cs="Times New Roman"/>
        </w:rPr>
        <w:t xml:space="preserve">share </w:t>
      </w:r>
      <w:r w:rsidR="00974173" w:rsidRPr="00FF4D4B">
        <w:rPr>
          <w:rFonts w:cs="Times New Roman"/>
        </w:rPr>
        <w:t>and/</w:t>
      </w:r>
      <w:r w:rsidR="00E02B2C" w:rsidRPr="00FF4D4B">
        <w:rPr>
          <w:rFonts w:cs="Times New Roman"/>
        </w:rPr>
        <w:t xml:space="preserve">or option awards in </w:t>
      </w:r>
      <w:r w:rsidRPr="00FF4D4B">
        <w:rPr>
          <w:rFonts w:cs="Times New Roman"/>
        </w:rPr>
        <w:t>current</w:t>
      </w:r>
      <w:r w:rsidR="00E02B2C" w:rsidRPr="00FF4D4B">
        <w:rPr>
          <w:rFonts w:cs="Times New Roman"/>
        </w:rPr>
        <w:t xml:space="preserve"> remuneration policies into other share value based incentive awards. This agenda item can either be placed on the agenda by investors (as stated above) or by the company itself. It should be noted however that phantom stock, SARs and cash settled options are no full replacement of shares and awarding directors with shares (due to the conditional awards) should always be preferred over phantom stock, SARs or cash settled options. </w:t>
      </w:r>
    </w:p>
    <w:p w14:paraId="1A5C88B4" w14:textId="2D5B3EE7" w:rsidR="00E779FC" w:rsidRDefault="00122742" w:rsidP="00E779FC">
      <w:pPr>
        <w:pStyle w:val="Kop2"/>
      </w:pPr>
      <w:bookmarkStart w:id="60" w:name="_Toc301441882"/>
      <w:r>
        <w:lastRenderedPageBreak/>
        <w:t xml:space="preserve">6.2 </w:t>
      </w:r>
      <w:r>
        <w:tab/>
      </w:r>
      <w:r w:rsidR="00E779FC">
        <w:t>Implementation</w:t>
      </w:r>
      <w:bookmarkEnd w:id="60"/>
    </w:p>
    <w:p w14:paraId="41005D94" w14:textId="3F15FBD3" w:rsidR="00122742" w:rsidRDefault="00122742" w:rsidP="00122742">
      <w:r>
        <w:t>For ISS to</w:t>
      </w:r>
      <w:r w:rsidR="005103FF">
        <w:t xml:space="preserve"> implement the practical recommendations in an effective manner the following should be taken into account.</w:t>
      </w:r>
    </w:p>
    <w:p w14:paraId="1FF126B0" w14:textId="59BB0D14" w:rsidR="00122742" w:rsidRPr="0085022C" w:rsidRDefault="00122742" w:rsidP="0085022C">
      <w:pPr>
        <w:rPr>
          <w:i/>
        </w:rPr>
      </w:pPr>
      <w:r w:rsidRPr="0085022C">
        <w:rPr>
          <w:i/>
        </w:rPr>
        <w:t>Realization of recommendation</w:t>
      </w:r>
    </w:p>
    <w:p w14:paraId="42A9BB33" w14:textId="3DE4C218" w:rsidR="00BA1617" w:rsidRDefault="00E779FC" w:rsidP="00BA1617">
      <w:pPr>
        <w:rPr>
          <w:rFonts w:cs="Times New Roman"/>
        </w:rPr>
      </w:pPr>
      <w:r w:rsidRPr="00FF4D4B">
        <w:rPr>
          <w:rFonts w:cs="Times New Roman"/>
        </w:rPr>
        <w:t xml:space="preserve">There are two actions that ISS needs to undertake to apply these recommendations: (I) Inform customers of the consequences of the Provision using the pre-proxy season newsletter, and (II) to amend the policy in the ISS systems that create the research analyses. </w:t>
      </w:r>
      <w:r>
        <w:rPr>
          <w:rFonts w:cs="Times New Roman"/>
        </w:rPr>
        <w:t>Before the policy update</w:t>
      </w:r>
      <w:r w:rsidR="00BA2CCA">
        <w:rPr>
          <w:rFonts w:cs="Times New Roman"/>
        </w:rPr>
        <w:t xml:space="preserve"> can be communicated to the customers</w:t>
      </w:r>
      <w:r w:rsidR="005C7830" w:rsidRPr="00FF4D4B">
        <w:rPr>
          <w:rFonts w:cs="Times New Roman"/>
        </w:rPr>
        <w:t xml:space="preserve"> the policy update has to go through the European subcommittee, the European committee, and the World Wide Policy Steering</w:t>
      </w:r>
      <w:r w:rsidR="00B97871">
        <w:rPr>
          <w:rFonts w:cs="Times New Roman"/>
        </w:rPr>
        <w:t xml:space="preserve"> committee</w:t>
      </w:r>
      <w:r w:rsidR="005C7830" w:rsidRPr="00FF4D4B">
        <w:rPr>
          <w:rFonts w:cs="Times New Roman"/>
        </w:rPr>
        <w:t>, where the policy update is discuss and defended. The outcome is then discussed with clients. Hence, the policy update can be used in the 2016 proxy season.</w:t>
      </w:r>
    </w:p>
    <w:p w14:paraId="464A3317" w14:textId="68DB5604" w:rsidR="00F61C0E" w:rsidRDefault="00F61C0E" w:rsidP="00BA1617">
      <w:pPr>
        <w:rPr>
          <w:rFonts w:cs="Times New Roman"/>
        </w:rPr>
      </w:pPr>
      <w:r>
        <w:rPr>
          <w:rFonts w:cs="Times New Roman"/>
        </w:rPr>
        <w:t xml:space="preserve">The research analysis product of ISS is generated by software. This software needs to be updated to include the policy update for the change-in-control provision. The first step is to enter two new codes in the ISS database for the Benelux market: a code for a discussion item of the clawback of bonuses act and a code for a voting item on the remuneration policy that includes </w:t>
      </w:r>
      <w:r w:rsidRPr="00F61C0E">
        <w:rPr>
          <w:rFonts w:cs="Times New Roman"/>
        </w:rPr>
        <w:t>updates that change long-term incentive awards from shares and/or options to phantom stock, SARs, cash settled options, or conditional cash awards used for buying shares.</w:t>
      </w:r>
      <w:r>
        <w:rPr>
          <w:rFonts w:cs="Times New Roman"/>
        </w:rPr>
        <w:t xml:space="preserve"> The next step is to update the software that generates </w:t>
      </w:r>
      <w:r w:rsidR="0085022C">
        <w:rPr>
          <w:rFonts w:cs="Times New Roman"/>
        </w:rPr>
        <w:t xml:space="preserve">the research analysis documents, so that when a code is </w:t>
      </w:r>
      <w:r w:rsidR="0085022C">
        <w:rPr>
          <w:rFonts w:cs="Times New Roman"/>
        </w:rPr>
        <w:lastRenderedPageBreak/>
        <w:t>entered for the previously named items, the software will generate the text for the research analyses. Draft proposals for the text for the items can be found in appendix IX and X.</w:t>
      </w:r>
    </w:p>
    <w:p w14:paraId="54D8A447" w14:textId="6F455D54" w:rsidR="00BA2CCA" w:rsidRPr="0085022C" w:rsidRDefault="00BA2CCA" w:rsidP="0085022C">
      <w:pPr>
        <w:rPr>
          <w:i/>
        </w:rPr>
      </w:pPr>
      <w:r w:rsidRPr="0085022C">
        <w:rPr>
          <w:i/>
        </w:rPr>
        <w:t>Timeline</w:t>
      </w:r>
    </w:p>
    <w:p w14:paraId="472B8392" w14:textId="05662948" w:rsidR="00BA2CCA" w:rsidRDefault="00BF4422" w:rsidP="00BA2CCA">
      <w:r>
        <w:t>To assure an efficient implementation of the results of the research a timeline assists in establishing an successful realization.</w:t>
      </w:r>
    </w:p>
    <w:p w14:paraId="6ABEC827" w14:textId="69FD22C1" w:rsidR="00BF4422" w:rsidRPr="005103FF" w:rsidRDefault="00BF4422" w:rsidP="005103FF">
      <w:pPr>
        <w:rPr>
          <w:i/>
        </w:rPr>
      </w:pPr>
      <w:r w:rsidRPr="005103FF">
        <w:rPr>
          <w:b/>
        </w:rPr>
        <w:t>September</w:t>
      </w:r>
      <w:r>
        <w:rPr>
          <w:i/>
        </w:rPr>
        <w:t xml:space="preserve">. </w:t>
      </w:r>
      <w:r>
        <w:t>The policy survey is distributed amongst the customers. The policy survey includes the policy updates. Customers comment on the policy updates and share their opinion and expertise. In addition to the survey, September is also the month were the regional market roundtables and outreach are held in order to examine local market best practices. At the end of September the policy results will be distributed.</w:t>
      </w:r>
    </w:p>
    <w:p w14:paraId="68C9D85A" w14:textId="0687C804" w:rsidR="00BF4422" w:rsidRPr="00BF4422" w:rsidRDefault="00BF4422" w:rsidP="005103FF">
      <w:r w:rsidRPr="005103FF">
        <w:rPr>
          <w:b/>
        </w:rPr>
        <w:t>October</w:t>
      </w:r>
      <w:r w:rsidRPr="00BF4422">
        <w:rPr>
          <w:i/>
        </w:rPr>
        <w:t>.</w:t>
      </w:r>
      <w:r w:rsidRPr="00BF4422">
        <w:t xml:space="preserve"> After analysis and considerati</w:t>
      </w:r>
      <w:r>
        <w:t>on of the survey responses, ISS</w:t>
      </w:r>
      <w:r w:rsidRPr="00BF4422">
        <w:t xml:space="preserve"> </w:t>
      </w:r>
      <w:r>
        <w:t>will have a</w:t>
      </w:r>
      <w:r w:rsidRPr="00BF4422">
        <w:t xml:space="preserve"> comment period for interested market participants on the final proposed </w:t>
      </w:r>
      <w:r w:rsidR="00122742">
        <w:t>amendments</w:t>
      </w:r>
      <w:r w:rsidRPr="00BF4422">
        <w:t xml:space="preserve"> to </w:t>
      </w:r>
      <w:r>
        <w:t>the</w:t>
      </w:r>
      <w:r w:rsidRPr="00BF4422">
        <w:t xml:space="preserve"> </w:t>
      </w:r>
      <w:r w:rsidR="00122742">
        <w:t>policy update</w:t>
      </w:r>
      <w:r w:rsidRPr="00BF4422">
        <w:t xml:space="preserve"> for </w:t>
      </w:r>
      <w:r w:rsidR="00122742">
        <w:t>2016</w:t>
      </w:r>
      <w:r w:rsidRPr="00BF4422">
        <w:t>. </w:t>
      </w:r>
    </w:p>
    <w:p w14:paraId="22CFA83E" w14:textId="1BF81A11" w:rsidR="00BF4422" w:rsidRPr="00BA2CCA" w:rsidRDefault="00BF4422" w:rsidP="005103FF">
      <w:r w:rsidRPr="005103FF">
        <w:rPr>
          <w:b/>
        </w:rPr>
        <w:t>November</w:t>
      </w:r>
      <w:r w:rsidR="00122742">
        <w:t>.</w:t>
      </w:r>
      <w:r>
        <w:t xml:space="preserve"> </w:t>
      </w:r>
      <w:r w:rsidR="00122742">
        <w:t>The final policy update is released. Customers are able to find the update on ISS website or receive the update in the pre-proxy season newsletter.</w:t>
      </w:r>
      <w:r w:rsidR="00F61C0E">
        <w:t xml:space="preserve"> In November the ISS research system is adjusted to include the newly updated policy.</w:t>
      </w:r>
    </w:p>
    <w:p w14:paraId="0BF6F1F5" w14:textId="1BACF250" w:rsidR="00BA2CCA" w:rsidRPr="0085022C" w:rsidRDefault="00BA2CCA" w:rsidP="0085022C">
      <w:pPr>
        <w:rPr>
          <w:i/>
        </w:rPr>
      </w:pPr>
      <w:r w:rsidRPr="0085022C">
        <w:rPr>
          <w:i/>
        </w:rPr>
        <w:t>Cost</w:t>
      </w:r>
    </w:p>
    <w:p w14:paraId="55C33194" w14:textId="46C29E84" w:rsidR="00B97871" w:rsidRDefault="00E779FC" w:rsidP="00BA1617">
      <w:pPr>
        <w:rPr>
          <w:rFonts w:cs="Times New Roman"/>
        </w:rPr>
      </w:pPr>
      <w:r w:rsidRPr="00FF4D4B">
        <w:rPr>
          <w:rFonts w:cs="Times New Roman"/>
        </w:rPr>
        <w:lastRenderedPageBreak/>
        <w:t>The additional costs for the implementation of the recomm</w:t>
      </w:r>
      <w:r w:rsidR="00BA2CCA">
        <w:rPr>
          <w:rFonts w:cs="Times New Roman"/>
        </w:rPr>
        <w:t xml:space="preserve">endation will be close to none. </w:t>
      </w:r>
      <w:r w:rsidRPr="00FF4D4B">
        <w:rPr>
          <w:rFonts w:cs="Times New Roman"/>
        </w:rPr>
        <w:t>ISS already established the cycle of informing customers of new policy updates by their pre-proxy season newsletter. The same goes for the updates to the systems that create the research analyses. The policy in the system gets an update every beginning of the year, before the proxy season.</w:t>
      </w:r>
    </w:p>
    <w:p w14:paraId="33480F49" w14:textId="2219E754" w:rsidR="00141307" w:rsidRPr="00FF4D4B" w:rsidRDefault="00141307" w:rsidP="00BA1617">
      <w:pPr>
        <w:rPr>
          <w:rFonts w:cs="Times New Roman"/>
        </w:rPr>
      </w:pPr>
    </w:p>
    <w:p w14:paraId="7B903CC2" w14:textId="56CC4EEA" w:rsidR="00BA1617" w:rsidRPr="00FF4D4B" w:rsidRDefault="00141307" w:rsidP="00BA1617">
      <w:pPr>
        <w:pStyle w:val="Kop1"/>
        <w:numPr>
          <w:ilvl w:val="0"/>
          <w:numId w:val="26"/>
        </w:numPr>
        <w:rPr>
          <w:rFonts w:cs="Times New Roman"/>
        </w:rPr>
      </w:pPr>
      <w:r>
        <w:rPr>
          <w:rFonts w:cs="Times New Roman"/>
        </w:rPr>
        <w:br w:type="column"/>
      </w:r>
      <w:bookmarkStart w:id="61" w:name="_Toc301441883"/>
      <w:r w:rsidR="00BA1617" w:rsidRPr="00FF4D4B">
        <w:rPr>
          <w:rFonts w:cs="Times New Roman"/>
        </w:rPr>
        <w:lastRenderedPageBreak/>
        <w:t>Conclusion</w:t>
      </w:r>
      <w:bookmarkEnd w:id="61"/>
    </w:p>
    <w:p w14:paraId="6229CDDB" w14:textId="2C4758AA" w:rsidR="005C4DB7" w:rsidRPr="00FF4D4B" w:rsidRDefault="000C7378" w:rsidP="007C7A28">
      <w:pPr>
        <w:rPr>
          <w:rFonts w:cs="Times New Roman"/>
        </w:rPr>
      </w:pPr>
      <w:r w:rsidRPr="00FF4D4B">
        <w:rPr>
          <w:rFonts w:cs="Times New Roman"/>
        </w:rPr>
        <w:t>The main research question</w:t>
      </w:r>
      <w:r w:rsidR="005C4DB7" w:rsidRPr="00FF4D4B">
        <w:rPr>
          <w:rFonts w:cs="Times New Roman"/>
        </w:rPr>
        <w:t xml:space="preserve"> is: How should ISS advise its clients on the change-in-control provision of the new Claw</w:t>
      </w:r>
      <w:r w:rsidR="00BE5381" w:rsidRPr="00FF4D4B">
        <w:rPr>
          <w:rFonts w:cs="Times New Roman"/>
        </w:rPr>
        <w:t>b</w:t>
      </w:r>
      <w:r w:rsidR="005C4DB7" w:rsidRPr="00FF4D4B">
        <w:rPr>
          <w:rFonts w:cs="Times New Roman"/>
        </w:rPr>
        <w:t xml:space="preserve">ack of Bonuses Act in the Netherlands? The goal for ISS is to advise its clients on the negative implications of the Provision </w:t>
      </w:r>
      <w:r w:rsidRPr="00FF4D4B">
        <w:rPr>
          <w:rFonts w:cs="Times New Roman"/>
        </w:rPr>
        <w:t xml:space="preserve">and to pursue an active strategy to motivate its clients to amend current remuneration policies to include incentives tied to the share value in order to restore the incentive for directors to bargain a higher share premium in case of a takeover. </w:t>
      </w:r>
    </w:p>
    <w:p w14:paraId="63AD28AF" w14:textId="6D6E513E" w:rsidR="007579A1" w:rsidRPr="00FF4D4B" w:rsidRDefault="0070599E" w:rsidP="007C7A28">
      <w:pPr>
        <w:rPr>
          <w:rFonts w:cs="Times New Roman"/>
        </w:rPr>
      </w:pPr>
      <w:r w:rsidRPr="00FF4D4B">
        <w:rPr>
          <w:rFonts w:cs="Times New Roman"/>
        </w:rPr>
        <w:t xml:space="preserve">The directors are affected by the change-in-control provision through their awarded performance shares and options. </w:t>
      </w:r>
      <w:r w:rsidR="007579A1" w:rsidRPr="00FF4D4B">
        <w:rPr>
          <w:rFonts w:cs="Times New Roman"/>
        </w:rPr>
        <w:t>Directors that are awarded fully in shares or options are therefore more affected by the Provision than directors with other awards in case of a takeover. Literature research has shown that directors with equity-based incentives bargain a higher share premium in a takeover</w:t>
      </w:r>
      <w:r w:rsidR="0016683B" w:rsidRPr="00FF4D4B">
        <w:rPr>
          <w:rFonts w:cs="Times New Roman"/>
        </w:rPr>
        <w:t xml:space="preserve">. Whereas directors that are awarded a golden parachute in a takeover tend to bargain a less favorable share premium for shareholders. Limiting the effectiveness of </w:t>
      </w:r>
      <w:r w:rsidR="00974173" w:rsidRPr="00FF4D4B">
        <w:rPr>
          <w:rFonts w:cs="Times New Roman"/>
        </w:rPr>
        <w:t>share and/or</w:t>
      </w:r>
      <w:r w:rsidR="0016683B" w:rsidRPr="00FF4D4B">
        <w:rPr>
          <w:rFonts w:cs="Times New Roman"/>
        </w:rPr>
        <w:t xml:space="preserve"> incentives could therefore possibly decrease the effectiveness of incentivizing directors to </w:t>
      </w:r>
      <w:r w:rsidR="00F5696B" w:rsidRPr="00FF4D4B">
        <w:rPr>
          <w:rFonts w:cs="Times New Roman"/>
        </w:rPr>
        <w:t>bargain a higher share premium</w:t>
      </w:r>
      <w:r w:rsidR="0016683B" w:rsidRPr="00FF4D4B">
        <w:rPr>
          <w:rFonts w:cs="Times New Roman"/>
        </w:rPr>
        <w:t xml:space="preserve"> and consequently harm shareholder value</w:t>
      </w:r>
      <w:r w:rsidR="00F5696B" w:rsidRPr="00FF4D4B">
        <w:rPr>
          <w:rFonts w:cs="Times New Roman"/>
        </w:rPr>
        <w:t>.</w:t>
      </w:r>
    </w:p>
    <w:p w14:paraId="1107F3E7" w14:textId="29A61117" w:rsidR="00F5696B" w:rsidRPr="00FF4D4B" w:rsidRDefault="00F5696B" w:rsidP="007C7A28">
      <w:pPr>
        <w:rPr>
          <w:rFonts w:cs="Times New Roman"/>
        </w:rPr>
      </w:pPr>
      <w:r w:rsidRPr="00FF4D4B">
        <w:rPr>
          <w:rFonts w:cs="Times New Roman"/>
        </w:rPr>
        <w:t xml:space="preserve">Companies are reacting differently to the Provision. In the last two years there were various occurrences of companies deciding to amend their remuneration policy in order to avert the effects of the Provision. </w:t>
      </w:r>
    </w:p>
    <w:p w14:paraId="396C96C6" w14:textId="766E7616" w:rsidR="0016683B" w:rsidRPr="00FF4D4B" w:rsidRDefault="00F5696B" w:rsidP="007C7A28">
      <w:pPr>
        <w:rPr>
          <w:rFonts w:cs="Times New Roman"/>
        </w:rPr>
      </w:pPr>
      <w:r w:rsidRPr="00FF4D4B">
        <w:rPr>
          <w:rFonts w:cs="Times New Roman"/>
        </w:rPr>
        <w:lastRenderedPageBreak/>
        <w:t xml:space="preserve">ISS Should inform its customers of the implications of the Provision on shareholder value. It should encourage institutional shareholders and majority shareholders to request companies to amend their remuneration policies in order to include share value based incentives, other than performance shares or options. </w:t>
      </w:r>
    </w:p>
    <w:p w14:paraId="644BFBA0" w14:textId="680945AB" w:rsidR="00715FFA" w:rsidRDefault="008665CD" w:rsidP="00715FFA">
      <w:pPr>
        <w:rPr>
          <w:rFonts w:cs="Times New Roman"/>
        </w:rPr>
      </w:pPr>
      <w:r w:rsidRPr="00FF4D4B">
        <w:rPr>
          <w:rFonts w:cs="Times New Roman"/>
        </w:rPr>
        <w:t>The most dominant corporate governance theory that can be connect to the intention of the Provision is agency theory; it assumes agency problems arise due to the opportunistic self-interest of CEOs. However, the Provision proves itself contradictory by diminishing the principal-agent relation due to the decrea</w:t>
      </w:r>
      <w:r w:rsidR="00141307">
        <w:rPr>
          <w:rFonts w:cs="Times New Roman"/>
        </w:rPr>
        <w:t>sed effectiveness of shares and/or options incentives.</w:t>
      </w:r>
    </w:p>
    <w:p w14:paraId="101B327B" w14:textId="1DCC1A63" w:rsidR="00715FFA" w:rsidRPr="00715FFA" w:rsidRDefault="00715FFA" w:rsidP="00715FFA">
      <w:pPr>
        <w:pStyle w:val="Kop1"/>
        <w:rPr>
          <w:rFonts w:cs="Times New Roman"/>
        </w:rPr>
      </w:pPr>
      <w:r>
        <w:br w:type="column"/>
      </w:r>
      <w:bookmarkStart w:id="62" w:name="_Toc301441884"/>
      <w:r w:rsidRPr="00715FFA">
        <w:rPr>
          <w:rFonts w:cs="Times New Roman"/>
        </w:rPr>
        <w:lastRenderedPageBreak/>
        <w:t>Bibliography</w:t>
      </w:r>
      <w:bookmarkEnd w:id="62"/>
    </w:p>
    <w:p w14:paraId="1990F7DC" w14:textId="52011F50" w:rsidR="00096687" w:rsidRPr="00715FFA" w:rsidRDefault="00096687" w:rsidP="00715FFA">
      <w:pPr>
        <w:rPr>
          <w:rFonts w:eastAsiaTheme="majorEastAsia" w:cstheme="majorBidi"/>
          <w:b/>
          <w:bCs/>
          <w:color w:val="4A442A" w:themeColor="background2" w:themeShade="40"/>
          <w:sz w:val="32"/>
          <w:szCs w:val="28"/>
        </w:rPr>
      </w:pPr>
      <w:r w:rsidRPr="00FF4D4B">
        <w:t xml:space="preserve">Annual Report 2006, Numico N.V. </w:t>
      </w:r>
    </w:p>
    <w:p w14:paraId="4A03C6BB" w14:textId="77777777" w:rsidR="00096687" w:rsidRPr="00FF4D4B" w:rsidRDefault="00096687" w:rsidP="00FE720C">
      <w:pPr>
        <w:pStyle w:val="Voetnoottekst"/>
        <w:spacing w:line="480" w:lineRule="auto"/>
        <w:rPr>
          <w:szCs w:val="22"/>
        </w:rPr>
      </w:pPr>
      <w:r w:rsidRPr="00FF4D4B">
        <w:rPr>
          <w:szCs w:val="22"/>
        </w:rPr>
        <w:t xml:space="preserve">Annual Report 2007, ABN Amro Holding N.V. </w:t>
      </w:r>
    </w:p>
    <w:p w14:paraId="62950320" w14:textId="77777777" w:rsidR="00096687" w:rsidRPr="00FF4D4B" w:rsidRDefault="00096687" w:rsidP="00FE720C">
      <w:pPr>
        <w:pStyle w:val="Voetnoottekst"/>
        <w:spacing w:line="480" w:lineRule="auto"/>
        <w:rPr>
          <w:szCs w:val="22"/>
        </w:rPr>
      </w:pPr>
      <w:r w:rsidRPr="00FF4D4B">
        <w:rPr>
          <w:szCs w:val="22"/>
        </w:rPr>
        <w:t>Annual Report 2007, The Royal Bank of Scotland Group</w:t>
      </w:r>
    </w:p>
    <w:p w14:paraId="74980FFE" w14:textId="09A5C4C9" w:rsidR="00096687" w:rsidRPr="00FF4D4B" w:rsidRDefault="00096687" w:rsidP="00FE720C">
      <w:pPr>
        <w:pStyle w:val="Voetnoottekst"/>
        <w:spacing w:line="480" w:lineRule="auto"/>
        <w:rPr>
          <w:szCs w:val="22"/>
        </w:rPr>
      </w:pPr>
      <w:r w:rsidRPr="00FF4D4B">
        <w:t xml:space="preserve">Annual Report 2009, Crucell NV </w:t>
      </w:r>
    </w:p>
    <w:p w14:paraId="5A6CED66" w14:textId="1FDC54FF" w:rsidR="00096687" w:rsidRPr="00FF4D4B" w:rsidRDefault="00096687" w:rsidP="00FE720C">
      <w:pPr>
        <w:pStyle w:val="Voetnoottekst"/>
        <w:spacing w:line="480" w:lineRule="auto"/>
        <w:rPr>
          <w:szCs w:val="22"/>
        </w:rPr>
      </w:pPr>
      <w:r w:rsidRPr="00FF4D4B">
        <w:rPr>
          <w:szCs w:val="22"/>
        </w:rPr>
        <w:t>Annual Report 2009, Draka Holding NV</w:t>
      </w:r>
    </w:p>
    <w:p w14:paraId="491A8E79" w14:textId="77777777" w:rsidR="00FE720C" w:rsidRPr="00FF4D4B" w:rsidRDefault="00096687" w:rsidP="00FE720C">
      <w:pPr>
        <w:pStyle w:val="Voetnoottekst"/>
        <w:spacing w:line="480" w:lineRule="auto"/>
        <w:rPr>
          <w:szCs w:val="22"/>
        </w:rPr>
      </w:pPr>
      <w:r w:rsidRPr="00FF4D4B">
        <w:rPr>
          <w:szCs w:val="22"/>
        </w:rPr>
        <w:t>Annual Report 2010, Draka Holding NV</w:t>
      </w:r>
    </w:p>
    <w:p w14:paraId="03A2B6A9" w14:textId="14462FF6" w:rsidR="00FE720C" w:rsidRPr="00FF4D4B" w:rsidRDefault="00FE720C" w:rsidP="00FE720C">
      <w:pPr>
        <w:pStyle w:val="Voetnoottekst"/>
        <w:spacing w:line="480" w:lineRule="auto"/>
      </w:pPr>
      <w:r w:rsidRPr="00FF4D4B">
        <w:t>Annual Report 2012 DE Master Blenders 1753 NV</w:t>
      </w:r>
    </w:p>
    <w:p w14:paraId="056A4B2D" w14:textId="457FF6C0" w:rsidR="00096687" w:rsidRPr="00FF4D4B" w:rsidRDefault="00FF7271" w:rsidP="00FE720C">
      <w:pPr>
        <w:pStyle w:val="Voetnoottekst"/>
        <w:spacing w:line="480" w:lineRule="auto"/>
      </w:pPr>
      <w:r w:rsidRPr="00FF4D4B">
        <w:t xml:space="preserve">Artikel 107a, Burgerlijk Wetboek 2, Rechtspersonen, Titel 4. Naamloze vennootschappen, </w:t>
      </w:r>
      <w:r w:rsidRPr="00FF4D4B">
        <w:tab/>
        <w:t>Afdeling 4. De algemene vergadering</w:t>
      </w:r>
      <w:r w:rsidR="00FE720C" w:rsidRPr="00FF4D4B">
        <w:t xml:space="preserve"> </w:t>
      </w:r>
    </w:p>
    <w:p w14:paraId="4E2BE8B7" w14:textId="6B38BC71" w:rsidR="00FF4D4B" w:rsidRPr="00FF4D4B" w:rsidRDefault="00FF4D4B" w:rsidP="00FE720C">
      <w:pPr>
        <w:pStyle w:val="Voetnoottekst"/>
        <w:spacing w:line="480" w:lineRule="auto"/>
      </w:pPr>
      <w:r w:rsidRPr="00FF4D4B">
        <w:t>Baxter, P., Jack, S. (2008) The qualitative report</w:t>
      </w:r>
      <w:r>
        <w:t>, volume 13.4, McMaster Univeristy</w:t>
      </w:r>
    </w:p>
    <w:p w14:paraId="31B1F4D3" w14:textId="7433C2CA" w:rsidR="00096687" w:rsidRPr="00FF4D4B" w:rsidRDefault="00555DBE" w:rsidP="00FE720C">
      <w:pPr>
        <w:pStyle w:val="Voetnoottekst"/>
        <w:spacing w:line="480" w:lineRule="auto"/>
      </w:pPr>
      <w:r w:rsidRPr="00FF4D4B">
        <w:t>Bettis, C., J. Bi</w:t>
      </w:r>
      <w:r w:rsidR="00AB40A2" w:rsidRPr="00FF4D4B">
        <w:t>zjak, J. Coles, and S. Kalpathy</w:t>
      </w:r>
      <w:r w:rsidRPr="00FF4D4B">
        <w:t xml:space="preserve"> </w:t>
      </w:r>
      <w:r w:rsidR="00AB40A2" w:rsidRPr="00FF4D4B">
        <w:t>(</w:t>
      </w:r>
      <w:r w:rsidRPr="00FF4D4B">
        <w:t>2010</w:t>
      </w:r>
      <w:r w:rsidR="00AB40A2" w:rsidRPr="00FF4D4B">
        <w:t>)</w:t>
      </w:r>
      <w:r w:rsidRPr="00FF4D4B">
        <w:t xml:space="preserve"> Stock and </w:t>
      </w:r>
      <w:r w:rsidR="00974173" w:rsidRPr="00FF4D4B">
        <w:t xml:space="preserve">option grants </w:t>
      </w:r>
      <w:r w:rsidRPr="00FF4D4B">
        <w:t xml:space="preserve">with </w:t>
      </w:r>
      <w:r w:rsidR="00974173" w:rsidRPr="00FF4D4B">
        <w:t>p</w:t>
      </w:r>
      <w:r w:rsidRPr="00FF4D4B">
        <w:t>erformance-</w:t>
      </w:r>
      <w:r w:rsidR="00974173" w:rsidRPr="00FF4D4B">
        <w:tab/>
        <w:t>based vesting provisions</w:t>
      </w:r>
      <w:r w:rsidR="00AB40A2" w:rsidRPr="00FF4D4B">
        <w:t>.</w:t>
      </w:r>
      <w:r w:rsidRPr="00FF4D4B">
        <w:t xml:space="preserve"> </w:t>
      </w:r>
      <w:r w:rsidRPr="00FF4D4B">
        <w:rPr>
          <w:i/>
          <w:iCs/>
        </w:rPr>
        <w:t xml:space="preserve">Review of Financial Studies </w:t>
      </w:r>
      <w:r w:rsidR="00096687" w:rsidRPr="00FF4D4B">
        <w:t>23, 3849-3888.</w:t>
      </w:r>
    </w:p>
    <w:p w14:paraId="6A417B24" w14:textId="00C4AEE1" w:rsidR="00096687" w:rsidRPr="00FF4D4B" w:rsidRDefault="00D12E8F" w:rsidP="00FE720C">
      <w:pPr>
        <w:pStyle w:val="Voetnoottekst"/>
        <w:spacing w:line="480" w:lineRule="auto"/>
      </w:pPr>
      <w:r w:rsidRPr="00FF4D4B">
        <w:lastRenderedPageBreak/>
        <w:t xml:space="preserve">Bernard, H.R. (2002) </w:t>
      </w:r>
      <w:r w:rsidRPr="00FF4D4B">
        <w:rPr>
          <w:i/>
        </w:rPr>
        <w:t>Research methods in anthropology: qualitative and quantitative methods</w:t>
      </w:r>
      <w:r w:rsidRPr="00FF4D4B">
        <w:t xml:space="preserve">. 3rd </w:t>
      </w:r>
      <w:r w:rsidR="00974173" w:rsidRPr="00FF4D4B">
        <w:tab/>
      </w:r>
      <w:r w:rsidRPr="00FF4D4B">
        <w:t>edition. AltaMira Press ,Walnut Creek, California</w:t>
      </w:r>
      <w:r w:rsidR="00974173" w:rsidRPr="00FF4D4B">
        <w:t>.</w:t>
      </w:r>
    </w:p>
    <w:p w14:paraId="69569925" w14:textId="1057C2A2" w:rsidR="00057904" w:rsidRPr="00FF4D4B" w:rsidRDefault="008B2D16" w:rsidP="00FE720C">
      <w:pPr>
        <w:pStyle w:val="Voetnoottekst"/>
        <w:spacing w:line="480" w:lineRule="auto"/>
      </w:pPr>
      <w:r>
        <w:rPr>
          <w:bCs/>
          <w:szCs w:val="22"/>
        </w:rPr>
        <w:t>Memorie van toelichting [Explanatory Memorandum]</w:t>
      </w:r>
      <w:r w:rsidR="00057904" w:rsidRPr="00FF4D4B">
        <w:rPr>
          <w:bCs/>
          <w:szCs w:val="22"/>
        </w:rPr>
        <w:t xml:space="preserve"> 32.512</w:t>
      </w:r>
      <w:r>
        <w:rPr>
          <w:bCs/>
          <w:szCs w:val="22"/>
        </w:rPr>
        <w:t xml:space="preserve"> (2010)</w:t>
      </w:r>
      <w:r w:rsidR="00057904" w:rsidRPr="00FF4D4B">
        <w:rPr>
          <w:bCs/>
          <w:szCs w:val="22"/>
        </w:rPr>
        <w:t>, Eerste Kamer der Staten-</w:t>
      </w:r>
      <w:r>
        <w:rPr>
          <w:bCs/>
          <w:szCs w:val="22"/>
        </w:rPr>
        <w:tab/>
      </w:r>
      <w:r w:rsidR="00057904" w:rsidRPr="00FF4D4B">
        <w:rPr>
          <w:bCs/>
          <w:szCs w:val="22"/>
        </w:rPr>
        <w:t>Generaal</w:t>
      </w:r>
      <w:r>
        <w:rPr>
          <w:bCs/>
          <w:szCs w:val="22"/>
        </w:rPr>
        <w:t xml:space="preserve"> [House of Representatives]</w:t>
      </w:r>
    </w:p>
    <w:p w14:paraId="458CFB24" w14:textId="01547A09" w:rsidR="00096687" w:rsidRPr="00FF4D4B" w:rsidRDefault="00555DBE" w:rsidP="00FE720C">
      <w:pPr>
        <w:pStyle w:val="Voetnoottekst"/>
        <w:spacing w:line="480" w:lineRule="auto"/>
      </w:pPr>
      <w:r w:rsidRPr="00FF4D4B">
        <w:t xml:space="preserve">Claw-back Step-by-step process of calculating increases in value in the case of a public </w:t>
      </w:r>
      <w:r w:rsidRPr="00FF4D4B">
        <w:tab/>
        <w:t>offer. (2014)</w:t>
      </w:r>
      <w:r w:rsidR="00974173" w:rsidRPr="00FF4D4B">
        <w:tab/>
      </w:r>
      <w:r w:rsidRPr="00FF4D4B">
        <w:t xml:space="preserve"> De Blauw, Blackstone, Westbroek,</w:t>
      </w:r>
    </w:p>
    <w:p w14:paraId="7594DDA0" w14:textId="77777777" w:rsidR="0070599E" w:rsidRPr="00FF4D4B" w:rsidRDefault="00FF7271" w:rsidP="0070599E">
      <w:pPr>
        <w:pStyle w:val="Voetnoottekst"/>
        <w:spacing w:line="480" w:lineRule="auto"/>
      </w:pPr>
      <w:r w:rsidRPr="00FF4D4B">
        <w:rPr>
          <w:i/>
        </w:rPr>
        <w:t xml:space="preserve">Clawback of Bonuses Act 2014, </w:t>
      </w:r>
      <w:r w:rsidRPr="00FF4D4B">
        <w:t>32:512, Staatsblad Nr.563, Jaargang 2013.</w:t>
      </w:r>
    </w:p>
    <w:p w14:paraId="0FDA4850" w14:textId="6C4BBC74" w:rsidR="0070599E" w:rsidRPr="00FF4D4B" w:rsidRDefault="0070599E" w:rsidP="0070599E">
      <w:pPr>
        <w:pStyle w:val="Voetnoottekst"/>
        <w:spacing w:line="480" w:lineRule="auto"/>
      </w:pPr>
      <w:r w:rsidRPr="00FF4D4B">
        <w:rPr>
          <w:szCs w:val="22"/>
        </w:rPr>
        <w:t xml:space="preserve">De zoete verleiding bij overnames [The sweet temptation at takeovers] </w:t>
      </w:r>
      <w:r w:rsidR="00974173" w:rsidRPr="00FF4D4B">
        <w:rPr>
          <w:szCs w:val="22"/>
        </w:rPr>
        <w:t>(</w:t>
      </w:r>
      <w:r w:rsidRPr="00FF4D4B">
        <w:rPr>
          <w:szCs w:val="22"/>
        </w:rPr>
        <w:t>February 5, 2015</w:t>
      </w:r>
      <w:r w:rsidR="00974173" w:rsidRPr="00FF4D4B">
        <w:rPr>
          <w:szCs w:val="22"/>
        </w:rPr>
        <w:t>)</w:t>
      </w:r>
      <w:r w:rsidRPr="00FF4D4B">
        <w:rPr>
          <w:szCs w:val="22"/>
        </w:rPr>
        <w:t xml:space="preserve"> Verenings </w:t>
      </w:r>
      <w:r w:rsidR="00974173" w:rsidRPr="00FF4D4B">
        <w:rPr>
          <w:szCs w:val="22"/>
        </w:rPr>
        <w:tab/>
      </w:r>
      <w:r w:rsidRPr="00FF4D4B">
        <w:rPr>
          <w:szCs w:val="22"/>
        </w:rPr>
        <w:t>Effecten Bezitters, Retrieved from: https://www.veb.net/artikel/05584/de-zoete-verleiding-bij-</w:t>
      </w:r>
      <w:r w:rsidR="00974173" w:rsidRPr="00FF4D4B">
        <w:rPr>
          <w:szCs w:val="22"/>
        </w:rPr>
        <w:tab/>
      </w:r>
      <w:r w:rsidRPr="00FF4D4B">
        <w:rPr>
          <w:szCs w:val="22"/>
        </w:rPr>
        <w:t>overnames</w:t>
      </w:r>
    </w:p>
    <w:p w14:paraId="175C31F2" w14:textId="283AEE09" w:rsidR="00060003" w:rsidRPr="00FF4D4B" w:rsidRDefault="00060003" w:rsidP="00FE720C">
      <w:pPr>
        <w:pStyle w:val="Voetnoottekst"/>
        <w:spacing w:line="480" w:lineRule="auto"/>
      </w:pPr>
      <w:r w:rsidRPr="00FF4D4B">
        <w:t xml:space="preserve">Devers, C. E., McNamara, G., Haleblian, J., Yoder, M. E. (2013) Do they walk the talk? </w:t>
      </w:r>
      <w:r w:rsidRPr="00FF4D4B">
        <w:tab/>
        <w:t xml:space="preserve">Gauging acquiring CEO director confidence in the value creation potential of announced </w:t>
      </w:r>
      <w:r w:rsidR="00974173" w:rsidRPr="00FF4D4B">
        <w:tab/>
      </w:r>
      <w:r w:rsidRPr="00FF4D4B">
        <w:t xml:space="preserve">acquisitions, </w:t>
      </w:r>
      <w:r w:rsidRPr="00FF4D4B">
        <w:rPr>
          <w:i/>
        </w:rPr>
        <w:t>Academy of Management Journal</w:t>
      </w:r>
      <w:r w:rsidRPr="00FF4D4B">
        <w:t>, Vol. 56, No. 6, 1679-</w:t>
      </w:r>
      <w:r w:rsidR="00AB40A2" w:rsidRPr="00FF4D4B">
        <w:t xml:space="preserve">1702, </w:t>
      </w:r>
      <w:r w:rsidR="00974173" w:rsidRPr="00FF4D4B">
        <w:tab/>
      </w:r>
      <w:r w:rsidR="00AB40A2" w:rsidRPr="00FF4D4B">
        <w:t>doi:</w:t>
      </w:r>
      <w:r w:rsidRPr="00FF4D4B">
        <w:t>10.5465/amj.2011.0555.</w:t>
      </w:r>
    </w:p>
    <w:p w14:paraId="2383F343" w14:textId="2D1A11DB" w:rsidR="00555DBE" w:rsidRDefault="00AB40A2" w:rsidP="00FE720C">
      <w:pPr>
        <w:spacing w:line="480" w:lineRule="auto"/>
        <w:rPr>
          <w:rFonts w:cs="Times New Roman"/>
          <w:iCs/>
        </w:rPr>
      </w:pPr>
      <w:r w:rsidRPr="00FF4D4B">
        <w:rPr>
          <w:rFonts w:cs="Times New Roman"/>
        </w:rPr>
        <w:lastRenderedPageBreak/>
        <w:t xml:space="preserve">Donaldson, L., Davis, J. H. (1991) </w:t>
      </w:r>
      <w:r w:rsidR="00555DBE" w:rsidRPr="00FF4D4B">
        <w:rPr>
          <w:rFonts w:cs="Times New Roman"/>
        </w:rPr>
        <w:t xml:space="preserve">Stewardship </w:t>
      </w:r>
      <w:r w:rsidR="00974173" w:rsidRPr="00FF4D4B">
        <w:rPr>
          <w:rFonts w:cs="Times New Roman"/>
        </w:rPr>
        <w:t>t</w:t>
      </w:r>
      <w:r w:rsidR="00555DBE" w:rsidRPr="00FF4D4B">
        <w:rPr>
          <w:rFonts w:cs="Times New Roman"/>
        </w:rPr>
        <w:t xml:space="preserve">heory or </w:t>
      </w:r>
      <w:r w:rsidR="00974173" w:rsidRPr="00FF4D4B">
        <w:rPr>
          <w:rFonts w:cs="Times New Roman"/>
        </w:rPr>
        <w:t>a</w:t>
      </w:r>
      <w:r w:rsidR="00555DBE" w:rsidRPr="00FF4D4B">
        <w:rPr>
          <w:rFonts w:cs="Times New Roman"/>
        </w:rPr>
        <w:t xml:space="preserve">gency </w:t>
      </w:r>
      <w:r w:rsidR="00974173" w:rsidRPr="00FF4D4B">
        <w:rPr>
          <w:rFonts w:cs="Times New Roman"/>
        </w:rPr>
        <w:t>t</w:t>
      </w:r>
      <w:r w:rsidR="00555DBE" w:rsidRPr="00FF4D4B">
        <w:rPr>
          <w:rFonts w:cs="Times New Roman"/>
        </w:rPr>
        <w:t xml:space="preserve">heory: CEO </w:t>
      </w:r>
      <w:r w:rsidR="00974173" w:rsidRPr="00FF4D4B">
        <w:rPr>
          <w:rFonts w:cs="Times New Roman"/>
        </w:rPr>
        <w:t>g</w:t>
      </w:r>
      <w:r w:rsidR="00555DBE" w:rsidRPr="00FF4D4B">
        <w:rPr>
          <w:rFonts w:cs="Times New Roman"/>
        </w:rPr>
        <w:t>overnance</w:t>
      </w:r>
      <w:r w:rsidR="00974173" w:rsidRPr="00FF4D4B">
        <w:rPr>
          <w:rFonts w:cs="Times New Roman"/>
        </w:rPr>
        <w:t xml:space="preserve"> </w:t>
      </w:r>
      <w:r w:rsidR="00555DBE" w:rsidRPr="00FF4D4B">
        <w:rPr>
          <w:rFonts w:cs="Times New Roman"/>
        </w:rPr>
        <w:t xml:space="preserve">and </w:t>
      </w:r>
      <w:r w:rsidR="00974173" w:rsidRPr="00FF4D4B">
        <w:rPr>
          <w:rFonts w:cs="Times New Roman"/>
        </w:rPr>
        <w:tab/>
        <w:t>s</w:t>
      </w:r>
      <w:r w:rsidR="00555DBE" w:rsidRPr="00FF4D4B">
        <w:rPr>
          <w:rFonts w:cs="Times New Roman"/>
        </w:rPr>
        <w:t xml:space="preserve">hareholder </w:t>
      </w:r>
      <w:r w:rsidR="00974173" w:rsidRPr="00FF4D4B">
        <w:rPr>
          <w:rFonts w:cs="Times New Roman"/>
        </w:rPr>
        <w:t>r</w:t>
      </w:r>
      <w:r w:rsidR="00555DBE" w:rsidRPr="00FF4D4B">
        <w:rPr>
          <w:rFonts w:cs="Times New Roman"/>
        </w:rPr>
        <w:t>eturns</w:t>
      </w:r>
      <w:r w:rsidRPr="00FF4D4B">
        <w:rPr>
          <w:rFonts w:cs="Times New Roman"/>
        </w:rPr>
        <w:t>.</w:t>
      </w:r>
      <w:r w:rsidR="00555DBE" w:rsidRPr="00FF4D4B">
        <w:rPr>
          <w:rFonts w:cs="Times New Roman"/>
        </w:rPr>
        <w:t xml:space="preserve"> </w:t>
      </w:r>
      <w:r w:rsidR="00555DBE" w:rsidRPr="00FF4D4B">
        <w:rPr>
          <w:rFonts w:cs="Times New Roman"/>
          <w:i/>
          <w:iCs/>
        </w:rPr>
        <w:t>Australian Journal of Management</w:t>
      </w:r>
      <w:r w:rsidR="00555DBE" w:rsidRPr="00FF4D4B">
        <w:rPr>
          <w:rFonts w:cs="Times New Roman"/>
          <w:iCs/>
        </w:rPr>
        <w:t xml:space="preserve">, 16, 1, June 1991, The University of </w:t>
      </w:r>
      <w:r w:rsidR="00974173" w:rsidRPr="00FF4D4B">
        <w:rPr>
          <w:rFonts w:cs="Times New Roman"/>
          <w:iCs/>
        </w:rPr>
        <w:tab/>
      </w:r>
      <w:r w:rsidR="00555DBE" w:rsidRPr="00FF4D4B">
        <w:rPr>
          <w:rFonts w:cs="Times New Roman"/>
          <w:iCs/>
        </w:rPr>
        <w:t>New South Wales</w:t>
      </w:r>
    </w:p>
    <w:p w14:paraId="102865B1" w14:textId="61D3DFA5" w:rsidR="00D647A3" w:rsidRPr="00FF4D4B" w:rsidRDefault="00D647A3" w:rsidP="00FE720C">
      <w:pPr>
        <w:spacing w:line="480" w:lineRule="auto"/>
        <w:rPr>
          <w:rFonts w:cs="Times New Roman"/>
        </w:rPr>
      </w:pPr>
      <w:r w:rsidRPr="00D647A3">
        <w:rPr>
          <w:rFonts w:cs="Times New Roman"/>
          <w:iCs/>
        </w:rPr>
        <w:t xml:space="preserve">Drever, E. (1995) </w:t>
      </w:r>
      <w:r w:rsidRPr="00D647A3">
        <w:rPr>
          <w:rFonts w:cs="Times New Roman"/>
          <w:i/>
          <w:iCs/>
        </w:rPr>
        <w:t xml:space="preserve">Using Semi-Structured Interviews in Small Scale Research, </w:t>
      </w:r>
      <w:r w:rsidRPr="00D647A3">
        <w:rPr>
          <w:rFonts w:cs="Times New Roman"/>
          <w:iCs/>
        </w:rPr>
        <w:t xml:space="preserve">University of Glasgow, </w:t>
      </w:r>
      <w:r>
        <w:rPr>
          <w:rFonts w:cs="Times New Roman"/>
          <w:iCs/>
        </w:rPr>
        <w:tab/>
      </w:r>
      <w:r w:rsidRPr="00D647A3">
        <w:rPr>
          <w:rFonts w:cs="Times New Roman"/>
          <w:iCs/>
        </w:rPr>
        <w:t>Scottish Council for Research in Education</w:t>
      </w:r>
    </w:p>
    <w:p w14:paraId="46F4D373" w14:textId="19C04B3A" w:rsidR="00060003" w:rsidRPr="00FF4D4B" w:rsidRDefault="00060003" w:rsidP="00FE720C">
      <w:pPr>
        <w:spacing w:line="480" w:lineRule="auto"/>
        <w:rPr>
          <w:rFonts w:cs="Times New Roman"/>
        </w:rPr>
      </w:pPr>
      <w:r w:rsidRPr="00FF4D4B">
        <w:rPr>
          <w:rFonts w:cs="Times New Roman"/>
        </w:rPr>
        <w:t xml:space="preserve">Elkinawy, S., Offenberg, D. (2013) Accelerated vesting in takeovers: the impact on shareholder </w:t>
      </w:r>
      <w:r w:rsidR="00974173" w:rsidRPr="00FF4D4B">
        <w:rPr>
          <w:rFonts w:cs="Times New Roman"/>
        </w:rPr>
        <w:tab/>
      </w:r>
      <w:r w:rsidRPr="00FF4D4B">
        <w:rPr>
          <w:rFonts w:cs="Times New Roman"/>
        </w:rPr>
        <w:t xml:space="preserve">wealth. </w:t>
      </w:r>
      <w:r w:rsidRPr="00FF4D4B">
        <w:rPr>
          <w:rFonts w:cs="Times New Roman"/>
          <w:i/>
        </w:rPr>
        <w:t>Financial Management (Wiley-Blackwell)</w:t>
      </w:r>
      <w:r w:rsidRPr="00FF4D4B">
        <w:rPr>
          <w:rFonts w:cs="Times New Roman"/>
        </w:rPr>
        <w:t>. Spring</w:t>
      </w:r>
      <w:r w:rsidR="00AB40A2" w:rsidRPr="00FF4D4B">
        <w:rPr>
          <w:rFonts w:cs="Times New Roman"/>
        </w:rPr>
        <w:t xml:space="preserve"> </w:t>
      </w:r>
      <w:r w:rsidRPr="00FF4D4B">
        <w:rPr>
          <w:rFonts w:cs="Times New Roman"/>
        </w:rPr>
        <w:t>2013, Vol. 42</w:t>
      </w:r>
      <w:r w:rsidR="00974173" w:rsidRPr="00FF4D4B">
        <w:rPr>
          <w:rFonts w:cs="Times New Roman"/>
        </w:rPr>
        <w:t xml:space="preserve"> </w:t>
      </w:r>
      <w:r w:rsidRPr="00FF4D4B">
        <w:rPr>
          <w:rFonts w:cs="Times New Roman"/>
        </w:rPr>
        <w:t xml:space="preserve">Issue 1, p101-126. </w:t>
      </w:r>
      <w:r w:rsidR="00974173" w:rsidRPr="00FF4D4B">
        <w:rPr>
          <w:rFonts w:cs="Times New Roman"/>
        </w:rPr>
        <w:tab/>
      </w:r>
      <w:r w:rsidRPr="00FF4D4B">
        <w:rPr>
          <w:rFonts w:cs="Times New Roman"/>
        </w:rPr>
        <w:t>26p. DOI: 10.1111/j.1755-053X.2012.01202.x.</w:t>
      </w:r>
    </w:p>
    <w:p w14:paraId="16A4DE40" w14:textId="4774515A" w:rsidR="002F2C8B" w:rsidRPr="00FF4D4B" w:rsidRDefault="002F2C8B" w:rsidP="00FE720C">
      <w:pPr>
        <w:spacing w:line="480" w:lineRule="auto"/>
        <w:rPr>
          <w:rFonts w:cs="Times New Roman"/>
        </w:rPr>
      </w:pPr>
      <w:r w:rsidRPr="00FF4D4B">
        <w:rPr>
          <w:rFonts w:cs="Times New Roman"/>
        </w:rPr>
        <w:t xml:space="preserve">Evaluatie van het AVA-seizoen 2015 [Evaluation AGM Season 2015] </w:t>
      </w:r>
      <w:r w:rsidR="00974173" w:rsidRPr="00FF4D4B">
        <w:rPr>
          <w:rFonts w:cs="Times New Roman"/>
        </w:rPr>
        <w:t>(</w:t>
      </w:r>
      <w:r w:rsidRPr="00FF4D4B">
        <w:rPr>
          <w:rFonts w:cs="Times New Roman"/>
        </w:rPr>
        <w:t>July 9, 2015</w:t>
      </w:r>
      <w:r w:rsidR="00974173" w:rsidRPr="00FF4D4B">
        <w:rPr>
          <w:rFonts w:cs="Times New Roman"/>
        </w:rPr>
        <w:t xml:space="preserve">) </w:t>
      </w:r>
      <w:r w:rsidRPr="00FF4D4B">
        <w:rPr>
          <w:rFonts w:cs="Times New Roman"/>
        </w:rPr>
        <w:t xml:space="preserve">Eumedion </w:t>
      </w:r>
      <w:r w:rsidR="00974173" w:rsidRPr="00FF4D4B">
        <w:rPr>
          <w:rFonts w:cs="Times New Roman"/>
        </w:rPr>
        <w:tab/>
      </w:r>
      <w:r w:rsidRPr="00FF4D4B">
        <w:rPr>
          <w:rFonts w:cs="Times New Roman"/>
        </w:rPr>
        <w:t>Corporate Governance</w:t>
      </w:r>
    </w:p>
    <w:p w14:paraId="4AE5254D" w14:textId="1CD29983" w:rsidR="00FF7271" w:rsidRPr="00FF4D4B" w:rsidRDefault="00FF7271" w:rsidP="00FE720C">
      <w:pPr>
        <w:spacing w:line="480" w:lineRule="auto"/>
        <w:rPr>
          <w:rFonts w:cs="Times New Roman"/>
        </w:rPr>
      </w:pPr>
      <w:r w:rsidRPr="00FF4D4B">
        <w:rPr>
          <w:rFonts w:cs="Times New Roman"/>
        </w:rPr>
        <w:t xml:space="preserve">Fich, E.,Cai, J., Tran, A. (2011) Stock </w:t>
      </w:r>
      <w:r w:rsidR="00974173" w:rsidRPr="00FF4D4B">
        <w:rPr>
          <w:rFonts w:cs="Times New Roman"/>
        </w:rPr>
        <w:t>o</w:t>
      </w:r>
      <w:r w:rsidRPr="00FF4D4B">
        <w:rPr>
          <w:rFonts w:cs="Times New Roman"/>
        </w:rPr>
        <w:t xml:space="preserve">ption </w:t>
      </w:r>
      <w:r w:rsidR="00974173" w:rsidRPr="00FF4D4B">
        <w:rPr>
          <w:rFonts w:cs="Times New Roman"/>
        </w:rPr>
        <w:t>g</w:t>
      </w:r>
      <w:r w:rsidRPr="00FF4D4B">
        <w:rPr>
          <w:rFonts w:cs="Times New Roman"/>
        </w:rPr>
        <w:t xml:space="preserve">rants to </w:t>
      </w:r>
      <w:r w:rsidR="00974173" w:rsidRPr="00FF4D4B">
        <w:rPr>
          <w:rFonts w:cs="Times New Roman"/>
        </w:rPr>
        <w:t>t</w:t>
      </w:r>
      <w:r w:rsidRPr="00FF4D4B">
        <w:rPr>
          <w:rFonts w:cs="Times New Roman"/>
        </w:rPr>
        <w:t xml:space="preserve">arget CEOs during </w:t>
      </w:r>
      <w:r w:rsidR="00974173" w:rsidRPr="00FF4D4B">
        <w:rPr>
          <w:rFonts w:cs="Times New Roman"/>
        </w:rPr>
        <w:t xml:space="preserve">private merger </w:t>
      </w:r>
      <w:r w:rsidRPr="00FF4D4B">
        <w:rPr>
          <w:rFonts w:cs="Times New Roman"/>
        </w:rPr>
        <w:tab/>
      </w:r>
      <w:r w:rsidR="00974173" w:rsidRPr="00FF4D4B">
        <w:rPr>
          <w:rFonts w:cs="Times New Roman"/>
        </w:rPr>
        <w:t>n</w:t>
      </w:r>
      <w:r w:rsidRPr="00FF4D4B">
        <w:rPr>
          <w:rFonts w:cs="Times New Roman"/>
        </w:rPr>
        <w:t xml:space="preserve">egotiations. </w:t>
      </w:r>
      <w:r w:rsidRPr="00FF4D4B">
        <w:rPr>
          <w:rFonts w:cs="Times New Roman"/>
          <w:i/>
          <w:iCs/>
        </w:rPr>
        <w:t xml:space="preserve">Journal of Financial Economics </w:t>
      </w:r>
      <w:r w:rsidRPr="00FF4D4B">
        <w:rPr>
          <w:rFonts w:cs="Times New Roman"/>
        </w:rPr>
        <w:t>101, 413-430. </w:t>
      </w:r>
    </w:p>
    <w:p w14:paraId="6E41740E" w14:textId="565805CA" w:rsidR="00D12E8F" w:rsidRPr="00FF4D4B" w:rsidRDefault="00D12E8F" w:rsidP="00FE720C">
      <w:pPr>
        <w:spacing w:line="480" w:lineRule="auto"/>
        <w:rPr>
          <w:rFonts w:cs="Times New Roman"/>
        </w:rPr>
      </w:pPr>
      <w:r w:rsidRPr="00FF4D4B">
        <w:rPr>
          <w:rFonts w:cs="Times New Roman"/>
        </w:rPr>
        <w:t xml:space="preserve">Gerring, J. (2007) </w:t>
      </w:r>
      <w:r w:rsidRPr="00FF4D4B">
        <w:rPr>
          <w:rFonts w:cs="Times New Roman"/>
          <w:i/>
        </w:rPr>
        <w:t>Case study research: principles and practices</w:t>
      </w:r>
      <w:r w:rsidRPr="00FF4D4B">
        <w:rPr>
          <w:rFonts w:cs="Times New Roman"/>
        </w:rPr>
        <w:t xml:space="preserve">, Cambridge University Press, </w:t>
      </w:r>
      <w:r w:rsidR="00974173" w:rsidRPr="00FF4D4B">
        <w:rPr>
          <w:rFonts w:cs="Times New Roman"/>
        </w:rPr>
        <w:tab/>
      </w:r>
      <w:r w:rsidRPr="00FF4D4B">
        <w:rPr>
          <w:rFonts w:cs="Times New Roman"/>
        </w:rPr>
        <w:t>doi:10.1017/S0022381607080243</w:t>
      </w:r>
    </w:p>
    <w:p w14:paraId="3960C802" w14:textId="745E841A" w:rsidR="00060003" w:rsidRPr="00FF4D4B" w:rsidRDefault="00060003" w:rsidP="00FE720C">
      <w:pPr>
        <w:spacing w:line="480" w:lineRule="auto"/>
        <w:rPr>
          <w:rFonts w:cs="Times New Roman"/>
        </w:rPr>
      </w:pPr>
      <w:r w:rsidRPr="00FF4D4B">
        <w:rPr>
          <w:rFonts w:cs="Times New Roman"/>
        </w:rPr>
        <w:lastRenderedPageBreak/>
        <w:t>Hartzell</w:t>
      </w:r>
      <w:r w:rsidR="00AB40A2" w:rsidRPr="00FF4D4B">
        <w:rPr>
          <w:rFonts w:cs="Times New Roman"/>
        </w:rPr>
        <w:t>, J.C., Ofek, E., and Yermack, D.</w:t>
      </w:r>
      <w:r w:rsidRPr="00FF4D4B">
        <w:rPr>
          <w:rFonts w:cs="Times New Roman"/>
        </w:rPr>
        <w:t xml:space="preserve"> </w:t>
      </w:r>
      <w:r w:rsidR="00AB40A2" w:rsidRPr="00FF4D4B">
        <w:rPr>
          <w:rFonts w:cs="Times New Roman"/>
        </w:rPr>
        <w:t>(</w:t>
      </w:r>
      <w:r w:rsidRPr="00FF4D4B">
        <w:rPr>
          <w:rFonts w:cs="Times New Roman"/>
        </w:rPr>
        <w:t>2004</w:t>
      </w:r>
      <w:r w:rsidR="00AB40A2" w:rsidRPr="00FF4D4B">
        <w:rPr>
          <w:rFonts w:cs="Times New Roman"/>
        </w:rPr>
        <w:t>)</w:t>
      </w:r>
      <w:r w:rsidRPr="00FF4D4B">
        <w:rPr>
          <w:rFonts w:cs="Times New Roman"/>
        </w:rPr>
        <w:t xml:space="preserve"> What’s in it for Me?</w:t>
      </w:r>
      <w:r w:rsidR="00AB40A2" w:rsidRPr="00FF4D4B">
        <w:rPr>
          <w:rFonts w:cs="Times New Roman"/>
        </w:rPr>
        <w:t xml:space="preserve"> CEOs </w:t>
      </w:r>
      <w:r w:rsidR="00974173" w:rsidRPr="00FF4D4B">
        <w:rPr>
          <w:rFonts w:cs="Times New Roman"/>
        </w:rPr>
        <w:t>w</w:t>
      </w:r>
      <w:r w:rsidR="00AB40A2" w:rsidRPr="00FF4D4B">
        <w:rPr>
          <w:rFonts w:cs="Times New Roman"/>
        </w:rPr>
        <w:t xml:space="preserve">hose </w:t>
      </w:r>
      <w:r w:rsidR="00974173" w:rsidRPr="00FF4D4B">
        <w:rPr>
          <w:rFonts w:cs="Times New Roman"/>
        </w:rPr>
        <w:t>f</w:t>
      </w:r>
      <w:r w:rsidR="00AB40A2" w:rsidRPr="00FF4D4B">
        <w:rPr>
          <w:rFonts w:cs="Times New Roman"/>
        </w:rPr>
        <w:t xml:space="preserve">irms </w:t>
      </w:r>
      <w:r w:rsidR="00974173" w:rsidRPr="00FF4D4B">
        <w:rPr>
          <w:rFonts w:cs="Times New Roman"/>
        </w:rPr>
        <w:t>a</w:t>
      </w:r>
      <w:r w:rsidR="00AB40A2" w:rsidRPr="00FF4D4B">
        <w:rPr>
          <w:rFonts w:cs="Times New Roman"/>
        </w:rPr>
        <w:t xml:space="preserve">re </w:t>
      </w:r>
      <w:r w:rsidR="00AB40A2" w:rsidRPr="00FF4D4B">
        <w:rPr>
          <w:rFonts w:cs="Times New Roman"/>
        </w:rPr>
        <w:tab/>
      </w:r>
      <w:r w:rsidR="00974173" w:rsidRPr="00FF4D4B">
        <w:rPr>
          <w:rFonts w:cs="Times New Roman"/>
        </w:rPr>
        <w:t>a</w:t>
      </w:r>
      <w:r w:rsidR="00AB40A2" w:rsidRPr="00FF4D4B">
        <w:rPr>
          <w:rFonts w:cs="Times New Roman"/>
        </w:rPr>
        <w:t>cquired.</w:t>
      </w:r>
      <w:r w:rsidRPr="00FF4D4B">
        <w:rPr>
          <w:rFonts w:cs="Times New Roman"/>
        </w:rPr>
        <w:t xml:space="preserve"> </w:t>
      </w:r>
      <w:r w:rsidRPr="00FF4D4B">
        <w:rPr>
          <w:rFonts w:cs="Times New Roman"/>
          <w:i/>
        </w:rPr>
        <w:t>Review of Financial Studies 17</w:t>
      </w:r>
      <w:r w:rsidRPr="00FF4D4B">
        <w:rPr>
          <w:rFonts w:cs="Times New Roman"/>
        </w:rPr>
        <w:t>, 37-61.</w:t>
      </w:r>
    </w:p>
    <w:p w14:paraId="611DB032" w14:textId="13696D0F" w:rsidR="00FE720C" w:rsidRPr="00FF4D4B" w:rsidRDefault="00FE720C" w:rsidP="00FE720C">
      <w:pPr>
        <w:spacing w:line="480" w:lineRule="auto"/>
        <w:rPr>
          <w:rFonts w:cs="Times New Roman"/>
        </w:rPr>
      </w:pPr>
      <w:r w:rsidRPr="00FF4D4B">
        <w:rPr>
          <w:rFonts w:cs="Times New Roman"/>
        </w:rPr>
        <w:t xml:space="preserve">Hoe Jan Bennink Miljoenen Verdiende Met Dubieuze Overname Douwe Egberts [How Jan </w:t>
      </w:r>
      <w:r w:rsidRPr="00FF4D4B">
        <w:rPr>
          <w:rFonts w:cs="Times New Roman"/>
        </w:rPr>
        <w:tab/>
        <w:t>Bennink Earned Million with Dubious Takeover of Douwe Egberts</w:t>
      </w:r>
      <w:r w:rsidR="00974173" w:rsidRPr="00FF4D4B">
        <w:rPr>
          <w:rFonts w:cs="Times New Roman"/>
        </w:rPr>
        <w:t>] (</w:t>
      </w:r>
      <w:r w:rsidRPr="00FF4D4B">
        <w:rPr>
          <w:rFonts w:cs="Times New Roman"/>
        </w:rPr>
        <w:t>August 9 2014</w:t>
      </w:r>
      <w:r w:rsidR="00974173" w:rsidRPr="00FF4D4B">
        <w:rPr>
          <w:rFonts w:cs="Times New Roman"/>
        </w:rPr>
        <w:t>)</w:t>
      </w:r>
      <w:r w:rsidRPr="00FF4D4B">
        <w:rPr>
          <w:rFonts w:cs="Times New Roman"/>
        </w:rPr>
        <w:tab/>
        <w:t xml:space="preserve">Follow the Money </w:t>
      </w:r>
    </w:p>
    <w:p w14:paraId="4A82E5C2" w14:textId="60A890ED" w:rsidR="00AB40A2" w:rsidRPr="00FF4D4B" w:rsidRDefault="00AB40A2" w:rsidP="00FE720C">
      <w:pPr>
        <w:spacing w:line="480" w:lineRule="auto"/>
        <w:rPr>
          <w:rFonts w:cs="Times New Roman"/>
        </w:rPr>
      </w:pPr>
      <w:r w:rsidRPr="00FF4D4B">
        <w:rPr>
          <w:rFonts w:cs="Times New Roman"/>
        </w:rPr>
        <w:t xml:space="preserve">Jensen, M. </w:t>
      </w:r>
      <w:r w:rsidR="00FE720C" w:rsidRPr="00FF4D4B">
        <w:rPr>
          <w:rFonts w:cs="Times New Roman"/>
        </w:rPr>
        <w:t>C.</w:t>
      </w:r>
      <w:r w:rsidRPr="00FF4D4B">
        <w:rPr>
          <w:rFonts w:cs="Times New Roman"/>
        </w:rPr>
        <w:t xml:space="preserve"> (1988) Takeovers: Their Causes and Consequences, </w:t>
      </w:r>
      <w:r w:rsidRPr="00FF4D4B">
        <w:rPr>
          <w:rFonts w:cs="Times New Roman"/>
          <w:i/>
          <w:iCs/>
        </w:rPr>
        <w:t xml:space="preserve">Journal of Economic </w:t>
      </w:r>
      <w:r w:rsidRPr="00FF4D4B">
        <w:rPr>
          <w:rFonts w:cs="Times New Roman"/>
          <w:i/>
          <w:iCs/>
        </w:rPr>
        <w:tab/>
        <w:t>Perspectives</w:t>
      </w:r>
      <w:r w:rsidR="00256722" w:rsidRPr="00FF4D4B">
        <w:rPr>
          <w:rFonts w:cs="Times New Roman"/>
          <w:i/>
          <w:iCs/>
        </w:rPr>
        <w:tab/>
      </w:r>
      <w:r w:rsidRPr="00FF4D4B">
        <w:rPr>
          <w:rFonts w:cs="Times New Roman"/>
          <w:i/>
          <w:iCs/>
        </w:rPr>
        <w:t xml:space="preserve"> </w:t>
      </w:r>
      <w:r w:rsidRPr="00FF4D4B">
        <w:rPr>
          <w:rFonts w:cs="Times New Roman"/>
        </w:rPr>
        <w:t xml:space="preserve">2, 21-48. </w:t>
      </w:r>
    </w:p>
    <w:p w14:paraId="15F9C005" w14:textId="3FFBE233" w:rsidR="00AB40A2" w:rsidRPr="00FF4D4B" w:rsidRDefault="00AB40A2" w:rsidP="00FE720C">
      <w:pPr>
        <w:spacing w:line="480" w:lineRule="auto"/>
        <w:rPr>
          <w:rFonts w:cs="Times New Roman"/>
        </w:rPr>
      </w:pPr>
      <w:r w:rsidRPr="00FF4D4B">
        <w:rPr>
          <w:rFonts w:cs="Times New Roman"/>
        </w:rPr>
        <w:t xml:space="preserve">Johnson &amp; Johnson Acquires 98.89% of Issued Crucell Shares as of the End of the Subsequent </w:t>
      </w:r>
      <w:r w:rsidR="00256722" w:rsidRPr="00FF4D4B">
        <w:rPr>
          <w:rFonts w:cs="Times New Roman"/>
        </w:rPr>
        <w:tab/>
      </w:r>
      <w:r w:rsidRPr="00FF4D4B">
        <w:rPr>
          <w:rFonts w:cs="Times New Roman"/>
        </w:rPr>
        <w:t>Offering Period and Crucell Intends to Delist Crucell Ordinary Shares and ADSs</w:t>
      </w:r>
      <w:r w:rsidR="00256722" w:rsidRPr="00FF4D4B">
        <w:rPr>
          <w:rFonts w:cs="Times New Roman"/>
        </w:rPr>
        <w:t xml:space="preserve"> (</w:t>
      </w:r>
      <w:r w:rsidRPr="00FF4D4B">
        <w:rPr>
          <w:rFonts w:cs="Times New Roman"/>
        </w:rPr>
        <w:t>March 8,</w:t>
      </w:r>
      <w:r w:rsidR="00256722" w:rsidRPr="00FF4D4B">
        <w:rPr>
          <w:rFonts w:cs="Times New Roman"/>
        </w:rPr>
        <w:t xml:space="preserve"> </w:t>
      </w:r>
      <w:r w:rsidR="00256722" w:rsidRPr="00FF4D4B">
        <w:rPr>
          <w:rFonts w:cs="Times New Roman"/>
        </w:rPr>
        <w:tab/>
      </w:r>
      <w:r w:rsidRPr="00FF4D4B">
        <w:rPr>
          <w:rFonts w:cs="Times New Roman"/>
        </w:rPr>
        <w:t>2011</w:t>
      </w:r>
      <w:r w:rsidR="00256722" w:rsidRPr="00FF4D4B">
        <w:rPr>
          <w:rFonts w:cs="Times New Roman"/>
        </w:rPr>
        <w:t xml:space="preserve">) </w:t>
      </w:r>
      <w:r w:rsidRPr="00FF4D4B">
        <w:rPr>
          <w:rFonts w:cs="Times New Roman"/>
        </w:rPr>
        <w:t xml:space="preserve">Investors Relations Johnson and Johnson. Retrieved from:  </w:t>
      </w:r>
      <w:r w:rsidRPr="00FF4D4B">
        <w:rPr>
          <w:rFonts w:cs="Times New Roman"/>
        </w:rPr>
        <w:tab/>
        <w:t>http://www.investor.jnj.com/releasedetail.cfm?ReleaseID=555562</w:t>
      </w:r>
    </w:p>
    <w:p w14:paraId="6602D6DD" w14:textId="5088C591" w:rsidR="00AB40A2" w:rsidRPr="00FF4D4B" w:rsidRDefault="00AB40A2" w:rsidP="00FE720C">
      <w:pPr>
        <w:spacing w:line="480" w:lineRule="auto"/>
        <w:rPr>
          <w:rFonts w:cs="Times New Roman"/>
        </w:rPr>
      </w:pPr>
      <w:r w:rsidRPr="00FF4D4B">
        <w:rPr>
          <w:rFonts w:cs="Times New Roman"/>
        </w:rPr>
        <w:t xml:space="preserve">Johnson &amp; Johnson Completes Tender Offer for Crucell and Declares Offer Unconditional, </w:t>
      </w:r>
      <w:r w:rsidRPr="00FF4D4B">
        <w:rPr>
          <w:rFonts w:cs="Times New Roman"/>
        </w:rPr>
        <w:tab/>
        <w:t xml:space="preserve">February 22, 2011, Investors Relations Johnson and Johnson. Retrieved from: </w:t>
      </w:r>
      <w:r w:rsidRPr="00FF4D4B">
        <w:rPr>
          <w:rFonts w:cs="Times New Roman"/>
        </w:rPr>
        <w:tab/>
        <w:t>http://www.investor.jnj.com/releasedetail.cfm?ReleaseID=551527</w:t>
      </w:r>
    </w:p>
    <w:p w14:paraId="0CBA72A5" w14:textId="3D2182A4" w:rsidR="00D12E8F" w:rsidRPr="00FF4D4B" w:rsidRDefault="00D12E8F" w:rsidP="00FE720C">
      <w:pPr>
        <w:spacing w:line="480" w:lineRule="auto"/>
        <w:ind w:left="426" w:hanging="426"/>
        <w:rPr>
          <w:rFonts w:cs="Times New Roman"/>
        </w:rPr>
      </w:pPr>
      <w:r w:rsidRPr="00FF4D4B">
        <w:rPr>
          <w:rFonts w:cs="Times New Roman"/>
        </w:rPr>
        <w:lastRenderedPageBreak/>
        <w:t xml:space="preserve">Kawulich, B. B. (2004) </w:t>
      </w:r>
      <w:r w:rsidRPr="00FF4D4B">
        <w:rPr>
          <w:rFonts w:cs="Times New Roman"/>
          <w:i/>
        </w:rPr>
        <w:t xml:space="preserve">Data analysis techniques in qualitative research. </w:t>
      </w:r>
      <w:r w:rsidRPr="00FF4D4B">
        <w:rPr>
          <w:rFonts w:cs="Times New Roman"/>
        </w:rPr>
        <w:t>State University of West</w:t>
      </w:r>
      <w:r w:rsidR="00256722" w:rsidRPr="00FF4D4B">
        <w:rPr>
          <w:rFonts w:cs="Times New Roman"/>
        </w:rPr>
        <w:t xml:space="preserve"> </w:t>
      </w:r>
      <w:r w:rsidRPr="00FF4D4B">
        <w:rPr>
          <w:rFonts w:cs="Times New Roman"/>
        </w:rPr>
        <w:t>Georgia.</w:t>
      </w:r>
    </w:p>
    <w:p w14:paraId="5EA13491" w14:textId="4656C711" w:rsidR="00D12E8F" w:rsidRPr="00FF4D4B" w:rsidRDefault="00B14A9A" w:rsidP="00FE720C">
      <w:pPr>
        <w:spacing w:line="480" w:lineRule="auto"/>
        <w:rPr>
          <w:rFonts w:cs="Times New Roman"/>
        </w:rPr>
      </w:pPr>
      <w:r w:rsidRPr="00FF4D4B">
        <w:rPr>
          <w:rFonts w:cs="Times New Roman"/>
        </w:rPr>
        <w:t>Launso</w:t>
      </w:r>
      <w:r w:rsidR="00D12E8F" w:rsidRPr="00FF4D4B">
        <w:rPr>
          <w:rFonts w:cs="Times New Roman"/>
        </w:rPr>
        <w:t xml:space="preserve">, L., Rieper, O. (2006) Qualitative research methods in complementary and alternative </w:t>
      </w:r>
      <w:r w:rsidR="00256722" w:rsidRPr="00FF4D4B">
        <w:rPr>
          <w:rFonts w:cs="Times New Roman"/>
        </w:rPr>
        <w:tab/>
      </w:r>
      <w:r w:rsidR="00D12E8F" w:rsidRPr="00FF4D4B">
        <w:rPr>
          <w:rFonts w:cs="Times New Roman"/>
        </w:rPr>
        <w:t>treatment</w:t>
      </w:r>
      <w:r w:rsidR="00D12E8F" w:rsidRPr="00FF4D4B">
        <w:rPr>
          <w:rFonts w:cs="Times New Roman"/>
          <w:i/>
        </w:rPr>
        <w:t>,</w:t>
      </w:r>
      <w:r w:rsidR="00D12E8F" w:rsidRPr="00FF4D4B">
        <w:rPr>
          <w:rFonts w:cs="Times New Roman"/>
        </w:rPr>
        <w:t xml:space="preserve"> </w:t>
      </w:r>
      <w:r w:rsidR="00D12E8F" w:rsidRPr="00FF4D4B">
        <w:rPr>
          <w:rFonts w:cs="Times New Roman"/>
          <w:i/>
        </w:rPr>
        <w:t>Nafkam</w:t>
      </w:r>
      <w:r w:rsidR="00256722" w:rsidRPr="00FF4D4B">
        <w:rPr>
          <w:rFonts w:cs="Times New Roman"/>
        </w:rPr>
        <w:t>,</w:t>
      </w:r>
      <w:r w:rsidR="00D12E8F" w:rsidRPr="00FF4D4B">
        <w:rPr>
          <w:rFonts w:cs="Times New Roman"/>
        </w:rPr>
        <w:t xml:space="preserve"> issue No. 3, The National Research Center in</w:t>
      </w:r>
      <w:r w:rsidR="00256722" w:rsidRPr="00FF4D4B">
        <w:rPr>
          <w:rFonts w:cs="Times New Roman"/>
        </w:rPr>
        <w:t xml:space="preserve"> </w:t>
      </w:r>
      <w:r w:rsidR="00D12E8F" w:rsidRPr="00FF4D4B">
        <w:rPr>
          <w:rFonts w:cs="Times New Roman"/>
        </w:rPr>
        <w:t xml:space="preserve">Complementary and </w:t>
      </w:r>
      <w:r w:rsidR="00256722" w:rsidRPr="00FF4D4B">
        <w:rPr>
          <w:rFonts w:cs="Times New Roman"/>
        </w:rPr>
        <w:tab/>
      </w:r>
      <w:r w:rsidR="00D12E8F" w:rsidRPr="00FF4D4B">
        <w:rPr>
          <w:rFonts w:cs="Times New Roman"/>
        </w:rPr>
        <w:t>AlternativeMedicine, University of Tromsø Norway</w:t>
      </w:r>
    </w:p>
    <w:p w14:paraId="09A06969" w14:textId="0A1FBAAF" w:rsidR="00FF7271" w:rsidRPr="00FF4D4B" w:rsidRDefault="00FF7271" w:rsidP="00FE720C">
      <w:pPr>
        <w:spacing w:line="480" w:lineRule="auto"/>
        <w:rPr>
          <w:rFonts w:cs="Times New Roman"/>
        </w:rPr>
      </w:pPr>
      <w:r w:rsidRPr="00FF4D4B">
        <w:rPr>
          <w:rFonts w:cs="Times New Roman"/>
        </w:rPr>
        <w:t xml:space="preserve">Lefanowicz, C.E., Robinson, J.R., Smith, R. (2000) Golden Parachutes and Managerial </w:t>
      </w:r>
      <w:r w:rsidRPr="00FF4D4B">
        <w:rPr>
          <w:rFonts w:cs="Times New Roman"/>
        </w:rPr>
        <w:tab/>
        <w:t xml:space="preserve">Incentives in </w:t>
      </w:r>
      <w:r w:rsidR="00256722" w:rsidRPr="00FF4D4B">
        <w:rPr>
          <w:rFonts w:cs="Times New Roman"/>
        </w:rPr>
        <w:tab/>
      </w:r>
      <w:r w:rsidRPr="00FF4D4B">
        <w:rPr>
          <w:rFonts w:cs="Times New Roman"/>
        </w:rPr>
        <w:t xml:space="preserve">Corporate Acquisitions: Evidence from the 1980s and 1990s. </w:t>
      </w:r>
      <w:r w:rsidRPr="00FF4D4B">
        <w:rPr>
          <w:rFonts w:cs="Times New Roman"/>
          <w:i/>
          <w:iCs/>
        </w:rPr>
        <w:t xml:space="preserve">Journal of Corporate Finance </w:t>
      </w:r>
      <w:r w:rsidRPr="00FF4D4B">
        <w:rPr>
          <w:rFonts w:cs="Times New Roman"/>
        </w:rPr>
        <w:t xml:space="preserve">6, </w:t>
      </w:r>
      <w:r w:rsidR="00256722" w:rsidRPr="00FF4D4B">
        <w:rPr>
          <w:rFonts w:cs="Times New Roman"/>
        </w:rPr>
        <w:tab/>
      </w:r>
      <w:r w:rsidRPr="00FF4D4B">
        <w:rPr>
          <w:rFonts w:cs="Times New Roman"/>
        </w:rPr>
        <w:t xml:space="preserve">215-239. </w:t>
      </w:r>
    </w:p>
    <w:p w14:paraId="3638594A" w14:textId="65DDD8E8" w:rsidR="00EC595F" w:rsidRPr="00FF4D4B" w:rsidRDefault="00FF7271" w:rsidP="00EC595F">
      <w:pPr>
        <w:spacing w:line="480" w:lineRule="auto"/>
        <w:ind w:left="426" w:hanging="426"/>
        <w:rPr>
          <w:rFonts w:cs="Times New Roman"/>
        </w:rPr>
      </w:pPr>
      <w:r w:rsidRPr="00FF4D4B">
        <w:rPr>
          <w:rFonts w:cs="Times New Roman"/>
          <w:i/>
        </w:rPr>
        <w:t>Legislation on claw back of bonuses</w:t>
      </w:r>
      <w:r w:rsidR="00256722" w:rsidRPr="00FF4D4B">
        <w:rPr>
          <w:rFonts w:cs="Times New Roman"/>
          <w:i/>
        </w:rPr>
        <w:t xml:space="preserve"> </w:t>
      </w:r>
      <w:r w:rsidR="00256722" w:rsidRPr="00FF4D4B">
        <w:rPr>
          <w:rFonts w:cs="Times New Roman"/>
        </w:rPr>
        <w:t>(October 17,2013)</w:t>
      </w:r>
      <w:r w:rsidRPr="00FF4D4B">
        <w:rPr>
          <w:rFonts w:cs="Times New Roman"/>
        </w:rPr>
        <w:t xml:space="preserve"> Allen &amp; Overy, Publications</w:t>
      </w:r>
      <w:r w:rsidR="00256722" w:rsidRPr="00FF4D4B">
        <w:rPr>
          <w:rFonts w:cs="Times New Roman"/>
        </w:rPr>
        <w:t>.</w:t>
      </w:r>
    </w:p>
    <w:p w14:paraId="6BB08C6D" w14:textId="0AD73AFD" w:rsidR="00EC595F" w:rsidRPr="00FF4D4B" w:rsidRDefault="00EC595F" w:rsidP="00EC595F">
      <w:pPr>
        <w:spacing w:line="480" w:lineRule="auto"/>
        <w:ind w:left="426" w:hanging="426"/>
        <w:rPr>
          <w:rFonts w:cs="Times New Roman"/>
        </w:rPr>
      </w:pPr>
      <w:r w:rsidRPr="00FF4D4B">
        <w:rPr>
          <w:rFonts w:cs="Times New Roman"/>
        </w:rPr>
        <w:t xml:space="preserve">Offer Memorandum ABN Amro Holding N.V. by RFS Holding N.V. </w:t>
      </w:r>
      <w:r w:rsidR="00256722" w:rsidRPr="00FF4D4B">
        <w:rPr>
          <w:rFonts w:cs="Times New Roman"/>
        </w:rPr>
        <w:t>(</w:t>
      </w:r>
      <w:r w:rsidRPr="00FF4D4B">
        <w:rPr>
          <w:rFonts w:cs="Times New Roman"/>
        </w:rPr>
        <w:t>July 20, 2007</w:t>
      </w:r>
      <w:r w:rsidR="00256722" w:rsidRPr="00FF4D4B">
        <w:rPr>
          <w:rFonts w:cs="Times New Roman"/>
        </w:rPr>
        <w:t>)</w:t>
      </w:r>
    </w:p>
    <w:p w14:paraId="2CEB8BBE" w14:textId="7DFEB54D" w:rsidR="00096687" w:rsidRPr="00FF4D4B" w:rsidRDefault="00096687" w:rsidP="00EC595F">
      <w:pPr>
        <w:spacing w:line="480" w:lineRule="auto"/>
        <w:ind w:left="426" w:hanging="426"/>
        <w:rPr>
          <w:rFonts w:cs="Times New Roman"/>
        </w:rPr>
      </w:pPr>
      <w:r w:rsidRPr="00FF4D4B">
        <w:rPr>
          <w:rFonts w:cs="Times New Roman"/>
        </w:rPr>
        <w:t xml:space="preserve">Offer </w:t>
      </w:r>
      <w:r w:rsidR="00EC595F" w:rsidRPr="00FF4D4B">
        <w:rPr>
          <w:rFonts w:cs="Times New Roman"/>
        </w:rPr>
        <w:t>Memorandum</w:t>
      </w:r>
      <w:r w:rsidRPr="00FF4D4B">
        <w:rPr>
          <w:rFonts w:cs="Times New Roman"/>
        </w:rPr>
        <w:t xml:space="preserve"> Crucell NV JJC Acquisition Company BV </w:t>
      </w:r>
      <w:r w:rsidR="00256722" w:rsidRPr="00FF4D4B">
        <w:rPr>
          <w:rFonts w:cs="Times New Roman"/>
        </w:rPr>
        <w:t>(</w:t>
      </w:r>
      <w:r w:rsidRPr="00FF4D4B">
        <w:rPr>
          <w:rFonts w:cs="Times New Roman"/>
        </w:rPr>
        <w:t>December 8, 2010</w:t>
      </w:r>
      <w:r w:rsidR="00256722" w:rsidRPr="00FF4D4B">
        <w:rPr>
          <w:rFonts w:cs="Times New Roman"/>
        </w:rPr>
        <w:t>)</w:t>
      </w:r>
    </w:p>
    <w:p w14:paraId="7A213411" w14:textId="2F7E506C" w:rsidR="00EC595F" w:rsidRPr="00FF4D4B" w:rsidRDefault="00EC595F" w:rsidP="00EC595F">
      <w:pPr>
        <w:spacing w:line="480" w:lineRule="auto"/>
        <w:ind w:left="426" w:hanging="426"/>
        <w:rPr>
          <w:rFonts w:cs="Times New Roman"/>
        </w:rPr>
      </w:pPr>
      <w:r w:rsidRPr="00FF4D4B">
        <w:rPr>
          <w:rFonts w:cs="Times New Roman"/>
        </w:rPr>
        <w:t xml:space="preserve">Offer Memorandum Numico N.V by Groupe Danone </w:t>
      </w:r>
      <w:r w:rsidR="00256722" w:rsidRPr="00FF4D4B">
        <w:rPr>
          <w:rFonts w:cs="Times New Roman"/>
        </w:rPr>
        <w:t>(</w:t>
      </w:r>
      <w:r w:rsidRPr="00FF4D4B">
        <w:rPr>
          <w:rFonts w:cs="Times New Roman"/>
        </w:rPr>
        <w:t>August 20, 2007</w:t>
      </w:r>
      <w:r w:rsidR="00256722" w:rsidRPr="00FF4D4B">
        <w:rPr>
          <w:rFonts w:cs="Times New Roman"/>
        </w:rPr>
        <w:t>)</w:t>
      </w:r>
    </w:p>
    <w:p w14:paraId="155935E7" w14:textId="1BE0060B" w:rsidR="00096687" w:rsidRPr="00FF4D4B" w:rsidRDefault="00096687" w:rsidP="00FE720C">
      <w:pPr>
        <w:spacing w:line="480" w:lineRule="auto"/>
        <w:rPr>
          <w:rFonts w:cs="Times New Roman"/>
        </w:rPr>
      </w:pPr>
      <w:r w:rsidRPr="00FF4D4B">
        <w:rPr>
          <w:rFonts w:cs="Times New Roman"/>
        </w:rPr>
        <w:t xml:space="preserve">Offer Memorandum Oak Leaf BV </w:t>
      </w:r>
      <w:r w:rsidR="00256722" w:rsidRPr="00FF4D4B">
        <w:rPr>
          <w:rFonts w:cs="Times New Roman"/>
        </w:rPr>
        <w:t>(</w:t>
      </w:r>
      <w:r w:rsidRPr="00FF4D4B">
        <w:rPr>
          <w:rFonts w:cs="Times New Roman"/>
        </w:rPr>
        <w:t>June 12, 2013</w:t>
      </w:r>
      <w:r w:rsidR="00256722" w:rsidRPr="00FF4D4B">
        <w:rPr>
          <w:rFonts w:cs="Times New Roman"/>
        </w:rPr>
        <w:t>)</w:t>
      </w:r>
    </w:p>
    <w:p w14:paraId="62B5868A" w14:textId="559B3390" w:rsidR="00096687" w:rsidRPr="00FF4D4B" w:rsidRDefault="00096687" w:rsidP="00FE720C">
      <w:pPr>
        <w:pStyle w:val="Voetnoottekst"/>
        <w:spacing w:line="480" w:lineRule="auto"/>
      </w:pPr>
      <w:r w:rsidRPr="00FF4D4B">
        <w:lastRenderedPageBreak/>
        <w:t xml:space="preserve">Offer Memorandum Recommended Mixed Exchange and Cash Offer Prysmian </w:t>
      </w:r>
      <w:r w:rsidR="00256722" w:rsidRPr="00FF4D4B">
        <w:t>(</w:t>
      </w:r>
      <w:r w:rsidRPr="00FF4D4B">
        <w:t>January 5, 2011</w:t>
      </w:r>
      <w:r w:rsidR="00256722" w:rsidRPr="00FF4D4B">
        <w:t>)</w:t>
      </w:r>
    </w:p>
    <w:p w14:paraId="0D4BC719" w14:textId="64A67794" w:rsidR="00096687" w:rsidRPr="00FF4D4B" w:rsidRDefault="00096687" w:rsidP="00FE720C">
      <w:pPr>
        <w:pStyle w:val="Voetnoottekst"/>
        <w:spacing w:line="480" w:lineRule="auto"/>
        <w:rPr>
          <w:szCs w:val="22"/>
        </w:rPr>
      </w:pPr>
      <w:r w:rsidRPr="0085022C">
        <w:rPr>
          <w:rFonts w:eastAsiaTheme="minorHAnsi"/>
          <w:szCs w:val="22"/>
          <w:lang w:eastAsia="en-US"/>
        </w:rPr>
        <w:t xml:space="preserve">Open letter of the Commission of Company Law to the </w:t>
      </w:r>
      <w:r w:rsidR="0085022C">
        <w:rPr>
          <w:rFonts w:eastAsiaTheme="minorHAnsi"/>
          <w:szCs w:val="22"/>
          <w:lang w:eastAsia="en-US"/>
        </w:rPr>
        <w:t>Ministry of Security and</w:t>
      </w:r>
      <w:r w:rsidRPr="0085022C">
        <w:rPr>
          <w:rFonts w:eastAsiaTheme="minorHAnsi"/>
          <w:szCs w:val="22"/>
          <w:lang w:eastAsia="en-US"/>
        </w:rPr>
        <w:t xml:space="preserve"> Justice </w:t>
      </w:r>
      <w:r w:rsidR="00256722" w:rsidRPr="00FF4D4B">
        <w:rPr>
          <w:rFonts w:eastAsiaTheme="minorHAnsi"/>
          <w:szCs w:val="22"/>
          <w:lang w:eastAsia="en-US"/>
        </w:rPr>
        <w:t>(</w:t>
      </w:r>
      <w:r w:rsidRPr="00FF4D4B">
        <w:rPr>
          <w:rFonts w:eastAsiaTheme="minorHAnsi"/>
          <w:szCs w:val="22"/>
          <w:lang w:eastAsia="en-US"/>
        </w:rPr>
        <w:t>April 15, 2010</w:t>
      </w:r>
      <w:r w:rsidR="00256722" w:rsidRPr="00FF4D4B">
        <w:rPr>
          <w:rFonts w:eastAsiaTheme="minorHAnsi"/>
          <w:szCs w:val="22"/>
          <w:lang w:eastAsia="en-US"/>
        </w:rPr>
        <w:t>)</w:t>
      </w:r>
    </w:p>
    <w:p w14:paraId="244E5189" w14:textId="6CA53DBC" w:rsidR="00256722" w:rsidRPr="00FF4D4B" w:rsidRDefault="00D12E8F" w:rsidP="00FE720C">
      <w:pPr>
        <w:spacing w:line="480" w:lineRule="auto"/>
        <w:ind w:left="426" w:hanging="426"/>
        <w:rPr>
          <w:rFonts w:cs="Times New Roman"/>
        </w:rPr>
      </w:pPr>
      <w:r w:rsidRPr="00FF4D4B">
        <w:rPr>
          <w:rFonts w:cs="Times New Roman"/>
        </w:rPr>
        <w:t>Patton, M. Q. (1987) How to use qualitative methods in evaluation</w:t>
      </w:r>
      <w:r w:rsidRPr="00FF4D4B">
        <w:rPr>
          <w:rFonts w:cs="Times New Roman"/>
          <w:i/>
        </w:rPr>
        <w:t xml:space="preserve"> </w:t>
      </w:r>
      <w:r w:rsidRPr="00FF4D4B">
        <w:rPr>
          <w:rFonts w:cs="Times New Roman"/>
        </w:rPr>
        <w:t>London: Sage.</w:t>
      </w:r>
    </w:p>
    <w:p w14:paraId="08A3FA3D" w14:textId="7C1958BD" w:rsidR="00347777" w:rsidRDefault="00347777" w:rsidP="002B1FD0">
      <w:pPr>
        <w:spacing w:line="480" w:lineRule="auto"/>
        <w:ind w:left="426" w:hanging="426"/>
        <w:rPr>
          <w:rFonts w:cs="Times New Roman"/>
        </w:rPr>
      </w:pPr>
      <w:r w:rsidRPr="00FF4D4B">
        <w:rPr>
          <w:rFonts w:cs="Times New Roman"/>
        </w:rPr>
        <w:t>Pearce J. A., Robinson, R. B. (2004) Hostile takeover defenses that maximize shareholder</w:t>
      </w:r>
      <w:r w:rsidRPr="00FF4D4B">
        <w:rPr>
          <w:rFonts w:cs="Times New Roman"/>
        </w:rPr>
        <w:tab/>
        <w:t xml:space="preserve"> wealth, </w:t>
      </w:r>
      <w:r w:rsidRPr="00FF4D4B">
        <w:rPr>
          <w:rFonts w:cs="Times New Roman"/>
          <w:i/>
        </w:rPr>
        <w:t>Business Horizons</w:t>
      </w:r>
      <w:r w:rsidRPr="00FF4D4B">
        <w:rPr>
          <w:rFonts w:cs="Times New Roman"/>
        </w:rPr>
        <w:t>, Volume 47, Issue 5,</w:t>
      </w:r>
      <w:r w:rsidR="008B2D16">
        <w:rPr>
          <w:rFonts w:cs="Times New Roman"/>
        </w:rPr>
        <w:t xml:space="preserve"> September–October 2004, Pages </w:t>
      </w:r>
      <w:r w:rsidRPr="00FF4D4B">
        <w:rPr>
          <w:rFonts w:cs="Times New Roman"/>
        </w:rPr>
        <w:t xml:space="preserve">15-24, ISSN 0007-6813, http://dx.doi.org/10.1016/j.bushor.2004.07.004. </w:t>
      </w:r>
    </w:p>
    <w:p w14:paraId="5C590957" w14:textId="77C81B24" w:rsidR="000B79D1" w:rsidRPr="00FF4D4B" w:rsidRDefault="000B79D1" w:rsidP="002B1FD0">
      <w:pPr>
        <w:spacing w:line="480" w:lineRule="auto"/>
        <w:ind w:left="426" w:hanging="426"/>
        <w:rPr>
          <w:rFonts w:cs="Times New Roman"/>
        </w:rPr>
      </w:pPr>
      <w:r w:rsidRPr="000B79D1">
        <w:rPr>
          <w:rFonts w:cs="Times New Roman"/>
        </w:rPr>
        <w:t xml:space="preserve">Punch, K., (1998). </w:t>
      </w:r>
      <w:r w:rsidRPr="000B79D1">
        <w:rPr>
          <w:rFonts w:cs="Times New Roman"/>
          <w:i/>
        </w:rPr>
        <w:t>Introduction to Social Research: Quantitative and Qualitative Approaches.</w:t>
      </w:r>
      <w:r w:rsidRPr="000B79D1">
        <w:rPr>
          <w:rFonts w:cs="Times New Roman"/>
        </w:rPr>
        <w:t xml:space="preserve"> London, England: Sage Publications Ltd.</w:t>
      </w:r>
    </w:p>
    <w:p w14:paraId="5EB2E16E" w14:textId="1A3E3D86" w:rsidR="00D12E8F" w:rsidRPr="00FF4D4B" w:rsidRDefault="00D12E8F" w:rsidP="00FE720C">
      <w:pPr>
        <w:spacing w:line="480" w:lineRule="auto"/>
        <w:rPr>
          <w:rFonts w:cs="Times New Roman"/>
        </w:rPr>
      </w:pPr>
      <w:r w:rsidRPr="00FF4D4B">
        <w:rPr>
          <w:rFonts w:cs="Times New Roman"/>
        </w:rPr>
        <w:t>Qiu B., Trapkov S., Yakoub F. (2014) Do target CEOs trade premiums for personal</w:t>
      </w:r>
      <w:r w:rsidRPr="00FF4D4B">
        <w:rPr>
          <w:rFonts w:cs="Times New Roman"/>
        </w:rPr>
        <w:tab/>
      </w:r>
      <w:r w:rsidRPr="00FF4D4B">
        <w:rPr>
          <w:rFonts w:cs="Times New Roman"/>
        </w:rPr>
        <w:tab/>
        <w:t xml:space="preserve">benefits?. </w:t>
      </w:r>
      <w:r w:rsidRPr="00FF4D4B">
        <w:rPr>
          <w:rFonts w:cs="Times New Roman"/>
          <w:i/>
        </w:rPr>
        <w:t>Journal of Banking &amp; Finance</w:t>
      </w:r>
      <w:r w:rsidRPr="00FF4D4B">
        <w:rPr>
          <w:rFonts w:cs="Times New Roman"/>
        </w:rPr>
        <w:t>, Volume 42, May 2014, Pages 23-41, ISSN 0378-</w:t>
      </w:r>
      <w:r w:rsidR="00256722" w:rsidRPr="00FF4D4B">
        <w:rPr>
          <w:rFonts w:cs="Times New Roman"/>
        </w:rPr>
        <w:tab/>
      </w:r>
      <w:r w:rsidRPr="00FF4D4B">
        <w:rPr>
          <w:rFonts w:cs="Times New Roman"/>
        </w:rPr>
        <w:t>4266, http://dx.doi.org/10.1016/j.jbankfin.2014.01.013.</w:t>
      </w:r>
    </w:p>
    <w:p w14:paraId="152FCE44" w14:textId="60CB0AA1" w:rsidR="00096687" w:rsidRPr="00FF4D4B" w:rsidRDefault="00096687" w:rsidP="00FE720C">
      <w:pPr>
        <w:pStyle w:val="Voetnoottekst"/>
        <w:spacing w:line="480" w:lineRule="auto"/>
      </w:pPr>
      <w:r w:rsidRPr="00FF4D4B">
        <w:t xml:space="preserve">Remuneration report </w:t>
      </w:r>
      <w:r w:rsidR="00256722" w:rsidRPr="00FF4D4B">
        <w:t>(</w:t>
      </w:r>
      <w:r w:rsidRPr="00FF4D4B">
        <w:t>2011</w:t>
      </w:r>
      <w:r w:rsidR="00256722" w:rsidRPr="00FF4D4B">
        <w:t xml:space="preserve">) </w:t>
      </w:r>
      <w:r w:rsidRPr="00FF4D4B">
        <w:t>Prysmian Group</w:t>
      </w:r>
    </w:p>
    <w:p w14:paraId="50E5B769" w14:textId="094BE369" w:rsidR="00060003" w:rsidRPr="00FF4D4B" w:rsidRDefault="00060003" w:rsidP="00FE720C">
      <w:pPr>
        <w:spacing w:line="480" w:lineRule="auto"/>
        <w:rPr>
          <w:rFonts w:cs="Times New Roman"/>
        </w:rPr>
      </w:pPr>
      <w:r w:rsidRPr="00FF4D4B">
        <w:rPr>
          <w:rFonts w:cs="Times New Roman"/>
        </w:rPr>
        <w:lastRenderedPageBreak/>
        <w:t xml:space="preserve">Schneider, P. J. (2013) The managerial power theory of executive compensation, </w:t>
      </w:r>
      <w:r w:rsidRPr="00FF4D4B">
        <w:rPr>
          <w:rFonts w:cs="Times New Roman"/>
          <w:i/>
        </w:rPr>
        <w:t xml:space="preserve">Journal of </w:t>
      </w:r>
      <w:r w:rsidRPr="00FF4D4B">
        <w:rPr>
          <w:rFonts w:cs="Times New Roman"/>
          <w:i/>
        </w:rPr>
        <w:tab/>
        <w:t>Financial Service Professionals</w:t>
      </w:r>
      <w:r w:rsidR="00AB40A2" w:rsidRPr="00FF4D4B">
        <w:rPr>
          <w:rFonts w:cs="Times New Roman"/>
        </w:rPr>
        <w:t>.</w:t>
      </w:r>
      <w:r w:rsidRPr="00FF4D4B">
        <w:rPr>
          <w:rFonts w:cs="Times New Roman"/>
        </w:rPr>
        <w:t xml:space="preserve"> May</w:t>
      </w:r>
      <w:r w:rsidR="00AB40A2" w:rsidRPr="00FF4D4B">
        <w:rPr>
          <w:rFonts w:cs="Times New Roman"/>
        </w:rPr>
        <w:t xml:space="preserve"> </w:t>
      </w:r>
      <w:r w:rsidRPr="00FF4D4B">
        <w:rPr>
          <w:rFonts w:cs="Times New Roman"/>
        </w:rPr>
        <w:t>2013, Vol. 67 Issue 3, p17</w:t>
      </w:r>
    </w:p>
    <w:p w14:paraId="17BA2A50" w14:textId="698688B2" w:rsidR="00060003" w:rsidRPr="00FF4D4B" w:rsidRDefault="00060003" w:rsidP="00FE720C">
      <w:pPr>
        <w:spacing w:line="480" w:lineRule="auto"/>
        <w:rPr>
          <w:rFonts w:cs="Times New Roman"/>
        </w:rPr>
      </w:pPr>
      <w:r w:rsidRPr="00FF4D4B">
        <w:rPr>
          <w:rFonts w:cs="Times New Roman"/>
        </w:rPr>
        <w:t>Shleifer, An</w:t>
      </w:r>
      <w:r w:rsidR="00AB40A2" w:rsidRPr="00FF4D4B">
        <w:rPr>
          <w:rFonts w:cs="Times New Roman"/>
        </w:rPr>
        <w:t>drei and Robert W. Vishny (2001)</w:t>
      </w:r>
      <w:r w:rsidRPr="00FF4D4B">
        <w:rPr>
          <w:rFonts w:cs="Times New Roman"/>
        </w:rPr>
        <w:t xml:space="preserve"> Stock market driven acquisitions, Harvard </w:t>
      </w:r>
      <w:r w:rsidR="00597AFE" w:rsidRPr="00FF4D4B">
        <w:rPr>
          <w:rFonts w:cs="Times New Roman"/>
        </w:rPr>
        <w:tab/>
      </w:r>
      <w:r w:rsidRPr="00FF4D4B">
        <w:rPr>
          <w:rFonts w:cs="Times New Roman"/>
        </w:rPr>
        <w:t>University.</w:t>
      </w:r>
    </w:p>
    <w:p w14:paraId="3C672D45" w14:textId="6FB649E2" w:rsidR="00430307" w:rsidRPr="00FF4D4B" w:rsidRDefault="00430307" w:rsidP="00FE720C">
      <w:pPr>
        <w:spacing w:line="480" w:lineRule="auto"/>
        <w:rPr>
          <w:rFonts w:cs="Times New Roman"/>
        </w:rPr>
      </w:pPr>
      <w:r w:rsidRPr="00FF4D4B">
        <w:rPr>
          <w:rFonts w:cs="Times New Roman"/>
        </w:rPr>
        <w:t xml:space="preserve">Vugt, F. (2013) </w:t>
      </w:r>
      <w:r w:rsidRPr="00FF4D4B">
        <w:rPr>
          <w:rFonts w:cs="Times New Roman"/>
          <w:bCs/>
        </w:rPr>
        <w:t xml:space="preserve">Examining the Effects of a Global Crisis on CEO Compensation: Fortune 100 </w:t>
      </w:r>
      <w:r w:rsidRPr="00FF4D4B">
        <w:rPr>
          <w:rFonts w:cs="Times New Roman"/>
          <w:bCs/>
        </w:rPr>
        <w:tab/>
        <w:t>Evidence</w:t>
      </w:r>
      <w:r w:rsidRPr="00FF4D4B">
        <w:rPr>
          <w:rFonts w:cs="Times New Roman"/>
        </w:rPr>
        <w:t xml:space="preserve">. University of Twente, Faculty of Management and Governance. </w:t>
      </w:r>
    </w:p>
    <w:p w14:paraId="18F3C9A6" w14:textId="6863B13B" w:rsidR="00FF7271" w:rsidRPr="00FF4D4B" w:rsidRDefault="00FF7271" w:rsidP="00FE720C">
      <w:pPr>
        <w:spacing w:line="480" w:lineRule="auto"/>
        <w:rPr>
          <w:rFonts w:cs="Times New Roman"/>
        </w:rPr>
      </w:pPr>
      <w:r w:rsidRPr="00FF4D4B">
        <w:rPr>
          <w:rFonts w:cs="Times New Roman"/>
          <w:i/>
        </w:rPr>
        <w:t>Wet aanpassing en terugvordering van bonuses en winstdelingen [Clawback of bonuses Act]</w:t>
      </w:r>
      <w:r w:rsidRPr="00FF4D4B">
        <w:rPr>
          <w:rFonts w:cs="Times New Roman"/>
        </w:rPr>
        <w:t xml:space="preserve"> (2014) </w:t>
      </w:r>
      <w:r w:rsidR="00256722" w:rsidRPr="00FF4D4B">
        <w:rPr>
          <w:rFonts w:cs="Times New Roman"/>
        </w:rPr>
        <w:tab/>
      </w:r>
      <w:r w:rsidRPr="00FF4D4B">
        <w:rPr>
          <w:rFonts w:cs="Times New Roman"/>
        </w:rPr>
        <w:t>Loyens &amp; Loeff, No. 97</w:t>
      </w:r>
    </w:p>
    <w:p w14:paraId="669C5CE7" w14:textId="5393101B" w:rsidR="0095135E" w:rsidRPr="00FF4D4B" w:rsidRDefault="0095135E" w:rsidP="0095135E">
      <w:pPr>
        <w:spacing w:line="480" w:lineRule="auto"/>
        <w:rPr>
          <w:rFonts w:cs="Times New Roman"/>
        </w:rPr>
      </w:pPr>
      <w:r w:rsidRPr="00FF4D4B">
        <w:rPr>
          <w:rFonts w:cs="Times New Roman"/>
        </w:rPr>
        <w:t>Yin, R. K. (2003) Case study research: Design and methods (3rd ed.), Thousand Oaks, CA:</w:t>
      </w:r>
      <w:r w:rsidR="00256722" w:rsidRPr="00FF4D4B">
        <w:rPr>
          <w:rFonts w:cs="Times New Roman"/>
        </w:rPr>
        <w:t xml:space="preserve"> S</w:t>
      </w:r>
      <w:r w:rsidRPr="00FF4D4B">
        <w:rPr>
          <w:rFonts w:cs="Times New Roman"/>
        </w:rPr>
        <w:t>age.</w:t>
      </w:r>
    </w:p>
    <w:p w14:paraId="5BF5F981" w14:textId="77777777" w:rsidR="00601F6C" w:rsidRPr="00FF4D4B" w:rsidRDefault="00601F6C" w:rsidP="00601F6C">
      <w:pPr>
        <w:pStyle w:val="Kop1"/>
        <w:rPr>
          <w:rFonts w:cs="Times New Roman"/>
        </w:rPr>
      </w:pPr>
      <w:r w:rsidRPr="00FF4D4B">
        <w:rPr>
          <w:rFonts w:cs="Times New Roman"/>
        </w:rPr>
        <w:br w:type="column"/>
      </w:r>
      <w:bookmarkStart w:id="63" w:name="_Toc301441885"/>
      <w:r w:rsidRPr="00FF4D4B">
        <w:rPr>
          <w:rFonts w:cs="Times New Roman"/>
        </w:rPr>
        <w:lastRenderedPageBreak/>
        <w:t>Appendix</w:t>
      </w:r>
      <w:bookmarkEnd w:id="63"/>
    </w:p>
    <w:p w14:paraId="1692322C" w14:textId="752708EC" w:rsidR="007C7AC3" w:rsidRPr="00FF4D4B" w:rsidRDefault="007C7AC3" w:rsidP="00093FA0">
      <w:pPr>
        <w:pStyle w:val="Kop3"/>
      </w:pPr>
      <w:bookmarkStart w:id="64" w:name="_Toc301441886"/>
      <w:r w:rsidRPr="00FF4D4B">
        <w:t>APPENDIX I: share price valuation in accordance to the Provision.</w:t>
      </w:r>
      <w:bookmarkEnd w:id="64"/>
    </w:p>
    <w:p w14:paraId="1A6EFE56" w14:textId="77777777" w:rsidR="003B4A89" w:rsidRPr="00FF4D4B" w:rsidRDefault="00211BED" w:rsidP="00093FA0">
      <w:pPr>
        <w:pStyle w:val="Kop3"/>
      </w:pPr>
      <w:r w:rsidRPr="00FF4D4B">
        <w:rPr>
          <w:noProof/>
        </w:rPr>
        <w:drawing>
          <wp:inline distT="0" distB="0" distL="0" distR="0" wp14:anchorId="4312AFDD" wp14:editId="109879FC">
            <wp:extent cx="5755640" cy="4292600"/>
            <wp:effectExtent l="0" t="0" r="10160" b="0"/>
            <wp:docPr id="7" name="Afbeelding 7" descr="Macintosh HD:Users:Luukkuiper:Pictures:Schermafbeeldingen:Captura de pantalla 2015-06-03 a las 8.5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ukkuiper:Pictures:Schermafbeeldingen:Captura de pantalla 2015-06-03 a las 8.56.54.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55640" cy="4292600"/>
                    </a:xfrm>
                    <a:prstGeom prst="rect">
                      <a:avLst/>
                    </a:prstGeom>
                    <a:noFill/>
                    <a:ln>
                      <a:noFill/>
                    </a:ln>
                  </pic:spPr>
                </pic:pic>
              </a:graphicData>
            </a:graphic>
          </wp:inline>
        </w:drawing>
      </w:r>
    </w:p>
    <w:p w14:paraId="019B82CD" w14:textId="322EE3EA" w:rsidR="007C7AC3" w:rsidRPr="00FF4D4B" w:rsidRDefault="003B4A89" w:rsidP="00093FA0">
      <w:pPr>
        <w:pStyle w:val="Kop3"/>
      </w:pPr>
      <w:r w:rsidRPr="00FF4D4B">
        <w:br w:type="column"/>
      </w:r>
      <w:bookmarkStart w:id="65" w:name="_Toc301441887"/>
      <w:r w:rsidRPr="00FF4D4B">
        <w:lastRenderedPageBreak/>
        <w:t>APPENDIX I</w:t>
      </w:r>
      <w:r w:rsidR="007C7AC3" w:rsidRPr="00FF4D4B">
        <w:t>I: ABN Amro share price progression</w:t>
      </w:r>
      <w:bookmarkEnd w:id="65"/>
    </w:p>
    <w:p w14:paraId="4B752DF7" w14:textId="2AB5DB30" w:rsidR="007C7AC3" w:rsidRPr="00FF4D4B" w:rsidRDefault="00211BED" w:rsidP="007C7AC3">
      <w:pPr>
        <w:rPr>
          <w:rFonts w:cs="Times New Roman"/>
        </w:rPr>
      </w:pPr>
      <w:r w:rsidRPr="00FF4D4B">
        <w:rPr>
          <w:rFonts w:cs="Times New Roman"/>
          <w:noProof/>
        </w:rPr>
        <w:drawing>
          <wp:inline distT="0" distB="0" distL="0" distR="0" wp14:anchorId="7D51CBCE" wp14:editId="7F0150D4">
            <wp:extent cx="4348046" cy="2886865"/>
            <wp:effectExtent l="0" t="0" r="0" b="8890"/>
            <wp:docPr id="9" name="Afbeelding 9" descr="Macintosh HD:Users:Luukkuiper:Pictures:Schermafbeeldingen:Captura de pantalla 2015-05-28 a las 12.0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ukkuiper:Pictures:Schermafbeeldingen:Captura de pantalla 2015-05-28 a las 12.04.47.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48046" cy="2886865"/>
                    </a:xfrm>
                    <a:prstGeom prst="rect">
                      <a:avLst/>
                    </a:prstGeom>
                    <a:noFill/>
                    <a:ln>
                      <a:noFill/>
                    </a:ln>
                  </pic:spPr>
                </pic:pic>
              </a:graphicData>
            </a:graphic>
          </wp:inline>
        </w:drawing>
      </w:r>
    </w:p>
    <w:p w14:paraId="242D3767" w14:textId="77777777" w:rsidR="00CC6D3D" w:rsidRPr="00FF4D4B" w:rsidRDefault="00CC6D3D" w:rsidP="007C7AC3">
      <w:pPr>
        <w:rPr>
          <w:rFonts w:cs="Times New Roman"/>
        </w:rPr>
      </w:pPr>
    </w:p>
    <w:p w14:paraId="69712C3A" w14:textId="7973969B" w:rsidR="007C7AC3" w:rsidRPr="00FF4D4B" w:rsidRDefault="007C7AC3" w:rsidP="00093FA0">
      <w:pPr>
        <w:pStyle w:val="Kop3"/>
      </w:pPr>
      <w:bookmarkStart w:id="66" w:name="_Toc301441888"/>
      <w:r w:rsidRPr="00FF4D4B">
        <w:t>APPENDIX I</w:t>
      </w:r>
      <w:r w:rsidR="003B4A89" w:rsidRPr="00FF4D4B">
        <w:t>II</w:t>
      </w:r>
      <w:r w:rsidRPr="00FF4D4B">
        <w:t>:</w:t>
      </w:r>
      <w:r w:rsidR="00E81242" w:rsidRPr="00FF4D4B">
        <w:t xml:space="preserve"> Numico NV share price progression (source: Zephyr.com)</w:t>
      </w:r>
      <w:bookmarkEnd w:id="66"/>
    </w:p>
    <w:p w14:paraId="0D902DA8" w14:textId="43580D56" w:rsidR="00E81242" w:rsidRPr="00FF4D4B" w:rsidRDefault="00E81242" w:rsidP="007C7AC3">
      <w:pPr>
        <w:rPr>
          <w:rFonts w:cs="Times New Roman"/>
        </w:rPr>
      </w:pPr>
      <w:r w:rsidRPr="00FF4D4B">
        <w:rPr>
          <w:rFonts w:cs="Times New Roman"/>
          <w:noProof/>
        </w:rPr>
        <w:drawing>
          <wp:inline distT="0" distB="0" distL="0" distR="0" wp14:anchorId="240472A3" wp14:editId="4A330297">
            <wp:extent cx="5148146" cy="1437550"/>
            <wp:effectExtent l="0" t="0" r="8255" b="10795"/>
            <wp:docPr id="11" name="Afbeelding 11" descr="Macintosh HD:Users:Luukkuiper:Pictures:Schermafbeeldingen:Captura de pantalla 2015-06-05 a las 8.4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ukkuiper:Pictures:Schermafbeeldingen:Captura de pantalla 2015-06-05 a las 8.43.15.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148146" cy="1437550"/>
                    </a:xfrm>
                    <a:prstGeom prst="rect">
                      <a:avLst/>
                    </a:prstGeom>
                    <a:noFill/>
                    <a:ln>
                      <a:noFill/>
                    </a:ln>
                  </pic:spPr>
                </pic:pic>
              </a:graphicData>
            </a:graphic>
          </wp:inline>
        </w:drawing>
      </w:r>
    </w:p>
    <w:p w14:paraId="3DDA405D" w14:textId="77777777" w:rsidR="00E81242" w:rsidRPr="00FF4D4B" w:rsidRDefault="00E81242" w:rsidP="007C7AC3">
      <w:pPr>
        <w:rPr>
          <w:rFonts w:cs="Times New Roman"/>
        </w:rPr>
      </w:pPr>
    </w:p>
    <w:p w14:paraId="35BAA28F" w14:textId="6265A7E0" w:rsidR="007C7AC3" w:rsidRPr="00FF4D4B" w:rsidRDefault="007C7AC3" w:rsidP="00093FA0">
      <w:pPr>
        <w:pStyle w:val="Kop3"/>
      </w:pPr>
      <w:bookmarkStart w:id="67" w:name="_Toc301441889"/>
      <w:r w:rsidRPr="00FF4D4B">
        <w:lastRenderedPageBreak/>
        <w:t xml:space="preserve">APPENDIX </w:t>
      </w:r>
      <w:r w:rsidR="003B4A89" w:rsidRPr="00FF4D4B">
        <w:t>I</w:t>
      </w:r>
      <w:r w:rsidRPr="00FF4D4B">
        <w:t>V:</w:t>
      </w:r>
      <w:r w:rsidR="00A909F3" w:rsidRPr="00FF4D4B">
        <w:t xml:space="preserve"> Draka Holding NV share price progression (source: Zephyr.com)</w:t>
      </w:r>
      <w:bookmarkEnd w:id="67"/>
    </w:p>
    <w:p w14:paraId="16F04654" w14:textId="56A9C4A2" w:rsidR="00A909F3" w:rsidRPr="00FF4D4B" w:rsidRDefault="00A909F3" w:rsidP="007C7AC3">
      <w:pPr>
        <w:rPr>
          <w:rFonts w:cs="Times New Roman"/>
        </w:rPr>
      </w:pPr>
      <w:r w:rsidRPr="00FF4D4B">
        <w:rPr>
          <w:rFonts w:cs="Times New Roman"/>
          <w:noProof/>
        </w:rPr>
        <w:drawing>
          <wp:inline distT="0" distB="0" distL="0" distR="0" wp14:anchorId="49E94CBF" wp14:editId="4E2FF590">
            <wp:extent cx="5760720" cy="1163320"/>
            <wp:effectExtent l="0" t="0" r="508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05 a las 13.04.47.png"/>
                    <pic:cNvPicPr/>
                  </pic:nvPicPr>
                  <pic:blipFill>
                    <a:blip r:embed="rId26">
                      <a:extLst>
                        <a:ext uri="{28A0092B-C50C-407E-A947-70E740481C1C}">
                          <a14:useLocalDpi xmlns:a14="http://schemas.microsoft.com/office/drawing/2010/main"/>
                        </a:ext>
                      </a:extLst>
                    </a:blip>
                    <a:stretch>
                      <a:fillRect/>
                    </a:stretch>
                  </pic:blipFill>
                  <pic:spPr>
                    <a:xfrm>
                      <a:off x="0" y="0"/>
                      <a:ext cx="5760720" cy="1163320"/>
                    </a:xfrm>
                    <a:prstGeom prst="rect">
                      <a:avLst/>
                    </a:prstGeom>
                  </pic:spPr>
                </pic:pic>
              </a:graphicData>
            </a:graphic>
          </wp:inline>
        </w:drawing>
      </w:r>
    </w:p>
    <w:p w14:paraId="1F0FCACE" w14:textId="77777777" w:rsidR="00037EE0" w:rsidRPr="00FF4D4B" w:rsidRDefault="00037EE0" w:rsidP="007C7AC3">
      <w:pPr>
        <w:rPr>
          <w:rFonts w:cs="Times New Roman"/>
        </w:rPr>
      </w:pPr>
    </w:p>
    <w:p w14:paraId="63382078" w14:textId="489B2EDF" w:rsidR="007C7AC3" w:rsidRPr="00FF4D4B" w:rsidRDefault="003B4A89" w:rsidP="00093FA0">
      <w:pPr>
        <w:pStyle w:val="Kop3"/>
      </w:pPr>
      <w:bookmarkStart w:id="68" w:name="_Toc301441890"/>
      <w:r w:rsidRPr="00FF4D4B">
        <w:t>APPENDIX V</w:t>
      </w:r>
      <w:r w:rsidR="007C7AC3" w:rsidRPr="00FF4D4B">
        <w:t>:</w:t>
      </w:r>
      <w:r w:rsidR="00DE59D5" w:rsidRPr="00FF4D4B">
        <w:t xml:space="preserve"> Crucell NV share price progression (source: Zephyr.com)</w:t>
      </w:r>
      <w:bookmarkEnd w:id="68"/>
    </w:p>
    <w:p w14:paraId="3A005483" w14:textId="64449AAE" w:rsidR="00DE59D5" w:rsidRPr="00FF4D4B" w:rsidRDefault="00DE59D5" w:rsidP="007C7AC3">
      <w:pPr>
        <w:rPr>
          <w:rFonts w:cs="Times New Roman"/>
        </w:rPr>
      </w:pPr>
      <w:r w:rsidRPr="00FF4D4B">
        <w:rPr>
          <w:rFonts w:cs="Times New Roman"/>
          <w:noProof/>
        </w:rPr>
        <w:drawing>
          <wp:inline distT="0" distB="0" distL="0" distR="0" wp14:anchorId="36EF01E4" wp14:editId="6EFDB24C">
            <wp:extent cx="5262446" cy="105225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10 a las 9.19.05.png"/>
                    <pic:cNvPicPr/>
                  </pic:nvPicPr>
                  <pic:blipFill>
                    <a:blip r:embed="rId27">
                      <a:extLst>
                        <a:ext uri="{28A0092B-C50C-407E-A947-70E740481C1C}">
                          <a14:useLocalDpi xmlns:a14="http://schemas.microsoft.com/office/drawing/2010/main"/>
                        </a:ext>
                      </a:extLst>
                    </a:blip>
                    <a:stretch>
                      <a:fillRect/>
                    </a:stretch>
                  </pic:blipFill>
                  <pic:spPr>
                    <a:xfrm>
                      <a:off x="0" y="0"/>
                      <a:ext cx="5262446" cy="1052257"/>
                    </a:xfrm>
                    <a:prstGeom prst="rect">
                      <a:avLst/>
                    </a:prstGeom>
                  </pic:spPr>
                </pic:pic>
              </a:graphicData>
            </a:graphic>
          </wp:inline>
        </w:drawing>
      </w:r>
    </w:p>
    <w:p w14:paraId="3BE3F596" w14:textId="77777777" w:rsidR="00037EE0" w:rsidRPr="00FF4D4B" w:rsidRDefault="00037EE0" w:rsidP="007C7AC3">
      <w:pPr>
        <w:rPr>
          <w:rFonts w:cs="Times New Roman"/>
        </w:rPr>
      </w:pPr>
    </w:p>
    <w:p w14:paraId="415AA115" w14:textId="404E32EF" w:rsidR="007C7AC3" w:rsidRPr="00FF4D4B" w:rsidRDefault="003B4A89" w:rsidP="00093FA0">
      <w:pPr>
        <w:pStyle w:val="Kop3"/>
      </w:pPr>
      <w:bookmarkStart w:id="69" w:name="_Toc301441891"/>
      <w:r w:rsidRPr="00FF4D4B">
        <w:lastRenderedPageBreak/>
        <w:t>APPENDIX V</w:t>
      </w:r>
      <w:r w:rsidR="007C7AC3" w:rsidRPr="00FF4D4B">
        <w:t>I:</w:t>
      </w:r>
      <w:r w:rsidR="00DE59D5" w:rsidRPr="00FF4D4B">
        <w:t xml:space="preserve"> DE Master Blenders NV share price progression (source: </w:t>
      </w:r>
      <w:r w:rsidR="00EE702B" w:rsidRPr="00FF4D4B">
        <w:t>Behr.nl</w:t>
      </w:r>
      <w:r w:rsidR="00DE59D5" w:rsidRPr="00FF4D4B">
        <w:t>)</w:t>
      </w:r>
      <w:bookmarkEnd w:id="69"/>
    </w:p>
    <w:p w14:paraId="53D41C24" w14:textId="4A19BE45" w:rsidR="00B93BC0" w:rsidRPr="00FF4D4B" w:rsidRDefault="00EE702B" w:rsidP="007C7AC3">
      <w:pPr>
        <w:rPr>
          <w:rFonts w:cs="Times New Roman"/>
        </w:rPr>
      </w:pPr>
      <w:r w:rsidRPr="00FF4D4B">
        <w:rPr>
          <w:rFonts w:cs="Times New Roman"/>
          <w:noProof/>
        </w:rPr>
        <w:drawing>
          <wp:inline distT="0" distB="0" distL="0" distR="0" wp14:anchorId="58A53A33" wp14:editId="2A75C623">
            <wp:extent cx="4919546" cy="2298174"/>
            <wp:effectExtent l="0" t="0" r="825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10 a las 20.57.33.png"/>
                    <pic:cNvPicPr/>
                  </pic:nvPicPr>
                  <pic:blipFill>
                    <a:blip r:embed="rId28">
                      <a:extLst>
                        <a:ext uri="{28A0092B-C50C-407E-A947-70E740481C1C}">
                          <a14:useLocalDpi xmlns:a14="http://schemas.microsoft.com/office/drawing/2010/main"/>
                        </a:ext>
                      </a:extLst>
                    </a:blip>
                    <a:stretch>
                      <a:fillRect/>
                    </a:stretch>
                  </pic:blipFill>
                  <pic:spPr>
                    <a:xfrm>
                      <a:off x="0" y="0"/>
                      <a:ext cx="4919546" cy="2298174"/>
                    </a:xfrm>
                    <a:prstGeom prst="rect">
                      <a:avLst/>
                    </a:prstGeom>
                  </pic:spPr>
                </pic:pic>
              </a:graphicData>
            </a:graphic>
          </wp:inline>
        </w:drawing>
      </w:r>
    </w:p>
    <w:p w14:paraId="33515089" w14:textId="77777777" w:rsidR="00037EE0" w:rsidRPr="00FF4D4B" w:rsidRDefault="00037EE0" w:rsidP="007C7AC3">
      <w:pPr>
        <w:rPr>
          <w:rFonts w:cs="Times New Roman"/>
        </w:rPr>
      </w:pPr>
    </w:p>
    <w:p w14:paraId="249D7DFF" w14:textId="3A231DA8" w:rsidR="007C7AC3" w:rsidRPr="00FF4D4B" w:rsidRDefault="003B4A89" w:rsidP="00093FA0">
      <w:pPr>
        <w:pStyle w:val="Kop3"/>
      </w:pPr>
      <w:bookmarkStart w:id="70" w:name="_Toc301441892"/>
      <w:r w:rsidRPr="00FF4D4B">
        <w:lastRenderedPageBreak/>
        <w:t>APPENDIX VI</w:t>
      </w:r>
      <w:r w:rsidR="007C7AC3" w:rsidRPr="00FF4D4B">
        <w:t>I:</w:t>
      </w:r>
      <w:r w:rsidR="00037EE0" w:rsidRPr="00FF4D4B">
        <w:t xml:space="preserve"> Severance calculations. Original situation vs. application of Provision.</w:t>
      </w:r>
      <w:bookmarkEnd w:id="70"/>
    </w:p>
    <w:p w14:paraId="784BD26D" w14:textId="0CAEB7A1" w:rsidR="00A170B8" w:rsidRPr="00FF4D4B" w:rsidRDefault="00A170B8" w:rsidP="007C7AC3">
      <w:pPr>
        <w:rPr>
          <w:rFonts w:cs="Times New Roman"/>
        </w:rPr>
      </w:pPr>
      <w:r w:rsidRPr="00FF4D4B">
        <w:rPr>
          <w:rFonts w:cs="Times New Roman"/>
          <w:noProof/>
        </w:rPr>
        <w:drawing>
          <wp:inline distT="0" distB="0" distL="0" distR="0" wp14:anchorId="153B9E93" wp14:editId="5D539088">
            <wp:extent cx="4733787" cy="3487788"/>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734330" cy="3488188"/>
                    </a:xfrm>
                    <a:prstGeom prst="rect">
                      <a:avLst/>
                    </a:prstGeom>
                    <a:noFill/>
                    <a:ln>
                      <a:noFill/>
                    </a:ln>
                  </pic:spPr>
                </pic:pic>
              </a:graphicData>
            </a:graphic>
          </wp:inline>
        </w:drawing>
      </w:r>
    </w:p>
    <w:p w14:paraId="4D7ACDC5" w14:textId="77777777" w:rsidR="00597AFE" w:rsidRPr="00FF4D4B" w:rsidRDefault="00597AFE" w:rsidP="00093FA0">
      <w:pPr>
        <w:pStyle w:val="Kop3"/>
      </w:pPr>
    </w:p>
    <w:p w14:paraId="5616705B" w14:textId="2EF0CEA2" w:rsidR="007C7AC3" w:rsidRPr="00FF4D4B" w:rsidRDefault="003B4A89" w:rsidP="00093FA0">
      <w:pPr>
        <w:pStyle w:val="Kop3"/>
      </w:pPr>
      <w:bookmarkStart w:id="71" w:name="_Toc301441893"/>
      <w:r w:rsidRPr="00FF4D4B">
        <w:t>APPENDIX VIII</w:t>
      </w:r>
      <w:r w:rsidR="007C7AC3" w:rsidRPr="00FF4D4B">
        <w:t>:</w:t>
      </w:r>
      <w:r w:rsidR="000E7E05" w:rsidRPr="00FF4D4B">
        <w:t xml:space="preserve"> Interview with Robert Gerritsen Analysist at ISS for the Benelux market</w:t>
      </w:r>
      <w:bookmarkEnd w:id="71"/>
    </w:p>
    <w:p w14:paraId="1985DC22" w14:textId="33F4AFC0" w:rsidR="003D69D7" w:rsidRPr="00FF4D4B" w:rsidRDefault="003D69D7" w:rsidP="003D69D7">
      <w:pPr>
        <w:rPr>
          <w:rFonts w:cs="Times New Roman"/>
          <w:sz w:val="16"/>
          <w:szCs w:val="16"/>
        </w:rPr>
      </w:pPr>
      <w:r w:rsidRPr="00FF4D4B">
        <w:rPr>
          <w:rFonts w:cs="Times New Roman"/>
          <w:sz w:val="16"/>
          <w:szCs w:val="16"/>
        </w:rPr>
        <w:t>Transc</w:t>
      </w:r>
      <w:r w:rsidR="00597AFE" w:rsidRPr="00FF4D4B">
        <w:rPr>
          <w:rFonts w:cs="Times New Roman"/>
          <w:sz w:val="16"/>
          <w:szCs w:val="16"/>
        </w:rPr>
        <w:t>ript interview Robert Gerritsen</w:t>
      </w:r>
    </w:p>
    <w:p w14:paraId="3F5AC564" w14:textId="77777777" w:rsidR="003D69D7" w:rsidRPr="00FF4D4B" w:rsidRDefault="003D69D7" w:rsidP="003D69D7">
      <w:pPr>
        <w:rPr>
          <w:rFonts w:cs="Times New Roman"/>
          <w:i/>
          <w:sz w:val="16"/>
          <w:szCs w:val="16"/>
        </w:rPr>
      </w:pPr>
      <w:r w:rsidRPr="00FF4D4B">
        <w:rPr>
          <w:rFonts w:cs="Times New Roman"/>
          <w:sz w:val="16"/>
          <w:szCs w:val="16"/>
        </w:rPr>
        <w:t xml:space="preserve">Interviewer: </w:t>
      </w:r>
      <w:r w:rsidRPr="00FF4D4B">
        <w:rPr>
          <w:rFonts w:cs="Times New Roman"/>
          <w:i/>
          <w:sz w:val="16"/>
          <w:szCs w:val="16"/>
        </w:rPr>
        <w:t>Luuk Kuiper</w:t>
      </w:r>
    </w:p>
    <w:p w14:paraId="50BB4489" w14:textId="4D07204E" w:rsidR="003D69D7" w:rsidRPr="00FF4D4B" w:rsidRDefault="003D69D7" w:rsidP="003D69D7">
      <w:pPr>
        <w:rPr>
          <w:rFonts w:cs="Times New Roman"/>
          <w:sz w:val="16"/>
          <w:szCs w:val="16"/>
        </w:rPr>
      </w:pPr>
      <w:r w:rsidRPr="00FF4D4B">
        <w:rPr>
          <w:rFonts w:cs="Times New Roman"/>
          <w:sz w:val="16"/>
          <w:szCs w:val="16"/>
        </w:rPr>
        <w:t>Interviewee: Robert Gerritsen, Head Research Analyst for the Benelux market at ISS.</w:t>
      </w:r>
    </w:p>
    <w:p w14:paraId="3B412771" w14:textId="77777777" w:rsidR="003D69D7" w:rsidRPr="00FF4D4B" w:rsidRDefault="003D69D7" w:rsidP="003D69D7">
      <w:pPr>
        <w:rPr>
          <w:rFonts w:cs="Times New Roman"/>
          <w:sz w:val="16"/>
          <w:szCs w:val="16"/>
        </w:rPr>
      </w:pPr>
      <w:r w:rsidRPr="00FF4D4B">
        <w:rPr>
          <w:rFonts w:cs="Times New Roman"/>
          <w:sz w:val="16"/>
          <w:szCs w:val="16"/>
        </w:rPr>
        <w:lastRenderedPageBreak/>
        <w:t>Topic: Implementation of policy recommendation.</w:t>
      </w:r>
    </w:p>
    <w:p w14:paraId="19BD2257" w14:textId="23E0BD30" w:rsidR="003D69D7" w:rsidRPr="00FF4D4B" w:rsidRDefault="003D69D7" w:rsidP="003D69D7">
      <w:pPr>
        <w:rPr>
          <w:rFonts w:cs="Times New Roman"/>
          <w:sz w:val="16"/>
          <w:szCs w:val="16"/>
        </w:rPr>
      </w:pPr>
      <w:r w:rsidRPr="00FF4D4B">
        <w:rPr>
          <w:rFonts w:cs="Times New Roman"/>
          <w:sz w:val="16"/>
          <w:szCs w:val="16"/>
        </w:rPr>
        <w:t>The interview was held in Dutch and later translated into English</w:t>
      </w:r>
    </w:p>
    <w:p w14:paraId="07DB17E9" w14:textId="77777777" w:rsidR="003D69D7" w:rsidRPr="00FF4D4B" w:rsidRDefault="003D69D7" w:rsidP="003D69D7">
      <w:pPr>
        <w:rPr>
          <w:rFonts w:cs="Times New Roman"/>
          <w:sz w:val="16"/>
          <w:szCs w:val="16"/>
        </w:rPr>
      </w:pPr>
    </w:p>
    <w:p w14:paraId="7B30F0E0" w14:textId="77777777" w:rsidR="003D69D7" w:rsidRPr="00FF4D4B" w:rsidRDefault="003D69D7" w:rsidP="003D69D7">
      <w:pPr>
        <w:rPr>
          <w:rFonts w:cs="Times New Roman"/>
          <w:i/>
          <w:sz w:val="16"/>
          <w:szCs w:val="16"/>
        </w:rPr>
      </w:pPr>
      <w:r w:rsidRPr="00FF4D4B">
        <w:rPr>
          <w:rFonts w:cs="Times New Roman"/>
          <w:i/>
          <w:sz w:val="16"/>
          <w:szCs w:val="16"/>
        </w:rPr>
        <w:t>Part of the policy development cycle at ISS can be found on the website. There are 5 factors that have to be taken into account for a policy update:</w:t>
      </w:r>
    </w:p>
    <w:p w14:paraId="1F95BA29" w14:textId="77777777" w:rsidR="003D69D7" w:rsidRPr="00FF4D4B" w:rsidRDefault="003D69D7" w:rsidP="003D69D7">
      <w:pPr>
        <w:pStyle w:val="Lijstalinea"/>
        <w:numPr>
          <w:ilvl w:val="0"/>
          <w:numId w:val="25"/>
        </w:numPr>
        <w:spacing w:before="0" w:after="0" w:line="240" w:lineRule="auto"/>
        <w:rPr>
          <w:rFonts w:cs="Times New Roman"/>
          <w:i/>
          <w:sz w:val="16"/>
          <w:szCs w:val="16"/>
        </w:rPr>
      </w:pPr>
      <w:r w:rsidRPr="00FF4D4B">
        <w:rPr>
          <w:rFonts w:cs="Times New Roman"/>
          <w:i/>
          <w:sz w:val="16"/>
          <w:szCs w:val="16"/>
        </w:rPr>
        <w:t>Industry group round table,</w:t>
      </w:r>
    </w:p>
    <w:p w14:paraId="4E13893D" w14:textId="77777777" w:rsidR="003D69D7" w:rsidRPr="00FF4D4B" w:rsidRDefault="003D69D7" w:rsidP="003D69D7">
      <w:pPr>
        <w:pStyle w:val="Lijstalinea"/>
        <w:numPr>
          <w:ilvl w:val="0"/>
          <w:numId w:val="25"/>
        </w:numPr>
        <w:spacing w:before="0" w:after="0" w:line="240" w:lineRule="auto"/>
        <w:rPr>
          <w:rFonts w:cs="Times New Roman"/>
          <w:i/>
          <w:sz w:val="16"/>
          <w:szCs w:val="16"/>
        </w:rPr>
      </w:pPr>
      <w:r w:rsidRPr="00FF4D4B">
        <w:rPr>
          <w:rFonts w:cs="Times New Roman"/>
          <w:i/>
          <w:sz w:val="16"/>
          <w:szCs w:val="16"/>
        </w:rPr>
        <w:t>Ongoing feedback from investors/issuers,</w:t>
      </w:r>
    </w:p>
    <w:p w14:paraId="5E84DAE6" w14:textId="77777777" w:rsidR="003D69D7" w:rsidRPr="00FF4D4B" w:rsidRDefault="003D69D7" w:rsidP="003D69D7">
      <w:pPr>
        <w:pStyle w:val="Lijstalinea"/>
        <w:numPr>
          <w:ilvl w:val="0"/>
          <w:numId w:val="25"/>
        </w:numPr>
        <w:spacing w:before="0" w:after="0" w:line="240" w:lineRule="auto"/>
        <w:rPr>
          <w:rFonts w:cs="Times New Roman"/>
          <w:i/>
          <w:sz w:val="16"/>
          <w:szCs w:val="16"/>
        </w:rPr>
      </w:pPr>
      <w:r w:rsidRPr="00FF4D4B">
        <w:rPr>
          <w:rFonts w:cs="Times New Roman"/>
          <w:i/>
          <w:sz w:val="16"/>
          <w:szCs w:val="16"/>
        </w:rPr>
        <w:t>Corporate issuer policy survey,</w:t>
      </w:r>
    </w:p>
    <w:p w14:paraId="29CE9F6B" w14:textId="77777777" w:rsidR="003D69D7" w:rsidRPr="00FF4D4B" w:rsidRDefault="003D69D7" w:rsidP="003D69D7">
      <w:pPr>
        <w:pStyle w:val="Lijstalinea"/>
        <w:numPr>
          <w:ilvl w:val="0"/>
          <w:numId w:val="25"/>
        </w:numPr>
        <w:spacing w:before="0" w:after="0" w:line="240" w:lineRule="auto"/>
        <w:rPr>
          <w:rFonts w:cs="Times New Roman"/>
          <w:i/>
          <w:sz w:val="16"/>
          <w:szCs w:val="16"/>
        </w:rPr>
      </w:pPr>
      <w:r w:rsidRPr="00FF4D4B">
        <w:rPr>
          <w:rFonts w:cs="Times New Roman"/>
          <w:i/>
          <w:sz w:val="16"/>
          <w:szCs w:val="16"/>
        </w:rPr>
        <w:t>Institutional investor policy survey, and</w:t>
      </w:r>
    </w:p>
    <w:p w14:paraId="76C69AFE" w14:textId="77777777" w:rsidR="003D69D7" w:rsidRPr="00FF4D4B" w:rsidRDefault="003D69D7" w:rsidP="003D69D7">
      <w:pPr>
        <w:pStyle w:val="Lijstalinea"/>
        <w:numPr>
          <w:ilvl w:val="0"/>
          <w:numId w:val="25"/>
        </w:numPr>
        <w:spacing w:before="0" w:after="0" w:line="240" w:lineRule="auto"/>
        <w:rPr>
          <w:rFonts w:cs="Times New Roman"/>
          <w:i/>
          <w:sz w:val="16"/>
          <w:szCs w:val="16"/>
        </w:rPr>
      </w:pPr>
      <w:r w:rsidRPr="00FF4D4B">
        <w:rPr>
          <w:rFonts w:cs="Times New Roman"/>
          <w:i/>
          <w:sz w:val="16"/>
          <w:szCs w:val="16"/>
        </w:rPr>
        <w:t>ISS policy expertise</w:t>
      </w:r>
    </w:p>
    <w:p w14:paraId="3C34FB48" w14:textId="77777777" w:rsidR="003D69D7" w:rsidRPr="00FF4D4B" w:rsidRDefault="003D69D7" w:rsidP="003D69D7">
      <w:pPr>
        <w:rPr>
          <w:rFonts w:cs="Times New Roman"/>
          <w:i/>
          <w:sz w:val="16"/>
          <w:szCs w:val="16"/>
        </w:rPr>
      </w:pPr>
    </w:p>
    <w:p w14:paraId="1EE8BB08" w14:textId="7F3EB633" w:rsidR="003D69D7" w:rsidRPr="00FF4D4B" w:rsidRDefault="003D69D7" w:rsidP="003D69D7">
      <w:pPr>
        <w:rPr>
          <w:rFonts w:cs="Times New Roman"/>
          <w:b/>
          <w:i/>
          <w:sz w:val="16"/>
          <w:szCs w:val="16"/>
        </w:rPr>
      </w:pPr>
      <w:r w:rsidRPr="00FF4D4B">
        <w:rPr>
          <w:rFonts w:cs="Times New Roman"/>
          <w:b/>
          <w:i/>
          <w:sz w:val="16"/>
          <w:szCs w:val="16"/>
        </w:rPr>
        <w:t>For this research the latter is most important, because ISS uses its expertise to reach new insights. Could you tell me some more about the process of the development of a policy update?</w:t>
      </w:r>
    </w:p>
    <w:p w14:paraId="1ED5F715" w14:textId="6F432DBE" w:rsidR="003D69D7" w:rsidRPr="00FF4D4B" w:rsidRDefault="003D69D7" w:rsidP="003D69D7">
      <w:pPr>
        <w:rPr>
          <w:rFonts w:cs="Times New Roman"/>
          <w:sz w:val="16"/>
          <w:szCs w:val="16"/>
        </w:rPr>
      </w:pPr>
      <w:r w:rsidRPr="00FF4D4B">
        <w:rPr>
          <w:rFonts w:cs="Times New Roman"/>
          <w:sz w:val="16"/>
          <w:szCs w:val="16"/>
        </w:rPr>
        <w:t xml:space="preserve">There are a couple of things that are happening in developing a new policy update, so it might be best to see how that stands together chronologically. </w:t>
      </w:r>
    </w:p>
    <w:p w14:paraId="1174984E" w14:textId="77777777" w:rsidR="003D69D7" w:rsidRPr="00FF4D4B" w:rsidRDefault="003D69D7" w:rsidP="003D69D7">
      <w:pPr>
        <w:rPr>
          <w:rFonts w:cs="Times New Roman"/>
          <w:sz w:val="16"/>
          <w:szCs w:val="16"/>
        </w:rPr>
      </w:pPr>
      <w:r w:rsidRPr="00FF4D4B">
        <w:rPr>
          <w:rFonts w:cs="Times New Roman"/>
          <w:sz w:val="16"/>
          <w:szCs w:val="16"/>
        </w:rPr>
        <w:t>What do we do after the proxy season, so the process we are working on now, is the drafting of a policy survey. This is a survey in which we try to find certain bottlenecks or problems in the market that analysts have seen. We submit these to the market in order to see what the market thinks. What we do is, we put a number of questions regarding the application of our standard policy, and ask what we need to take that into consideration and what they think of certain issues. For example, an issue which is now playing is gender diversity, there are more and more legislators in Europe to require gender diversity on boards of directors. And so it is a relevant question to then ask to investors and issuers of such should be included in our politics.</w:t>
      </w:r>
    </w:p>
    <w:p w14:paraId="4240EEF3" w14:textId="0EEB2DA8" w:rsidR="003D69D7" w:rsidRPr="00FF4D4B" w:rsidRDefault="003D69D7" w:rsidP="003D69D7">
      <w:pPr>
        <w:rPr>
          <w:rFonts w:cs="Times New Roman"/>
          <w:sz w:val="16"/>
          <w:szCs w:val="16"/>
        </w:rPr>
      </w:pPr>
      <w:r w:rsidRPr="00FF4D4B">
        <w:rPr>
          <w:rFonts w:cs="Times New Roman"/>
          <w:sz w:val="16"/>
          <w:szCs w:val="16"/>
        </w:rPr>
        <w:t>So in that way we receive feedback from the market. So what we see as certain developments. This is of course somewhat an allusion to the ISS policy expertise.</w:t>
      </w:r>
    </w:p>
    <w:p w14:paraId="501BC37B" w14:textId="77777777" w:rsidR="003D69D7" w:rsidRPr="00FF4D4B" w:rsidRDefault="003D69D7" w:rsidP="003D69D7">
      <w:pPr>
        <w:rPr>
          <w:rFonts w:cs="Times New Roman"/>
          <w:i/>
          <w:sz w:val="16"/>
          <w:szCs w:val="16"/>
        </w:rPr>
      </w:pPr>
    </w:p>
    <w:p w14:paraId="7EC588C2" w14:textId="54139941" w:rsidR="003D69D7" w:rsidRPr="00FF4D4B" w:rsidRDefault="003D69D7" w:rsidP="003D69D7">
      <w:pPr>
        <w:rPr>
          <w:rFonts w:cs="Times New Roman"/>
          <w:b/>
          <w:i/>
          <w:sz w:val="16"/>
          <w:szCs w:val="16"/>
        </w:rPr>
      </w:pPr>
      <w:r w:rsidRPr="00FF4D4B">
        <w:rPr>
          <w:rFonts w:cs="Times New Roman"/>
          <w:b/>
          <w:i/>
          <w:sz w:val="16"/>
          <w:szCs w:val="16"/>
        </w:rPr>
        <w:lastRenderedPageBreak/>
        <w:t>So that basically means that the five elements of policy development go hand-in-hand with each other and should not necessarily be seen as five separate components.</w:t>
      </w:r>
    </w:p>
    <w:p w14:paraId="0E227C65" w14:textId="2C585723" w:rsidR="003D69D7" w:rsidRPr="00FF4D4B" w:rsidRDefault="003D69D7" w:rsidP="003D69D7">
      <w:pPr>
        <w:rPr>
          <w:rFonts w:cs="Times New Roman"/>
          <w:sz w:val="16"/>
          <w:szCs w:val="16"/>
        </w:rPr>
      </w:pPr>
      <w:r w:rsidRPr="00FF4D4B">
        <w:rPr>
          <w:rFonts w:cs="Times New Roman"/>
          <w:sz w:val="16"/>
          <w:szCs w:val="16"/>
        </w:rPr>
        <w:t>Indeed. Analysts see that the policy applies to certain aspects in a particular country, it is not as easy as they like it because it's not apparent to apply a certain policy always in the same manner. Then you should question how to apply it. That's the policy expertise of how we experience it, so, ‘does it make sense it has to apply it in a certain way?’</w:t>
      </w:r>
    </w:p>
    <w:p w14:paraId="6FDFDD58" w14:textId="3E8FC3D3" w:rsidR="003D69D7" w:rsidRPr="00FF4D4B" w:rsidRDefault="003D69D7" w:rsidP="003D69D7">
      <w:pPr>
        <w:rPr>
          <w:rFonts w:cs="Times New Roman"/>
          <w:sz w:val="16"/>
          <w:szCs w:val="16"/>
        </w:rPr>
      </w:pPr>
      <w:r w:rsidRPr="00FF4D4B">
        <w:rPr>
          <w:rFonts w:cs="Times New Roman"/>
          <w:sz w:val="16"/>
          <w:szCs w:val="16"/>
        </w:rPr>
        <w:t>Okay, so we do the policy survey first. Then we get set responses from both the corporate issuers and our customers, as well as the broader range of institutional investors including investors who are not clients of us. They provide feedback on the expectations of the market, where you have to set certain limits, what should be included and what not include, or other comments.</w:t>
      </w:r>
    </w:p>
    <w:p w14:paraId="574DF72D" w14:textId="56560F24" w:rsidR="003D69D7" w:rsidRPr="00FF4D4B" w:rsidRDefault="003D69D7" w:rsidP="003D69D7">
      <w:pPr>
        <w:rPr>
          <w:rFonts w:cs="Times New Roman"/>
          <w:sz w:val="16"/>
          <w:szCs w:val="16"/>
        </w:rPr>
      </w:pPr>
      <w:r w:rsidRPr="00FF4D4B">
        <w:rPr>
          <w:rFonts w:cs="Times New Roman"/>
          <w:sz w:val="16"/>
          <w:szCs w:val="16"/>
        </w:rPr>
        <w:t>Based on the results of this survey senior analysts, so analysts within ISS with some seniority, can make proposals to modify the policy. Those proposals will be then first treated in a subcommittee at European level in which the committee used 1 to 3 days to discuss specific proposals.</w:t>
      </w:r>
    </w:p>
    <w:p w14:paraId="651053C9" w14:textId="77777777" w:rsidR="003D69D7" w:rsidRPr="00FF4D4B" w:rsidRDefault="003D69D7" w:rsidP="003D69D7">
      <w:pPr>
        <w:rPr>
          <w:rFonts w:cs="Times New Roman"/>
          <w:i/>
          <w:sz w:val="16"/>
          <w:szCs w:val="16"/>
        </w:rPr>
      </w:pPr>
    </w:p>
    <w:p w14:paraId="30139CB0" w14:textId="617811F7" w:rsidR="003D69D7" w:rsidRPr="00FF4D4B" w:rsidRDefault="003D69D7" w:rsidP="003D69D7">
      <w:pPr>
        <w:rPr>
          <w:rFonts w:cs="Times New Roman"/>
          <w:b/>
          <w:i/>
          <w:sz w:val="16"/>
          <w:szCs w:val="16"/>
        </w:rPr>
      </w:pPr>
      <w:r w:rsidRPr="00FF4D4B">
        <w:rPr>
          <w:rFonts w:cs="Times New Roman"/>
          <w:b/>
          <w:i/>
          <w:sz w:val="16"/>
          <w:szCs w:val="16"/>
        </w:rPr>
        <w:t xml:space="preserve">Could you clarify how this process works within those subcommittees? </w:t>
      </w:r>
    </w:p>
    <w:p w14:paraId="7B6EDD28" w14:textId="77777777" w:rsidR="003D69D7" w:rsidRPr="00FF4D4B" w:rsidRDefault="003D69D7" w:rsidP="003D69D7">
      <w:pPr>
        <w:rPr>
          <w:rFonts w:cs="Times New Roman"/>
          <w:sz w:val="16"/>
          <w:szCs w:val="16"/>
        </w:rPr>
      </w:pPr>
      <w:r w:rsidRPr="00FF4D4B">
        <w:rPr>
          <w:rFonts w:cs="Times New Roman"/>
          <w:sz w:val="16"/>
          <w:szCs w:val="16"/>
        </w:rPr>
        <w:t xml:space="preserve">The senior analysts make a proposal. Suppose the proposal is to bring gender diversity in a certain level in our politics. Is first introduced to a European subcommittee, which then discussed at a higher level to the European commission and then on to the World Wide Policy Steering Committee. That proposal will be discussed and defended on each level. </w:t>
      </w:r>
    </w:p>
    <w:p w14:paraId="68624FC4" w14:textId="77777777" w:rsidR="003D69D7" w:rsidRPr="00FF4D4B" w:rsidRDefault="003D69D7" w:rsidP="003D69D7">
      <w:pPr>
        <w:rPr>
          <w:rFonts w:cs="Times New Roman"/>
          <w:i/>
          <w:sz w:val="16"/>
          <w:szCs w:val="16"/>
        </w:rPr>
      </w:pPr>
    </w:p>
    <w:p w14:paraId="3CB6A19F" w14:textId="020A5553" w:rsidR="003D69D7" w:rsidRPr="00FF4D4B" w:rsidRDefault="003D69D7" w:rsidP="003D69D7">
      <w:pPr>
        <w:rPr>
          <w:rFonts w:cs="Times New Roman"/>
          <w:b/>
          <w:i/>
          <w:sz w:val="16"/>
          <w:szCs w:val="16"/>
        </w:rPr>
      </w:pPr>
      <w:r w:rsidRPr="00FF4D4B">
        <w:rPr>
          <w:rFonts w:cs="Times New Roman"/>
          <w:b/>
          <w:i/>
          <w:sz w:val="16"/>
          <w:szCs w:val="16"/>
        </w:rPr>
        <w:t>So that means that there are so many people involved with a policy update.</w:t>
      </w:r>
    </w:p>
    <w:p w14:paraId="050AAE4A" w14:textId="385077A2" w:rsidR="003D69D7" w:rsidRPr="00FF4D4B" w:rsidRDefault="003D69D7" w:rsidP="003D69D7">
      <w:pPr>
        <w:rPr>
          <w:rFonts w:cs="Times New Roman"/>
          <w:sz w:val="16"/>
          <w:szCs w:val="16"/>
        </w:rPr>
      </w:pPr>
      <w:r w:rsidRPr="00FF4D4B">
        <w:rPr>
          <w:rFonts w:cs="Times New Roman"/>
          <w:sz w:val="16"/>
          <w:szCs w:val="16"/>
        </w:rPr>
        <w:t>Yes, it is not only considered from Europe but also from the US. Every policy update has a clear impact on the customers and how they deal with corporate governance.</w:t>
      </w:r>
    </w:p>
    <w:p w14:paraId="05CD047C" w14:textId="77777777" w:rsidR="003D69D7" w:rsidRPr="00FF4D4B" w:rsidRDefault="003D69D7" w:rsidP="003D69D7">
      <w:pPr>
        <w:rPr>
          <w:rFonts w:cs="Times New Roman"/>
          <w:sz w:val="16"/>
          <w:szCs w:val="16"/>
        </w:rPr>
      </w:pPr>
      <w:r w:rsidRPr="00FF4D4B">
        <w:rPr>
          <w:rFonts w:cs="Times New Roman"/>
          <w:sz w:val="16"/>
          <w:szCs w:val="16"/>
        </w:rPr>
        <w:lastRenderedPageBreak/>
        <w:t>What we also do during this step is to make an assessment of the current policy, what will be the policy, and what is the impact of the policy update. We will make a scenario and impact analysis. So, how will the recommendations change and how it will evolve?</w:t>
      </w:r>
    </w:p>
    <w:p w14:paraId="2531B3FC" w14:textId="77777777" w:rsidR="003D69D7" w:rsidRPr="00FF4D4B" w:rsidRDefault="003D69D7" w:rsidP="003D69D7">
      <w:pPr>
        <w:rPr>
          <w:rFonts w:cs="Times New Roman"/>
          <w:sz w:val="16"/>
          <w:szCs w:val="16"/>
        </w:rPr>
      </w:pPr>
      <w:r w:rsidRPr="00FF4D4B">
        <w:rPr>
          <w:rFonts w:cs="Times New Roman"/>
          <w:sz w:val="16"/>
          <w:szCs w:val="16"/>
        </w:rPr>
        <w:t>When we have taken all that into consideration and the update is approved by the World Wide Steering Committee, it can be concluded that it is a reasonable proposal. Then we make policy proposal and again present it to the market for issuers, investors and all other kinds of power-holders. For which they can again give feedback. Then we take the feedback and consider whether the policy proposal needs to be adjusted. Finally there is a decision whether we want to include that in our politics.</w:t>
      </w:r>
    </w:p>
    <w:p w14:paraId="6CAF588C" w14:textId="77777777" w:rsidR="003D69D7" w:rsidRPr="00FF4D4B" w:rsidRDefault="003D69D7" w:rsidP="003D69D7">
      <w:pPr>
        <w:rPr>
          <w:rFonts w:cs="Times New Roman"/>
          <w:sz w:val="16"/>
          <w:szCs w:val="16"/>
        </w:rPr>
      </w:pPr>
    </w:p>
    <w:p w14:paraId="70EC19F9" w14:textId="2D47D8AF" w:rsidR="003D69D7" w:rsidRPr="00FF4D4B" w:rsidRDefault="003D69D7" w:rsidP="003D69D7">
      <w:pPr>
        <w:rPr>
          <w:rFonts w:cs="Times New Roman"/>
          <w:b/>
          <w:i/>
          <w:sz w:val="16"/>
          <w:szCs w:val="16"/>
        </w:rPr>
      </w:pPr>
      <w:r w:rsidRPr="00FF4D4B">
        <w:rPr>
          <w:rFonts w:cs="Times New Roman"/>
          <w:b/>
          <w:i/>
          <w:sz w:val="16"/>
          <w:szCs w:val="16"/>
        </w:rPr>
        <w:t>Even if it is an update for the Dutch market, the proposal is going through the European subcommittee, the European committee, and the Worldwide Policy Steering Committee?</w:t>
      </w:r>
    </w:p>
    <w:p w14:paraId="2CAD637D" w14:textId="77777777" w:rsidR="003D69D7" w:rsidRPr="00FF4D4B" w:rsidRDefault="003D69D7" w:rsidP="003D69D7">
      <w:pPr>
        <w:rPr>
          <w:rFonts w:cs="Times New Roman"/>
          <w:sz w:val="16"/>
          <w:szCs w:val="16"/>
        </w:rPr>
      </w:pPr>
      <w:r w:rsidRPr="00FF4D4B">
        <w:rPr>
          <w:rFonts w:cs="Times New Roman"/>
          <w:sz w:val="16"/>
          <w:szCs w:val="16"/>
        </w:rPr>
        <w:t>Indeed.</w:t>
      </w:r>
    </w:p>
    <w:p w14:paraId="1629E47B" w14:textId="77777777" w:rsidR="003D69D7" w:rsidRPr="00FF4D4B" w:rsidRDefault="003D69D7" w:rsidP="003D69D7">
      <w:pPr>
        <w:rPr>
          <w:rFonts w:cs="Times New Roman"/>
          <w:i/>
          <w:sz w:val="16"/>
          <w:szCs w:val="16"/>
        </w:rPr>
      </w:pPr>
    </w:p>
    <w:p w14:paraId="05CB8761" w14:textId="2EDA9544" w:rsidR="003D69D7" w:rsidRPr="00FF4D4B" w:rsidRDefault="003D69D7" w:rsidP="003D69D7">
      <w:pPr>
        <w:rPr>
          <w:rFonts w:cs="Times New Roman"/>
          <w:b/>
          <w:i/>
          <w:sz w:val="16"/>
          <w:szCs w:val="16"/>
        </w:rPr>
      </w:pPr>
      <w:r w:rsidRPr="00FF4D4B">
        <w:rPr>
          <w:rFonts w:cs="Times New Roman"/>
          <w:b/>
          <w:i/>
          <w:sz w:val="16"/>
          <w:szCs w:val="16"/>
        </w:rPr>
        <w:t>What factors are taken into account when writing an update?</w:t>
      </w:r>
    </w:p>
    <w:p w14:paraId="6C1548E9" w14:textId="77777777" w:rsidR="003D69D7" w:rsidRPr="00FF4D4B" w:rsidRDefault="003D69D7" w:rsidP="003D69D7">
      <w:pPr>
        <w:rPr>
          <w:rFonts w:cs="Times New Roman"/>
          <w:sz w:val="16"/>
          <w:szCs w:val="16"/>
        </w:rPr>
      </w:pPr>
      <w:r w:rsidRPr="00FF4D4B">
        <w:rPr>
          <w:rFonts w:cs="Times New Roman"/>
          <w:sz w:val="16"/>
          <w:szCs w:val="16"/>
        </w:rPr>
        <w:t>We take the internal expertise of how to apply a policy, how to make a certain policy work, and of how to get consistent recommendations. We have to set certain limits so that it is easier to apply a specific policy and to make it less open to interpretation. We take into account market developments, legislative developments, as well as feedback from our customers, institutional investors in the broadest sense, and also the issuers (companies themselves).</w:t>
      </w:r>
    </w:p>
    <w:p w14:paraId="616B94F5" w14:textId="77777777" w:rsidR="003D69D7" w:rsidRPr="00FF4D4B" w:rsidRDefault="003D69D7" w:rsidP="003D69D7">
      <w:pPr>
        <w:rPr>
          <w:rFonts w:cs="Times New Roman"/>
          <w:i/>
          <w:sz w:val="16"/>
          <w:szCs w:val="16"/>
        </w:rPr>
      </w:pPr>
    </w:p>
    <w:p w14:paraId="2E88C5C9" w14:textId="59046D7F" w:rsidR="003D69D7" w:rsidRPr="00FF4D4B" w:rsidRDefault="003D69D7" w:rsidP="003D69D7">
      <w:pPr>
        <w:rPr>
          <w:rFonts w:cs="Times New Roman"/>
          <w:b/>
          <w:i/>
          <w:sz w:val="16"/>
          <w:szCs w:val="16"/>
        </w:rPr>
      </w:pPr>
      <w:r w:rsidRPr="00FF4D4B">
        <w:rPr>
          <w:rFonts w:cs="Times New Roman"/>
          <w:b/>
          <w:i/>
          <w:sz w:val="16"/>
          <w:szCs w:val="16"/>
        </w:rPr>
        <w:t>As you know I'm doing my thesis on the change-in-control provision and the impact of shareholder value. How would something like that fit in the current policy for the Netherlands?</w:t>
      </w:r>
    </w:p>
    <w:p w14:paraId="58CF4A32" w14:textId="6EB3C0DC" w:rsidR="003D69D7" w:rsidRPr="00FF4D4B" w:rsidRDefault="003D69D7" w:rsidP="003D69D7">
      <w:pPr>
        <w:rPr>
          <w:rFonts w:cs="Times New Roman"/>
          <w:sz w:val="16"/>
          <w:szCs w:val="16"/>
        </w:rPr>
      </w:pPr>
      <w:r w:rsidRPr="00FF4D4B">
        <w:rPr>
          <w:rFonts w:cs="Times New Roman"/>
          <w:sz w:val="16"/>
          <w:szCs w:val="16"/>
        </w:rPr>
        <w:t xml:space="preserve">First you should question, should the update only be applicable to the Netherlands? Why would the Netherlands be the exception? So then it would actually change a policy for continental Europe. We have different </w:t>
      </w:r>
      <w:r w:rsidRPr="00FF4D4B">
        <w:rPr>
          <w:rFonts w:cs="Times New Roman"/>
          <w:sz w:val="16"/>
          <w:szCs w:val="16"/>
        </w:rPr>
        <w:lastRenderedPageBreak/>
        <w:t>regional policies; a policy for language continent Europe, a UK politics, a politics of US, a separate policy for Russia, a separate policy for Israel. It concerns a general approach to change-in-control clauses that you would like to change.</w:t>
      </w:r>
    </w:p>
    <w:p w14:paraId="235E46E5" w14:textId="77777777" w:rsidR="003D69D7" w:rsidRPr="00FF4D4B" w:rsidRDefault="003D69D7" w:rsidP="003D69D7">
      <w:pPr>
        <w:rPr>
          <w:rFonts w:cs="Times New Roman"/>
          <w:sz w:val="16"/>
          <w:szCs w:val="16"/>
        </w:rPr>
      </w:pPr>
    </w:p>
    <w:p w14:paraId="2D56D6B9" w14:textId="19E97C07" w:rsidR="003D69D7" w:rsidRPr="00FF4D4B" w:rsidRDefault="003D69D7" w:rsidP="003D69D7">
      <w:pPr>
        <w:rPr>
          <w:rFonts w:cs="Times New Roman"/>
          <w:b/>
          <w:i/>
          <w:sz w:val="16"/>
          <w:szCs w:val="16"/>
        </w:rPr>
      </w:pPr>
      <w:r w:rsidRPr="00FF4D4B">
        <w:rPr>
          <w:rFonts w:cs="Times New Roman"/>
          <w:b/>
          <w:i/>
          <w:sz w:val="16"/>
          <w:szCs w:val="16"/>
        </w:rPr>
        <w:t>Are there existing policies that need to be adjusted if there is an addition to the current policy in the form of my recommendation?</w:t>
      </w:r>
    </w:p>
    <w:p w14:paraId="364BA3DA" w14:textId="77783133" w:rsidR="003D69D7" w:rsidRPr="00FF4D4B" w:rsidRDefault="003D69D7" w:rsidP="003D69D7">
      <w:pPr>
        <w:rPr>
          <w:rFonts w:cs="Times New Roman"/>
          <w:sz w:val="16"/>
          <w:szCs w:val="16"/>
        </w:rPr>
      </w:pPr>
      <w:r w:rsidRPr="00FF4D4B">
        <w:rPr>
          <w:rFonts w:cs="Times New Roman"/>
          <w:sz w:val="16"/>
          <w:szCs w:val="16"/>
        </w:rPr>
        <w:t>If you should update the policy, the continental European policy has to be updated. At the moment, we have no reference to the change in control clause in our European policy.</w:t>
      </w:r>
    </w:p>
    <w:p w14:paraId="0ED9C1BB" w14:textId="77777777" w:rsidR="003D69D7" w:rsidRPr="00FF4D4B" w:rsidRDefault="003D69D7" w:rsidP="003D69D7">
      <w:pPr>
        <w:rPr>
          <w:rFonts w:cs="Times New Roman"/>
          <w:i/>
          <w:sz w:val="16"/>
          <w:szCs w:val="16"/>
        </w:rPr>
      </w:pPr>
    </w:p>
    <w:p w14:paraId="52E9ED1D" w14:textId="77777777" w:rsidR="003D69D7" w:rsidRPr="00FF4D4B" w:rsidRDefault="003D69D7" w:rsidP="003D69D7">
      <w:pPr>
        <w:rPr>
          <w:rFonts w:cs="Times New Roman"/>
          <w:b/>
          <w:i/>
          <w:sz w:val="16"/>
          <w:szCs w:val="16"/>
        </w:rPr>
      </w:pPr>
      <w:r w:rsidRPr="00FF4D4B">
        <w:rPr>
          <w:rFonts w:cs="Times New Roman"/>
          <w:b/>
          <w:i/>
          <w:sz w:val="16"/>
          <w:szCs w:val="16"/>
        </w:rPr>
        <w:t>Thank you, you answered all my questions. Many thanks for your time.</w:t>
      </w:r>
    </w:p>
    <w:p w14:paraId="2ED71532" w14:textId="5C72ACF3" w:rsidR="000E7E05" w:rsidRPr="00FF4D4B" w:rsidRDefault="000E7E05" w:rsidP="007C7AC3">
      <w:pPr>
        <w:rPr>
          <w:rFonts w:cs="Times New Roman"/>
        </w:rPr>
      </w:pPr>
    </w:p>
    <w:p w14:paraId="33EC022E" w14:textId="5C11601F" w:rsidR="00430307" w:rsidRPr="00FF4D4B" w:rsidRDefault="00597AFE" w:rsidP="00093FA0">
      <w:pPr>
        <w:pStyle w:val="Kop3"/>
      </w:pPr>
      <w:r w:rsidRPr="00FF4D4B">
        <w:rPr>
          <w:highlight w:val="yellow"/>
        </w:rPr>
        <w:br w:type="column"/>
      </w:r>
      <w:bookmarkStart w:id="72" w:name="_Toc301441894"/>
      <w:r w:rsidR="007C7AC3" w:rsidRPr="00FF4D4B">
        <w:lastRenderedPageBreak/>
        <w:t xml:space="preserve">APPENDIX </w:t>
      </w:r>
      <w:r w:rsidR="003B4A89" w:rsidRPr="00FF4D4B">
        <w:t>I</w:t>
      </w:r>
      <w:r w:rsidR="007C7AC3" w:rsidRPr="00FF4D4B">
        <w:t>X:</w:t>
      </w:r>
      <w:r w:rsidR="00F8541B" w:rsidRPr="00FF4D4B">
        <w:t xml:space="preserve"> </w:t>
      </w:r>
      <w:r w:rsidRPr="00FF4D4B">
        <w:t>Proposal of policy update in ISS format: discussion item</w:t>
      </w:r>
      <w:bookmarkEnd w:id="72"/>
    </w:p>
    <w:p w14:paraId="001C73E9" w14:textId="77777777" w:rsidR="00430307" w:rsidRPr="00FF4D4B" w:rsidRDefault="00430307" w:rsidP="00430307">
      <w:pPr>
        <w:widowControl w:val="0"/>
        <w:autoSpaceDE w:val="0"/>
        <w:autoSpaceDN w:val="0"/>
        <w:adjustRightInd w:val="0"/>
        <w:spacing w:after="240"/>
        <w:rPr>
          <w:rFonts w:cs="Times New Roman"/>
          <w:color w:val="18376A"/>
          <w:sz w:val="32"/>
          <w:szCs w:val="32"/>
        </w:rPr>
      </w:pPr>
      <w:r w:rsidRPr="00FF4D4B">
        <w:rPr>
          <w:rFonts w:cs="Times New Roman"/>
          <w:noProof/>
          <w:color w:val="18376A"/>
          <w:sz w:val="32"/>
          <w:szCs w:val="32"/>
        </w:rPr>
        <w:drawing>
          <wp:inline distT="0" distB="0" distL="0" distR="0" wp14:anchorId="373427D5" wp14:editId="66E8D864">
            <wp:extent cx="6332254" cy="919046"/>
            <wp:effectExtent l="0" t="0" r="0" b="0"/>
            <wp:docPr id="15" name="Afbeelding 15" descr="Macintosh HD:Users:Luukkuiper:Documents:School:Year 4:Bachelor Thesis:Afbeeldingen:Discuss Cb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Luukkuiper:Documents:School:Year 4:Bachelor Thesis:Afbeeldingen:Discuss CboBA.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332254" cy="919046"/>
                    </a:xfrm>
                    <a:prstGeom prst="rect">
                      <a:avLst/>
                    </a:prstGeom>
                    <a:noFill/>
                    <a:ln>
                      <a:noFill/>
                    </a:ln>
                  </pic:spPr>
                </pic:pic>
              </a:graphicData>
            </a:graphic>
          </wp:inline>
        </w:drawing>
      </w:r>
    </w:p>
    <w:p w14:paraId="5E9752E9" w14:textId="77777777" w:rsidR="00430307" w:rsidRPr="00FF4D4B" w:rsidRDefault="00430307" w:rsidP="00430307">
      <w:pPr>
        <w:widowControl w:val="0"/>
        <w:autoSpaceDE w:val="0"/>
        <w:autoSpaceDN w:val="0"/>
        <w:adjustRightInd w:val="0"/>
        <w:spacing w:after="240"/>
        <w:rPr>
          <w:rFonts w:cs="Times New Roman"/>
          <w:sz w:val="30"/>
          <w:szCs w:val="30"/>
        </w:rPr>
      </w:pPr>
      <w:r w:rsidRPr="00FF4D4B">
        <w:rPr>
          <w:rFonts w:cs="Times New Roman"/>
          <w:color w:val="18376A"/>
          <w:sz w:val="30"/>
          <w:szCs w:val="30"/>
        </w:rPr>
        <w:t xml:space="preserve">Discussion &amp; Analysis </w:t>
      </w:r>
    </w:p>
    <w:p w14:paraId="6E54A75C" w14:textId="3A75357F" w:rsidR="00430307" w:rsidRPr="00FF4D4B" w:rsidRDefault="00430307" w:rsidP="00430307">
      <w:pPr>
        <w:widowControl w:val="0"/>
        <w:autoSpaceDE w:val="0"/>
        <w:autoSpaceDN w:val="0"/>
        <w:adjustRightInd w:val="0"/>
        <w:spacing w:after="240"/>
        <w:rPr>
          <w:rFonts w:cs="Times New Roman"/>
        </w:rPr>
      </w:pPr>
      <w:r w:rsidRPr="00FF4D4B">
        <w:rPr>
          <w:rFonts w:cs="Times New Roman"/>
        </w:rPr>
        <w:t>Under this item the implications of the Dutch</w:t>
      </w:r>
      <w:r w:rsidR="00BE5381" w:rsidRPr="00FF4D4B">
        <w:rPr>
          <w:rFonts w:cs="Times New Roman"/>
        </w:rPr>
        <w:t xml:space="preserve"> Clawb</w:t>
      </w:r>
      <w:r w:rsidRPr="00FF4D4B">
        <w:rPr>
          <w:rFonts w:cs="Times New Roman"/>
        </w:rPr>
        <w:t>ack of Bonuses Act are discussed, more specifically the change-in-control provision of the Claw</w:t>
      </w:r>
      <w:r w:rsidR="00BE5381" w:rsidRPr="00FF4D4B">
        <w:rPr>
          <w:rFonts w:cs="Times New Roman"/>
        </w:rPr>
        <w:t>b</w:t>
      </w:r>
      <w:r w:rsidRPr="00FF4D4B">
        <w:rPr>
          <w:rFonts w:cs="Times New Roman"/>
        </w:rPr>
        <w:t>ack of Bonuses Act. Since January 2014, the change-in-control provision of the Claw</w:t>
      </w:r>
      <w:r w:rsidR="00BE5381" w:rsidRPr="00FF4D4B">
        <w:rPr>
          <w:rFonts w:cs="Times New Roman"/>
        </w:rPr>
        <w:t>b</w:t>
      </w:r>
      <w:r w:rsidRPr="00FF4D4B">
        <w:rPr>
          <w:rFonts w:cs="Times New Roman"/>
        </w:rPr>
        <w:t>ack of Bonuses Act limits the director’s ability to gain from a change-in-control by a deduction of the share value by the lowest increase in share value over a determined reference period. Consequently, the provision therefore limits the effectiveness of equity-based incentives. This applies to (I) cooperatives and private limited liability companies (BVs) qualifying as a bank, (II) mutual insurance companies qualifying as an insurance company, and (III) financial institutions, regardless of their legal form. This is a non-voting item.</w:t>
      </w:r>
    </w:p>
    <w:p w14:paraId="61824861" w14:textId="4B4246A5" w:rsidR="00430307" w:rsidRPr="00FF4D4B" w:rsidRDefault="00430307" w:rsidP="00093FA0">
      <w:pPr>
        <w:pStyle w:val="Kop3"/>
      </w:pPr>
      <w:bookmarkStart w:id="73" w:name="_Toc301441895"/>
      <w:r w:rsidRPr="00FF4D4B">
        <w:lastRenderedPageBreak/>
        <w:t xml:space="preserve">APPENDIX X: </w:t>
      </w:r>
      <w:r w:rsidR="00597AFE" w:rsidRPr="00FF4D4B">
        <w:t>Proposal of policy update in ISS format: voting item</w:t>
      </w:r>
      <w:bookmarkEnd w:id="73"/>
    </w:p>
    <w:p w14:paraId="5E1F896D" w14:textId="77777777" w:rsidR="00430307" w:rsidRPr="00FF4D4B" w:rsidRDefault="00430307" w:rsidP="00430307">
      <w:pPr>
        <w:widowControl w:val="0"/>
        <w:autoSpaceDE w:val="0"/>
        <w:autoSpaceDN w:val="0"/>
        <w:adjustRightInd w:val="0"/>
        <w:spacing w:after="240"/>
        <w:rPr>
          <w:rFonts w:cs="Times New Roman"/>
        </w:rPr>
      </w:pPr>
      <w:r w:rsidRPr="00FF4D4B">
        <w:rPr>
          <w:rFonts w:cs="Times New Roman"/>
          <w:noProof/>
        </w:rPr>
        <w:drawing>
          <wp:inline distT="0" distB="0" distL="0" distR="0" wp14:anchorId="1FB9BD1C" wp14:editId="33989F5C">
            <wp:extent cx="6291146" cy="1225748"/>
            <wp:effectExtent l="0" t="0" r="8255" b="0"/>
            <wp:docPr id="17" name="Afbeelding 17" descr="Macintosh HD:Users:Luukkuiper:Documents:School:Year 4:Bachelor Thesis:Afbeeldingen:Approve Rem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Luukkuiper:Documents:School:Year 4:Bachelor Thesis:Afbeeldingen:Approve RemPol.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291146" cy="1225748"/>
                    </a:xfrm>
                    <a:prstGeom prst="rect">
                      <a:avLst/>
                    </a:prstGeom>
                    <a:noFill/>
                    <a:ln>
                      <a:noFill/>
                    </a:ln>
                  </pic:spPr>
                </pic:pic>
              </a:graphicData>
            </a:graphic>
          </wp:inline>
        </w:drawing>
      </w:r>
    </w:p>
    <w:p w14:paraId="7AE812C8" w14:textId="77777777" w:rsidR="00430307" w:rsidRPr="00FF4D4B" w:rsidRDefault="00430307" w:rsidP="00430307">
      <w:pPr>
        <w:widowControl w:val="0"/>
        <w:autoSpaceDE w:val="0"/>
        <w:autoSpaceDN w:val="0"/>
        <w:adjustRightInd w:val="0"/>
        <w:spacing w:after="240"/>
        <w:rPr>
          <w:rFonts w:cs="Times New Roman"/>
          <w:color w:val="18376A"/>
          <w:sz w:val="32"/>
          <w:szCs w:val="32"/>
        </w:rPr>
      </w:pPr>
      <w:r w:rsidRPr="00FF4D4B">
        <w:rPr>
          <w:rFonts w:cs="Times New Roman"/>
          <w:color w:val="18376A"/>
          <w:sz w:val="32"/>
          <w:szCs w:val="32"/>
        </w:rPr>
        <w:t xml:space="preserve">Discussion </w:t>
      </w:r>
    </w:p>
    <w:p w14:paraId="342569FC" w14:textId="25ABA8C6" w:rsidR="00430307" w:rsidRPr="00FF4D4B" w:rsidRDefault="00430307" w:rsidP="00430307">
      <w:pPr>
        <w:widowControl w:val="0"/>
        <w:autoSpaceDE w:val="0"/>
        <w:autoSpaceDN w:val="0"/>
        <w:adjustRightInd w:val="0"/>
        <w:spacing w:after="240"/>
        <w:rPr>
          <w:rFonts w:cs="Times New Roman"/>
        </w:rPr>
      </w:pPr>
      <w:r w:rsidRPr="00FF4D4B">
        <w:rPr>
          <w:rFonts w:cs="Times New Roman"/>
        </w:rPr>
        <w:t xml:space="preserve">Under this item, the management board proposes to amend the Remuneration Policy. The proposed amendments mainly concern the change of share and/or option award into phantom stocks, SARs, cash settled options, or conditional cash awards. These amendments are in line with the changes to equity-based incentives emerged from the change-in-control provision </w:t>
      </w:r>
      <w:r w:rsidR="00BE5381" w:rsidRPr="00FF4D4B">
        <w:rPr>
          <w:rFonts w:cs="Times New Roman"/>
        </w:rPr>
        <w:t>of the Clawb</w:t>
      </w:r>
      <w:r w:rsidRPr="00FF4D4B">
        <w:rPr>
          <w:rFonts w:cs="Times New Roman"/>
        </w:rPr>
        <w:t>ack of Bonuses Act.</w:t>
      </w:r>
    </w:p>
    <w:p w14:paraId="1A5FAE9C" w14:textId="77777777" w:rsidR="00430307" w:rsidRPr="00FF4D4B" w:rsidRDefault="00430307" w:rsidP="00430307">
      <w:pPr>
        <w:widowControl w:val="0"/>
        <w:autoSpaceDE w:val="0"/>
        <w:autoSpaceDN w:val="0"/>
        <w:adjustRightInd w:val="0"/>
        <w:spacing w:after="240"/>
        <w:rPr>
          <w:rFonts w:cs="Times New Roman"/>
        </w:rPr>
      </w:pPr>
      <w:r w:rsidRPr="00FF4D4B">
        <w:rPr>
          <w:rFonts w:cs="Times New Roman"/>
          <w:color w:val="18376A"/>
          <w:sz w:val="32"/>
          <w:szCs w:val="32"/>
        </w:rPr>
        <w:t>Analysis</w:t>
      </w:r>
    </w:p>
    <w:p w14:paraId="63BA43C7" w14:textId="2A0FA599" w:rsidR="00430307" w:rsidRPr="00FF4D4B" w:rsidRDefault="00430307" w:rsidP="00430307">
      <w:pPr>
        <w:widowControl w:val="0"/>
        <w:autoSpaceDE w:val="0"/>
        <w:autoSpaceDN w:val="0"/>
        <w:adjustRightInd w:val="0"/>
        <w:spacing w:after="240"/>
        <w:rPr>
          <w:rFonts w:cs="Times New Roman"/>
        </w:rPr>
      </w:pPr>
      <w:r w:rsidRPr="00FF4D4B">
        <w:rPr>
          <w:rFonts w:cs="Times New Roman"/>
        </w:rPr>
        <w:t xml:space="preserve">Since January 2014, the change-in-control provision of the Dutch </w:t>
      </w:r>
      <w:r w:rsidR="00BE5381" w:rsidRPr="00FF4D4B">
        <w:rPr>
          <w:rFonts w:cs="Times New Roman"/>
        </w:rPr>
        <w:t>Clawb</w:t>
      </w:r>
      <w:r w:rsidRPr="00FF4D4B">
        <w:rPr>
          <w:rFonts w:cs="Times New Roman"/>
        </w:rPr>
        <w:t xml:space="preserve">ack of Bonuses Act limits the director’s ability to gain from a change-in-control by a deduction of the share value by the lowest increase in share value over a determined reference period. Consequently, the provision therefore limits the effectiveness of equity-based incentives. The provision applies to (I) cooperatives and private limited liability companies (BVs) qualifying as a bank, (II) mutual insurance companies </w:t>
      </w:r>
      <w:r w:rsidRPr="00FF4D4B">
        <w:rPr>
          <w:rFonts w:cs="Times New Roman"/>
        </w:rPr>
        <w:lastRenderedPageBreak/>
        <w:t>qualifying as an insurance company, and (III) financial institutions, regardless of their legal form.</w:t>
      </w:r>
    </w:p>
    <w:p w14:paraId="7BC71077" w14:textId="77777777" w:rsidR="00430307" w:rsidRPr="00FF4D4B" w:rsidRDefault="00430307" w:rsidP="00430307">
      <w:pPr>
        <w:widowControl w:val="0"/>
        <w:autoSpaceDE w:val="0"/>
        <w:autoSpaceDN w:val="0"/>
        <w:adjustRightInd w:val="0"/>
        <w:spacing w:after="240"/>
        <w:rPr>
          <w:rFonts w:cs="Times New Roman"/>
        </w:rPr>
      </w:pPr>
      <w:r w:rsidRPr="00FF4D4B">
        <w:rPr>
          <w:rFonts w:cs="Times New Roman"/>
        </w:rPr>
        <w:t xml:space="preserve">The change-in-control provision limits the incentive for directors to negotiate a higher share premium in a takeover. Moreover, it discourages directors to agree with a takeover. </w:t>
      </w:r>
    </w:p>
    <w:p w14:paraId="13A9B576" w14:textId="644C700A" w:rsidR="00D647A3" w:rsidRPr="007E527F" w:rsidRDefault="00430307" w:rsidP="007E527F">
      <w:pPr>
        <w:widowControl w:val="0"/>
        <w:autoSpaceDE w:val="0"/>
        <w:autoSpaceDN w:val="0"/>
        <w:adjustRightInd w:val="0"/>
        <w:spacing w:after="240"/>
        <w:rPr>
          <w:rFonts w:cs="Times New Roman"/>
        </w:rPr>
      </w:pPr>
      <w:r w:rsidRPr="00FF4D4B">
        <w:rPr>
          <w:rFonts w:cs="Times New Roman"/>
        </w:rPr>
        <w:t>The remuneration policy amendments from share and/or option bases incentives to phantom stock, SARs, cash settled option, and/or conditional cash awards, are accepted to be a method of incentive that restore the effectiveness of share value based incentives to pre-provision standards. It should be noted however that phantom stock, SARs and cash settled options are no full replacement of shares and awarding directors with shares (by conditional cash awards) should always be preferred over phantom stock, SARs or cash settled options.</w:t>
      </w:r>
    </w:p>
    <w:p w14:paraId="59EDEB27" w14:textId="77777777" w:rsidR="003C647E" w:rsidRPr="00FF4D4B" w:rsidRDefault="003C647E" w:rsidP="003C647E">
      <w:pPr>
        <w:rPr>
          <w:rFonts w:cs="Times New Roman"/>
        </w:rPr>
      </w:pPr>
    </w:p>
    <w:p w14:paraId="176314AE" w14:textId="77777777" w:rsidR="003C647E" w:rsidRPr="00FF4D4B" w:rsidRDefault="003C647E" w:rsidP="003C647E">
      <w:pPr>
        <w:rPr>
          <w:rFonts w:cs="Times New Roman"/>
        </w:rPr>
      </w:pPr>
    </w:p>
    <w:p w14:paraId="4F1D2510" w14:textId="77777777" w:rsidR="003C647E" w:rsidRPr="00FF4D4B" w:rsidRDefault="003C647E">
      <w:pPr>
        <w:rPr>
          <w:rFonts w:cs="Times New Roman"/>
        </w:rPr>
      </w:pPr>
    </w:p>
    <w:sectPr w:rsidR="003C647E" w:rsidRPr="00FF4D4B" w:rsidSect="00595DE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3D125" w14:textId="77777777" w:rsidR="007E6AF9" w:rsidRDefault="007E6AF9" w:rsidP="003C647E">
      <w:pPr>
        <w:spacing w:after="0" w:line="240" w:lineRule="auto"/>
      </w:pPr>
      <w:r>
        <w:separator/>
      </w:r>
    </w:p>
  </w:endnote>
  <w:endnote w:type="continuationSeparator" w:id="0">
    <w:p w14:paraId="5838C960" w14:textId="77777777" w:rsidR="007E6AF9" w:rsidRDefault="007E6AF9" w:rsidP="003C6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 Light">
    <w:charset w:val="00"/>
    <w:family w:val="auto"/>
    <w:pitch w:val="variable"/>
    <w:sig w:usb0="800000AF" w:usb1="4000204A" w:usb2="00000000" w:usb3="00000000" w:csb0="00000001"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Light">
    <w:altName w:val="Minion Pro"/>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039E" w14:textId="77777777" w:rsidR="007E6AF9" w:rsidRDefault="00D737A1">
    <w:pPr>
      <w:pStyle w:val="Voettekst"/>
      <w:jc w:val="right"/>
    </w:pPr>
    <w:sdt>
      <w:sdtPr>
        <w:id w:val="-1706789631"/>
        <w:docPartObj>
          <w:docPartGallery w:val="Page Numbers (Bottom of Page)"/>
          <w:docPartUnique/>
        </w:docPartObj>
      </w:sdtPr>
      <w:sdtEndPr>
        <w:rPr>
          <w:noProof/>
        </w:rPr>
      </w:sdtEndPr>
      <w:sdtContent>
        <w:r w:rsidR="007E6AF9">
          <w:fldChar w:fldCharType="begin"/>
        </w:r>
        <w:r w:rsidR="007E6AF9">
          <w:instrText xml:space="preserve"> PAGE   \* MERGEFORMAT </w:instrText>
        </w:r>
        <w:r w:rsidR="007E6AF9">
          <w:fldChar w:fldCharType="separate"/>
        </w:r>
        <w:r>
          <w:rPr>
            <w:noProof/>
          </w:rPr>
          <w:t>20</w:t>
        </w:r>
        <w:r w:rsidR="007E6AF9">
          <w:rPr>
            <w:noProof/>
          </w:rPr>
          <w:fldChar w:fldCharType="end"/>
        </w:r>
      </w:sdtContent>
    </w:sdt>
  </w:p>
  <w:p w14:paraId="40C688A9" w14:textId="741CD950" w:rsidR="007E6AF9" w:rsidRPr="00F02EFE" w:rsidRDefault="007E6AF9" w:rsidP="008665CD">
    <w:pPr>
      <w:pStyle w:val="Voettekst"/>
      <w:spacing w:line="360" w:lineRule="auto"/>
      <w:rPr>
        <w:sz w:val="16"/>
        <w:szCs w:val="16"/>
      </w:rPr>
    </w:pPr>
    <w:r w:rsidRPr="00F02EFE">
      <w:rPr>
        <w:sz w:val="16"/>
        <w:szCs w:val="16"/>
      </w:rPr>
      <w:t>Luuk Kuiper</w:t>
    </w:r>
    <w:r>
      <w:rPr>
        <w:sz w:val="16"/>
        <w:szCs w:val="16"/>
      </w:rPr>
      <w:t xml:space="preserve"> – </w:t>
    </w:r>
    <w:r w:rsidRPr="00F02EFE">
      <w:rPr>
        <w:sz w:val="16"/>
        <w:szCs w:val="16"/>
      </w:rPr>
      <w:t>1578744</w:t>
    </w:r>
    <w:r w:rsidRPr="00F02EFE">
      <w:rPr>
        <w:sz w:val="16"/>
        <w:szCs w:val="16"/>
      </w:rPr>
      <w:tab/>
      <w:t>Change-in-Control Provision and Shareholder Value</w:t>
    </w:r>
    <w:r>
      <w:rPr>
        <w:sz w:val="16"/>
        <w:szCs w:val="16"/>
      </w:rPr>
      <w:tab/>
      <w:t>HU University of Applied Sciences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1298B" w14:textId="77777777" w:rsidR="007E6AF9" w:rsidRDefault="007E6AF9" w:rsidP="003C647E">
      <w:pPr>
        <w:spacing w:after="0" w:line="240" w:lineRule="auto"/>
      </w:pPr>
      <w:r>
        <w:separator/>
      </w:r>
    </w:p>
  </w:footnote>
  <w:footnote w:type="continuationSeparator" w:id="0">
    <w:p w14:paraId="26CD18D0" w14:textId="77777777" w:rsidR="007E6AF9" w:rsidRDefault="007E6AF9" w:rsidP="003C647E">
      <w:pPr>
        <w:spacing w:after="0" w:line="240" w:lineRule="auto"/>
      </w:pPr>
      <w:r>
        <w:continuationSeparator/>
      </w:r>
    </w:p>
  </w:footnote>
  <w:footnote w:id="1">
    <w:p w14:paraId="581AC065" w14:textId="77777777" w:rsidR="007E6AF9" w:rsidRPr="00D1447B" w:rsidRDefault="007E6AF9" w:rsidP="00971730">
      <w:pPr>
        <w:pStyle w:val="Voetnoottekst"/>
        <w:rPr>
          <w:sz w:val="16"/>
          <w:szCs w:val="16"/>
        </w:rPr>
      </w:pPr>
      <w:r w:rsidRPr="00D1447B">
        <w:rPr>
          <w:rStyle w:val="Voetnootmarkering"/>
          <w:sz w:val="16"/>
          <w:szCs w:val="16"/>
        </w:rPr>
        <w:footnoteRef/>
      </w:r>
      <w:r w:rsidRPr="00D1447B">
        <w:rPr>
          <w:sz w:val="16"/>
          <w:szCs w:val="16"/>
        </w:rPr>
        <w:t xml:space="preserve"> Including depository receipts</w:t>
      </w:r>
    </w:p>
  </w:footnote>
  <w:footnote w:id="2">
    <w:p w14:paraId="0C8A52CB" w14:textId="77777777" w:rsidR="007E6AF9" w:rsidRPr="00211BED" w:rsidRDefault="007E6AF9" w:rsidP="006D0B0F">
      <w:pPr>
        <w:pStyle w:val="Voetnoottekst"/>
        <w:rPr>
          <w:sz w:val="16"/>
          <w:szCs w:val="16"/>
        </w:rPr>
      </w:pPr>
      <w:r w:rsidRPr="00211BED">
        <w:rPr>
          <w:rStyle w:val="Voetnootmarkering"/>
          <w:sz w:val="16"/>
          <w:szCs w:val="16"/>
        </w:rPr>
        <w:footnoteRef/>
      </w:r>
      <w:r w:rsidRPr="00211BED">
        <w:rPr>
          <w:sz w:val="16"/>
          <w:szCs w:val="16"/>
        </w:rPr>
        <w:t xml:space="preserve"> Claw-back Step-by-step process of calculating increases in value in the case of a public offer</w:t>
      </w:r>
      <w:r>
        <w:rPr>
          <w:sz w:val="16"/>
          <w:szCs w:val="16"/>
        </w:rPr>
        <w:t>. (2014).</w:t>
      </w:r>
      <w:r w:rsidRPr="00211BED">
        <w:rPr>
          <w:sz w:val="16"/>
          <w:szCs w:val="16"/>
        </w:rPr>
        <w:t xml:space="preserve"> De Blauw, Blackstone, Westbroek, </w:t>
      </w:r>
    </w:p>
  </w:footnote>
  <w:footnote w:id="3">
    <w:p w14:paraId="0948979A" w14:textId="16035307" w:rsidR="007E6AF9" w:rsidRPr="00EC595F" w:rsidRDefault="007E6AF9">
      <w:pPr>
        <w:pStyle w:val="Voetnoottekst"/>
        <w:rPr>
          <w:sz w:val="16"/>
          <w:szCs w:val="16"/>
        </w:rPr>
      </w:pPr>
      <w:r w:rsidRPr="00EC595F">
        <w:rPr>
          <w:rStyle w:val="Voetnootmarkering"/>
          <w:sz w:val="16"/>
          <w:szCs w:val="16"/>
        </w:rPr>
        <w:footnoteRef/>
      </w:r>
      <w:r w:rsidRPr="00EC595F">
        <w:rPr>
          <w:sz w:val="16"/>
          <w:szCs w:val="16"/>
        </w:rPr>
        <w:t xml:space="preserve"> </w:t>
      </w:r>
      <w:r>
        <w:rPr>
          <w:sz w:val="16"/>
          <w:szCs w:val="16"/>
        </w:rPr>
        <w:t xml:space="preserve">Offer Memorandum </w:t>
      </w:r>
      <w:r w:rsidRPr="00EC595F">
        <w:rPr>
          <w:sz w:val="16"/>
          <w:szCs w:val="16"/>
        </w:rPr>
        <w:t>ABN Amro Holding N.V. by RFS Holding N.V., July 20, 2007</w:t>
      </w:r>
    </w:p>
  </w:footnote>
  <w:footnote w:id="4">
    <w:p w14:paraId="0BA53173" w14:textId="77777777" w:rsidR="007E6AF9" w:rsidRPr="00050EED" w:rsidRDefault="007E6AF9" w:rsidP="00A00A4C">
      <w:pPr>
        <w:pStyle w:val="Voetnoottekst"/>
        <w:rPr>
          <w:sz w:val="16"/>
          <w:szCs w:val="16"/>
        </w:rPr>
      </w:pPr>
      <w:r w:rsidRPr="00050EED">
        <w:rPr>
          <w:rStyle w:val="Voetnootmarkering"/>
          <w:sz w:val="16"/>
          <w:szCs w:val="16"/>
        </w:rPr>
        <w:footnoteRef/>
      </w:r>
      <w:r w:rsidRPr="00050EED">
        <w:rPr>
          <w:sz w:val="16"/>
          <w:szCs w:val="16"/>
        </w:rPr>
        <w:t xml:space="preserve"> Annual Report 2007, ABN Amro Holding N.V. </w:t>
      </w:r>
    </w:p>
  </w:footnote>
  <w:footnote w:id="5">
    <w:p w14:paraId="6269F24E" w14:textId="071B0352" w:rsidR="007E6AF9" w:rsidRPr="00CD5439" w:rsidRDefault="007E6AF9">
      <w:pPr>
        <w:pStyle w:val="Voetnoottekst"/>
        <w:rPr>
          <w:sz w:val="16"/>
          <w:szCs w:val="16"/>
        </w:rPr>
      </w:pPr>
      <w:r w:rsidRPr="00CD5439">
        <w:rPr>
          <w:rStyle w:val="Voetnootmarkering"/>
          <w:sz w:val="16"/>
          <w:szCs w:val="16"/>
        </w:rPr>
        <w:footnoteRef/>
      </w:r>
      <w:r>
        <w:rPr>
          <w:sz w:val="16"/>
          <w:szCs w:val="16"/>
        </w:rPr>
        <w:t xml:space="preserve"> Value of shares plus the termination payments.</w:t>
      </w:r>
      <w:r w:rsidRPr="00CD5439">
        <w:rPr>
          <w:sz w:val="16"/>
          <w:szCs w:val="16"/>
        </w:rPr>
        <w:t xml:space="preserve"> </w:t>
      </w:r>
    </w:p>
  </w:footnote>
  <w:footnote w:id="6">
    <w:p w14:paraId="4BC5DDDA" w14:textId="1F50CEFB" w:rsidR="007E6AF9" w:rsidRPr="00EC595F" w:rsidRDefault="007E6AF9">
      <w:pPr>
        <w:pStyle w:val="Voetnoottekst"/>
        <w:rPr>
          <w:sz w:val="16"/>
          <w:szCs w:val="16"/>
        </w:rPr>
      </w:pPr>
      <w:r w:rsidRPr="00EC595F">
        <w:rPr>
          <w:rStyle w:val="Voetnootmarkering"/>
          <w:sz w:val="16"/>
          <w:szCs w:val="16"/>
        </w:rPr>
        <w:footnoteRef/>
      </w:r>
      <w:r w:rsidRPr="00EC595F">
        <w:rPr>
          <w:sz w:val="16"/>
          <w:szCs w:val="16"/>
        </w:rPr>
        <w:t xml:space="preserve"> Data retrieved from Annual Report ABN Amro Holding N.V. 2007 and Offer Memorandum ABN Holding N.V. by RFS Holding N.V. July 2</w:t>
      </w:r>
      <w:r>
        <w:rPr>
          <w:sz w:val="16"/>
          <w:szCs w:val="16"/>
        </w:rPr>
        <w:t>0</w:t>
      </w:r>
      <w:r w:rsidRPr="00EC595F">
        <w:rPr>
          <w:sz w:val="16"/>
          <w:szCs w:val="16"/>
        </w:rPr>
        <w:t>, 2007</w:t>
      </w:r>
    </w:p>
  </w:footnote>
  <w:footnote w:id="7">
    <w:p w14:paraId="5A163F97" w14:textId="4C737877" w:rsidR="007E6AF9" w:rsidRPr="00BB723E" w:rsidRDefault="007E6AF9">
      <w:pPr>
        <w:pStyle w:val="Voetnoottekst"/>
        <w:rPr>
          <w:sz w:val="16"/>
          <w:szCs w:val="16"/>
        </w:rPr>
      </w:pPr>
      <w:r w:rsidRPr="00BB723E">
        <w:rPr>
          <w:rStyle w:val="Voetnootmarkering"/>
          <w:sz w:val="16"/>
          <w:szCs w:val="16"/>
        </w:rPr>
        <w:footnoteRef/>
      </w:r>
      <w:r w:rsidRPr="00BB723E">
        <w:rPr>
          <w:sz w:val="16"/>
          <w:szCs w:val="16"/>
        </w:rPr>
        <w:t xml:space="preserve"> Annual Report 2007 The Royal Bank of Scotland Group</w:t>
      </w:r>
    </w:p>
  </w:footnote>
  <w:footnote w:id="8">
    <w:p w14:paraId="72C45D97" w14:textId="49E30C2F" w:rsidR="007E6AF9" w:rsidRPr="00226824" w:rsidRDefault="007E6AF9">
      <w:pPr>
        <w:pStyle w:val="Voetnoottekst"/>
        <w:rPr>
          <w:sz w:val="16"/>
          <w:szCs w:val="16"/>
        </w:rPr>
      </w:pPr>
      <w:r w:rsidRPr="00226824">
        <w:rPr>
          <w:rStyle w:val="Voetnootmarkering"/>
          <w:sz w:val="16"/>
          <w:szCs w:val="16"/>
        </w:rPr>
        <w:footnoteRef/>
      </w:r>
      <w:r w:rsidRPr="00226824">
        <w:rPr>
          <w:sz w:val="16"/>
          <w:szCs w:val="16"/>
        </w:rPr>
        <w:t xml:space="preserve"> </w:t>
      </w:r>
      <w:r>
        <w:rPr>
          <w:sz w:val="16"/>
          <w:szCs w:val="16"/>
        </w:rPr>
        <w:t xml:space="preserve">Assuming a tax rate of </w:t>
      </w:r>
      <w:r w:rsidRPr="00226824">
        <w:rPr>
          <w:sz w:val="16"/>
          <w:szCs w:val="16"/>
        </w:rPr>
        <w:t>52 percent</w:t>
      </w:r>
    </w:p>
  </w:footnote>
  <w:footnote w:id="9">
    <w:p w14:paraId="1F2A2401" w14:textId="409EAD1D" w:rsidR="007E6AF9" w:rsidRPr="00EC595F" w:rsidRDefault="007E6AF9">
      <w:pPr>
        <w:pStyle w:val="Voetnoottekst"/>
        <w:rPr>
          <w:sz w:val="16"/>
          <w:szCs w:val="16"/>
        </w:rPr>
      </w:pPr>
      <w:r w:rsidRPr="00EC595F">
        <w:rPr>
          <w:rStyle w:val="Voetnootmarkering"/>
          <w:sz w:val="16"/>
          <w:szCs w:val="16"/>
        </w:rPr>
        <w:footnoteRef/>
      </w:r>
      <w:r w:rsidRPr="00EC595F">
        <w:rPr>
          <w:sz w:val="16"/>
          <w:szCs w:val="16"/>
        </w:rPr>
        <w:t xml:space="preserve"> Annual Report Numico N.V. 2007</w:t>
      </w:r>
    </w:p>
  </w:footnote>
  <w:footnote w:id="10">
    <w:p w14:paraId="4EAF1BDF" w14:textId="02B103A7" w:rsidR="007E6AF9" w:rsidRPr="00E819D4" w:rsidRDefault="007E6AF9" w:rsidP="0026397F">
      <w:pPr>
        <w:pStyle w:val="Voetnoottekst"/>
        <w:rPr>
          <w:sz w:val="16"/>
          <w:szCs w:val="16"/>
        </w:rPr>
      </w:pPr>
      <w:r w:rsidRPr="00E819D4">
        <w:rPr>
          <w:rStyle w:val="Voetnootmarkering"/>
          <w:sz w:val="16"/>
          <w:szCs w:val="16"/>
        </w:rPr>
        <w:footnoteRef/>
      </w:r>
      <w:r w:rsidRPr="00E819D4">
        <w:rPr>
          <w:sz w:val="16"/>
          <w:szCs w:val="16"/>
        </w:rPr>
        <w:t xml:space="preserve"> Data collected from Annual Report 2006, Numico N.V.</w:t>
      </w:r>
      <w:r>
        <w:rPr>
          <w:sz w:val="16"/>
          <w:szCs w:val="16"/>
        </w:rPr>
        <w:t xml:space="preserve"> and Offer Memorandum Numico N.V by Groupe Danone, August 20, 2007</w:t>
      </w:r>
    </w:p>
  </w:footnote>
  <w:footnote w:id="11">
    <w:p w14:paraId="02F76165" w14:textId="75721BCC" w:rsidR="007E6AF9" w:rsidRPr="00FC21A8" w:rsidRDefault="007E6AF9">
      <w:pPr>
        <w:pStyle w:val="Voetnoottekst"/>
        <w:rPr>
          <w:sz w:val="16"/>
          <w:szCs w:val="16"/>
        </w:rPr>
      </w:pPr>
      <w:r w:rsidRPr="00FC21A8">
        <w:rPr>
          <w:rStyle w:val="Voetnootmarkering"/>
          <w:sz w:val="16"/>
          <w:szCs w:val="16"/>
        </w:rPr>
        <w:footnoteRef/>
      </w:r>
      <w:r w:rsidRPr="00FC21A8">
        <w:rPr>
          <w:sz w:val="16"/>
          <w:szCs w:val="16"/>
        </w:rPr>
        <w:t xml:space="preserve"> Ann</w:t>
      </w:r>
      <w:r>
        <w:rPr>
          <w:sz w:val="16"/>
          <w:szCs w:val="16"/>
        </w:rPr>
        <w:t>ual Report 2010 Draka Holding NV</w:t>
      </w:r>
    </w:p>
  </w:footnote>
  <w:footnote w:id="12">
    <w:p w14:paraId="43006397" w14:textId="612AA0FB" w:rsidR="007E6AF9" w:rsidRPr="00C14B88" w:rsidRDefault="007E6AF9">
      <w:pPr>
        <w:pStyle w:val="Voetnoottekst"/>
        <w:rPr>
          <w:sz w:val="16"/>
          <w:szCs w:val="16"/>
        </w:rPr>
      </w:pPr>
      <w:r w:rsidRPr="00C14B88">
        <w:rPr>
          <w:rStyle w:val="Voetnootmarkering"/>
          <w:sz w:val="16"/>
          <w:szCs w:val="16"/>
        </w:rPr>
        <w:footnoteRef/>
      </w:r>
      <w:r w:rsidRPr="00C14B88">
        <w:rPr>
          <w:sz w:val="16"/>
          <w:szCs w:val="16"/>
        </w:rPr>
        <w:t xml:space="preserve"> Offer Memorandum Recommended Mixed Exchange and Cash Offer by Prysmian</w:t>
      </w:r>
    </w:p>
  </w:footnote>
  <w:footnote w:id="13">
    <w:p w14:paraId="6091DCC0" w14:textId="19E296DC" w:rsidR="007E6AF9" w:rsidRPr="00823D0F" w:rsidRDefault="007E6AF9">
      <w:pPr>
        <w:pStyle w:val="Voetnoottekst"/>
        <w:rPr>
          <w:sz w:val="16"/>
          <w:szCs w:val="16"/>
        </w:rPr>
      </w:pPr>
      <w:r w:rsidRPr="00823D0F">
        <w:rPr>
          <w:rStyle w:val="Voetnootmarkering"/>
          <w:sz w:val="16"/>
          <w:szCs w:val="16"/>
        </w:rPr>
        <w:footnoteRef/>
      </w:r>
      <w:r w:rsidRPr="00823D0F">
        <w:rPr>
          <w:sz w:val="16"/>
          <w:szCs w:val="16"/>
        </w:rPr>
        <w:t xml:space="preserve"> Remuneration report 2011, Prysmian Group</w:t>
      </w:r>
    </w:p>
  </w:footnote>
  <w:footnote w:id="14">
    <w:p w14:paraId="6FADE11A" w14:textId="4530C71D" w:rsidR="007E6AF9" w:rsidRPr="00C304DC" w:rsidRDefault="007E6AF9">
      <w:pPr>
        <w:pStyle w:val="Voetnoottekst"/>
        <w:rPr>
          <w:sz w:val="16"/>
          <w:szCs w:val="16"/>
        </w:rPr>
      </w:pPr>
      <w:r w:rsidRPr="00C304DC">
        <w:rPr>
          <w:rStyle w:val="Voetnootmarkering"/>
          <w:sz w:val="16"/>
          <w:szCs w:val="16"/>
        </w:rPr>
        <w:footnoteRef/>
      </w:r>
      <w:r w:rsidRPr="00C304DC">
        <w:rPr>
          <w:sz w:val="16"/>
          <w:szCs w:val="16"/>
        </w:rPr>
        <w:t xml:space="preserve"> </w:t>
      </w:r>
      <w:r>
        <w:rPr>
          <w:sz w:val="16"/>
          <w:szCs w:val="16"/>
        </w:rPr>
        <w:t>C</w:t>
      </w:r>
      <w:r w:rsidRPr="00C304DC">
        <w:rPr>
          <w:sz w:val="16"/>
          <w:szCs w:val="16"/>
        </w:rPr>
        <w:t>alculated over a three year average of yearly bonuses, €522,000, €294,000 and €740,000 respectively</w:t>
      </w:r>
    </w:p>
  </w:footnote>
  <w:footnote w:id="15">
    <w:p w14:paraId="61785A94" w14:textId="76035188" w:rsidR="007E6AF9" w:rsidRPr="00C304DC" w:rsidRDefault="007E6AF9">
      <w:pPr>
        <w:pStyle w:val="Voetnoottekst"/>
        <w:rPr>
          <w:sz w:val="16"/>
          <w:szCs w:val="16"/>
        </w:rPr>
      </w:pPr>
      <w:r w:rsidRPr="00C304DC">
        <w:rPr>
          <w:rStyle w:val="Voetnootmarkering"/>
          <w:sz w:val="16"/>
          <w:szCs w:val="16"/>
        </w:rPr>
        <w:footnoteRef/>
      </w:r>
      <w:r w:rsidRPr="00C304DC">
        <w:rPr>
          <w:sz w:val="16"/>
          <w:szCs w:val="16"/>
        </w:rPr>
        <w:t xml:space="preserve"> Annual Report 2009/Annual Report 2010, Draka Holding NV</w:t>
      </w:r>
    </w:p>
  </w:footnote>
  <w:footnote w:id="16">
    <w:p w14:paraId="55EA39F9" w14:textId="4658CF90" w:rsidR="007E6AF9" w:rsidRPr="00D619EA" w:rsidRDefault="007E6AF9">
      <w:pPr>
        <w:pStyle w:val="Voetnoottekst"/>
        <w:rPr>
          <w:sz w:val="16"/>
          <w:szCs w:val="16"/>
        </w:rPr>
      </w:pPr>
      <w:r w:rsidRPr="00D619EA">
        <w:rPr>
          <w:rStyle w:val="Voetnootmarkering"/>
          <w:sz w:val="16"/>
          <w:szCs w:val="16"/>
        </w:rPr>
        <w:footnoteRef/>
      </w:r>
      <w:r w:rsidRPr="00D619EA">
        <w:rPr>
          <w:sz w:val="16"/>
          <w:szCs w:val="16"/>
        </w:rPr>
        <w:t xml:space="preserve"> Offer Document Crucell NV JJC Acquisition Company BV, December 8, 2010</w:t>
      </w:r>
    </w:p>
  </w:footnote>
  <w:footnote w:id="17">
    <w:p w14:paraId="4F49A2C5" w14:textId="5ECCBFD0" w:rsidR="007E6AF9" w:rsidRPr="0046119E" w:rsidRDefault="007E6AF9">
      <w:pPr>
        <w:pStyle w:val="Voetnoottekst"/>
        <w:rPr>
          <w:sz w:val="16"/>
          <w:szCs w:val="16"/>
        </w:rPr>
      </w:pPr>
      <w:r w:rsidRPr="0046119E">
        <w:rPr>
          <w:rStyle w:val="Voetnootmarkering"/>
          <w:sz w:val="16"/>
          <w:szCs w:val="16"/>
        </w:rPr>
        <w:footnoteRef/>
      </w:r>
      <w:r w:rsidRPr="0046119E">
        <w:rPr>
          <w:sz w:val="16"/>
          <w:szCs w:val="16"/>
        </w:rPr>
        <w:t xml:space="preserve"> Johnson &amp; Johnson Completes Tender Offer for Crucell and Declares Offer Unconditional, February 22, 2011, Investors Relations Johnson and Johnson. http://www.investor.jnj.com/releasedetail.cfm?ReleaseID=551527</w:t>
      </w:r>
    </w:p>
  </w:footnote>
  <w:footnote w:id="18">
    <w:p w14:paraId="3694C7E2" w14:textId="77777777" w:rsidR="007E6AF9" w:rsidRPr="0046119E" w:rsidRDefault="007E6AF9" w:rsidP="00AA1E20">
      <w:pPr>
        <w:pStyle w:val="Voetnoottekst"/>
        <w:rPr>
          <w:sz w:val="16"/>
          <w:szCs w:val="16"/>
        </w:rPr>
      </w:pPr>
      <w:r w:rsidRPr="0046119E">
        <w:rPr>
          <w:rStyle w:val="Voetnootmarkering"/>
          <w:sz w:val="16"/>
          <w:szCs w:val="16"/>
        </w:rPr>
        <w:footnoteRef/>
      </w:r>
      <w:r w:rsidRPr="0046119E">
        <w:rPr>
          <w:sz w:val="16"/>
          <w:szCs w:val="16"/>
        </w:rPr>
        <w:t xml:space="preserve"> Johnson &amp; Johnson Acquires 98.89% of Issued Crucell Shares as of the End of the Subsequent Offering Period and Crucell Intends to Delist Crucell Ordinary Shares and ADSs, March 8, 2011 Investors Relations Johnson and Johnson</w:t>
      </w:r>
      <w:r>
        <w:rPr>
          <w:sz w:val="16"/>
          <w:szCs w:val="16"/>
        </w:rPr>
        <w:t xml:space="preserve">. </w:t>
      </w:r>
      <w:r w:rsidRPr="0046119E">
        <w:rPr>
          <w:sz w:val="16"/>
          <w:szCs w:val="16"/>
        </w:rPr>
        <w:t>http://www.investor.jnj.com/releasedetail.cfm?ReleaseID=555562</w:t>
      </w:r>
    </w:p>
  </w:footnote>
  <w:footnote w:id="19">
    <w:p w14:paraId="4C287828" w14:textId="03B4E6AF" w:rsidR="007E6AF9" w:rsidRPr="0091674F" w:rsidRDefault="007E6AF9">
      <w:pPr>
        <w:pStyle w:val="Voetnoottekst"/>
        <w:rPr>
          <w:sz w:val="16"/>
          <w:szCs w:val="16"/>
        </w:rPr>
      </w:pPr>
      <w:r w:rsidRPr="0091674F">
        <w:rPr>
          <w:rStyle w:val="Voetnootmarkering"/>
          <w:sz w:val="16"/>
          <w:szCs w:val="16"/>
        </w:rPr>
        <w:footnoteRef/>
      </w:r>
      <w:r w:rsidRPr="0091674F">
        <w:rPr>
          <w:sz w:val="16"/>
          <w:szCs w:val="16"/>
        </w:rPr>
        <w:t xml:space="preserve"> Data collected from Crucell NV Annual Report 2009 and Offer Memorandum</w:t>
      </w:r>
    </w:p>
  </w:footnote>
  <w:footnote w:id="20">
    <w:p w14:paraId="2E273ACC" w14:textId="4A9E69D8" w:rsidR="007E6AF9" w:rsidRPr="00E51FBF" w:rsidRDefault="007E6AF9">
      <w:pPr>
        <w:pStyle w:val="Voetnoottekst"/>
        <w:rPr>
          <w:sz w:val="16"/>
          <w:szCs w:val="16"/>
        </w:rPr>
      </w:pPr>
      <w:r w:rsidRPr="00E51FBF">
        <w:rPr>
          <w:rStyle w:val="Voetnootmarkering"/>
          <w:sz w:val="16"/>
          <w:szCs w:val="16"/>
        </w:rPr>
        <w:footnoteRef/>
      </w:r>
      <w:r w:rsidRPr="00E51FBF">
        <w:rPr>
          <w:sz w:val="16"/>
          <w:szCs w:val="16"/>
        </w:rPr>
        <w:t xml:space="preserve"> Hoe Jan Bennink Miljoenen Verdiende Met Dubieuze Overname Douwe Egberts, August 9 2014, Follow the Money </w:t>
      </w:r>
    </w:p>
  </w:footnote>
  <w:footnote w:id="21">
    <w:p w14:paraId="0D411128" w14:textId="1AD4861B" w:rsidR="007E6AF9" w:rsidRPr="00FD46B0" w:rsidRDefault="007E6AF9">
      <w:pPr>
        <w:pStyle w:val="Voetnoottekst"/>
        <w:rPr>
          <w:sz w:val="16"/>
          <w:szCs w:val="16"/>
        </w:rPr>
      </w:pPr>
      <w:r w:rsidRPr="00FD46B0">
        <w:rPr>
          <w:rStyle w:val="Voetnootmarkering"/>
          <w:sz w:val="16"/>
          <w:szCs w:val="16"/>
        </w:rPr>
        <w:footnoteRef/>
      </w:r>
      <w:r w:rsidRPr="00FD46B0">
        <w:rPr>
          <w:sz w:val="16"/>
          <w:szCs w:val="16"/>
        </w:rPr>
        <w:t xml:space="preserve"> Annual Report 2012 DE Master Blenders 1753 NV</w:t>
      </w:r>
    </w:p>
  </w:footnote>
  <w:footnote w:id="22">
    <w:p w14:paraId="33DE0CFF" w14:textId="19A097CB" w:rsidR="007E6AF9" w:rsidRDefault="007E6AF9">
      <w:pPr>
        <w:pStyle w:val="Voetnoottekst"/>
      </w:pPr>
      <w:r w:rsidRPr="00FD46B0">
        <w:rPr>
          <w:rStyle w:val="Voetnootmarkering"/>
          <w:sz w:val="16"/>
          <w:szCs w:val="16"/>
        </w:rPr>
        <w:footnoteRef/>
      </w:r>
      <w:r w:rsidRPr="00FD46B0">
        <w:rPr>
          <w:sz w:val="16"/>
          <w:szCs w:val="16"/>
        </w:rPr>
        <w:t xml:space="preserve"> Offer Memorandum by Oak Leaf BV</w:t>
      </w:r>
    </w:p>
  </w:footnote>
  <w:footnote w:id="23">
    <w:p w14:paraId="66EE238F" w14:textId="5173179E" w:rsidR="007E6AF9" w:rsidRPr="002B1FD0" w:rsidRDefault="007E6AF9">
      <w:pPr>
        <w:pStyle w:val="Voetnoottekst"/>
        <w:rPr>
          <w:sz w:val="16"/>
          <w:szCs w:val="16"/>
        </w:rPr>
      </w:pPr>
      <w:r w:rsidRPr="002B1FD0">
        <w:rPr>
          <w:rStyle w:val="Voetnootmarkering"/>
          <w:sz w:val="16"/>
          <w:szCs w:val="16"/>
        </w:rPr>
        <w:footnoteRef/>
      </w:r>
      <w:r w:rsidRPr="002B1FD0">
        <w:rPr>
          <w:sz w:val="16"/>
          <w:szCs w:val="16"/>
        </w:rPr>
        <w:t xml:space="preserve"> Annual report ABN AMRO Holding NV 2007</w:t>
      </w:r>
    </w:p>
  </w:footnote>
  <w:footnote w:id="24">
    <w:p w14:paraId="6F9F645D" w14:textId="466642FF" w:rsidR="007E6AF9" w:rsidRPr="002F2C8B" w:rsidRDefault="007E6AF9">
      <w:pPr>
        <w:pStyle w:val="Voetnoottekst"/>
        <w:rPr>
          <w:sz w:val="16"/>
          <w:szCs w:val="16"/>
        </w:rPr>
      </w:pPr>
      <w:r w:rsidRPr="002F2C8B">
        <w:rPr>
          <w:rStyle w:val="Voetnootmarkering"/>
          <w:sz w:val="16"/>
          <w:szCs w:val="16"/>
        </w:rPr>
        <w:footnoteRef/>
      </w:r>
      <w:r w:rsidRPr="002F2C8B">
        <w:rPr>
          <w:sz w:val="16"/>
          <w:szCs w:val="16"/>
        </w:rPr>
        <w:t xml:space="preserve"> Evaluation AGM Season 2015, Eumedion Corporate Governance </w:t>
      </w:r>
    </w:p>
  </w:footnote>
  <w:footnote w:id="25">
    <w:p w14:paraId="23B0D474" w14:textId="756ECECF" w:rsidR="007E6AF9" w:rsidRPr="0070599E" w:rsidRDefault="007E6AF9">
      <w:pPr>
        <w:pStyle w:val="Voetnoottekst"/>
        <w:rPr>
          <w:sz w:val="16"/>
          <w:szCs w:val="16"/>
        </w:rPr>
      </w:pPr>
      <w:r w:rsidRPr="0070599E">
        <w:rPr>
          <w:rStyle w:val="Voetnootmarkering"/>
          <w:sz w:val="16"/>
          <w:szCs w:val="16"/>
        </w:rPr>
        <w:footnoteRef/>
      </w:r>
      <w:r w:rsidRPr="0070599E">
        <w:rPr>
          <w:sz w:val="16"/>
          <w:szCs w:val="16"/>
        </w:rPr>
        <w:t xml:space="preserve"> De zoete verleiding bij overnames [The sweet temptation at takeovers], February 5, 2015, Verenings Effecten Bezitters, Retrieved from: https://www.veb.net/artikel/05584/de-zoete-verleiding-bij-overnames</w:t>
      </w:r>
    </w:p>
  </w:footnote>
  <w:footnote w:id="26">
    <w:p w14:paraId="2429F065" w14:textId="5F61BF29" w:rsidR="007E6AF9" w:rsidRPr="005353CE" w:rsidRDefault="007E6AF9">
      <w:pPr>
        <w:pStyle w:val="Voetnoottekst"/>
        <w:rPr>
          <w:sz w:val="16"/>
          <w:szCs w:val="16"/>
        </w:rPr>
      </w:pPr>
      <w:r w:rsidRPr="005353CE">
        <w:rPr>
          <w:rStyle w:val="Voetnootmarkering"/>
          <w:sz w:val="16"/>
          <w:szCs w:val="16"/>
        </w:rPr>
        <w:footnoteRef/>
      </w:r>
      <w:r w:rsidRPr="005353CE">
        <w:rPr>
          <w:sz w:val="16"/>
          <w:szCs w:val="16"/>
        </w:rPr>
        <w:t xml:space="preserve"> </w:t>
      </w:r>
      <w:r>
        <w:rPr>
          <w:sz w:val="16"/>
          <w:szCs w:val="16"/>
        </w:rPr>
        <w:t xml:space="preserve">In accordance with ISS standard. </w:t>
      </w:r>
      <w:r w:rsidRPr="005353CE">
        <w:rPr>
          <w:sz w:val="16"/>
          <w:szCs w:val="16"/>
        </w:rPr>
        <w:t>ISS uses FOR or AGAINST recommendations in its research analyses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62B99"/>
    <w:multiLevelType w:val="hybridMultilevel"/>
    <w:tmpl w:val="6D64FB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6215713"/>
    <w:multiLevelType w:val="hybridMultilevel"/>
    <w:tmpl w:val="2180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E2629"/>
    <w:multiLevelType w:val="multilevel"/>
    <w:tmpl w:val="7578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251579"/>
    <w:multiLevelType w:val="multilevel"/>
    <w:tmpl w:val="FF2CC7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AD77B84"/>
    <w:multiLevelType w:val="hybridMultilevel"/>
    <w:tmpl w:val="71B0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2D6C6D"/>
    <w:multiLevelType w:val="hybridMultilevel"/>
    <w:tmpl w:val="D0E2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944461"/>
    <w:multiLevelType w:val="hybridMultilevel"/>
    <w:tmpl w:val="55864E28"/>
    <w:lvl w:ilvl="0" w:tplc="02B8C28E">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E36BC7"/>
    <w:multiLevelType w:val="hybridMultilevel"/>
    <w:tmpl w:val="E658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E04A4D"/>
    <w:multiLevelType w:val="multilevel"/>
    <w:tmpl w:val="874A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1D214A"/>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A067BC8"/>
    <w:multiLevelType w:val="hybridMultilevel"/>
    <w:tmpl w:val="F3D85E1E"/>
    <w:lvl w:ilvl="0" w:tplc="080C001B">
      <w:start w:val="1"/>
      <w:numFmt w:val="low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1DCF525C"/>
    <w:multiLevelType w:val="hybridMultilevel"/>
    <w:tmpl w:val="8CC01B3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1F0F480E"/>
    <w:multiLevelType w:val="hybridMultilevel"/>
    <w:tmpl w:val="A59494F0"/>
    <w:lvl w:ilvl="0" w:tplc="080C000F">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241334E4"/>
    <w:multiLevelType w:val="hybridMultilevel"/>
    <w:tmpl w:val="B748F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A8690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79E10E7"/>
    <w:multiLevelType w:val="hybridMultilevel"/>
    <w:tmpl w:val="A002F7A4"/>
    <w:lvl w:ilvl="0" w:tplc="080C000F">
      <w:start w:val="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317217CC"/>
    <w:multiLevelType w:val="hybridMultilevel"/>
    <w:tmpl w:val="5F2EBC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205214F"/>
    <w:multiLevelType w:val="multilevel"/>
    <w:tmpl w:val="2DBA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096CD0"/>
    <w:multiLevelType w:val="hybridMultilevel"/>
    <w:tmpl w:val="7ADA9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EF0616"/>
    <w:multiLevelType w:val="hybridMultilevel"/>
    <w:tmpl w:val="326A6D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FD7C1C"/>
    <w:multiLevelType w:val="hybridMultilevel"/>
    <w:tmpl w:val="0226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0108AB"/>
    <w:multiLevelType w:val="hybridMultilevel"/>
    <w:tmpl w:val="505E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365045"/>
    <w:multiLevelType w:val="hybridMultilevel"/>
    <w:tmpl w:val="CC9C3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F2149F"/>
    <w:multiLevelType w:val="hybridMultilevel"/>
    <w:tmpl w:val="46B4BA8C"/>
    <w:lvl w:ilvl="0" w:tplc="97B20528">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5C0868"/>
    <w:multiLevelType w:val="hybridMultilevel"/>
    <w:tmpl w:val="542E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BA37ED"/>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B352CA4"/>
    <w:multiLevelType w:val="hybridMultilevel"/>
    <w:tmpl w:val="9E28F6F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6EC426AF"/>
    <w:multiLevelType w:val="hybridMultilevel"/>
    <w:tmpl w:val="F3D85E1E"/>
    <w:lvl w:ilvl="0" w:tplc="080C001B">
      <w:start w:val="1"/>
      <w:numFmt w:val="low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6F9B4F98"/>
    <w:multiLevelType w:val="hybridMultilevel"/>
    <w:tmpl w:val="9A567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26"/>
  </w:num>
  <w:num w:numId="4">
    <w:abstractNumId w:val="12"/>
  </w:num>
  <w:num w:numId="5">
    <w:abstractNumId w:val="4"/>
  </w:num>
  <w:num w:numId="6">
    <w:abstractNumId w:val="16"/>
  </w:num>
  <w:num w:numId="7">
    <w:abstractNumId w:val="18"/>
  </w:num>
  <w:num w:numId="8">
    <w:abstractNumId w:val="3"/>
  </w:num>
  <w:num w:numId="9">
    <w:abstractNumId w:val="17"/>
  </w:num>
  <w:num w:numId="10">
    <w:abstractNumId w:val="1"/>
  </w:num>
  <w:num w:numId="11">
    <w:abstractNumId w:val="13"/>
  </w:num>
  <w:num w:numId="12">
    <w:abstractNumId w:val="27"/>
  </w:num>
  <w:num w:numId="13">
    <w:abstractNumId w:val="28"/>
  </w:num>
  <w:num w:numId="14">
    <w:abstractNumId w:val="6"/>
  </w:num>
  <w:num w:numId="15">
    <w:abstractNumId w:val="21"/>
  </w:num>
  <w:num w:numId="16">
    <w:abstractNumId w:val="22"/>
  </w:num>
  <w:num w:numId="17">
    <w:abstractNumId w:val="0"/>
  </w:num>
  <w:num w:numId="18">
    <w:abstractNumId w:val="8"/>
  </w:num>
  <w:num w:numId="19">
    <w:abstractNumId w:val="25"/>
  </w:num>
  <w:num w:numId="20">
    <w:abstractNumId w:val="23"/>
  </w:num>
  <w:num w:numId="21">
    <w:abstractNumId w:val="5"/>
  </w:num>
  <w:num w:numId="22">
    <w:abstractNumId w:val="29"/>
  </w:num>
  <w:num w:numId="23">
    <w:abstractNumId w:val="9"/>
  </w:num>
  <w:num w:numId="24">
    <w:abstractNumId w:val="7"/>
  </w:num>
  <w:num w:numId="25">
    <w:abstractNumId w:val="19"/>
  </w:num>
  <w:num w:numId="26">
    <w:abstractNumId w:val="14"/>
  </w:num>
  <w:num w:numId="27">
    <w:abstractNumId w:val="2"/>
  </w:num>
  <w:num w:numId="28">
    <w:abstractNumId w:val="20"/>
  </w:num>
  <w:num w:numId="29">
    <w:abstractNumId w:val="11"/>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47E"/>
    <w:rsid w:val="00002D11"/>
    <w:rsid w:val="000045F3"/>
    <w:rsid w:val="0000625B"/>
    <w:rsid w:val="000308C5"/>
    <w:rsid w:val="00037EE0"/>
    <w:rsid w:val="00041523"/>
    <w:rsid w:val="00041815"/>
    <w:rsid w:val="00042B6C"/>
    <w:rsid w:val="00043C61"/>
    <w:rsid w:val="00044A7B"/>
    <w:rsid w:val="0004668B"/>
    <w:rsid w:val="0004758B"/>
    <w:rsid w:val="00050EED"/>
    <w:rsid w:val="000512E4"/>
    <w:rsid w:val="00057904"/>
    <w:rsid w:val="00060003"/>
    <w:rsid w:val="000600E2"/>
    <w:rsid w:val="00064679"/>
    <w:rsid w:val="00066834"/>
    <w:rsid w:val="0007033F"/>
    <w:rsid w:val="00076637"/>
    <w:rsid w:val="00080ED0"/>
    <w:rsid w:val="00081493"/>
    <w:rsid w:val="0008202F"/>
    <w:rsid w:val="00082EEB"/>
    <w:rsid w:val="00083019"/>
    <w:rsid w:val="00084676"/>
    <w:rsid w:val="00093FA0"/>
    <w:rsid w:val="00096687"/>
    <w:rsid w:val="00097E16"/>
    <w:rsid w:val="000A20AA"/>
    <w:rsid w:val="000B2718"/>
    <w:rsid w:val="000B79D1"/>
    <w:rsid w:val="000C0A7E"/>
    <w:rsid w:val="000C2C90"/>
    <w:rsid w:val="000C3F43"/>
    <w:rsid w:val="000C4DB2"/>
    <w:rsid w:val="000C7378"/>
    <w:rsid w:val="000D05B2"/>
    <w:rsid w:val="000D6222"/>
    <w:rsid w:val="000E5541"/>
    <w:rsid w:val="000E7E05"/>
    <w:rsid w:val="000F1A28"/>
    <w:rsid w:val="000F45ED"/>
    <w:rsid w:val="000F5EBF"/>
    <w:rsid w:val="000F7468"/>
    <w:rsid w:val="00102DDF"/>
    <w:rsid w:val="00112C4F"/>
    <w:rsid w:val="00117D5E"/>
    <w:rsid w:val="00122742"/>
    <w:rsid w:val="00133254"/>
    <w:rsid w:val="0013360B"/>
    <w:rsid w:val="001350E7"/>
    <w:rsid w:val="00140BD0"/>
    <w:rsid w:val="001412D9"/>
    <w:rsid w:val="00141307"/>
    <w:rsid w:val="001507C9"/>
    <w:rsid w:val="00152794"/>
    <w:rsid w:val="0015391E"/>
    <w:rsid w:val="00155146"/>
    <w:rsid w:val="00156E8C"/>
    <w:rsid w:val="00162C09"/>
    <w:rsid w:val="0016683B"/>
    <w:rsid w:val="00167C9F"/>
    <w:rsid w:val="00170032"/>
    <w:rsid w:val="00173290"/>
    <w:rsid w:val="00173442"/>
    <w:rsid w:val="00183651"/>
    <w:rsid w:val="00191F1C"/>
    <w:rsid w:val="0019472B"/>
    <w:rsid w:val="00196178"/>
    <w:rsid w:val="00197A1E"/>
    <w:rsid w:val="001A18A1"/>
    <w:rsid w:val="001A2085"/>
    <w:rsid w:val="001B383D"/>
    <w:rsid w:val="001B46EC"/>
    <w:rsid w:val="001C21D9"/>
    <w:rsid w:val="001C4829"/>
    <w:rsid w:val="001C794E"/>
    <w:rsid w:val="001D30C3"/>
    <w:rsid w:val="001D6CBD"/>
    <w:rsid w:val="001E51E2"/>
    <w:rsid w:val="001E5B7B"/>
    <w:rsid w:val="001F6B9F"/>
    <w:rsid w:val="002006BF"/>
    <w:rsid w:val="00201F93"/>
    <w:rsid w:val="002024FA"/>
    <w:rsid w:val="0020324C"/>
    <w:rsid w:val="00211BED"/>
    <w:rsid w:val="00213456"/>
    <w:rsid w:val="002149CF"/>
    <w:rsid w:val="00215564"/>
    <w:rsid w:val="00226824"/>
    <w:rsid w:val="002519AF"/>
    <w:rsid w:val="00256722"/>
    <w:rsid w:val="0026397F"/>
    <w:rsid w:val="0027223B"/>
    <w:rsid w:val="002955C9"/>
    <w:rsid w:val="002B1FD0"/>
    <w:rsid w:val="002B420E"/>
    <w:rsid w:val="002B7E1F"/>
    <w:rsid w:val="002C19FB"/>
    <w:rsid w:val="002C39FC"/>
    <w:rsid w:val="002D00AB"/>
    <w:rsid w:val="002E3B65"/>
    <w:rsid w:val="002E45B7"/>
    <w:rsid w:val="002E524D"/>
    <w:rsid w:val="002F2C8B"/>
    <w:rsid w:val="002F3560"/>
    <w:rsid w:val="00300BD2"/>
    <w:rsid w:val="00301D14"/>
    <w:rsid w:val="00303D44"/>
    <w:rsid w:val="003147FD"/>
    <w:rsid w:val="003326E9"/>
    <w:rsid w:val="00336131"/>
    <w:rsid w:val="00337B43"/>
    <w:rsid w:val="003400B2"/>
    <w:rsid w:val="00343931"/>
    <w:rsid w:val="00347777"/>
    <w:rsid w:val="00360A9E"/>
    <w:rsid w:val="00362B37"/>
    <w:rsid w:val="0038382F"/>
    <w:rsid w:val="00391177"/>
    <w:rsid w:val="003912CF"/>
    <w:rsid w:val="00395E7C"/>
    <w:rsid w:val="003A2396"/>
    <w:rsid w:val="003A52A3"/>
    <w:rsid w:val="003B1396"/>
    <w:rsid w:val="003B2DFF"/>
    <w:rsid w:val="003B4A89"/>
    <w:rsid w:val="003C647E"/>
    <w:rsid w:val="003D2215"/>
    <w:rsid w:val="003D303B"/>
    <w:rsid w:val="003D4390"/>
    <w:rsid w:val="003D460F"/>
    <w:rsid w:val="003D583E"/>
    <w:rsid w:val="003D69D7"/>
    <w:rsid w:val="003D6E24"/>
    <w:rsid w:val="003E22A7"/>
    <w:rsid w:val="004034B1"/>
    <w:rsid w:val="0040377E"/>
    <w:rsid w:val="00406CA5"/>
    <w:rsid w:val="004107B4"/>
    <w:rsid w:val="00410F4C"/>
    <w:rsid w:val="00411FA9"/>
    <w:rsid w:val="0041556E"/>
    <w:rsid w:val="00416806"/>
    <w:rsid w:val="00425E8C"/>
    <w:rsid w:val="00430307"/>
    <w:rsid w:val="0043269B"/>
    <w:rsid w:val="00435DFB"/>
    <w:rsid w:val="00444A99"/>
    <w:rsid w:val="00445B90"/>
    <w:rsid w:val="00446B92"/>
    <w:rsid w:val="0045491B"/>
    <w:rsid w:val="00456679"/>
    <w:rsid w:val="0046119E"/>
    <w:rsid w:val="0046729F"/>
    <w:rsid w:val="00480760"/>
    <w:rsid w:val="00481F56"/>
    <w:rsid w:val="00486CE6"/>
    <w:rsid w:val="00496DE4"/>
    <w:rsid w:val="004A548E"/>
    <w:rsid w:val="004B474B"/>
    <w:rsid w:val="004B4801"/>
    <w:rsid w:val="004B5BD7"/>
    <w:rsid w:val="004B5CE3"/>
    <w:rsid w:val="004C0A7A"/>
    <w:rsid w:val="004C7C35"/>
    <w:rsid w:val="004D24BF"/>
    <w:rsid w:val="004D5C33"/>
    <w:rsid w:val="004D5F0D"/>
    <w:rsid w:val="004F738A"/>
    <w:rsid w:val="00505744"/>
    <w:rsid w:val="005103FF"/>
    <w:rsid w:val="00514DCD"/>
    <w:rsid w:val="00514EB3"/>
    <w:rsid w:val="005240EE"/>
    <w:rsid w:val="005353CE"/>
    <w:rsid w:val="00546396"/>
    <w:rsid w:val="00547925"/>
    <w:rsid w:val="00550117"/>
    <w:rsid w:val="00550FBF"/>
    <w:rsid w:val="00553658"/>
    <w:rsid w:val="00555DBE"/>
    <w:rsid w:val="00556878"/>
    <w:rsid w:val="00557F0A"/>
    <w:rsid w:val="005605A7"/>
    <w:rsid w:val="0056563E"/>
    <w:rsid w:val="0057026C"/>
    <w:rsid w:val="00577F3E"/>
    <w:rsid w:val="00582547"/>
    <w:rsid w:val="00582FA4"/>
    <w:rsid w:val="0058450E"/>
    <w:rsid w:val="0058560A"/>
    <w:rsid w:val="00585997"/>
    <w:rsid w:val="00591C0D"/>
    <w:rsid w:val="00592491"/>
    <w:rsid w:val="00594E59"/>
    <w:rsid w:val="00595DE7"/>
    <w:rsid w:val="00597801"/>
    <w:rsid w:val="005979B2"/>
    <w:rsid w:val="00597AFE"/>
    <w:rsid w:val="005A185F"/>
    <w:rsid w:val="005A6CDC"/>
    <w:rsid w:val="005B12C2"/>
    <w:rsid w:val="005B44F8"/>
    <w:rsid w:val="005B6899"/>
    <w:rsid w:val="005C0B01"/>
    <w:rsid w:val="005C1437"/>
    <w:rsid w:val="005C41DB"/>
    <w:rsid w:val="005C4DB7"/>
    <w:rsid w:val="005C5B0B"/>
    <w:rsid w:val="005C77EF"/>
    <w:rsid w:val="005C7830"/>
    <w:rsid w:val="005D4A37"/>
    <w:rsid w:val="005E6DDC"/>
    <w:rsid w:val="005E721A"/>
    <w:rsid w:val="005F121F"/>
    <w:rsid w:val="006018E2"/>
    <w:rsid w:val="00601F6C"/>
    <w:rsid w:val="0060283F"/>
    <w:rsid w:val="00603696"/>
    <w:rsid w:val="00615D6C"/>
    <w:rsid w:val="00617169"/>
    <w:rsid w:val="0061795F"/>
    <w:rsid w:val="00636E8A"/>
    <w:rsid w:val="006425E7"/>
    <w:rsid w:val="006467AD"/>
    <w:rsid w:val="006621B5"/>
    <w:rsid w:val="0066564E"/>
    <w:rsid w:val="0066667E"/>
    <w:rsid w:val="006702D3"/>
    <w:rsid w:val="006806F2"/>
    <w:rsid w:val="00680CE3"/>
    <w:rsid w:val="006851B3"/>
    <w:rsid w:val="006864F1"/>
    <w:rsid w:val="0068698F"/>
    <w:rsid w:val="00690B8C"/>
    <w:rsid w:val="00690EAE"/>
    <w:rsid w:val="006A3AD4"/>
    <w:rsid w:val="006B3C3F"/>
    <w:rsid w:val="006B78AB"/>
    <w:rsid w:val="006C0823"/>
    <w:rsid w:val="006C4644"/>
    <w:rsid w:val="006C706B"/>
    <w:rsid w:val="006D0B0F"/>
    <w:rsid w:val="006E1E87"/>
    <w:rsid w:val="006E669A"/>
    <w:rsid w:val="006F5392"/>
    <w:rsid w:val="006F6192"/>
    <w:rsid w:val="006F66E5"/>
    <w:rsid w:val="007020CC"/>
    <w:rsid w:val="0070599E"/>
    <w:rsid w:val="007079E3"/>
    <w:rsid w:val="007153D3"/>
    <w:rsid w:val="00715FFA"/>
    <w:rsid w:val="00717A4B"/>
    <w:rsid w:val="00721494"/>
    <w:rsid w:val="00726B0D"/>
    <w:rsid w:val="00737943"/>
    <w:rsid w:val="0074071E"/>
    <w:rsid w:val="00742C98"/>
    <w:rsid w:val="00756B6A"/>
    <w:rsid w:val="007579A1"/>
    <w:rsid w:val="00775BE7"/>
    <w:rsid w:val="0078377A"/>
    <w:rsid w:val="00783D03"/>
    <w:rsid w:val="00786E8A"/>
    <w:rsid w:val="00790993"/>
    <w:rsid w:val="00791E98"/>
    <w:rsid w:val="00796D1C"/>
    <w:rsid w:val="00796DCF"/>
    <w:rsid w:val="007A2733"/>
    <w:rsid w:val="007A306A"/>
    <w:rsid w:val="007A3445"/>
    <w:rsid w:val="007B2224"/>
    <w:rsid w:val="007B36F3"/>
    <w:rsid w:val="007B4917"/>
    <w:rsid w:val="007B7F36"/>
    <w:rsid w:val="007C4BF5"/>
    <w:rsid w:val="007C4FCC"/>
    <w:rsid w:val="007C5587"/>
    <w:rsid w:val="007C6B86"/>
    <w:rsid w:val="007C7A28"/>
    <w:rsid w:val="007C7AC3"/>
    <w:rsid w:val="007E086C"/>
    <w:rsid w:val="007E527F"/>
    <w:rsid w:val="007E6AF9"/>
    <w:rsid w:val="007F3145"/>
    <w:rsid w:val="0080375B"/>
    <w:rsid w:val="00805971"/>
    <w:rsid w:val="008217A9"/>
    <w:rsid w:val="00823D0F"/>
    <w:rsid w:val="00826BF3"/>
    <w:rsid w:val="0085022C"/>
    <w:rsid w:val="008502DD"/>
    <w:rsid w:val="00853284"/>
    <w:rsid w:val="0085675C"/>
    <w:rsid w:val="008632E1"/>
    <w:rsid w:val="008665CD"/>
    <w:rsid w:val="008764EC"/>
    <w:rsid w:val="00877C4C"/>
    <w:rsid w:val="0088062F"/>
    <w:rsid w:val="008812A5"/>
    <w:rsid w:val="00881C2C"/>
    <w:rsid w:val="008872CD"/>
    <w:rsid w:val="008920CA"/>
    <w:rsid w:val="008A0338"/>
    <w:rsid w:val="008A77D4"/>
    <w:rsid w:val="008B2D16"/>
    <w:rsid w:val="008B48E5"/>
    <w:rsid w:val="008B4FD2"/>
    <w:rsid w:val="008D61E0"/>
    <w:rsid w:val="008E045C"/>
    <w:rsid w:val="008E542B"/>
    <w:rsid w:val="008F77E3"/>
    <w:rsid w:val="008F7C28"/>
    <w:rsid w:val="00901311"/>
    <w:rsid w:val="009038E5"/>
    <w:rsid w:val="009118EB"/>
    <w:rsid w:val="0091674F"/>
    <w:rsid w:val="00926EE9"/>
    <w:rsid w:val="0093042F"/>
    <w:rsid w:val="00930DBE"/>
    <w:rsid w:val="009326C5"/>
    <w:rsid w:val="00934B6D"/>
    <w:rsid w:val="00942880"/>
    <w:rsid w:val="0095135E"/>
    <w:rsid w:val="009518F3"/>
    <w:rsid w:val="00954A15"/>
    <w:rsid w:val="0095515F"/>
    <w:rsid w:val="009556F4"/>
    <w:rsid w:val="00957F1D"/>
    <w:rsid w:val="00971730"/>
    <w:rsid w:val="00973170"/>
    <w:rsid w:val="00974173"/>
    <w:rsid w:val="00974D54"/>
    <w:rsid w:val="0097777E"/>
    <w:rsid w:val="009839B6"/>
    <w:rsid w:val="0098616A"/>
    <w:rsid w:val="00986BEB"/>
    <w:rsid w:val="009906D1"/>
    <w:rsid w:val="009910F9"/>
    <w:rsid w:val="009A1706"/>
    <w:rsid w:val="009A409C"/>
    <w:rsid w:val="009A51C4"/>
    <w:rsid w:val="009A6C26"/>
    <w:rsid w:val="009C3BDD"/>
    <w:rsid w:val="009D2422"/>
    <w:rsid w:val="009D6012"/>
    <w:rsid w:val="009E0727"/>
    <w:rsid w:val="009E3455"/>
    <w:rsid w:val="009E5C4C"/>
    <w:rsid w:val="009E7655"/>
    <w:rsid w:val="009F6CC9"/>
    <w:rsid w:val="00A00A4C"/>
    <w:rsid w:val="00A0109B"/>
    <w:rsid w:val="00A0137C"/>
    <w:rsid w:val="00A04156"/>
    <w:rsid w:val="00A106DC"/>
    <w:rsid w:val="00A1342E"/>
    <w:rsid w:val="00A170B8"/>
    <w:rsid w:val="00A20200"/>
    <w:rsid w:val="00A20867"/>
    <w:rsid w:val="00A329E9"/>
    <w:rsid w:val="00A3794E"/>
    <w:rsid w:val="00A40672"/>
    <w:rsid w:val="00A4489F"/>
    <w:rsid w:val="00A5775C"/>
    <w:rsid w:val="00A57CF8"/>
    <w:rsid w:val="00A57D06"/>
    <w:rsid w:val="00A61594"/>
    <w:rsid w:val="00A737EC"/>
    <w:rsid w:val="00A75F58"/>
    <w:rsid w:val="00A824D6"/>
    <w:rsid w:val="00A87DCE"/>
    <w:rsid w:val="00A909F3"/>
    <w:rsid w:val="00AA0859"/>
    <w:rsid w:val="00AA1E20"/>
    <w:rsid w:val="00AA6B46"/>
    <w:rsid w:val="00AA7A04"/>
    <w:rsid w:val="00AB079C"/>
    <w:rsid w:val="00AB40A2"/>
    <w:rsid w:val="00AC05F6"/>
    <w:rsid w:val="00AC3BCD"/>
    <w:rsid w:val="00AD1410"/>
    <w:rsid w:val="00AD5E0D"/>
    <w:rsid w:val="00AD6679"/>
    <w:rsid w:val="00B11A28"/>
    <w:rsid w:val="00B14A9A"/>
    <w:rsid w:val="00B22FAF"/>
    <w:rsid w:val="00B3357F"/>
    <w:rsid w:val="00B40E46"/>
    <w:rsid w:val="00B44A7B"/>
    <w:rsid w:val="00B57FB7"/>
    <w:rsid w:val="00B640FC"/>
    <w:rsid w:val="00B64F66"/>
    <w:rsid w:val="00B650B6"/>
    <w:rsid w:val="00B7211E"/>
    <w:rsid w:val="00B85C4F"/>
    <w:rsid w:val="00B87C68"/>
    <w:rsid w:val="00B93BC0"/>
    <w:rsid w:val="00B97871"/>
    <w:rsid w:val="00BA03D6"/>
    <w:rsid w:val="00BA13F1"/>
    <w:rsid w:val="00BA1617"/>
    <w:rsid w:val="00BA2CCA"/>
    <w:rsid w:val="00BB723E"/>
    <w:rsid w:val="00BC6201"/>
    <w:rsid w:val="00BD5784"/>
    <w:rsid w:val="00BE3969"/>
    <w:rsid w:val="00BE5381"/>
    <w:rsid w:val="00BF4422"/>
    <w:rsid w:val="00BF561B"/>
    <w:rsid w:val="00BF57C4"/>
    <w:rsid w:val="00C01ABA"/>
    <w:rsid w:val="00C04602"/>
    <w:rsid w:val="00C049A2"/>
    <w:rsid w:val="00C11481"/>
    <w:rsid w:val="00C145C6"/>
    <w:rsid w:val="00C14B88"/>
    <w:rsid w:val="00C23B4E"/>
    <w:rsid w:val="00C304DC"/>
    <w:rsid w:val="00C35092"/>
    <w:rsid w:val="00C37621"/>
    <w:rsid w:val="00C41288"/>
    <w:rsid w:val="00C5013E"/>
    <w:rsid w:val="00C57622"/>
    <w:rsid w:val="00C57D2D"/>
    <w:rsid w:val="00C60EFE"/>
    <w:rsid w:val="00C6489C"/>
    <w:rsid w:val="00C76ACE"/>
    <w:rsid w:val="00C84C76"/>
    <w:rsid w:val="00C86175"/>
    <w:rsid w:val="00C95E8D"/>
    <w:rsid w:val="00CA2032"/>
    <w:rsid w:val="00CB35B7"/>
    <w:rsid w:val="00CC013E"/>
    <w:rsid w:val="00CC0E2D"/>
    <w:rsid w:val="00CC6D3D"/>
    <w:rsid w:val="00CD5439"/>
    <w:rsid w:val="00CE6C44"/>
    <w:rsid w:val="00CF3D33"/>
    <w:rsid w:val="00D07754"/>
    <w:rsid w:val="00D10183"/>
    <w:rsid w:val="00D10C77"/>
    <w:rsid w:val="00D10F7B"/>
    <w:rsid w:val="00D11003"/>
    <w:rsid w:val="00D11D45"/>
    <w:rsid w:val="00D12E8F"/>
    <w:rsid w:val="00D13BD6"/>
    <w:rsid w:val="00D14B00"/>
    <w:rsid w:val="00D17389"/>
    <w:rsid w:val="00D21A90"/>
    <w:rsid w:val="00D21C6E"/>
    <w:rsid w:val="00D31758"/>
    <w:rsid w:val="00D34405"/>
    <w:rsid w:val="00D4364C"/>
    <w:rsid w:val="00D45E61"/>
    <w:rsid w:val="00D575DF"/>
    <w:rsid w:val="00D619EA"/>
    <w:rsid w:val="00D64011"/>
    <w:rsid w:val="00D647A3"/>
    <w:rsid w:val="00D66E00"/>
    <w:rsid w:val="00D737A1"/>
    <w:rsid w:val="00D74492"/>
    <w:rsid w:val="00D96FEB"/>
    <w:rsid w:val="00D971A8"/>
    <w:rsid w:val="00DA156D"/>
    <w:rsid w:val="00DA38BE"/>
    <w:rsid w:val="00DA5C14"/>
    <w:rsid w:val="00DB37D0"/>
    <w:rsid w:val="00DC6DE9"/>
    <w:rsid w:val="00DE14C7"/>
    <w:rsid w:val="00DE265F"/>
    <w:rsid w:val="00DE39DA"/>
    <w:rsid w:val="00DE59D5"/>
    <w:rsid w:val="00DE6E07"/>
    <w:rsid w:val="00DF528F"/>
    <w:rsid w:val="00E02B2C"/>
    <w:rsid w:val="00E04E70"/>
    <w:rsid w:val="00E06612"/>
    <w:rsid w:val="00E1564F"/>
    <w:rsid w:val="00E2753F"/>
    <w:rsid w:val="00E27FE9"/>
    <w:rsid w:val="00E35278"/>
    <w:rsid w:val="00E40433"/>
    <w:rsid w:val="00E413C7"/>
    <w:rsid w:val="00E45E89"/>
    <w:rsid w:val="00E47F79"/>
    <w:rsid w:val="00E51FBF"/>
    <w:rsid w:val="00E55A20"/>
    <w:rsid w:val="00E6124F"/>
    <w:rsid w:val="00E65C8D"/>
    <w:rsid w:val="00E66B55"/>
    <w:rsid w:val="00E679F5"/>
    <w:rsid w:val="00E67AAF"/>
    <w:rsid w:val="00E779FC"/>
    <w:rsid w:val="00E81242"/>
    <w:rsid w:val="00E819D4"/>
    <w:rsid w:val="00E9145E"/>
    <w:rsid w:val="00E952E2"/>
    <w:rsid w:val="00EB0C3B"/>
    <w:rsid w:val="00EB37B4"/>
    <w:rsid w:val="00EB7BDE"/>
    <w:rsid w:val="00EC2B87"/>
    <w:rsid w:val="00EC3D73"/>
    <w:rsid w:val="00EC56A5"/>
    <w:rsid w:val="00EC595F"/>
    <w:rsid w:val="00EC70FD"/>
    <w:rsid w:val="00ED25D1"/>
    <w:rsid w:val="00ED2DC0"/>
    <w:rsid w:val="00ED3A37"/>
    <w:rsid w:val="00ED5B64"/>
    <w:rsid w:val="00EE164B"/>
    <w:rsid w:val="00EE1A56"/>
    <w:rsid w:val="00EE702B"/>
    <w:rsid w:val="00EF2DF8"/>
    <w:rsid w:val="00EF2EC8"/>
    <w:rsid w:val="00EF38A5"/>
    <w:rsid w:val="00EF3D15"/>
    <w:rsid w:val="00EF7CB9"/>
    <w:rsid w:val="00F0229A"/>
    <w:rsid w:val="00F02EFE"/>
    <w:rsid w:val="00F1008B"/>
    <w:rsid w:val="00F16EE2"/>
    <w:rsid w:val="00F25AE7"/>
    <w:rsid w:val="00F27D31"/>
    <w:rsid w:val="00F37563"/>
    <w:rsid w:val="00F5696B"/>
    <w:rsid w:val="00F61C0E"/>
    <w:rsid w:val="00F7110F"/>
    <w:rsid w:val="00F729A3"/>
    <w:rsid w:val="00F8541B"/>
    <w:rsid w:val="00F9032B"/>
    <w:rsid w:val="00F938A0"/>
    <w:rsid w:val="00F9591B"/>
    <w:rsid w:val="00FA3BD0"/>
    <w:rsid w:val="00FB2077"/>
    <w:rsid w:val="00FB2B12"/>
    <w:rsid w:val="00FC21A8"/>
    <w:rsid w:val="00FD46B0"/>
    <w:rsid w:val="00FE2B8C"/>
    <w:rsid w:val="00FE4055"/>
    <w:rsid w:val="00FE720C"/>
    <w:rsid w:val="00FF4D4B"/>
    <w:rsid w:val="00FF7271"/>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26C78A"/>
  <w15:docId w15:val="{782E5D45-852C-42FD-AB91-3A2D5639E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A2CCA"/>
    <w:pPr>
      <w:spacing w:before="120" w:after="120" w:line="360" w:lineRule="auto"/>
    </w:pPr>
    <w:rPr>
      <w:rFonts w:ascii="Times New Roman" w:hAnsi="Times New Roman"/>
      <w:lang w:val="en-US"/>
    </w:rPr>
  </w:style>
  <w:style w:type="paragraph" w:styleId="Kop1">
    <w:name w:val="heading 1"/>
    <w:basedOn w:val="Standaard"/>
    <w:next w:val="Standaard"/>
    <w:link w:val="Kop1Char"/>
    <w:uiPriority w:val="9"/>
    <w:qFormat/>
    <w:rsid w:val="001350E7"/>
    <w:pPr>
      <w:keepNext/>
      <w:keepLines/>
      <w:spacing w:before="600"/>
      <w:outlineLvl w:val="0"/>
    </w:pPr>
    <w:rPr>
      <w:rFonts w:eastAsiaTheme="majorEastAsia" w:cstheme="majorBidi"/>
      <w:b/>
      <w:bCs/>
      <w:color w:val="4A442A" w:themeColor="background2" w:themeShade="40"/>
      <w:sz w:val="32"/>
      <w:szCs w:val="28"/>
    </w:rPr>
  </w:style>
  <w:style w:type="paragraph" w:styleId="Kop2">
    <w:name w:val="heading 2"/>
    <w:basedOn w:val="Standaard"/>
    <w:next w:val="Standaard"/>
    <w:link w:val="Kop2Char"/>
    <w:uiPriority w:val="9"/>
    <w:unhideWhenUsed/>
    <w:qFormat/>
    <w:rsid w:val="00E40433"/>
    <w:pPr>
      <w:keepNext/>
      <w:keepLines/>
      <w:spacing w:before="200" w:after="0"/>
      <w:outlineLvl w:val="1"/>
    </w:pPr>
    <w:rPr>
      <w:rFonts w:eastAsiaTheme="majorEastAsia" w:cs="Times New Roman"/>
      <w:b/>
      <w:bCs/>
      <w:color w:val="948A54" w:themeColor="background2" w:themeShade="80"/>
      <w:sz w:val="28"/>
      <w:szCs w:val="26"/>
    </w:rPr>
  </w:style>
  <w:style w:type="paragraph" w:styleId="Kop3">
    <w:name w:val="heading 3"/>
    <w:basedOn w:val="Standaard"/>
    <w:next w:val="Standaard"/>
    <w:link w:val="Kop3Char"/>
    <w:autoRedefine/>
    <w:uiPriority w:val="9"/>
    <w:unhideWhenUsed/>
    <w:qFormat/>
    <w:rsid w:val="00093FA0"/>
    <w:pPr>
      <w:keepNext/>
      <w:keepLines/>
      <w:spacing w:before="200" w:after="0"/>
      <w:outlineLvl w:val="2"/>
    </w:pPr>
    <w:rPr>
      <w:rFonts w:eastAsiaTheme="majorEastAsia" w:cs="Times New Roman"/>
      <w:bCs/>
      <w:i/>
      <w:color w:val="4A442A" w:themeColor="background2" w:themeShade="40"/>
    </w:rPr>
  </w:style>
  <w:style w:type="paragraph" w:styleId="Kop4">
    <w:name w:val="heading 4"/>
    <w:basedOn w:val="Standaard"/>
    <w:next w:val="Standaard"/>
    <w:link w:val="Kop4Char"/>
    <w:uiPriority w:val="9"/>
    <w:unhideWhenUsed/>
    <w:qFormat/>
    <w:rsid w:val="00B650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350E7"/>
    <w:rPr>
      <w:rFonts w:ascii="Helvetica Light" w:eastAsiaTheme="majorEastAsia" w:hAnsi="Helvetica Light" w:cstheme="majorBidi"/>
      <w:b/>
      <w:bCs/>
      <w:color w:val="4A442A" w:themeColor="background2" w:themeShade="40"/>
      <w:sz w:val="32"/>
      <w:szCs w:val="28"/>
      <w:lang w:val="en-US"/>
    </w:rPr>
  </w:style>
  <w:style w:type="paragraph" w:styleId="Kopvaninhoudsopgave">
    <w:name w:val="TOC Heading"/>
    <w:basedOn w:val="Kop1"/>
    <w:next w:val="Standaard"/>
    <w:uiPriority w:val="39"/>
    <w:unhideWhenUsed/>
    <w:qFormat/>
    <w:rsid w:val="003C647E"/>
    <w:pPr>
      <w:outlineLvl w:val="9"/>
    </w:pPr>
    <w:rPr>
      <w:lang w:eastAsia="ja-JP"/>
    </w:rPr>
  </w:style>
  <w:style w:type="paragraph" w:styleId="Inhopg1">
    <w:name w:val="toc 1"/>
    <w:basedOn w:val="Standaard"/>
    <w:next w:val="Standaard"/>
    <w:autoRedefine/>
    <w:uiPriority w:val="39"/>
    <w:unhideWhenUsed/>
    <w:rsid w:val="003C647E"/>
    <w:rPr>
      <w:rFonts w:asciiTheme="minorHAnsi" w:hAnsiTheme="minorHAnsi" w:cstheme="minorHAnsi"/>
      <w:b/>
      <w:bCs/>
      <w:caps/>
      <w:sz w:val="20"/>
      <w:szCs w:val="20"/>
    </w:rPr>
  </w:style>
  <w:style w:type="character" w:styleId="Hyperlink">
    <w:name w:val="Hyperlink"/>
    <w:basedOn w:val="Standaardalinea-lettertype"/>
    <w:uiPriority w:val="99"/>
    <w:unhideWhenUsed/>
    <w:rsid w:val="003C647E"/>
    <w:rPr>
      <w:color w:val="0000FF" w:themeColor="hyperlink"/>
      <w:u w:val="single"/>
    </w:rPr>
  </w:style>
  <w:style w:type="paragraph" w:styleId="Ballontekst">
    <w:name w:val="Balloon Text"/>
    <w:basedOn w:val="Standaard"/>
    <w:link w:val="BallontekstChar"/>
    <w:uiPriority w:val="99"/>
    <w:semiHidden/>
    <w:unhideWhenUsed/>
    <w:rsid w:val="003C647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C647E"/>
    <w:rPr>
      <w:rFonts w:ascii="Tahoma" w:hAnsi="Tahoma" w:cs="Tahoma"/>
      <w:sz w:val="16"/>
      <w:szCs w:val="16"/>
      <w:lang w:val="en-US"/>
    </w:rPr>
  </w:style>
  <w:style w:type="paragraph" w:styleId="Koptekst">
    <w:name w:val="header"/>
    <w:basedOn w:val="Standaard"/>
    <w:link w:val="KoptekstChar"/>
    <w:uiPriority w:val="99"/>
    <w:unhideWhenUsed/>
    <w:rsid w:val="003C64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647E"/>
    <w:rPr>
      <w:lang w:val="en-US"/>
    </w:rPr>
  </w:style>
  <w:style w:type="paragraph" w:styleId="Voettekst">
    <w:name w:val="footer"/>
    <w:basedOn w:val="Standaard"/>
    <w:link w:val="VoettekstChar"/>
    <w:uiPriority w:val="99"/>
    <w:unhideWhenUsed/>
    <w:rsid w:val="003C64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647E"/>
    <w:rPr>
      <w:lang w:val="en-US"/>
    </w:rPr>
  </w:style>
  <w:style w:type="character" w:customStyle="1" w:styleId="Kop2Char">
    <w:name w:val="Kop 2 Char"/>
    <w:basedOn w:val="Standaardalinea-lettertype"/>
    <w:link w:val="Kop2"/>
    <w:uiPriority w:val="9"/>
    <w:rsid w:val="00E40433"/>
    <w:rPr>
      <w:rFonts w:ascii="Times New Roman" w:eastAsiaTheme="majorEastAsia" w:hAnsi="Times New Roman" w:cs="Times New Roman"/>
      <w:b/>
      <w:bCs/>
      <w:color w:val="948A54" w:themeColor="background2" w:themeShade="80"/>
      <w:sz w:val="28"/>
      <w:szCs w:val="26"/>
      <w:lang w:val="en-US"/>
    </w:rPr>
  </w:style>
  <w:style w:type="paragraph" w:styleId="Inhopg2">
    <w:name w:val="toc 2"/>
    <w:basedOn w:val="Standaard"/>
    <w:next w:val="Standaard"/>
    <w:autoRedefine/>
    <w:uiPriority w:val="39"/>
    <w:unhideWhenUsed/>
    <w:rsid w:val="00A106DC"/>
    <w:pPr>
      <w:spacing w:before="0" w:after="0"/>
      <w:ind w:left="240"/>
    </w:pPr>
    <w:rPr>
      <w:rFonts w:asciiTheme="minorHAnsi" w:hAnsiTheme="minorHAnsi" w:cstheme="minorHAnsi"/>
      <w:smallCaps/>
      <w:sz w:val="20"/>
      <w:szCs w:val="20"/>
    </w:rPr>
  </w:style>
  <w:style w:type="paragraph" w:styleId="Inhopg3">
    <w:name w:val="toc 3"/>
    <w:basedOn w:val="Standaard"/>
    <w:next w:val="Standaard"/>
    <w:autoRedefine/>
    <w:uiPriority w:val="39"/>
    <w:unhideWhenUsed/>
    <w:rsid w:val="00A106DC"/>
    <w:pPr>
      <w:spacing w:before="0" w:after="0"/>
      <w:ind w:left="480"/>
    </w:pPr>
    <w:rPr>
      <w:rFonts w:asciiTheme="minorHAnsi" w:hAnsiTheme="minorHAnsi" w:cstheme="minorHAnsi"/>
      <w:i/>
      <w:iCs/>
      <w:sz w:val="20"/>
      <w:szCs w:val="20"/>
    </w:rPr>
  </w:style>
  <w:style w:type="paragraph" w:styleId="Inhopg4">
    <w:name w:val="toc 4"/>
    <w:basedOn w:val="Standaard"/>
    <w:next w:val="Standaard"/>
    <w:autoRedefine/>
    <w:uiPriority w:val="39"/>
    <w:unhideWhenUsed/>
    <w:rsid w:val="00A106DC"/>
    <w:pPr>
      <w:spacing w:before="0" w:after="0"/>
      <w:ind w:left="720"/>
    </w:pPr>
    <w:rPr>
      <w:rFonts w:asciiTheme="minorHAnsi" w:hAnsiTheme="minorHAnsi" w:cstheme="minorHAnsi"/>
      <w:sz w:val="18"/>
      <w:szCs w:val="18"/>
    </w:rPr>
  </w:style>
  <w:style w:type="paragraph" w:styleId="Inhopg5">
    <w:name w:val="toc 5"/>
    <w:basedOn w:val="Standaard"/>
    <w:next w:val="Standaard"/>
    <w:autoRedefine/>
    <w:uiPriority w:val="39"/>
    <w:unhideWhenUsed/>
    <w:rsid w:val="00A106DC"/>
    <w:pPr>
      <w:spacing w:before="0" w:after="0"/>
      <w:ind w:left="960"/>
    </w:pPr>
    <w:rPr>
      <w:rFonts w:asciiTheme="minorHAnsi" w:hAnsiTheme="minorHAnsi" w:cstheme="minorHAnsi"/>
      <w:sz w:val="18"/>
      <w:szCs w:val="18"/>
    </w:rPr>
  </w:style>
  <w:style w:type="paragraph" w:styleId="Inhopg6">
    <w:name w:val="toc 6"/>
    <w:basedOn w:val="Standaard"/>
    <w:next w:val="Standaard"/>
    <w:autoRedefine/>
    <w:uiPriority w:val="39"/>
    <w:unhideWhenUsed/>
    <w:rsid w:val="00A106DC"/>
    <w:pPr>
      <w:spacing w:before="0" w:after="0"/>
      <w:ind w:left="1200"/>
    </w:pPr>
    <w:rPr>
      <w:rFonts w:asciiTheme="minorHAnsi" w:hAnsiTheme="minorHAnsi" w:cstheme="minorHAnsi"/>
      <w:sz w:val="18"/>
      <w:szCs w:val="18"/>
    </w:rPr>
  </w:style>
  <w:style w:type="paragraph" w:styleId="Inhopg7">
    <w:name w:val="toc 7"/>
    <w:basedOn w:val="Standaard"/>
    <w:next w:val="Standaard"/>
    <w:autoRedefine/>
    <w:uiPriority w:val="39"/>
    <w:unhideWhenUsed/>
    <w:rsid w:val="00A106DC"/>
    <w:pPr>
      <w:spacing w:before="0" w:after="0"/>
      <w:ind w:left="1440"/>
    </w:pPr>
    <w:rPr>
      <w:rFonts w:asciiTheme="minorHAnsi" w:hAnsiTheme="minorHAnsi" w:cstheme="minorHAnsi"/>
      <w:sz w:val="18"/>
      <w:szCs w:val="18"/>
    </w:rPr>
  </w:style>
  <w:style w:type="paragraph" w:styleId="Inhopg8">
    <w:name w:val="toc 8"/>
    <w:basedOn w:val="Standaard"/>
    <w:next w:val="Standaard"/>
    <w:autoRedefine/>
    <w:uiPriority w:val="39"/>
    <w:unhideWhenUsed/>
    <w:rsid w:val="00A106DC"/>
    <w:pPr>
      <w:spacing w:before="0" w:after="0"/>
      <w:ind w:left="1680"/>
    </w:pPr>
    <w:rPr>
      <w:rFonts w:asciiTheme="minorHAnsi" w:hAnsiTheme="minorHAnsi" w:cstheme="minorHAnsi"/>
      <w:sz w:val="18"/>
      <w:szCs w:val="18"/>
    </w:rPr>
  </w:style>
  <w:style w:type="paragraph" w:styleId="Inhopg9">
    <w:name w:val="toc 9"/>
    <w:basedOn w:val="Standaard"/>
    <w:next w:val="Standaard"/>
    <w:autoRedefine/>
    <w:uiPriority w:val="39"/>
    <w:unhideWhenUsed/>
    <w:rsid w:val="00A106DC"/>
    <w:pPr>
      <w:spacing w:before="0" w:after="0"/>
      <w:ind w:left="1920"/>
    </w:pPr>
    <w:rPr>
      <w:rFonts w:asciiTheme="minorHAnsi" w:hAnsiTheme="minorHAnsi" w:cstheme="minorHAnsi"/>
      <w:sz w:val="18"/>
      <w:szCs w:val="18"/>
    </w:rPr>
  </w:style>
  <w:style w:type="paragraph" w:styleId="Lijstalinea">
    <w:name w:val="List Paragraph"/>
    <w:basedOn w:val="Standaard"/>
    <w:uiPriority w:val="34"/>
    <w:qFormat/>
    <w:rsid w:val="00A3794E"/>
    <w:pPr>
      <w:ind w:left="720"/>
      <w:contextualSpacing/>
    </w:pPr>
  </w:style>
  <w:style w:type="character" w:customStyle="1" w:styleId="Kop3Char">
    <w:name w:val="Kop 3 Char"/>
    <w:basedOn w:val="Standaardalinea-lettertype"/>
    <w:link w:val="Kop3"/>
    <w:uiPriority w:val="9"/>
    <w:rsid w:val="00093FA0"/>
    <w:rPr>
      <w:rFonts w:ascii="Times New Roman" w:eastAsiaTheme="majorEastAsia" w:hAnsi="Times New Roman" w:cs="Times New Roman"/>
      <w:bCs/>
      <w:i/>
      <w:color w:val="4A442A" w:themeColor="background2" w:themeShade="40"/>
      <w:lang w:val="en-US"/>
    </w:rPr>
  </w:style>
  <w:style w:type="character" w:customStyle="1" w:styleId="Kop4Char">
    <w:name w:val="Kop 4 Char"/>
    <w:basedOn w:val="Standaardalinea-lettertype"/>
    <w:link w:val="Kop4"/>
    <w:uiPriority w:val="9"/>
    <w:rsid w:val="00B650B6"/>
    <w:rPr>
      <w:rFonts w:asciiTheme="majorHAnsi" w:eastAsiaTheme="majorEastAsia" w:hAnsiTheme="majorHAnsi" w:cstheme="majorBidi"/>
      <w:b/>
      <w:bCs/>
      <w:i/>
      <w:iCs/>
      <w:color w:val="4F81BD" w:themeColor="accent1"/>
      <w:sz w:val="24"/>
      <w:lang w:val="en-US"/>
    </w:rPr>
  </w:style>
  <w:style w:type="paragraph" w:styleId="Voetnoottekst">
    <w:name w:val="footnote text"/>
    <w:basedOn w:val="Standaard"/>
    <w:link w:val="VoetnoottekstChar"/>
    <w:uiPriority w:val="99"/>
    <w:unhideWhenUsed/>
    <w:rsid w:val="00971730"/>
    <w:pPr>
      <w:spacing w:before="0" w:after="0" w:line="240" w:lineRule="auto"/>
    </w:pPr>
    <w:rPr>
      <w:rFonts w:eastAsiaTheme="minorEastAsia" w:cs="Times New Roman"/>
      <w:szCs w:val="24"/>
      <w:lang w:eastAsia="ja-JP"/>
    </w:rPr>
  </w:style>
  <w:style w:type="character" w:customStyle="1" w:styleId="VoetnoottekstChar">
    <w:name w:val="Voetnoottekst Char"/>
    <w:basedOn w:val="Standaardalinea-lettertype"/>
    <w:link w:val="Voetnoottekst"/>
    <w:uiPriority w:val="99"/>
    <w:rsid w:val="00971730"/>
    <w:rPr>
      <w:rFonts w:ascii="Times New Roman" w:eastAsiaTheme="minorEastAsia" w:hAnsi="Times New Roman" w:cs="Times New Roman"/>
      <w:sz w:val="24"/>
      <w:szCs w:val="24"/>
      <w:lang w:val="en-US" w:eastAsia="ja-JP"/>
    </w:rPr>
  </w:style>
  <w:style w:type="character" w:styleId="Voetnootmarkering">
    <w:name w:val="footnote reference"/>
    <w:basedOn w:val="Standaardalinea-lettertype"/>
    <w:uiPriority w:val="99"/>
    <w:unhideWhenUsed/>
    <w:rsid w:val="00971730"/>
    <w:rPr>
      <w:vertAlign w:val="superscript"/>
    </w:rPr>
  </w:style>
  <w:style w:type="character" w:styleId="Verwijzingopmerking">
    <w:name w:val="annotation reference"/>
    <w:basedOn w:val="Standaardalinea-lettertype"/>
    <w:uiPriority w:val="99"/>
    <w:semiHidden/>
    <w:unhideWhenUsed/>
    <w:rsid w:val="00A57D06"/>
    <w:rPr>
      <w:sz w:val="18"/>
      <w:szCs w:val="18"/>
    </w:rPr>
  </w:style>
  <w:style w:type="paragraph" w:styleId="Tekstopmerking">
    <w:name w:val="annotation text"/>
    <w:basedOn w:val="Standaard"/>
    <w:link w:val="TekstopmerkingChar"/>
    <w:uiPriority w:val="99"/>
    <w:semiHidden/>
    <w:unhideWhenUsed/>
    <w:rsid w:val="00A57D06"/>
    <w:pPr>
      <w:spacing w:line="240" w:lineRule="auto"/>
    </w:pPr>
    <w:rPr>
      <w:szCs w:val="24"/>
    </w:rPr>
  </w:style>
  <w:style w:type="character" w:customStyle="1" w:styleId="TekstopmerkingChar">
    <w:name w:val="Tekst opmerking Char"/>
    <w:basedOn w:val="Standaardalinea-lettertype"/>
    <w:link w:val="Tekstopmerking"/>
    <w:uiPriority w:val="99"/>
    <w:semiHidden/>
    <w:rsid w:val="00A57D06"/>
    <w:rPr>
      <w:rFonts w:ascii="Times New Roman" w:hAnsi="Times New Roman"/>
      <w:sz w:val="24"/>
      <w:szCs w:val="24"/>
      <w:lang w:val="en-US"/>
    </w:rPr>
  </w:style>
  <w:style w:type="paragraph" w:styleId="Onderwerpvanopmerking">
    <w:name w:val="annotation subject"/>
    <w:basedOn w:val="Tekstopmerking"/>
    <w:next w:val="Tekstopmerking"/>
    <w:link w:val="OnderwerpvanopmerkingChar"/>
    <w:uiPriority w:val="99"/>
    <w:semiHidden/>
    <w:unhideWhenUsed/>
    <w:rsid w:val="00A57D06"/>
    <w:rPr>
      <w:b/>
      <w:bCs/>
      <w:sz w:val="20"/>
      <w:szCs w:val="20"/>
    </w:rPr>
  </w:style>
  <w:style w:type="character" w:customStyle="1" w:styleId="OnderwerpvanopmerkingChar">
    <w:name w:val="Onderwerp van opmerking Char"/>
    <w:basedOn w:val="TekstopmerkingChar"/>
    <w:link w:val="Onderwerpvanopmerking"/>
    <w:uiPriority w:val="99"/>
    <w:semiHidden/>
    <w:rsid w:val="00A57D06"/>
    <w:rPr>
      <w:rFonts w:ascii="Times New Roman" w:hAnsi="Times New Roman"/>
      <w:b/>
      <w:bCs/>
      <w:sz w:val="20"/>
      <w:szCs w:val="20"/>
      <w:lang w:val="en-US"/>
    </w:rPr>
  </w:style>
  <w:style w:type="paragraph" w:styleId="Revisie">
    <w:name w:val="Revision"/>
    <w:hidden/>
    <w:uiPriority w:val="99"/>
    <w:semiHidden/>
    <w:rsid w:val="00A57D06"/>
    <w:pPr>
      <w:spacing w:after="0" w:line="240" w:lineRule="auto"/>
    </w:pPr>
    <w:rPr>
      <w:rFonts w:ascii="Times New Roman" w:hAnsi="Times New Roman"/>
      <w:sz w:val="24"/>
      <w:lang w:val="en-US"/>
    </w:rPr>
  </w:style>
  <w:style w:type="character" w:styleId="Subtielebenadrukking">
    <w:name w:val="Subtle Emphasis"/>
    <w:basedOn w:val="Standaardalinea-lettertype"/>
    <w:uiPriority w:val="19"/>
    <w:qFormat/>
    <w:rsid w:val="00191F1C"/>
    <w:rPr>
      <w:i/>
      <w:iCs/>
      <w:color w:val="808080" w:themeColor="text1" w:themeTint="7F"/>
    </w:rPr>
  </w:style>
  <w:style w:type="paragraph" w:styleId="Ondertitel">
    <w:name w:val="Subtitle"/>
    <w:basedOn w:val="Standaard"/>
    <w:next w:val="Standaard"/>
    <w:link w:val="OndertitelChar"/>
    <w:uiPriority w:val="11"/>
    <w:qFormat/>
    <w:rsid w:val="00191F1C"/>
    <w:pPr>
      <w:numPr>
        <w:ilvl w:val="1"/>
      </w:numPr>
    </w:pPr>
    <w:rPr>
      <w:rFonts w:asciiTheme="majorHAnsi" w:eastAsiaTheme="majorEastAsia" w:hAnsiTheme="majorHAnsi"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191F1C"/>
    <w:rPr>
      <w:rFonts w:asciiTheme="majorHAnsi" w:eastAsiaTheme="majorEastAsia" w:hAnsiTheme="majorHAnsi" w:cstheme="majorBidi"/>
      <w:i/>
      <w:iCs/>
      <w:color w:val="4F81BD" w:themeColor="accent1"/>
      <w:spacing w:val="15"/>
      <w:sz w:val="24"/>
      <w:szCs w:val="24"/>
      <w:lang w:val="en-US"/>
    </w:rPr>
  </w:style>
  <w:style w:type="table" w:styleId="Tabelraster">
    <w:name w:val="Table Grid"/>
    <w:basedOn w:val="Standaardtabel"/>
    <w:uiPriority w:val="59"/>
    <w:rsid w:val="00ED2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6E669A"/>
    <w:rPr>
      <w:color w:val="800080" w:themeColor="followedHyperlink"/>
      <w:u w:val="single"/>
    </w:rPr>
  </w:style>
  <w:style w:type="paragraph" w:styleId="HTML-voorafopgemaakt">
    <w:name w:val="HTML Preformatted"/>
    <w:basedOn w:val="Standaard"/>
    <w:link w:val="HTML-voorafopgemaaktChar"/>
    <w:uiPriority w:val="99"/>
    <w:semiHidden/>
    <w:unhideWhenUsed/>
    <w:rsid w:val="00FB2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w:hAnsi="Courier" w:cs="Courier"/>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FB2B12"/>
    <w:rPr>
      <w:rFonts w:ascii="Courier" w:hAnsi="Courier" w:cs="Courier"/>
      <w:sz w:val="20"/>
      <w:szCs w:val="20"/>
      <w:lang w:val="nl-NL" w:eastAsia="nl-NL"/>
    </w:rPr>
  </w:style>
  <w:style w:type="paragraph" w:styleId="Normaalweb">
    <w:name w:val="Normal (Web)"/>
    <w:basedOn w:val="Standaard"/>
    <w:uiPriority w:val="99"/>
    <w:semiHidden/>
    <w:unhideWhenUsed/>
    <w:rsid w:val="00BF442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0956">
      <w:bodyDiv w:val="1"/>
      <w:marLeft w:val="0"/>
      <w:marRight w:val="0"/>
      <w:marTop w:val="0"/>
      <w:marBottom w:val="0"/>
      <w:divBdr>
        <w:top w:val="none" w:sz="0" w:space="0" w:color="auto"/>
        <w:left w:val="none" w:sz="0" w:space="0" w:color="auto"/>
        <w:bottom w:val="none" w:sz="0" w:space="0" w:color="auto"/>
        <w:right w:val="none" w:sz="0" w:space="0" w:color="auto"/>
      </w:divBdr>
      <w:divsChild>
        <w:div w:id="1510098468">
          <w:marLeft w:val="150"/>
          <w:marRight w:val="150"/>
          <w:marTop w:val="0"/>
          <w:marBottom w:val="0"/>
          <w:divBdr>
            <w:top w:val="none" w:sz="0" w:space="0" w:color="auto"/>
            <w:left w:val="none" w:sz="0" w:space="0" w:color="auto"/>
            <w:bottom w:val="none" w:sz="0" w:space="0" w:color="auto"/>
            <w:right w:val="none" w:sz="0" w:space="0" w:color="auto"/>
          </w:divBdr>
        </w:div>
      </w:divsChild>
    </w:div>
    <w:div w:id="51933026">
      <w:bodyDiv w:val="1"/>
      <w:marLeft w:val="0"/>
      <w:marRight w:val="0"/>
      <w:marTop w:val="0"/>
      <w:marBottom w:val="0"/>
      <w:divBdr>
        <w:top w:val="none" w:sz="0" w:space="0" w:color="auto"/>
        <w:left w:val="none" w:sz="0" w:space="0" w:color="auto"/>
        <w:bottom w:val="none" w:sz="0" w:space="0" w:color="auto"/>
        <w:right w:val="none" w:sz="0" w:space="0" w:color="auto"/>
      </w:divBdr>
      <w:divsChild>
        <w:div w:id="1080905677">
          <w:marLeft w:val="0"/>
          <w:marRight w:val="0"/>
          <w:marTop w:val="0"/>
          <w:marBottom w:val="0"/>
          <w:divBdr>
            <w:top w:val="none" w:sz="0" w:space="0" w:color="auto"/>
            <w:left w:val="none" w:sz="0" w:space="0" w:color="auto"/>
            <w:bottom w:val="none" w:sz="0" w:space="0" w:color="auto"/>
            <w:right w:val="none" w:sz="0" w:space="0" w:color="auto"/>
          </w:divBdr>
          <w:divsChild>
            <w:div w:id="664237705">
              <w:marLeft w:val="0"/>
              <w:marRight w:val="0"/>
              <w:marTop w:val="0"/>
              <w:marBottom w:val="0"/>
              <w:divBdr>
                <w:top w:val="none" w:sz="0" w:space="0" w:color="auto"/>
                <w:left w:val="none" w:sz="0" w:space="0" w:color="auto"/>
                <w:bottom w:val="single" w:sz="8" w:space="1" w:color="7F7F7F"/>
                <w:right w:val="none" w:sz="0" w:space="0" w:color="auto"/>
              </w:divBdr>
            </w:div>
          </w:divsChild>
        </w:div>
      </w:divsChild>
    </w:div>
    <w:div w:id="92211975">
      <w:bodyDiv w:val="1"/>
      <w:marLeft w:val="0"/>
      <w:marRight w:val="0"/>
      <w:marTop w:val="0"/>
      <w:marBottom w:val="0"/>
      <w:divBdr>
        <w:top w:val="none" w:sz="0" w:space="0" w:color="auto"/>
        <w:left w:val="none" w:sz="0" w:space="0" w:color="auto"/>
        <w:bottom w:val="none" w:sz="0" w:space="0" w:color="auto"/>
        <w:right w:val="none" w:sz="0" w:space="0" w:color="auto"/>
      </w:divBdr>
    </w:div>
    <w:div w:id="147750030">
      <w:bodyDiv w:val="1"/>
      <w:marLeft w:val="0"/>
      <w:marRight w:val="0"/>
      <w:marTop w:val="0"/>
      <w:marBottom w:val="0"/>
      <w:divBdr>
        <w:top w:val="none" w:sz="0" w:space="0" w:color="auto"/>
        <w:left w:val="none" w:sz="0" w:space="0" w:color="auto"/>
        <w:bottom w:val="none" w:sz="0" w:space="0" w:color="auto"/>
        <w:right w:val="none" w:sz="0" w:space="0" w:color="auto"/>
      </w:divBdr>
    </w:div>
    <w:div w:id="158740031">
      <w:bodyDiv w:val="1"/>
      <w:marLeft w:val="0"/>
      <w:marRight w:val="0"/>
      <w:marTop w:val="0"/>
      <w:marBottom w:val="0"/>
      <w:divBdr>
        <w:top w:val="none" w:sz="0" w:space="0" w:color="auto"/>
        <w:left w:val="none" w:sz="0" w:space="0" w:color="auto"/>
        <w:bottom w:val="none" w:sz="0" w:space="0" w:color="auto"/>
        <w:right w:val="none" w:sz="0" w:space="0" w:color="auto"/>
      </w:divBdr>
    </w:div>
    <w:div w:id="189882765">
      <w:bodyDiv w:val="1"/>
      <w:marLeft w:val="0"/>
      <w:marRight w:val="0"/>
      <w:marTop w:val="0"/>
      <w:marBottom w:val="0"/>
      <w:divBdr>
        <w:top w:val="none" w:sz="0" w:space="0" w:color="auto"/>
        <w:left w:val="none" w:sz="0" w:space="0" w:color="auto"/>
        <w:bottom w:val="none" w:sz="0" w:space="0" w:color="auto"/>
        <w:right w:val="none" w:sz="0" w:space="0" w:color="auto"/>
      </w:divBdr>
    </w:div>
    <w:div w:id="237059818">
      <w:bodyDiv w:val="1"/>
      <w:marLeft w:val="0"/>
      <w:marRight w:val="0"/>
      <w:marTop w:val="0"/>
      <w:marBottom w:val="0"/>
      <w:divBdr>
        <w:top w:val="none" w:sz="0" w:space="0" w:color="auto"/>
        <w:left w:val="none" w:sz="0" w:space="0" w:color="auto"/>
        <w:bottom w:val="none" w:sz="0" w:space="0" w:color="auto"/>
        <w:right w:val="none" w:sz="0" w:space="0" w:color="auto"/>
      </w:divBdr>
    </w:div>
    <w:div w:id="253903763">
      <w:bodyDiv w:val="1"/>
      <w:marLeft w:val="0"/>
      <w:marRight w:val="0"/>
      <w:marTop w:val="0"/>
      <w:marBottom w:val="0"/>
      <w:divBdr>
        <w:top w:val="none" w:sz="0" w:space="0" w:color="auto"/>
        <w:left w:val="none" w:sz="0" w:space="0" w:color="auto"/>
        <w:bottom w:val="none" w:sz="0" w:space="0" w:color="auto"/>
        <w:right w:val="none" w:sz="0" w:space="0" w:color="auto"/>
      </w:divBdr>
    </w:div>
    <w:div w:id="457073115">
      <w:bodyDiv w:val="1"/>
      <w:marLeft w:val="0"/>
      <w:marRight w:val="0"/>
      <w:marTop w:val="0"/>
      <w:marBottom w:val="0"/>
      <w:divBdr>
        <w:top w:val="none" w:sz="0" w:space="0" w:color="auto"/>
        <w:left w:val="none" w:sz="0" w:space="0" w:color="auto"/>
        <w:bottom w:val="none" w:sz="0" w:space="0" w:color="auto"/>
        <w:right w:val="none" w:sz="0" w:space="0" w:color="auto"/>
      </w:divBdr>
    </w:div>
    <w:div w:id="462886625">
      <w:bodyDiv w:val="1"/>
      <w:marLeft w:val="0"/>
      <w:marRight w:val="0"/>
      <w:marTop w:val="0"/>
      <w:marBottom w:val="0"/>
      <w:divBdr>
        <w:top w:val="none" w:sz="0" w:space="0" w:color="auto"/>
        <w:left w:val="none" w:sz="0" w:space="0" w:color="auto"/>
        <w:bottom w:val="none" w:sz="0" w:space="0" w:color="auto"/>
        <w:right w:val="none" w:sz="0" w:space="0" w:color="auto"/>
      </w:divBdr>
    </w:div>
    <w:div w:id="537354853">
      <w:bodyDiv w:val="1"/>
      <w:marLeft w:val="0"/>
      <w:marRight w:val="0"/>
      <w:marTop w:val="0"/>
      <w:marBottom w:val="0"/>
      <w:divBdr>
        <w:top w:val="none" w:sz="0" w:space="0" w:color="auto"/>
        <w:left w:val="none" w:sz="0" w:space="0" w:color="auto"/>
        <w:bottom w:val="none" w:sz="0" w:space="0" w:color="auto"/>
        <w:right w:val="none" w:sz="0" w:space="0" w:color="auto"/>
      </w:divBdr>
    </w:div>
    <w:div w:id="581568862">
      <w:bodyDiv w:val="1"/>
      <w:marLeft w:val="0"/>
      <w:marRight w:val="0"/>
      <w:marTop w:val="0"/>
      <w:marBottom w:val="0"/>
      <w:divBdr>
        <w:top w:val="none" w:sz="0" w:space="0" w:color="auto"/>
        <w:left w:val="none" w:sz="0" w:space="0" w:color="auto"/>
        <w:bottom w:val="none" w:sz="0" w:space="0" w:color="auto"/>
        <w:right w:val="none" w:sz="0" w:space="0" w:color="auto"/>
      </w:divBdr>
    </w:div>
    <w:div w:id="605502440">
      <w:bodyDiv w:val="1"/>
      <w:marLeft w:val="0"/>
      <w:marRight w:val="0"/>
      <w:marTop w:val="0"/>
      <w:marBottom w:val="0"/>
      <w:divBdr>
        <w:top w:val="none" w:sz="0" w:space="0" w:color="auto"/>
        <w:left w:val="none" w:sz="0" w:space="0" w:color="auto"/>
        <w:bottom w:val="none" w:sz="0" w:space="0" w:color="auto"/>
        <w:right w:val="none" w:sz="0" w:space="0" w:color="auto"/>
      </w:divBdr>
    </w:div>
    <w:div w:id="688143474">
      <w:bodyDiv w:val="1"/>
      <w:marLeft w:val="0"/>
      <w:marRight w:val="0"/>
      <w:marTop w:val="0"/>
      <w:marBottom w:val="0"/>
      <w:divBdr>
        <w:top w:val="none" w:sz="0" w:space="0" w:color="auto"/>
        <w:left w:val="none" w:sz="0" w:space="0" w:color="auto"/>
        <w:bottom w:val="none" w:sz="0" w:space="0" w:color="auto"/>
        <w:right w:val="none" w:sz="0" w:space="0" w:color="auto"/>
      </w:divBdr>
    </w:div>
    <w:div w:id="718893957">
      <w:bodyDiv w:val="1"/>
      <w:marLeft w:val="0"/>
      <w:marRight w:val="0"/>
      <w:marTop w:val="0"/>
      <w:marBottom w:val="0"/>
      <w:divBdr>
        <w:top w:val="none" w:sz="0" w:space="0" w:color="auto"/>
        <w:left w:val="none" w:sz="0" w:space="0" w:color="auto"/>
        <w:bottom w:val="none" w:sz="0" w:space="0" w:color="auto"/>
        <w:right w:val="none" w:sz="0" w:space="0" w:color="auto"/>
      </w:divBdr>
    </w:div>
    <w:div w:id="774905784">
      <w:bodyDiv w:val="1"/>
      <w:marLeft w:val="0"/>
      <w:marRight w:val="0"/>
      <w:marTop w:val="0"/>
      <w:marBottom w:val="0"/>
      <w:divBdr>
        <w:top w:val="none" w:sz="0" w:space="0" w:color="auto"/>
        <w:left w:val="none" w:sz="0" w:space="0" w:color="auto"/>
        <w:bottom w:val="none" w:sz="0" w:space="0" w:color="auto"/>
        <w:right w:val="none" w:sz="0" w:space="0" w:color="auto"/>
      </w:divBdr>
    </w:div>
    <w:div w:id="800272699">
      <w:bodyDiv w:val="1"/>
      <w:marLeft w:val="0"/>
      <w:marRight w:val="0"/>
      <w:marTop w:val="0"/>
      <w:marBottom w:val="0"/>
      <w:divBdr>
        <w:top w:val="none" w:sz="0" w:space="0" w:color="auto"/>
        <w:left w:val="none" w:sz="0" w:space="0" w:color="auto"/>
        <w:bottom w:val="none" w:sz="0" w:space="0" w:color="auto"/>
        <w:right w:val="none" w:sz="0" w:space="0" w:color="auto"/>
      </w:divBdr>
    </w:div>
    <w:div w:id="802574557">
      <w:bodyDiv w:val="1"/>
      <w:marLeft w:val="0"/>
      <w:marRight w:val="0"/>
      <w:marTop w:val="0"/>
      <w:marBottom w:val="0"/>
      <w:divBdr>
        <w:top w:val="none" w:sz="0" w:space="0" w:color="auto"/>
        <w:left w:val="none" w:sz="0" w:space="0" w:color="auto"/>
        <w:bottom w:val="none" w:sz="0" w:space="0" w:color="auto"/>
        <w:right w:val="none" w:sz="0" w:space="0" w:color="auto"/>
      </w:divBdr>
    </w:div>
    <w:div w:id="821122616">
      <w:bodyDiv w:val="1"/>
      <w:marLeft w:val="0"/>
      <w:marRight w:val="0"/>
      <w:marTop w:val="0"/>
      <w:marBottom w:val="0"/>
      <w:divBdr>
        <w:top w:val="none" w:sz="0" w:space="0" w:color="auto"/>
        <w:left w:val="none" w:sz="0" w:space="0" w:color="auto"/>
        <w:bottom w:val="none" w:sz="0" w:space="0" w:color="auto"/>
        <w:right w:val="none" w:sz="0" w:space="0" w:color="auto"/>
      </w:divBdr>
    </w:div>
    <w:div w:id="858472828">
      <w:bodyDiv w:val="1"/>
      <w:marLeft w:val="0"/>
      <w:marRight w:val="0"/>
      <w:marTop w:val="0"/>
      <w:marBottom w:val="0"/>
      <w:divBdr>
        <w:top w:val="none" w:sz="0" w:space="0" w:color="auto"/>
        <w:left w:val="none" w:sz="0" w:space="0" w:color="auto"/>
        <w:bottom w:val="none" w:sz="0" w:space="0" w:color="auto"/>
        <w:right w:val="none" w:sz="0" w:space="0" w:color="auto"/>
      </w:divBdr>
    </w:div>
    <w:div w:id="897788356">
      <w:bodyDiv w:val="1"/>
      <w:marLeft w:val="0"/>
      <w:marRight w:val="0"/>
      <w:marTop w:val="0"/>
      <w:marBottom w:val="0"/>
      <w:divBdr>
        <w:top w:val="none" w:sz="0" w:space="0" w:color="auto"/>
        <w:left w:val="none" w:sz="0" w:space="0" w:color="auto"/>
        <w:bottom w:val="none" w:sz="0" w:space="0" w:color="auto"/>
        <w:right w:val="none" w:sz="0" w:space="0" w:color="auto"/>
      </w:divBdr>
    </w:div>
    <w:div w:id="1026714552">
      <w:bodyDiv w:val="1"/>
      <w:marLeft w:val="0"/>
      <w:marRight w:val="0"/>
      <w:marTop w:val="0"/>
      <w:marBottom w:val="0"/>
      <w:divBdr>
        <w:top w:val="none" w:sz="0" w:space="0" w:color="auto"/>
        <w:left w:val="none" w:sz="0" w:space="0" w:color="auto"/>
        <w:bottom w:val="none" w:sz="0" w:space="0" w:color="auto"/>
        <w:right w:val="none" w:sz="0" w:space="0" w:color="auto"/>
      </w:divBdr>
    </w:div>
    <w:div w:id="1032799508">
      <w:bodyDiv w:val="1"/>
      <w:marLeft w:val="0"/>
      <w:marRight w:val="0"/>
      <w:marTop w:val="0"/>
      <w:marBottom w:val="0"/>
      <w:divBdr>
        <w:top w:val="none" w:sz="0" w:space="0" w:color="auto"/>
        <w:left w:val="none" w:sz="0" w:space="0" w:color="auto"/>
        <w:bottom w:val="none" w:sz="0" w:space="0" w:color="auto"/>
        <w:right w:val="none" w:sz="0" w:space="0" w:color="auto"/>
      </w:divBdr>
    </w:div>
    <w:div w:id="1081369443">
      <w:bodyDiv w:val="1"/>
      <w:marLeft w:val="0"/>
      <w:marRight w:val="0"/>
      <w:marTop w:val="0"/>
      <w:marBottom w:val="0"/>
      <w:divBdr>
        <w:top w:val="none" w:sz="0" w:space="0" w:color="auto"/>
        <w:left w:val="none" w:sz="0" w:space="0" w:color="auto"/>
        <w:bottom w:val="none" w:sz="0" w:space="0" w:color="auto"/>
        <w:right w:val="none" w:sz="0" w:space="0" w:color="auto"/>
      </w:divBdr>
    </w:div>
    <w:div w:id="1085809553">
      <w:bodyDiv w:val="1"/>
      <w:marLeft w:val="0"/>
      <w:marRight w:val="0"/>
      <w:marTop w:val="0"/>
      <w:marBottom w:val="0"/>
      <w:divBdr>
        <w:top w:val="none" w:sz="0" w:space="0" w:color="auto"/>
        <w:left w:val="none" w:sz="0" w:space="0" w:color="auto"/>
        <w:bottom w:val="none" w:sz="0" w:space="0" w:color="auto"/>
        <w:right w:val="none" w:sz="0" w:space="0" w:color="auto"/>
      </w:divBdr>
    </w:div>
    <w:div w:id="1104960919">
      <w:bodyDiv w:val="1"/>
      <w:marLeft w:val="0"/>
      <w:marRight w:val="0"/>
      <w:marTop w:val="0"/>
      <w:marBottom w:val="0"/>
      <w:divBdr>
        <w:top w:val="none" w:sz="0" w:space="0" w:color="auto"/>
        <w:left w:val="none" w:sz="0" w:space="0" w:color="auto"/>
        <w:bottom w:val="none" w:sz="0" w:space="0" w:color="auto"/>
        <w:right w:val="none" w:sz="0" w:space="0" w:color="auto"/>
      </w:divBdr>
    </w:div>
    <w:div w:id="1138032907">
      <w:bodyDiv w:val="1"/>
      <w:marLeft w:val="0"/>
      <w:marRight w:val="0"/>
      <w:marTop w:val="0"/>
      <w:marBottom w:val="0"/>
      <w:divBdr>
        <w:top w:val="none" w:sz="0" w:space="0" w:color="auto"/>
        <w:left w:val="none" w:sz="0" w:space="0" w:color="auto"/>
        <w:bottom w:val="none" w:sz="0" w:space="0" w:color="auto"/>
        <w:right w:val="none" w:sz="0" w:space="0" w:color="auto"/>
      </w:divBdr>
    </w:div>
    <w:div w:id="1190487203">
      <w:bodyDiv w:val="1"/>
      <w:marLeft w:val="0"/>
      <w:marRight w:val="0"/>
      <w:marTop w:val="0"/>
      <w:marBottom w:val="0"/>
      <w:divBdr>
        <w:top w:val="none" w:sz="0" w:space="0" w:color="auto"/>
        <w:left w:val="none" w:sz="0" w:space="0" w:color="auto"/>
        <w:bottom w:val="none" w:sz="0" w:space="0" w:color="auto"/>
        <w:right w:val="none" w:sz="0" w:space="0" w:color="auto"/>
      </w:divBdr>
    </w:div>
    <w:div w:id="1283224422">
      <w:bodyDiv w:val="1"/>
      <w:marLeft w:val="0"/>
      <w:marRight w:val="0"/>
      <w:marTop w:val="0"/>
      <w:marBottom w:val="0"/>
      <w:divBdr>
        <w:top w:val="none" w:sz="0" w:space="0" w:color="auto"/>
        <w:left w:val="none" w:sz="0" w:space="0" w:color="auto"/>
        <w:bottom w:val="none" w:sz="0" w:space="0" w:color="auto"/>
        <w:right w:val="none" w:sz="0" w:space="0" w:color="auto"/>
      </w:divBdr>
    </w:div>
    <w:div w:id="1315333584">
      <w:bodyDiv w:val="1"/>
      <w:marLeft w:val="0"/>
      <w:marRight w:val="0"/>
      <w:marTop w:val="0"/>
      <w:marBottom w:val="0"/>
      <w:divBdr>
        <w:top w:val="none" w:sz="0" w:space="0" w:color="auto"/>
        <w:left w:val="none" w:sz="0" w:space="0" w:color="auto"/>
        <w:bottom w:val="none" w:sz="0" w:space="0" w:color="auto"/>
        <w:right w:val="none" w:sz="0" w:space="0" w:color="auto"/>
      </w:divBdr>
    </w:div>
    <w:div w:id="1405108508">
      <w:bodyDiv w:val="1"/>
      <w:marLeft w:val="0"/>
      <w:marRight w:val="0"/>
      <w:marTop w:val="0"/>
      <w:marBottom w:val="0"/>
      <w:divBdr>
        <w:top w:val="none" w:sz="0" w:space="0" w:color="auto"/>
        <w:left w:val="none" w:sz="0" w:space="0" w:color="auto"/>
        <w:bottom w:val="none" w:sz="0" w:space="0" w:color="auto"/>
        <w:right w:val="none" w:sz="0" w:space="0" w:color="auto"/>
      </w:divBdr>
    </w:div>
    <w:div w:id="1455562999">
      <w:bodyDiv w:val="1"/>
      <w:marLeft w:val="0"/>
      <w:marRight w:val="0"/>
      <w:marTop w:val="0"/>
      <w:marBottom w:val="0"/>
      <w:divBdr>
        <w:top w:val="none" w:sz="0" w:space="0" w:color="auto"/>
        <w:left w:val="none" w:sz="0" w:space="0" w:color="auto"/>
        <w:bottom w:val="none" w:sz="0" w:space="0" w:color="auto"/>
        <w:right w:val="none" w:sz="0" w:space="0" w:color="auto"/>
      </w:divBdr>
    </w:div>
    <w:div w:id="1458915591">
      <w:bodyDiv w:val="1"/>
      <w:marLeft w:val="0"/>
      <w:marRight w:val="0"/>
      <w:marTop w:val="0"/>
      <w:marBottom w:val="0"/>
      <w:divBdr>
        <w:top w:val="none" w:sz="0" w:space="0" w:color="auto"/>
        <w:left w:val="none" w:sz="0" w:space="0" w:color="auto"/>
        <w:bottom w:val="none" w:sz="0" w:space="0" w:color="auto"/>
        <w:right w:val="none" w:sz="0" w:space="0" w:color="auto"/>
      </w:divBdr>
    </w:div>
    <w:div w:id="1504783841">
      <w:bodyDiv w:val="1"/>
      <w:marLeft w:val="0"/>
      <w:marRight w:val="0"/>
      <w:marTop w:val="0"/>
      <w:marBottom w:val="0"/>
      <w:divBdr>
        <w:top w:val="none" w:sz="0" w:space="0" w:color="auto"/>
        <w:left w:val="none" w:sz="0" w:space="0" w:color="auto"/>
        <w:bottom w:val="none" w:sz="0" w:space="0" w:color="auto"/>
        <w:right w:val="none" w:sz="0" w:space="0" w:color="auto"/>
      </w:divBdr>
      <w:divsChild>
        <w:div w:id="885917438">
          <w:marLeft w:val="0"/>
          <w:marRight w:val="0"/>
          <w:marTop w:val="0"/>
          <w:marBottom w:val="0"/>
          <w:divBdr>
            <w:top w:val="none" w:sz="0" w:space="0" w:color="auto"/>
            <w:left w:val="none" w:sz="0" w:space="0" w:color="auto"/>
            <w:bottom w:val="none" w:sz="0" w:space="0" w:color="auto"/>
            <w:right w:val="none" w:sz="0" w:space="0" w:color="auto"/>
          </w:divBdr>
          <w:divsChild>
            <w:div w:id="1254823362">
              <w:marLeft w:val="0"/>
              <w:marRight w:val="0"/>
              <w:marTop w:val="0"/>
              <w:marBottom w:val="0"/>
              <w:divBdr>
                <w:top w:val="none" w:sz="0" w:space="0" w:color="auto"/>
                <w:left w:val="none" w:sz="0" w:space="0" w:color="auto"/>
                <w:bottom w:val="single" w:sz="8" w:space="1" w:color="7F7F7F"/>
                <w:right w:val="none" w:sz="0" w:space="0" w:color="auto"/>
              </w:divBdr>
            </w:div>
          </w:divsChild>
        </w:div>
      </w:divsChild>
    </w:div>
    <w:div w:id="1524171346">
      <w:bodyDiv w:val="1"/>
      <w:marLeft w:val="0"/>
      <w:marRight w:val="0"/>
      <w:marTop w:val="0"/>
      <w:marBottom w:val="0"/>
      <w:divBdr>
        <w:top w:val="none" w:sz="0" w:space="0" w:color="auto"/>
        <w:left w:val="none" w:sz="0" w:space="0" w:color="auto"/>
        <w:bottom w:val="none" w:sz="0" w:space="0" w:color="auto"/>
        <w:right w:val="none" w:sz="0" w:space="0" w:color="auto"/>
      </w:divBdr>
    </w:div>
    <w:div w:id="1551576132">
      <w:bodyDiv w:val="1"/>
      <w:marLeft w:val="0"/>
      <w:marRight w:val="0"/>
      <w:marTop w:val="0"/>
      <w:marBottom w:val="0"/>
      <w:divBdr>
        <w:top w:val="none" w:sz="0" w:space="0" w:color="auto"/>
        <w:left w:val="none" w:sz="0" w:space="0" w:color="auto"/>
        <w:bottom w:val="none" w:sz="0" w:space="0" w:color="auto"/>
        <w:right w:val="none" w:sz="0" w:space="0" w:color="auto"/>
      </w:divBdr>
    </w:div>
    <w:div w:id="1553422975">
      <w:bodyDiv w:val="1"/>
      <w:marLeft w:val="0"/>
      <w:marRight w:val="0"/>
      <w:marTop w:val="0"/>
      <w:marBottom w:val="0"/>
      <w:divBdr>
        <w:top w:val="none" w:sz="0" w:space="0" w:color="auto"/>
        <w:left w:val="none" w:sz="0" w:space="0" w:color="auto"/>
        <w:bottom w:val="none" w:sz="0" w:space="0" w:color="auto"/>
        <w:right w:val="none" w:sz="0" w:space="0" w:color="auto"/>
      </w:divBdr>
    </w:div>
    <w:div w:id="1565293279">
      <w:bodyDiv w:val="1"/>
      <w:marLeft w:val="0"/>
      <w:marRight w:val="0"/>
      <w:marTop w:val="0"/>
      <w:marBottom w:val="0"/>
      <w:divBdr>
        <w:top w:val="none" w:sz="0" w:space="0" w:color="auto"/>
        <w:left w:val="none" w:sz="0" w:space="0" w:color="auto"/>
        <w:bottom w:val="none" w:sz="0" w:space="0" w:color="auto"/>
        <w:right w:val="none" w:sz="0" w:space="0" w:color="auto"/>
      </w:divBdr>
    </w:div>
    <w:div w:id="1582761655">
      <w:bodyDiv w:val="1"/>
      <w:marLeft w:val="0"/>
      <w:marRight w:val="0"/>
      <w:marTop w:val="0"/>
      <w:marBottom w:val="0"/>
      <w:divBdr>
        <w:top w:val="none" w:sz="0" w:space="0" w:color="auto"/>
        <w:left w:val="none" w:sz="0" w:space="0" w:color="auto"/>
        <w:bottom w:val="none" w:sz="0" w:space="0" w:color="auto"/>
        <w:right w:val="none" w:sz="0" w:space="0" w:color="auto"/>
      </w:divBdr>
    </w:div>
    <w:div w:id="1596399514">
      <w:bodyDiv w:val="1"/>
      <w:marLeft w:val="0"/>
      <w:marRight w:val="0"/>
      <w:marTop w:val="0"/>
      <w:marBottom w:val="0"/>
      <w:divBdr>
        <w:top w:val="none" w:sz="0" w:space="0" w:color="auto"/>
        <w:left w:val="none" w:sz="0" w:space="0" w:color="auto"/>
        <w:bottom w:val="none" w:sz="0" w:space="0" w:color="auto"/>
        <w:right w:val="none" w:sz="0" w:space="0" w:color="auto"/>
      </w:divBdr>
    </w:div>
    <w:div w:id="1667660316">
      <w:bodyDiv w:val="1"/>
      <w:marLeft w:val="0"/>
      <w:marRight w:val="0"/>
      <w:marTop w:val="0"/>
      <w:marBottom w:val="0"/>
      <w:divBdr>
        <w:top w:val="none" w:sz="0" w:space="0" w:color="auto"/>
        <w:left w:val="none" w:sz="0" w:space="0" w:color="auto"/>
        <w:bottom w:val="none" w:sz="0" w:space="0" w:color="auto"/>
        <w:right w:val="none" w:sz="0" w:space="0" w:color="auto"/>
      </w:divBdr>
    </w:div>
    <w:div w:id="1684627015">
      <w:bodyDiv w:val="1"/>
      <w:marLeft w:val="0"/>
      <w:marRight w:val="0"/>
      <w:marTop w:val="0"/>
      <w:marBottom w:val="0"/>
      <w:divBdr>
        <w:top w:val="none" w:sz="0" w:space="0" w:color="auto"/>
        <w:left w:val="none" w:sz="0" w:space="0" w:color="auto"/>
        <w:bottom w:val="none" w:sz="0" w:space="0" w:color="auto"/>
        <w:right w:val="none" w:sz="0" w:space="0" w:color="auto"/>
      </w:divBdr>
    </w:div>
    <w:div w:id="1772777541">
      <w:bodyDiv w:val="1"/>
      <w:marLeft w:val="0"/>
      <w:marRight w:val="0"/>
      <w:marTop w:val="0"/>
      <w:marBottom w:val="0"/>
      <w:divBdr>
        <w:top w:val="none" w:sz="0" w:space="0" w:color="auto"/>
        <w:left w:val="none" w:sz="0" w:space="0" w:color="auto"/>
        <w:bottom w:val="none" w:sz="0" w:space="0" w:color="auto"/>
        <w:right w:val="none" w:sz="0" w:space="0" w:color="auto"/>
      </w:divBdr>
    </w:div>
    <w:div w:id="1810198815">
      <w:bodyDiv w:val="1"/>
      <w:marLeft w:val="0"/>
      <w:marRight w:val="0"/>
      <w:marTop w:val="0"/>
      <w:marBottom w:val="0"/>
      <w:divBdr>
        <w:top w:val="none" w:sz="0" w:space="0" w:color="auto"/>
        <w:left w:val="none" w:sz="0" w:space="0" w:color="auto"/>
        <w:bottom w:val="none" w:sz="0" w:space="0" w:color="auto"/>
        <w:right w:val="none" w:sz="0" w:space="0" w:color="auto"/>
      </w:divBdr>
    </w:div>
    <w:div w:id="1832523995">
      <w:bodyDiv w:val="1"/>
      <w:marLeft w:val="0"/>
      <w:marRight w:val="0"/>
      <w:marTop w:val="0"/>
      <w:marBottom w:val="0"/>
      <w:divBdr>
        <w:top w:val="none" w:sz="0" w:space="0" w:color="auto"/>
        <w:left w:val="none" w:sz="0" w:space="0" w:color="auto"/>
        <w:bottom w:val="none" w:sz="0" w:space="0" w:color="auto"/>
        <w:right w:val="none" w:sz="0" w:space="0" w:color="auto"/>
      </w:divBdr>
    </w:div>
    <w:div w:id="1872721262">
      <w:bodyDiv w:val="1"/>
      <w:marLeft w:val="0"/>
      <w:marRight w:val="0"/>
      <w:marTop w:val="0"/>
      <w:marBottom w:val="0"/>
      <w:divBdr>
        <w:top w:val="none" w:sz="0" w:space="0" w:color="auto"/>
        <w:left w:val="none" w:sz="0" w:space="0" w:color="auto"/>
        <w:bottom w:val="none" w:sz="0" w:space="0" w:color="auto"/>
        <w:right w:val="none" w:sz="0" w:space="0" w:color="auto"/>
      </w:divBdr>
    </w:div>
    <w:div w:id="1875340490">
      <w:bodyDiv w:val="1"/>
      <w:marLeft w:val="0"/>
      <w:marRight w:val="0"/>
      <w:marTop w:val="0"/>
      <w:marBottom w:val="0"/>
      <w:divBdr>
        <w:top w:val="none" w:sz="0" w:space="0" w:color="auto"/>
        <w:left w:val="none" w:sz="0" w:space="0" w:color="auto"/>
        <w:bottom w:val="none" w:sz="0" w:space="0" w:color="auto"/>
        <w:right w:val="none" w:sz="0" w:space="0" w:color="auto"/>
      </w:divBdr>
    </w:div>
    <w:div w:id="1877694738">
      <w:bodyDiv w:val="1"/>
      <w:marLeft w:val="0"/>
      <w:marRight w:val="0"/>
      <w:marTop w:val="0"/>
      <w:marBottom w:val="0"/>
      <w:divBdr>
        <w:top w:val="none" w:sz="0" w:space="0" w:color="auto"/>
        <w:left w:val="none" w:sz="0" w:space="0" w:color="auto"/>
        <w:bottom w:val="none" w:sz="0" w:space="0" w:color="auto"/>
        <w:right w:val="none" w:sz="0" w:space="0" w:color="auto"/>
      </w:divBdr>
    </w:div>
    <w:div w:id="1912036814">
      <w:bodyDiv w:val="1"/>
      <w:marLeft w:val="0"/>
      <w:marRight w:val="0"/>
      <w:marTop w:val="0"/>
      <w:marBottom w:val="0"/>
      <w:divBdr>
        <w:top w:val="none" w:sz="0" w:space="0" w:color="auto"/>
        <w:left w:val="none" w:sz="0" w:space="0" w:color="auto"/>
        <w:bottom w:val="none" w:sz="0" w:space="0" w:color="auto"/>
        <w:right w:val="none" w:sz="0" w:space="0" w:color="auto"/>
      </w:divBdr>
    </w:div>
    <w:div w:id="1948075319">
      <w:bodyDiv w:val="1"/>
      <w:marLeft w:val="0"/>
      <w:marRight w:val="0"/>
      <w:marTop w:val="0"/>
      <w:marBottom w:val="0"/>
      <w:divBdr>
        <w:top w:val="none" w:sz="0" w:space="0" w:color="auto"/>
        <w:left w:val="none" w:sz="0" w:space="0" w:color="auto"/>
        <w:bottom w:val="none" w:sz="0" w:space="0" w:color="auto"/>
        <w:right w:val="none" w:sz="0" w:space="0" w:color="auto"/>
      </w:divBdr>
    </w:div>
    <w:div w:id="1990210752">
      <w:bodyDiv w:val="1"/>
      <w:marLeft w:val="0"/>
      <w:marRight w:val="0"/>
      <w:marTop w:val="0"/>
      <w:marBottom w:val="0"/>
      <w:divBdr>
        <w:top w:val="none" w:sz="0" w:space="0" w:color="auto"/>
        <w:left w:val="none" w:sz="0" w:space="0" w:color="auto"/>
        <w:bottom w:val="none" w:sz="0" w:space="0" w:color="auto"/>
        <w:right w:val="none" w:sz="0" w:space="0" w:color="auto"/>
      </w:divBdr>
    </w:div>
    <w:div w:id="1998145317">
      <w:bodyDiv w:val="1"/>
      <w:marLeft w:val="0"/>
      <w:marRight w:val="0"/>
      <w:marTop w:val="0"/>
      <w:marBottom w:val="0"/>
      <w:divBdr>
        <w:top w:val="none" w:sz="0" w:space="0" w:color="auto"/>
        <w:left w:val="none" w:sz="0" w:space="0" w:color="auto"/>
        <w:bottom w:val="none" w:sz="0" w:space="0" w:color="auto"/>
        <w:right w:val="none" w:sz="0" w:space="0" w:color="auto"/>
      </w:divBdr>
    </w:div>
    <w:div w:id="2022395613">
      <w:bodyDiv w:val="1"/>
      <w:marLeft w:val="0"/>
      <w:marRight w:val="0"/>
      <w:marTop w:val="0"/>
      <w:marBottom w:val="0"/>
      <w:divBdr>
        <w:top w:val="none" w:sz="0" w:space="0" w:color="auto"/>
        <w:left w:val="none" w:sz="0" w:space="0" w:color="auto"/>
        <w:bottom w:val="none" w:sz="0" w:space="0" w:color="auto"/>
        <w:right w:val="none" w:sz="0" w:space="0" w:color="auto"/>
      </w:divBdr>
    </w:div>
    <w:div w:id="2053532160">
      <w:bodyDiv w:val="1"/>
      <w:marLeft w:val="0"/>
      <w:marRight w:val="0"/>
      <w:marTop w:val="0"/>
      <w:marBottom w:val="0"/>
      <w:divBdr>
        <w:top w:val="none" w:sz="0" w:space="0" w:color="auto"/>
        <w:left w:val="none" w:sz="0" w:space="0" w:color="auto"/>
        <w:bottom w:val="none" w:sz="0" w:space="0" w:color="auto"/>
        <w:right w:val="none" w:sz="0" w:space="0" w:color="auto"/>
      </w:divBdr>
    </w:div>
    <w:div w:id="2082171193">
      <w:bodyDiv w:val="1"/>
      <w:marLeft w:val="0"/>
      <w:marRight w:val="0"/>
      <w:marTop w:val="0"/>
      <w:marBottom w:val="0"/>
      <w:divBdr>
        <w:top w:val="none" w:sz="0" w:space="0" w:color="auto"/>
        <w:left w:val="none" w:sz="0" w:space="0" w:color="auto"/>
        <w:bottom w:val="none" w:sz="0" w:space="0" w:color="auto"/>
        <w:right w:val="none" w:sz="0" w:space="0" w:color="auto"/>
      </w:divBdr>
    </w:div>
    <w:div w:id="2146316044">
      <w:bodyDiv w:val="1"/>
      <w:marLeft w:val="0"/>
      <w:marRight w:val="0"/>
      <w:marTop w:val="0"/>
      <w:marBottom w:val="0"/>
      <w:divBdr>
        <w:top w:val="none" w:sz="0" w:space="0" w:color="auto"/>
        <w:left w:val="none" w:sz="0" w:space="0" w:color="auto"/>
        <w:bottom w:val="none" w:sz="0" w:space="0" w:color="auto"/>
        <w:right w:val="none" w:sz="0" w:space="0" w:color="auto"/>
      </w:divBdr>
      <w:divsChild>
        <w:div w:id="343017552">
          <w:marLeft w:val="0"/>
          <w:marRight w:val="0"/>
          <w:marTop w:val="0"/>
          <w:marBottom w:val="0"/>
          <w:divBdr>
            <w:top w:val="none" w:sz="0" w:space="0" w:color="auto"/>
            <w:left w:val="none" w:sz="0" w:space="0" w:color="auto"/>
            <w:bottom w:val="none" w:sz="0" w:space="0" w:color="auto"/>
            <w:right w:val="none" w:sz="0" w:space="0" w:color="auto"/>
          </w:divBdr>
          <w:divsChild>
            <w:div w:id="7902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customXml" Target="../customXml/item3.xml"/><Relationship Id="rId21" Type="http://schemas.microsoft.com/office/2007/relationships/hdphoto" Target="media/hdphoto4.wdp"/><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0AA20-87DA-4F77-ADD3-6ACEF8C59EBC}">
  <ds:schemaRefs>
    <ds:schemaRef ds:uri="http://www.w3.org/XML/1998/namespace"/>
    <ds:schemaRef ds:uri="http://schemas.microsoft.com/office/2006/metadata/properties"/>
    <ds:schemaRef ds:uri="http://purl.org/dc/dcmitype/"/>
    <ds:schemaRef ds:uri="http://purl.org/dc/term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F46CE780-4B3E-4B22-8A6A-568565022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ED5A9DF-D5C5-41DE-BBE3-499386023F05}">
  <ds:schemaRefs>
    <ds:schemaRef ds:uri="http://schemas.microsoft.com/sharepoint/v3/contenttype/forms"/>
  </ds:schemaRefs>
</ds:datastoreItem>
</file>

<file path=customXml/itemProps4.xml><?xml version="1.0" encoding="utf-8"?>
<ds:datastoreItem xmlns:ds="http://schemas.openxmlformats.org/officeDocument/2006/customXml" ds:itemID="{13251906-AF9F-4C91-B63E-E84491A48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14067</Words>
  <Characters>80185</Characters>
  <Application>Microsoft Office Word</Application>
  <DocSecurity>0</DocSecurity>
  <Lines>668</Lines>
  <Paragraphs>188</Paragraphs>
  <ScaleCrop>false</ScaleCrop>
  <HeadingPairs>
    <vt:vector size="4" baseType="variant">
      <vt:variant>
        <vt:lpstr>Titel</vt:lpstr>
      </vt:variant>
      <vt:variant>
        <vt:i4>1</vt:i4>
      </vt:variant>
      <vt:variant>
        <vt:lpstr>Headings</vt:lpstr>
      </vt:variant>
      <vt:variant>
        <vt:i4>43</vt:i4>
      </vt:variant>
    </vt:vector>
  </HeadingPairs>
  <TitlesOfParts>
    <vt:vector size="44" baseType="lpstr">
      <vt:lpstr>Change-in-control Provision and Shareholder Value in the Dutch Market</vt:lpstr>
      <vt:lpstr>Foreword</vt:lpstr>
      <vt:lpstr>Executive summary</vt:lpstr>
      <vt:lpstr>Content</vt:lpstr>
      <vt:lpstr>Glossary</vt:lpstr>
      <vt:lpstr>Introduction</vt:lpstr>
      <vt:lpstr>Literature review</vt:lpstr>
      <vt:lpstr>Methodology</vt:lpstr>
      <vt:lpstr>    Orientation and scope</vt:lpstr>
      <vt:lpstr>    Data Collection</vt:lpstr>
      <vt:lpstr>    Data analysis (Theories)</vt:lpstr>
      <vt:lpstr>    Sampling</vt:lpstr>
      <vt:lpstr>    Definition</vt:lpstr>
      <vt:lpstr>    Limitations</vt:lpstr>
      <vt:lpstr>    Delimitations </vt:lpstr>
      <vt:lpstr>    Ethics</vt:lpstr>
      <vt:lpstr/>
      <vt:lpstr>Findings</vt:lpstr>
      <vt:lpstr>    </vt:lpstr>
      <vt:lpstr>    ABN AMRO Holding NV (2007)</vt:lpstr>
      <vt:lpstr>        Background</vt:lpstr>
      <vt:lpstr>        Sales process</vt:lpstr>
      <vt:lpstr>        Outcome</vt:lpstr>
      <vt:lpstr>        Hypothetical outcome</vt:lpstr>
      <vt:lpstr>        Conclusion</vt:lpstr>
      <vt:lpstr>    Numico NV (2007)</vt:lpstr>
      <vt:lpstr>        Background</vt:lpstr>
      <vt:lpstr>        Sales process</vt:lpstr>
      <vt:lpstr>        Outcome</vt:lpstr>
      <vt:lpstr>        Hypothetical outcome</vt:lpstr>
      <vt:lpstr>        Conclusion </vt:lpstr>
      <vt:lpstr>    Draka Holding NV (2011)</vt:lpstr>
      <vt:lpstr>        Background</vt:lpstr>
      <vt:lpstr>        Sales process</vt:lpstr>
      <vt:lpstr>        Outcome</vt:lpstr>
      <vt:lpstr>    </vt:lpstr>
      <vt:lpstr>    Crucell NV (2011) </vt:lpstr>
      <vt:lpstr>    DE Master Blenders 1753 NV (2013)</vt:lpstr>
      <vt:lpstr>Discussion and Conclusions</vt:lpstr>
      <vt:lpstr>Recommendations</vt:lpstr>
      <vt:lpstr>Bibliography</vt:lpstr>
      <vt:lpstr/>
      <vt:lpstr>Appendix</vt:lpstr>
      <vt:lpstr>        APPENDIX I: Timeline ABN AMRO VS RFS</vt:lpstr>
    </vt:vector>
  </TitlesOfParts>
  <Manager/>
  <Company>MSCI</Company>
  <LinksUpToDate>false</LinksUpToDate>
  <CharactersWithSpaces>94064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Change-in-control Provision and Shareholder Value in the Dutch Market</dc:title>
  <dc:subject>Corporate governance, remuneration, Shareholder value, Takeover</dc:subject>
  <dc:creator>Kuiper, Luuk</dc:creator>
  <cp:keywords>Corporate governance, remuneration, Shareholder value, Takeover</cp:keywords>
  <dc:description/>
  <cp:lastModifiedBy>Tjeerd Eissens</cp:lastModifiedBy>
  <cp:revision>2</cp:revision>
  <cp:lastPrinted>2015-08-18T11:54:00Z</cp:lastPrinted>
  <dcterms:created xsi:type="dcterms:W3CDTF">2015-09-18T08:06:00Z</dcterms:created>
  <dcterms:modified xsi:type="dcterms:W3CDTF">2015-09-18T08:06:00Z</dcterms:modified>
  <cp:category/>
</cp:coreProperties>
</file>