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8444876"/>
    <w:bookmarkStart w:id="1" w:name="_Hlk68444752"/>
    <w:p w14:paraId="66283D94" w14:textId="687594DB" w:rsidR="00203841" w:rsidRDefault="008122DE" w:rsidP="00D00913">
      <w:pPr>
        <w:rPr>
          <w:noProof/>
          <w:lang w:eastAsia="nl-NL"/>
        </w:rPr>
      </w:pPr>
      <w:r>
        <w:rPr>
          <w:noProof/>
          <w:lang w:eastAsia="nl-NL"/>
        </w:rPr>
        <mc:AlternateContent>
          <mc:Choice Requires="wps">
            <w:drawing>
              <wp:anchor distT="0" distB="0" distL="114300" distR="114300" simplePos="0" relativeHeight="251660288" behindDoc="0" locked="0" layoutInCell="1" allowOverlap="1" wp14:anchorId="794F3CAD" wp14:editId="4787F9F0">
                <wp:simplePos x="0" y="0"/>
                <wp:positionH relativeFrom="column">
                  <wp:posOffset>-664845</wp:posOffset>
                </wp:positionH>
                <wp:positionV relativeFrom="paragraph">
                  <wp:posOffset>-559858</wp:posOffset>
                </wp:positionV>
                <wp:extent cx="222271" cy="9719310"/>
                <wp:effectExtent l="0" t="0" r="0" b="0"/>
                <wp:wrapNone/>
                <wp:docPr id="34" name="Rechthoek 34"/>
                <wp:cNvGraphicFramePr/>
                <a:graphic xmlns:a="http://schemas.openxmlformats.org/drawingml/2006/main">
                  <a:graphicData uri="http://schemas.microsoft.com/office/word/2010/wordprocessingShape">
                    <wps:wsp>
                      <wps:cNvSpPr/>
                      <wps:spPr>
                        <a:xfrm>
                          <a:off x="0" y="0"/>
                          <a:ext cx="222271" cy="971931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DE21D5" id="Rechthoek 34" o:spid="_x0000_s1026" style="position:absolute;margin-left:-52.35pt;margin-top:-44.1pt;width:17.5pt;height:765.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" fillcolor="black [3213]" stroked="f" strokeweight="1pt"/>
            </w:pict>
          </mc:Fallback>
        </mc:AlternateContent>
      </w:r>
    </w:p>
    <w:p w14:paraId="30CF5638" w14:textId="62A31769" w:rsidR="00203841" w:rsidRDefault="00203841">
      <w:pPr>
        <w:rPr>
          <w:noProof/>
          <w:lang w:eastAsia="nl-NL"/>
        </w:rPr>
      </w:pPr>
    </w:p>
    <w:p w14:paraId="1D2B7B10" w14:textId="6B16E5AA" w:rsidR="00203841" w:rsidRDefault="008A5AB1">
      <w:r>
        <w:rPr>
          <w:noProof/>
          <w:lang w:eastAsia="nl-NL"/>
        </w:rPr>
        <w:drawing>
          <wp:anchor distT="0" distB="0" distL="114300" distR="114300" simplePos="0" relativeHeight="251658240" behindDoc="1" locked="0" layoutInCell="1" allowOverlap="1" wp14:anchorId="5B161299" wp14:editId="066438F1">
            <wp:simplePos x="0" y="0"/>
            <wp:positionH relativeFrom="margin">
              <wp:align>right</wp:align>
            </wp:positionH>
            <wp:positionV relativeFrom="paragraph">
              <wp:posOffset>21590</wp:posOffset>
            </wp:positionV>
            <wp:extent cx="4572000" cy="2491552"/>
            <wp:effectExtent l="19050" t="0" r="19050" b="728345"/>
            <wp:wrapNone/>
            <wp:docPr id="2" name="Afbeelding 2" descr="Studieverenigingen Hogeschool Utrecht aangesloten bij Privacy Ze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ieverenigingen Hogeschool Utrecht aangesloten bij Privacy Ze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49155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281CCAB0" w14:textId="6B8841B9" w:rsidR="00203841" w:rsidRDefault="00203841"/>
    <w:p w14:paraId="73988C6A" w14:textId="1E508F86" w:rsidR="00203841" w:rsidRDefault="00203841"/>
    <w:p w14:paraId="3E4FAD7A" w14:textId="17A86974" w:rsidR="00203841" w:rsidRDefault="00203841"/>
    <w:p w14:paraId="11BEFB9D" w14:textId="540F798A" w:rsidR="00D01706" w:rsidRDefault="00D01706"/>
    <w:p w14:paraId="66C764CA" w14:textId="77777777" w:rsidR="00203841" w:rsidRDefault="00203841"/>
    <w:p w14:paraId="0A72806A" w14:textId="4FE40BA5" w:rsidR="00203841" w:rsidRPr="00C511B2" w:rsidRDefault="00203841">
      <w:pPr>
        <w:rPr>
          <w:sz w:val="24"/>
          <w:szCs w:val="24"/>
        </w:rPr>
      </w:pPr>
    </w:p>
    <w:p w14:paraId="4E54385C" w14:textId="5F9F5A5A" w:rsidR="00C511B2" w:rsidRDefault="00C511B2">
      <w:pPr>
        <w:rPr>
          <w:sz w:val="24"/>
          <w:szCs w:val="24"/>
        </w:rPr>
      </w:pPr>
    </w:p>
    <w:p w14:paraId="7F5A1E09" w14:textId="77777777" w:rsidR="00F06783" w:rsidRPr="00C511B2" w:rsidRDefault="00F06783">
      <w:pPr>
        <w:rPr>
          <w:sz w:val="24"/>
          <w:szCs w:val="24"/>
        </w:rPr>
      </w:pPr>
    </w:p>
    <w:p w14:paraId="07AC5CDB" w14:textId="23E87D40" w:rsidR="0017054C" w:rsidRPr="00C511B2" w:rsidRDefault="0017054C" w:rsidP="00CA7490">
      <w:pPr>
        <w:pStyle w:val="Geenafstand"/>
        <w:jc w:val="right"/>
        <w:rPr>
          <w:sz w:val="24"/>
          <w:szCs w:val="24"/>
        </w:rPr>
      </w:pPr>
    </w:p>
    <w:p w14:paraId="4EA7C16E" w14:textId="476AA36A" w:rsidR="00955D83" w:rsidRPr="001A7046" w:rsidRDefault="00245B89" w:rsidP="00955D83">
      <w:pPr>
        <w:pStyle w:val="Geenafstand"/>
        <w:jc w:val="right"/>
        <w:rPr>
          <w:rFonts w:ascii="Verdana" w:hAnsi="Verdana"/>
          <w:b/>
          <w:bCs/>
          <w:sz w:val="28"/>
          <w:szCs w:val="28"/>
        </w:rPr>
      </w:pPr>
      <w:r w:rsidRPr="001A7046">
        <w:rPr>
          <w:rFonts w:ascii="Verdana" w:hAnsi="Verdana"/>
          <w:b/>
          <w:bCs/>
          <w:sz w:val="28"/>
          <w:szCs w:val="28"/>
        </w:rPr>
        <w:t xml:space="preserve">De verregaande bescherming van de consument </w:t>
      </w:r>
    </w:p>
    <w:p w14:paraId="157FB400" w14:textId="305806BC" w:rsidR="00203841" w:rsidRDefault="00203841" w:rsidP="00CA7490">
      <w:pPr>
        <w:pStyle w:val="Geenafstand"/>
        <w:ind w:left="-142" w:hanging="141"/>
        <w:jc w:val="right"/>
        <w:rPr>
          <w:rFonts w:ascii="Verdana" w:hAnsi="Verdana" w:cs="Arial"/>
          <w:i/>
          <w:sz w:val="24"/>
          <w:szCs w:val="24"/>
        </w:rPr>
      </w:pPr>
      <w:r w:rsidRPr="00C511B2">
        <w:rPr>
          <w:rFonts w:ascii="Verdana" w:hAnsi="Verdana" w:cs="Arial"/>
          <w:i/>
          <w:sz w:val="24"/>
          <w:szCs w:val="24"/>
        </w:rPr>
        <w:t xml:space="preserve">Een </w:t>
      </w:r>
      <w:r w:rsidR="00B77A13" w:rsidRPr="00C511B2">
        <w:rPr>
          <w:rFonts w:ascii="Verdana" w:hAnsi="Verdana" w:cs="Arial"/>
          <w:i/>
          <w:sz w:val="24"/>
          <w:szCs w:val="24"/>
        </w:rPr>
        <w:t>praktijkgericht</w:t>
      </w:r>
      <w:r w:rsidRPr="00C511B2">
        <w:rPr>
          <w:rFonts w:ascii="Verdana" w:hAnsi="Verdana" w:cs="Arial"/>
          <w:i/>
          <w:sz w:val="24"/>
          <w:szCs w:val="24"/>
        </w:rPr>
        <w:t xml:space="preserve"> onderzoek </w:t>
      </w:r>
      <w:r w:rsidR="0041752B" w:rsidRPr="00C511B2">
        <w:rPr>
          <w:rFonts w:ascii="Verdana" w:hAnsi="Verdana" w:cs="Arial"/>
          <w:i/>
          <w:sz w:val="24"/>
          <w:szCs w:val="24"/>
        </w:rPr>
        <w:t xml:space="preserve">binnen </w:t>
      </w:r>
      <w:r w:rsidR="00DC68A1">
        <w:rPr>
          <w:rFonts w:ascii="Verdana" w:hAnsi="Verdana" w:cs="Arial"/>
          <w:i/>
          <w:sz w:val="24"/>
          <w:szCs w:val="24"/>
        </w:rPr>
        <w:t>XXXX</w:t>
      </w:r>
      <w:r w:rsidR="0041752B" w:rsidRPr="00C511B2">
        <w:rPr>
          <w:rFonts w:ascii="Verdana" w:hAnsi="Verdana" w:cs="Arial"/>
          <w:i/>
          <w:sz w:val="24"/>
          <w:szCs w:val="24"/>
        </w:rPr>
        <w:t xml:space="preserve"> </w:t>
      </w:r>
      <w:r w:rsidRPr="00C511B2">
        <w:rPr>
          <w:rFonts w:ascii="Verdana" w:hAnsi="Verdana" w:cs="Arial"/>
          <w:i/>
          <w:sz w:val="24"/>
          <w:szCs w:val="24"/>
        </w:rPr>
        <w:t xml:space="preserve">naar </w:t>
      </w:r>
      <w:r w:rsidR="00DC68A1">
        <w:rPr>
          <w:rFonts w:ascii="Verdana" w:hAnsi="Verdana" w:cs="Arial"/>
          <w:i/>
          <w:sz w:val="24"/>
          <w:szCs w:val="24"/>
        </w:rPr>
        <w:t xml:space="preserve">het </w:t>
      </w:r>
      <w:r w:rsidR="00AD7989" w:rsidRPr="00C511B2">
        <w:rPr>
          <w:rFonts w:ascii="Verdana" w:hAnsi="Verdana" w:cs="Arial"/>
          <w:i/>
          <w:sz w:val="24"/>
          <w:szCs w:val="24"/>
        </w:rPr>
        <w:t xml:space="preserve">toepassingsvereiste van de conformiteitseis </w:t>
      </w:r>
      <w:r w:rsidR="00163DA0" w:rsidRPr="00C511B2">
        <w:rPr>
          <w:rFonts w:ascii="Verdana" w:hAnsi="Verdana" w:cs="Arial"/>
          <w:i/>
          <w:sz w:val="24"/>
          <w:szCs w:val="24"/>
        </w:rPr>
        <w:t xml:space="preserve">en </w:t>
      </w:r>
      <w:r w:rsidR="00FD5FC4" w:rsidRPr="00C511B2">
        <w:rPr>
          <w:rFonts w:ascii="Verdana" w:hAnsi="Verdana" w:cs="Arial"/>
          <w:i/>
          <w:sz w:val="24"/>
          <w:szCs w:val="24"/>
        </w:rPr>
        <w:t>rechten</w:t>
      </w:r>
      <w:r w:rsidR="00163DA0" w:rsidRPr="00C511B2">
        <w:rPr>
          <w:rFonts w:ascii="Verdana" w:hAnsi="Verdana" w:cs="Arial"/>
          <w:i/>
          <w:sz w:val="24"/>
          <w:szCs w:val="24"/>
        </w:rPr>
        <w:t xml:space="preserve"> </w:t>
      </w:r>
      <w:r w:rsidRPr="00C511B2">
        <w:rPr>
          <w:rFonts w:ascii="Verdana" w:hAnsi="Verdana" w:cs="Arial"/>
          <w:i/>
          <w:sz w:val="24"/>
          <w:szCs w:val="24"/>
        </w:rPr>
        <w:t xml:space="preserve">bij consumentenkoop volgens het huidige </w:t>
      </w:r>
      <w:r w:rsidR="0017054C" w:rsidRPr="00C511B2">
        <w:rPr>
          <w:rFonts w:ascii="Verdana" w:hAnsi="Verdana" w:cs="Arial"/>
          <w:i/>
          <w:sz w:val="24"/>
          <w:szCs w:val="24"/>
        </w:rPr>
        <w:t xml:space="preserve">recht </w:t>
      </w:r>
      <w:r w:rsidR="00C95306" w:rsidRPr="00C511B2">
        <w:rPr>
          <w:rFonts w:ascii="Verdana" w:hAnsi="Verdana" w:cs="Arial"/>
          <w:i/>
          <w:sz w:val="24"/>
          <w:szCs w:val="24"/>
        </w:rPr>
        <w:t>en de aankomende implementatie van</w:t>
      </w:r>
      <w:r w:rsidRPr="00C511B2">
        <w:rPr>
          <w:rFonts w:ascii="Verdana" w:hAnsi="Verdana" w:cs="Arial"/>
          <w:i/>
          <w:sz w:val="24"/>
          <w:szCs w:val="24"/>
        </w:rPr>
        <w:t xml:space="preserve"> Richtlijn 2019/771</w:t>
      </w:r>
      <w:r w:rsidR="008A5AB1" w:rsidRPr="00C511B2">
        <w:rPr>
          <w:rFonts w:ascii="Verdana" w:hAnsi="Verdana" w:cs="Arial"/>
          <w:i/>
          <w:sz w:val="24"/>
          <w:szCs w:val="24"/>
        </w:rPr>
        <w:t>.</w:t>
      </w:r>
      <w:r w:rsidR="0017054C" w:rsidRPr="00C511B2">
        <w:rPr>
          <w:rFonts w:ascii="Verdana" w:hAnsi="Verdana" w:cs="Arial"/>
          <w:i/>
          <w:sz w:val="24"/>
          <w:szCs w:val="24"/>
        </w:rPr>
        <w:t xml:space="preserve"> </w:t>
      </w:r>
    </w:p>
    <w:p w14:paraId="19104A17" w14:textId="77777777" w:rsidR="00955D83" w:rsidRPr="00C511B2" w:rsidRDefault="00955D83" w:rsidP="00CA7490">
      <w:pPr>
        <w:pStyle w:val="Geenafstand"/>
        <w:ind w:left="-142" w:hanging="141"/>
        <w:jc w:val="right"/>
        <w:rPr>
          <w:rFonts w:ascii="Verdana" w:hAnsi="Verdana"/>
          <w:b/>
          <w:bCs/>
          <w:sz w:val="24"/>
          <w:szCs w:val="24"/>
        </w:rPr>
      </w:pPr>
    </w:p>
    <w:p w14:paraId="5F291A8C" w14:textId="11894B80" w:rsidR="00203841" w:rsidRPr="00C511B2" w:rsidRDefault="00203841" w:rsidP="00CA7490">
      <w:pPr>
        <w:spacing w:line="240" w:lineRule="auto"/>
        <w:jc w:val="right"/>
        <w:rPr>
          <w:i/>
          <w:sz w:val="36"/>
          <w:szCs w:val="24"/>
        </w:rPr>
      </w:pPr>
    </w:p>
    <w:p w14:paraId="752E9839" w14:textId="1792CC0E" w:rsidR="00282475" w:rsidRDefault="00282475" w:rsidP="00203841">
      <w:pPr>
        <w:jc w:val="right"/>
        <w:rPr>
          <w:i/>
          <w:sz w:val="32"/>
        </w:rPr>
      </w:pPr>
    </w:p>
    <w:p w14:paraId="72BA032D" w14:textId="77777777" w:rsidR="00203841" w:rsidRPr="00282475" w:rsidRDefault="00203841" w:rsidP="00426634">
      <w:pPr>
        <w:rPr>
          <w:i/>
          <w:sz w:val="32"/>
          <w:u w:val="single"/>
        </w:rPr>
      </w:pPr>
    </w:p>
    <w:p w14:paraId="6518D94B" w14:textId="739FC142" w:rsidR="00C02FD3" w:rsidRDefault="00C02FD3" w:rsidP="00E3460B">
      <w:pPr>
        <w:pStyle w:val="Geenafstand"/>
        <w:jc w:val="right"/>
        <w:rPr>
          <w:sz w:val="28"/>
          <w:szCs w:val="28"/>
        </w:rPr>
      </w:pPr>
    </w:p>
    <w:p w14:paraId="6902CF30" w14:textId="7E80F0C6" w:rsidR="00E3460B" w:rsidRDefault="00E3460B" w:rsidP="00E3460B">
      <w:pPr>
        <w:pStyle w:val="Geenafstand"/>
        <w:jc w:val="right"/>
        <w:rPr>
          <w:sz w:val="28"/>
          <w:szCs w:val="28"/>
        </w:rPr>
      </w:pPr>
    </w:p>
    <w:p w14:paraId="6D9F4B69" w14:textId="131CDCA1" w:rsidR="00E3460B" w:rsidRDefault="00E3460B" w:rsidP="00E3460B">
      <w:pPr>
        <w:pStyle w:val="Geenafstand"/>
        <w:jc w:val="right"/>
        <w:rPr>
          <w:sz w:val="28"/>
          <w:szCs w:val="28"/>
        </w:rPr>
      </w:pPr>
    </w:p>
    <w:p w14:paraId="5548CC1A" w14:textId="1293F218" w:rsidR="00E3460B" w:rsidRPr="00E3460B" w:rsidRDefault="00E3460B" w:rsidP="00E3460B">
      <w:pPr>
        <w:pStyle w:val="Geenafstand"/>
        <w:jc w:val="right"/>
        <w:rPr>
          <w:sz w:val="28"/>
          <w:szCs w:val="28"/>
        </w:rPr>
      </w:pPr>
    </w:p>
    <w:p w14:paraId="5DBA7391" w14:textId="23423CA5" w:rsidR="008F6451" w:rsidRPr="007B62A8" w:rsidRDefault="00551DA4" w:rsidP="008F6451">
      <w:pPr>
        <w:pStyle w:val="Geenafstand"/>
        <w:jc w:val="right"/>
        <w:rPr>
          <w:rFonts w:ascii="Verdana" w:hAnsi="Verdana"/>
          <w:b/>
          <w:sz w:val="24"/>
          <w:szCs w:val="24"/>
        </w:rPr>
      </w:pPr>
      <w:r w:rsidRPr="007B62A8">
        <w:rPr>
          <w:rFonts w:ascii="Verdana" w:hAnsi="Verdana"/>
          <w:b/>
          <w:sz w:val="24"/>
          <w:szCs w:val="24"/>
        </w:rPr>
        <w:t>Advie</w:t>
      </w:r>
      <w:r w:rsidR="009E56D7" w:rsidRPr="007B62A8">
        <w:rPr>
          <w:rFonts w:ascii="Verdana" w:hAnsi="Verdana"/>
          <w:b/>
          <w:sz w:val="24"/>
          <w:szCs w:val="24"/>
        </w:rPr>
        <w:t>srapport</w:t>
      </w:r>
    </w:p>
    <w:p w14:paraId="2AF3DFFC" w14:textId="67094AA2" w:rsidR="00203841" w:rsidRPr="007B62A8" w:rsidRDefault="00FD5FC4" w:rsidP="00E3460B">
      <w:pPr>
        <w:pStyle w:val="Geenafstand"/>
        <w:jc w:val="right"/>
        <w:rPr>
          <w:rFonts w:ascii="Verdana" w:hAnsi="Verdana"/>
          <w:sz w:val="24"/>
          <w:szCs w:val="24"/>
        </w:rPr>
      </w:pPr>
      <w:r w:rsidRPr="007B62A8">
        <w:rPr>
          <w:rFonts w:ascii="Verdana" w:hAnsi="Verdana"/>
          <w:sz w:val="24"/>
          <w:szCs w:val="24"/>
        </w:rPr>
        <w:t>Student</w:t>
      </w:r>
      <w:r w:rsidR="00203841" w:rsidRPr="007B62A8">
        <w:rPr>
          <w:rFonts w:ascii="Verdana" w:hAnsi="Verdana"/>
          <w:sz w:val="24"/>
          <w:szCs w:val="24"/>
        </w:rPr>
        <w:t>: mw.  M.I. (Margo) van der Tuuk</w:t>
      </w:r>
    </w:p>
    <w:p w14:paraId="68E4A361" w14:textId="6F53E41B" w:rsidR="00DD2D33" w:rsidRPr="007B62A8" w:rsidRDefault="00DD2D33" w:rsidP="00E3460B">
      <w:pPr>
        <w:pStyle w:val="Geenafstand"/>
        <w:jc w:val="right"/>
        <w:rPr>
          <w:rFonts w:ascii="Verdana" w:hAnsi="Verdana"/>
          <w:sz w:val="24"/>
          <w:szCs w:val="24"/>
        </w:rPr>
      </w:pPr>
      <w:r w:rsidRPr="007B62A8">
        <w:rPr>
          <w:rFonts w:ascii="Verdana" w:hAnsi="Verdana"/>
          <w:sz w:val="24"/>
          <w:szCs w:val="24"/>
        </w:rPr>
        <w:t>Studentnummer:</w:t>
      </w:r>
      <w:r w:rsidRPr="000C446C">
        <w:rPr>
          <w:rFonts w:ascii="Verdana" w:hAnsi="Verdana"/>
          <w:b/>
          <w:bCs/>
          <w:sz w:val="24"/>
          <w:szCs w:val="24"/>
        </w:rPr>
        <w:t xml:space="preserve"> </w:t>
      </w:r>
      <w:r w:rsidR="000C446C" w:rsidRPr="000C446C">
        <w:rPr>
          <w:rFonts w:ascii="Verdana" w:hAnsi="Verdana"/>
          <w:b/>
          <w:bCs/>
          <w:sz w:val="24"/>
          <w:szCs w:val="24"/>
        </w:rPr>
        <w:t>XXX</w:t>
      </w:r>
    </w:p>
    <w:p w14:paraId="1E048CDE" w14:textId="19182F08" w:rsidR="00300956" w:rsidRPr="007B62A8" w:rsidRDefault="00300956" w:rsidP="00E3460B">
      <w:pPr>
        <w:pStyle w:val="Geenafstand"/>
        <w:jc w:val="right"/>
        <w:rPr>
          <w:rFonts w:ascii="Verdana" w:hAnsi="Verdana"/>
          <w:sz w:val="24"/>
          <w:szCs w:val="24"/>
        </w:rPr>
      </w:pPr>
      <w:r w:rsidRPr="007B62A8">
        <w:rPr>
          <w:rFonts w:ascii="Verdana" w:hAnsi="Verdana"/>
          <w:sz w:val="24"/>
          <w:szCs w:val="24"/>
        </w:rPr>
        <w:t>Cursus: Afstuderen 2020-2021</w:t>
      </w:r>
    </w:p>
    <w:p w14:paraId="60595AD3" w14:textId="27CD4399" w:rsidR="00300956" w:rsidRPr="007B62A8" w:rsidRDefault="00300956" w:rsidP="00E3460B">
      <w:pPr>
        <w:pStyle w:val="Geenafstand"/>
        <w:jc w:val="right"/>
        <w:rPr>
          <w:rFonts w:ascii="Verdana" w:hAnsi="Verdana"/>
          <w:sz w:val="24"/>
          <w:szCs w:val="24"/>
        </w:rPr>
      </w:pPr>
      <w:r w:rsidRPr="007B62A8">
        <w:rPr>
          <w:rFonts w:ascii="Verdana" w:hAnsi="Verdana"/>
          <w:sz w:val="24"/>
          <w:szCs w:val="24"/>
        </w:rPr>
        <w:t>Cursuscode: ADR-HBR-V401-20</w:t>
      </w:r>
    </w:p>
    <w:p w14:paraId="265CC277" w14:textId="4DBCB6A5" w:rsidR="00203841" w:rsidRPr="007B62A8" w:rsidRDefault="00203841" w:rsidP="00E3460B">
      <w:pPr>
        <w:pStyle w:val="Geenafstand"/>
        <w:jc w:val="right"/>
        <w:rPr>
          <w:rFonts w:ascii="Verdana" w:hAnsi="Verdana"/>
          <w:sz w:val="24"/>
          <w:szCs w:val="24"/>
        </w:rPr>
      </w:pPr>
      <w:r w:rsidRPr="007B62A8">
        <w:rPr>
          <w:rFonts w:ascii="Verdana" w:hAnsi="Verdana"/>
          <w:sz w:val="24"/>
          <w:szCs w:val="24"/>
        </w:rPr>
        <w:t xml:space="preserve">Begeleider: </w:t>
      </w:r>
      <w:r w:rsidR="000C446C" w:rsidRPr="000C446C">
        <w:rPr>
          <w:rFonts w:ascii="Verdana" w:hAnsi="Verdana"/>
          <w:b/>
          <w:bCs/>
          <w:sz w:val="24"/>
          <w:szCs w:val="24"/>
        </w:rPr>
        <w:t>XXX</w:t>
      </w:r>
    </w:p>
    <w:p w14:paraId="4803296D" w14:textId="59A5E26F" w:rsidR="00426634" w:rsidRPr="007B62A8" w:rsidRDefault="00426634" w:rsidP="00E3460B">
      <w:pPr>
        <w:pStyle w:val="Geenafstand"/>
        <w:jc w:val="right"/>
        <w:rPr>
          <w:rFonts w:ascii="Verdana" w:hAnsi="Verdana"/>
          <w:sz w:val="24"/>
          <w:szCs w:val="24"/>
        </w:rPr>
      </w:pPr>
      <w:r w:rsidRPr="007B62A8">
        <w:rPr>
          <w:rFonts w:ascii="Verdana" w:hAnsi="Verdana"/>
          <w:sz w:val="24"/>
          <w:szCs w:val="24"/>
        </w:rPr>
        <w:t xml:space="preserve">Opdrachtgever: </w:t>
      </w:r>
      <w:r w:rsidR="00DC68A1" w:rsidRPr="000C446C">
        <w:rPr>
          <w:rFonts w:ascii="Verdana" w:hAnsi="Verdana"/>
          <w:b/>
          <w:bCs/>
          <w:sz w:val="24"/>
          <w:szCs w:val="24"/>
        </w:rPr>
        <w:t>XXX</w:t>
      </w:r>
    </w:p>
    <w:p w14:paraId="04537561" w14:textId="332CE989" w:rsidR="00300956" w:rsidRPr="007B62A8" w:rsidRDefault="00DD2D33" w:rsidP="00E3460B">
      <w:pPr>
        <w:pStyle w:val="Geenafstand"/>
        <w:jc w:val="right"/>
        <w:rPr>
          <w:rFonts w:ascii="Verdana" w:hAnsi="Verdana"/>
          <w:sz w:val="24"/>
          <w:szCs w:val="24"/>
        </w:rPr>
      </w:pPr>
      <w:r w:rsidRPr="007B62A8">
        <w:rPr>
          <w:rFonts w:ascii="Verdana" w:hAnsi="Verdana"/>
          <w:sz w:val="24"/>
          <w:szCs w:val="24"/>
        </w:rPr>
        <w:t xml:space="preserve">Datum: </w:t>
      </w:r>
      <w:r w:rsidR="009E56D7" w:rsidRPr="007B62A8">
        <w:rPr>
          <w:rFonts w:ascii="Verdana" w:hAnsi="Verdana"/>
          <w:sz w:val="24"/>
          <w:szCs w:val="24"/>
        </w:rPr>
        <w:t>2</w:t>
      </w:r>
      <w:r w:rsidR="00567F09" w:rsidRPr="007B62A8">
        <w:rPr>
          <w:rFonts w:ascii="Verdana" w:hAnsi="Verdana"/>
          <w:sz w:val="24"/>
          <w:szCs w:val="24"/>
        </w:rPr>
        <w:t>2</w:t>
      </w:r>
      <w:r w:rsidR="009E56D7" w:rsidRPr="007B62A8">
        <w:rPr>
          <w:rFonts w:ascii="Verdana" w:hAnsi="Verdana"/>
          <w:sz w:val="24"/>
          <w:szCs w:val="24"/>
        </w:rPr>
        <w:t xml:space="preserve"> mei 2021</w:t>
      </w:r>
    </w:p>
    <w:p w14:paraId="14DC0CD5" w14:textId="29752729" w:rsidR="00570FBA" w:rsidRPr="007B62A8" w:rsidRDefault="003D0730" w:rsidP="00E3460B">
      <w:pPr>
        <w:pStyle w:val="Geenafstand"/>
        <w:jc w:val="right"/>
        <w:rPr>
          <w:rFonts w:ascii="Verdana" w:hAnsi="Verdana"/>
          <w:sz w:val="24"/>
          <w:szCs w:val="24"/>
        </w:rPr>
      </w:pPr>
      <w:r w:rsidRPr="007B62A8">
        <w:rPr>
          <w:rFonts w:ascii="Verdana" w:hAnsi="Verdana"/>
          <w:sz w:val="24"/>
          <w:szCs w:val="24"/>
        </w:rPr>
        <w:t>Toetskans</w:t>
      </w:r>
      <w:r w:rsidR="00643BA6" w:rsidRPr="007B62A8">
        <w:rPr>
          <w:rFonts w:ascii="Verdana" w:hAnsi="Verdana"/>
          <w:sz w:val="24"/>
          <w:szCs w:val="24"/>
        </w:rPr>
        <w:t>: 1</w:t>
      </w:r>
    </w:p>
    <w:p w14:paraId="5F710A92" w14:textId="38E88235" w:rsidR="00643BA6" w:rsidRPr="007B62A8" w:rsidRDefault="00643BA6" w:rsidP="00E3460B">
      <w:pPr>
        <w:pStyle w:val="Geenafstand"/>
        <w:jc w:val="right"/>
        <w:rPr>
          <w:rFonts w:ascii="Verdana" w:hAnsi="Verdana"/>
          <w:sz w:val="24"/>
          <w:szCs w:val="24"/>
        </w:rPr>
      </w:pPr>
      <w:r w:rsidRPr="007B62A8">
        <w:rPr>
          <w:rFonts w:ascii="Verdana" w:hAnsi="Verdana"/>
          <w:sz w:val="24"/>
          <w:szCs w:val="24"/>
        </w:rPr>
        <w:t>Versie: 1/1</w:t>
      </w:r>
    </w:p>
    <w:p w14:paraId="648D19DC" w14:textId="1425E6D7" w:rsidR="00FF087F" w:rsidRPr="00E3460B" w:rsidRDefault="00FF087F" w:rsidP="00300956">
      <w:pPr>
        <w:jc w:val="right"/>
        <w:rPr>
          <w:sz w:val="28"/>
          <w:szCs w:val="28"/>
        </w:rPr>
      </w:pPr>
    </w:p>
    <w:bookmarkEnd w:id="0"/>
    <w:p w14:paraId="0D157863" w14:textId="03AF9847" w:rsidR="00FF087F" w:rsidRDefault="00FF087F" w:rsidP="00300956">
      <w:pPr>
        <w:jc w:val="right"/>
      </w:pPr>
    </w:p>
    <w:bookmarkEnd w:id="1"/>
    <w:p w14:paraId="1DCDFD57" w14:textId="5240F1E0" w:rsidR="00245B89" w:rsidRPr="00C841AC" w:rsidRDefault="00245B89" w:rsidP="00596847"/>
    <w:p w14:paraId="5B3ADE15" w14:textId="77777777" w:rsidR="009E56D7" w:rsidRDefault="009E56D7" w:rsidP="00570FBA">
      <w:pPr>
        <w:jc w:val="right"/>
        <w:rPr>
          <w:sz w:val="24"/>
          <w:szCs w:val="18"/>
        </w:rPr>
      </w:pPr>
    </w:p>
    <w:p w14:paraId="415818E6" w14:textId="15E64592" w:rsidR="009E56D7" w:rsidRPr="009E56D7" w:rsidRDefault="009E56D7" w:rsidP="009E56D7">
      <w:pPr>
        <w:rPr>
          <w:b/>
          <w:sz w:val="24"/>
          <w:szCs w:val="18"/>
        </w:rPr>
      </w:pPr>
      <w:r w:rsidRPr="00034213">
        <w:rPr>
          <w:b/>
          <w:szCs w:val="14"/>
        </w:rPr>
        <w:lastRenderedPageBreak/>
        <w:t xml:space="preserve">Voorwoord </w:t>
      </w:r>
      <w:r w:rsidRPr="00034213">
        <w:rPr>
          <w:b/>
          <w:szCs w:val="14"/>
        </w:rPr>
        <w:tab/>
      </w:r>
      <w:r w:rsidRPr="00034213">
        <w:rPr>
          <w:b/>
          <w:szCs w:val="14"/>
        </w:rPr>
        <w:tab/>
      </w:r>
      <w:r w:rsidRPr="009E56D7">
        <w:rPr>
          <w:b/>
          <w:sz w:val="24"/>
          <w:szCs w:val="18"/>
        </w:rPr>
        <w:tab/>
      </w:r>
    </w:p>
    <w:p w14:paraId="6D76FD10" w14:textId="07D00C87" w:rsidR="00F452DA" w:rsidRPr="00F3528C" w:rsidRDefault="002928A4" w:rsidP="004D2465">
      <w:pPr>
        <w:pStyle w:val="Geenafstand"/>
        <w:rPr>
          <w:rFonts w:ascii="Verdana" w:hAnsi="Verdana"/>
          <w:sz w:val="20"/>
          <w:szCs w:val="20"/>
        </w:rPr>
      </w:pPr>
      <w:r w:rsidRPr="00F3528C">
        <w:rPr>
          <w:rFonts w:ascii="Verdana" w:hAnsi="Verdana"/>
          <w:sz w:val="20"/>
          <w:szCs w:val="20"/>
        </w:rPr>
        <w:t xml:space="preserve">“Margo heeft een TIQ van 55”, zo volgt uit een rapportage van Jeugdzorg. Toen nog niet wetende dat ik tien jaar later de rechtenopleiding aan de Hogeschool Utrecht </w:t>
      </w:r>
      <w:r w:rsidR="00F3528C">
        <w:rPr>
          <w:rFonts w:ascii="Verdana" w:hAnsi="Verdana"/>
          <w:sz w:val="20"/>
          <w:szCs w:val="20"/>
        </w:rPr>
        <w:t>zou afronden</w:t>
      </w:r>
      <w:r w:rsidRPr="00F3528C">
        <w:rPr>
          <w:rFonts w:ascii="Verdana" w:hAnsi="Verdana"/>
          <w:sz w:val="20"/>
          <w:szCs w:val="20"/>
        </w:rPr>
        <w:t>.</w:t>
      </w:r>
      <w:r w:rsidR="002F78E9" w:rsidRPr="00F3528C">
        <w:rPr>
          <w:rFonts w:ascii="Verdana" w:hAnsi="Verdana"/>
          <w:sz w:val="20"/>
          <w:szCs w:val="20"/>
        </w:rPr>
        <w:t xml:space="preserve"> </w:t>
      </w:r>
      <w:r w:rsidR="003F2C73" w:rsidRPr="00F3528C">
        <w:rPr>
          <w:rFonts w:ascii="Verdana" w:hAnsi="Verdana"/>
          <w:sz w:val="20"/>
          <w:szCs w:val="20"/>
        </w:rPr>
        <w:t xml:space="preserve">Met veel plezier heb ik de afgelopen maanden dan ook gewerkt aan het sluitstuk van de opleiding; de scriptie. </w:t>
      </w:r>
      <w:r w:rsidR="00F452DA" w:rsidRPr="00F3528C">
        <w:rPr>
          <w:rFonts w:ascii="Verdana" w:hAnsi="Verdana"/>
          <w:sz w:val="20"/>
          <w:szCs w:val="20"/>
        </w:rPr>
        <w:t>Het afstuderen is een leerzaam proces geweest</w:t>
      </w:r>
      <w:r w:rsidR="00122FD0">
        <w:rPr>
          <w:rFonts w:ascii="Verdana" w:hAnsi="Verdana"/>
          <w:sz w:val="20"/>
          <w:szCs w:val="20"/>
        </w:rPr>
        <w:t xml:space="preserve">, </w:t>
      </w:r>
      <w:r w:rsidR="00F452DA" w:rsidRPr="00F3528C">
        <w:rPr>
          <w:rFonts w:ascii="Verdana" w:hAnsi="Verdana"/>
          <w:sz w:val="20"/>
          <w:szCs w:val="20"/>
        </w:rPr>
        <w:t xml:space="preserve">waarbij ik alle </w:t>
      </w:r>
      <w:r w:rsidR="005A054B" w:rsidRPr="00F3528C">
        <w:rPr>
          <w:rFonts w:ascii="Verdana" w:hAnsi="Verdana"/>
          <w:sz w:val="20"/>
          <w:szCs w:val="20"/>
        </w:rPr>
        <w:t xml:space="preserve">opgedane </w:t>
      </w:r>
      <w:r w:rsidR="00F452DA" w:rsidRPr="00F3528C">
        <w:rPr>
          <w:rFonts w:ascii="Verdana" w:hAnsi="Verdana"/>
          <w:sz w:val="20"/>
          <w:szCs w:val="20"/>
        </w:rPr>
        <w:t>kennis</w:t>
      </w:r>
      <w:r w:rsidR="005A054B" w:rsidRPr="00F3528C">
        <w:rPr>
          <w:rFonts w:ascii="Verdana" w:hAnsi="Verdana"/>
          <w:sz w:val="20"/>
          <w:szCs w:val="20"/>
        </w:rPr>
        <w:t xml:space="preserve"> en vaardigheden</w:t>
      </w:r>
      <w:r w:rsidR="00F452DA" w:rsidRPr="00F3528C">
        <w:rPr>
          <w:rFonts w:ascii="Verdana" w:hAnsi="Verdana"/>
          <w:sz w:val="20"/>
          <w:szCs w:val="20"/>
        </w:rPr>
        <w:t xml:space="preserve"> van de studie heb kunnen toepassen in mijn scriptie.</w:t>
      </w:r>
    </w:p>
    <w:p w14:paraId="69222CA8" w14:textId="77777777" w:rsidR="004D2465" w:rsidRPr="00F3528C" w:rsidRDefault="004D2465" w:rsidP="004D2465">
      <w:pPr>
        <w:pStyle w:val="Geenafstand"/>
        <w:rPr>
          <w:rFonts w:ascii="Verdana" w:hAnsi="Verdana"/>
          <w:sz w:val="20"/>
          <w:szCs w:val="20"/>
        </w:rPr>
      </w:pPr>
    </w:p>
    <w:p w14:paraId="25AC588F" w14:textId="6E1A1A1E" w:rsidR="00B87A8B" w:rsidRPr="00F3528C" w:rsidRDefault="00B87A8B" w:rsidP="004D2465">
      <w:pPr>
        <w:pStyle w:val="Geenafstand"/>
        <w:rPr>
          <w:rFonts w:ascii="Verdana" w:hAnsi="Verdana"/>
          <w:sz w:val="20"/>
          <w:szCs w:val="20"/>
        </w:rPr>
      </w:pPr>
      <w:r w:rsidRPr="00F3528C">
        <w:rPr>
          <w:rFonts w:ascii="Verdana" w:hAnsi="Verdana"/>
          <w:sz w:val="20"/>
          <w:szCs w:val="20"/>
        </w:rPr>
        <w:t>Ik heb onderzoek gedaan binnen één van mijn favoriete rechtsgebieden: het consumentenrecht. Binnen het consumentenrecht is er een nieuwe richtlijn aangenomen, welke de huidige kooptitel zal veranderen.</w:t>
      </w:r>
      <w:r w:rsidR="00CA1173" w:rsidRPr="00F3528C">
        <w:rPr>
          <w:rFonts w:ascii="Verdana" w:hAnsi="Verdana"/>
          <w:sz w:val="20"/>
          <w:szCs w:val="20"/>
        </w:rPr>
        <w:t xml:space="preserve"> Ik heb voor </w:t>
      </w:r>
      <w:r w:rsidR="00DC68A1" w:rsidRPr="000C446C">
        <w:rPr>
          <w:rFonts w:ascii="Verdana" w:hAnsi="Verdana"/>
          <w:b/>
          <w:bCs/>
          <w:sz w:val="24"/>
          <w:szCs w:val="24"/>
        </w:rPr>
        <w:t>XXX</w:t>
      </w:r>
      <w:r w:rsidR="00DC68A1" w:rsidRPr="00F3528C">
        <w:rPr>
          <w:rFonts w:ascii="Verdana" w:hAnsi="Verdana"/>
          <w:sz w:val="20"/>
          <w:szCs w:val="20"/>
        </w:rPr>
        <w:t xml:space="preserve"> </w:t>
      </w:r>
      <w:r w:rsidR="00CA1173" w:rsidRPr="00F3528C">
        <w:rPr>
          <w:rFonts w:ascii="Verdana" w:hAnsi="Verdana"/>
          <w:sz w:val="20"/>
          <w:szCs w:val="20"/>
        </w:rPr>
        <w:t xml:space="preserve">onderzoek gedaan naar de veranderingen voor de adviespraktijk na implementatie van de </w:t>
      </w:r>
      <w:r w:rsidR="005A054B" w:rsidRPr="00F3528C">
        <w:rPr>
          <w:rFonts w:ascii="Verdana" w:hAnsi="Verdana"/>
          <w:sz w:val="20"/>
          <w:szCs w:val="20"/>
        </w:rPr>
        <w:t>conformiteits</w:t>
      </w:r>
      <w:r w:rsidR="00CA1173" w:rsidRPr="00F3528C">
        <w:rPr>
          <w:rFonts w:ascii="Verdana" w:hAnsi="Verdana"/>
          <w:sz w:val="20"/>
          <w:szCs w:val="20"/>
        </w:rPr>
        <w:t>bepalingen uit de richtlijn.</w:t>
      </w:r>
    </w:p>
    <w:p w14:paraId="3B1869CF" w14:textId="77777777" w:rsidR="004D2465" w:rsidRPr="00F3528C" w:rsidRDefault="004D2465" w:rsidP="004D2465">
      <w:pPr>
        <w:pStyle w:val="Geenafstand"/>
        <w:rPr>
          <w:rFonts w:ascii="Verdana" w:hAnsi="Verdana"/>
          <w:sz w:val="20"/>
          <w:szCs w:val="20"/>
        </w:rPr>
      </w:pPr>
    </w:p>
    <w:p w14:paraId="5ECD887E" w14:textId="7521B6AB" w:rsidR="002213B5" w:rsidRPr="00F3528C" w:rsidRDefault="00F452DA" w:rsidP="004D2465">
      <w:pPr>
        <w:pStyle w:val="Geenafstand"/>
        <w:rPr>
          <w:rFonts w:ascii="Verdana" w:hAnsi="Verdana"/>
          <w:sz w:val="20"/>
          <w:szCs w:val="20"/>
        </w:rPr>
      </w:pPr>
      <w:r w:rsidRPr="00F3528C">
        <w:rPr>
          <w:rFonts w:ascii="Verdana" w:hAnsi="Verdana"/>
          <w:sz w:val="20"/>
          <w:szCs w:val="20"/>
        </w:rPr>
        <w:t xml:space="preserve">Het schrijven van de scriptie was niet mogelijk geweest zonder een aantal personen. Allereest wil ik dan ook mijn begeleider </w:t>
      </w:r>
      <w:r w:rsidR="000C446C" w:rsidRPr="000C446C">
        <w:rPr>
          <w:rFonts w:ascii="Verdana" w:hAnsi="Verdana"/>
          <w:b/>
          <w:bCs/>
          <w:sz w:val="20"/>
          <w:szCs w:val="20"/>
        </w:rPr>
        <w:t>XXX</w:t>
      </w:r>
      <w:r w:rsidRPr="000C446C">
        <w:rPr>
          <w:rFonts w:ascii="Verdana" w:hAnsi="Verdana"/>
          <w:b/>
          <w:bCs/>
          <w:sz w:val="20"/>
          <w:szCs w:val="20"/>
        </w:rPr>
        <w:t xml:space="preserve"> </w:t>
      </w:r>
      <w:r w:rsidRPr="00F3528C">
        <w:rPr>
          <w:rFonts w:ascii="Verdana" w:hAnsi="Verdana"/>
          <w:sz w:val="20"/>
          <w:szCs w:val="20"/>
        </w:rPr>
        <w:t xml:space="preserve">danken voor al zijn begeleiding en feedback. </w:t>
      </w:r>
      <w:r w:rsidR="00B87A8B" w:rsidRPr="00F3528C">
        <w:rPr>
          <w:rFonts w:ascii="Verdana" w:hAnsi="Verdana"/>
          <w:sz w:val="20"/>
          <w:szCs w:val="20"/>
        </w:rPr>
        <w:t xml:space="preserve">Ook wil ik </w:t>
      </w:r>
      <w:r w:rsidR="00677551" w:rsidRPr="000C446C">
        <w:rPr>
          <w:rFonts w:ascii="Verdana" w:hAnsi="Verdana"/>
          <w:b/>
          <w:bCs/>
          <w:sz w:val="24"/>
          <w:szCs w:val="24"/>
        </w:rPr>
        <w:t>XXX</w:t>
      </w:r>
      <w:r w:rsidR="00677551">
        <w:rPr>
          <w:rFonts w:ascii="Verdana" w:hAnsi="Verdana"/>
          <w:sz w:val="20"/>
          <w:szCs w:val="20"/>
        </w:rPr>
        <w:t xml:space="preserve"> </w:t>
      </w:r>
      <w:r w:rsidR="00B05F1F">
        <w:rPr>
          <w:rFonts w:ascii="Verdana" w:hAnsi="Verdana"/>
          <w:sz w:val="20"/>
          <w:szCs w:val="20"/>
        </w:rPr>
        <w:t xml:space="preserve">bedanken </w:t>
      </w:r>
      <w:r w:rsidR="00B87A8B" w:rsidRPr="00F3528C">
        <w:rPr>
          <w:rFonts w:ascii="Verdana" w:hAnsi="Verdana"/>
          <w:sz w:val="20"/>
          <w:szCs w:val="20"/>
        </w:rPr>
        <w:t xml:space="preserve">voor alle mooie kansen die ik heb gekregen. In het bijzonder dank ik mijn praktijkbegeleidster </w:t>
      </w:r>
      <w:r w:rsidR="000C446C" w:rsidRPr="000C446C">
        <w:rPr>
          <w:rFonts w:ascii="Verdana" w:hAnsi="Verdana"/>
          <w:b/>
          <w:bCs/>
          <w:sz w:val="20"/>
          <w:szCs w:val="20"/>
        </w:rPr>
        <w:t xml:space="preserve">XXX </w:t>
      </w:r>
      <w:r w:rsidR="00B87A8B" w:rsidRPr="00F3528C">
        <w:rPr>
          <w:rFonts w:ascii="Verdana" w:hAnsi="Verdana"/>
          <w:sz w:val="20"/>
          <w:szCs w:val="20"/>
        </w:rPr>
        <w:t xml:space="preserve">voor haar deskundigheid en begeleiding tijdens het schrijven van de scriptie. Daarnaast wil ik </w:t>
      </w:r>
      <w:r w:rsidR="000C446C" w:rsidRPr="000C446C">
        <w:rPr>
          <w:rFonts w:ascii="Verdana" w:hAnsi="Verdana"/>
          <w:b/>
          <w:bCs/>
          <w:sz w:val="20"/>
          <w:szCs w:val="20"/>
        </w:rPr>
        <w:t xml:space="preserve">XXX </w:t>
      </w:r>
      <w:r w:rsidR="00B87A8B" w:rsidRPr="00F3528C">
        <w:rPr>
          <w:rFonts w:ascii="Verdana" w:hAnsi="Verdana"/>
          <w:sz w:val="20"/>
          <w:szCs w:val="20"/>
        </w:rPr>
        <w:t>bedanken voor alle gezelligheid, afleiding en mentale ondersteuning. Tenslotte wil ik mijn naaste omgeving bedanken voor alle steun tijdens de studie.</w:t>
      </w:r>
      <w:r w:rsidR="002213B5" w:rsidRPr="00F3528C">
        <w:rPr>
          <w:rFonts w:ascii="Verdana" w:hAnsi="Verdana"/>
          <w:sz w:val="20"/>
          <w:szCs w:val="20"/>
        </w:rPr>
        <w:br/>
      </w:r>
    </w:p>
    <w:p w14:paraId="735D4C65" w14:textId="63F181BE" w:rsidR="005A054B" w:rsidRPr="00F3528C" w:rsidRDefault="00BE3FA6" w:rsidP="004D2465">
      <w:pPr>
        <w:pStyle w:val="Geenafstand"/>
        <w:rPr>
          <w:rFonts w:ascii="Verdana" w:hAnsi="Verdana"/>
          <w:sz w:val="20"/>
          <w:szCs w:val="20"/>
        </w:rPr>
      </w:pPr>
      <w:r w:rsidRPr="00F3528C">
        <w:rPr>
          <w:rFonts w:ascii="Verdana" w:hAnsi="Verdana"/>
          <w:sz w:val="20"/>
          <w:szCs w:val="20"/>
        </w:rPr>
        <w:t>Ik wens u veel leesplezier toe.</w:t>
      </w:r>
    </w:p>
    <w:p w14:paraId="430B4A76" w14:textId="77777777" w:rsidR="001B644B" w:rsidRPr="00F3528C" w:rsidRDefault="001B644B" w:rsidP="004D2465">
      <w:pPr>
        <w:pStyle w:val="Geenafstand"/>
        <w:rPr>
          <w:rFonts w:ascii="Verdana" w:hAnsi="Verdana"/>
          <w:sz w:val="20"/>
          <w:szCs w:val="20"/>
        </w:rPr>
      </w:pPr>
    </w:p>
    <w:p w14:paraId="2C5C2910" w14:textId="787ECEF5" w:rsidR="00034213" w:rsidRPr="00F3528C" w:rsidRDefault="00034213" w:rsidP="004D2465">
      <w:pPr>
        <w:pStyle w:val="Geenafstand"/>
        <w:rPr>
          <w:rFonts w:ascii="Verdana" w:hAnsi="Verdana"/>
          <w:sz w:val="20"/>
          <w:szCs w:val="20"/>
        </w:rPr>
      </w:pPr>
      <w:r w:rsidRPr="00F3528C">
        <w:rPr>
          <w:rFonts w:ascii="Verdana" w:hAnsi="Verdana"/>
          <w:sz w:val="20"/>
          <w:szCs w:val="20"/>
        </w:rPr>
        <w:t>Margo van der Tuuk, Gouda 2</w:t>
      </w:r>
      <w:r w:rsidR="00057A85">
        <w:rPr>
          <w:rFonts w:ascii="Verdana" w:hAnsi="Verdana"/>
          <w:sz w:val="20"/>
          <w:szCs w:val="20"/>
        </w:rPr>
        <w:t>2</w:t>
      </w:r>
      <w:r w:rsidRPr="00F3528C">
        <w:rPr>
          <w:rFonts w:ascii="Verdana" w:hAnsi="Verdana"/>
          <w:sz w:val="20"/>
          <w:szCs w:val="20"/>
        </w:rPr>
        <w:t xml:space="preserve"> mei 2021</w:t>
      </w:r>
    </w:p>
    <w:p w14:paraId="19E0D95E" w14:textId="2C1848B5" w:rsidR="009E56D7" w:rsidRPr="00F3528C" w:rsidRDefault="009E56D7" w:rsidP="003D0730">
      <w:pPr>
        <w:jc w:val="center"/>
        <w:rPr>
          <w:sz w:val="24"/>
          <w:szCs w:val="18"/>
        </w:rPr>
      </w:pPr>
    </w:p>
    <w:p w14:paraId="3AAA0F50" w14:textId="18812607" w:rsidR="009E56D7" w:rsidRPr="00F3528C" w:rsidRDefault="009E56D7" w:rsidP="003D0730">
      <w:pPr>
        <w:jc w:val="center"/>
        <w:rPr>
          <w:sz w:val="24"/>
          <w:szCs w:val="18"/>
        </w:rPr>
      </w:pPr>
    </w:p>
    <w:p w14:paraId="2D9C9A02" w14:textId="439BB422" w:rsidR="009E56D7" w:rsidRPr="00F3528C" w:rsidRDefault="009E56D7" w:rsidP="003D0730">
      <w:pPr>
        <w:jc w:val="center"/>
        <w:rPr>
          <w:sz w:val="24"/>
          <w:szCs w:val="18"/>
        </w:rPr>
      </w:pPr>
    </w:p>
    <w:p w14:paraId="475A53F1" w14:textId="2F6840DC" w:rsidR="009E56D7" w:rsidRPr="00F3528C" w:rsidRDefault="009E56D7" w:rsidP="003D0730">
      <w:pPr>
        <w:jc w:val="center"/>
        <w:rPr>
          <w:sz w:val="24"/>
          <w:szCs w:val="18"/>
        </w:rPr>
      </w:pPr>
    </w:p>
    <w:p w14:paraId="4D8D16B5" w14:textId="38F9391A" w:rsidR="009E56D7" w:rsidRPr="00F3528C" w:rsidRDefault="009E56D7" w:rsidP="003D0730">
      <w:pPr>
        <w:jc w:val="center"/>
        <w:rPr>
          <w:sz w:val="24"/>
          <w:szCs w:val="18"/>
        </w:rPr>
      </w:pPr>
    </w:p>
    <w:p w14:paraId="4C107BC7" w14:textId="62790F95" w:rsidR="009E56D7" w:rsidRDefault="009E56D7" w:rsidP="003D0730">
      <w:pPr>
        <w:jc w:val="center"/>
        <w:rPr>
          <w:sz w:val="24"/>
          <w:szCs w:val="18"/>
        </w:rPr>
      </w:pPr>
    </w:p>
    <w:p w14:paraId="5957AB9B" w14:textId="2BF1F5E6" w:rsidR="009E56D7" w:rsidRDefault="009E56D7" w:rsidP="003D0730">
      <w:pPr>
        <w:jc w:val="center"/>
        <w:rPr>
          <w:sz w:val="24"/>
          <w:szCs w:val="18"/>
        </w:rPr>
      </w:pPr>
    </w:p>
    <w:p w14:paraId="7C73377E" w14:textId="7026D6B8" w:rsidR="009E56D7" w:rsidRDefault="009E56D7" w:rsidP="003D0730">
      <w:pPr>
        <w:jc w:val="center"/>
        <w:rPr>
          <w:sz w:val="24"/>
          <w:szCs w:val="18"/>
        </w:rPr>
      </w:pPr>
    </w:p>
    <w:p w14:paraId="1D084E93" w14:textId="0FC76DCC" w:rsidR="009E56D7" w:rsidRDefault="009E56D7" w:rsidP="003D0730">
      <w:pPr>
        <w:jc w:val="center"/>
        <w:rPr>
          <w:sz w:val="24"/>
          <w:szCs w:val="18"/>
        </w:rPr>
      </w:pPr>
    </w:p>
    <w:p w14:paraId="70CBF24A" w14:textId="208C028E" w:rsidR="009E56D7" w:rsidRDefault="009E56D7" w:rsidP="003D0730">
      <w:pPr>
        <w:jc w:val="center"/>
        <w:rPr>
          <w:sz w:val="24"/>
          <w:szCs w:val="18"/>
        </w:rPr>
      </w:pPr>
    </w:p>
    <w:p w14:paraId="364AD5CE" w14:textId="77777777" w:rsidR="00596847" w:rsidRDefault="00596847" w:rsidP="003D0730">
      <w:pPr>
        <w:jc w:val="center"/>
        <w:rPr>
          <w:sz w:val="24"/>
          <w:szCs w:val="18"/>
        </w:rPr>
      </w:pPr>
    </w:p>
    <w:p w14:paraId="3E388116" w14:textId="66AB95C5" w:rsidR="009E56D7" w:rsidRDefault="009E56D7" w:rsidP="008927EF">
      <w:pPr>
        <w:rPr>
          <w:sz w:val="24"/>
          <w:szCs w:val="18"/>
        </w:rPr>
      </w:pPr>
    </w:p>
    <w:p w14:paraId="7F1C2402" w14:textId="77777777" w:rsidR="005A054B" w:rsidRDefault="005A054B" w:rsidP="00A86C8A">
      <w:pPr>
        <w:rPr>
          <w:sz w:val="24"/>
          <w:szCs w:val="18"/>
        </w:rPr>
      </w:pPr>
    </w:p>
    <w:p w14:paraId="5BC7119D" w14:textId="77777777" w:rsidR="000F5E33" w:rsidRDefault="000F5E33">
      <w:pPr>
        <w:rPr>
          <w:rFonts w:cs="Arial"/>
          <w:b/>
          <w:szCs w:val="18"/>
        </w:rPr>
      </w:pPr>
      <w:r>
        <w:rPr>
          <w:rFonts w:cs="Arial"/>
          <w:b/>
          <w:szCs w:val="18"/>
        </w:rPr>
        <w:br w:type="page"/>
      </w:r>
    </w:p>
    <w:p w14:paraId="50374FC1" w14:textId="1EF4C9C5" w:rsidR="00A6782F" w:rsidRPr="00F3528C" w:rsidRDefault="00304118" w:rsidP="00A6782F">
      <w:pPr>
        <w:pStyle w:val="Geenafstand"/>
        <w:rPr>
          <w:rFonts w:ascii="Verdana" w:hAnsi="Verdana"/>
          <w:sz w:val="20"/>
          <w:szCs w:val="20"/>
        </w:rPr>
      </w:pPr>
      <w:r w:rsidRPr="00F3528C">
        <w:rPr>
          <w:rFonts w:ascii="Verdana" w:hAnsi="Verdana"/>
          <w:b/>
          <w:bCs/>
          <w:sz w:val="20"/>
          <w:szCs w:val="20"/>
        </w:rPr>
        <w:lastRenderedPageBreak/>
        <w:t>Samenvatting</w:t>
      </w:r>
      <w:r w:rsidRPr="00F3528C">
        <w:rPr>
          <w:rFonts w:ascii="Verdana" w:hAnsi="Verdana"/>
          <w:b/>
          <w:bCs/>
          <w:sz w:val="20"/>
          <w:szCs w:val="20"/>
        </w:rPr>
        <w:br/>
      </w:r>
      <w:r w:rsidRPr="00F3528C">
        <w:rPr>
          <w:rFonts w:ascii="Verdana" w:hAnsi="Verdana"/>
          <w:b/>
          <w:bCs/>
          <w:sz w:val="20"/>
          <w:szCs w:val="20"/>
        </w:rPr>
        <w:br/>
      </w:r>
      <w:r w:rsidR="00A6782F" w:rsidRPr="00F3528C">
        <w:rPr>
          <w:rFonts w:ascii="Verdana" w:hAnsi="Verdana"/>
          <w:sz w:val="20"/>
          <w:szCs w:val="20"/>
        </w:rPr>
        <w:t xml:space="preserve">Binnen het consumentenrecht is er een nieuwe richtlijn aangenomen: Richtlijn 2019/771 (hierna: Richtlijn). De Richtlijn heeft tot doel het kooprecht binnen de Europese Unie te harmoniseren: iedere lidstaat dient dezelfde regeling bij de koop van goederen te hanteren. Om harmonisatie in het kooprecht binnen de Europese Unie te realiseren beoogt de Richtlijn maximumharmonisatie, waardoor het lidstaten – behoudens uitzonderingen – niet is toegestaan om in nationale wetgeving van de bepalingen uit de Richtlijn af te wijken.  </w:t>
      </w:r>
      <w:r w:rsidR="00A6782F" w:rsidRPr="00F3528C">
        <w:rPr>
          <w:rFonts w:ascii="Verdana" w:hAnsi="Verdana"/>
          <w:sz w:val="20"/>
          <w:szCs w:val="20"/>
        </w:rPr>
        <w:br/>
      </w:r>
      <w:r w:rsidR="00A6782F" w:rsidRPr="00F3528C">
        <w:rPr>
          <w:rFonts w:ascii="Verdana" w:hAnsi="Verdana"/>
          <w:sz w:val="20"/>
          <w:szCs w:val="20"/>
        </w:rPr>
        <w:br/>
        <w:t>De huidige kooptitel 1 van boek 7 van het Burgerlijk Wetboek (hierna: BW) zal door de Richtlijn wijzigen. Er worden voornamelijk nieuwe bepalingen in het BW opgenomen over zowel de vaststelling</w:t>
      </w:r>
      <w:r w:rsidR="00F3528C" w:rsidRPr="00F3528C">
        <w:rPr>
          <w:rFonts w:ascii="Verdana" w:hAnsi="Verdana"/>
          <w:sz w:val="20"/>
          <w:szCs w:val="20"/>
        </w:rPr>
        <w:t>,</w:t>
      </w:r>
      <w:r w:rsidR="00A6782F" w:rsidRPr="00F3528C">
        <w:rPr>
          <w:rFonts w:ascii="Verdana" w:hAnsi="Verdana"/>
          <w:sz w:val="20"/>
          <w:szCs w:val="20"/>
        </w:rPr>
        <w:t xml:space="preserve"> als de gevolgen van non-conformiteit bij consumentenkoop. De afdeling cont</w:t>
      </w:r>
      <w:r w:rsidR="00B05F1F">
        <w:rPr>
          <w:rFonts w:ascii="Verdana" w:hAnsi="Verdana"/>
          <w:sz w:val="20"/>
          <w:szCs w:val="20"/>
        </w:rPr>
        <w:t>r</w:t>
      </w:r>
      <w:r w:rsidR="00A6782F" w:rsidRPr="00F3528C">
        <w:rPr>
          <w:rFonts w:ascii="Verdana" w:hAnsi="Verdana"/>
          <w:sz w:val="20"/>
          <w:szCs w:val="20"/>
        </w:rPr>
        <w:t xml:space="preserve">actueel van </w:t>
      </w:r>
      <w:r w:rsidR="00DC68A1" w:rsidRPr="000C446C">
        <w:rPr>
          <w:rFonts w:ascii="Verdana" w:hAnsi="Verdana"/>
          <w:b/>
          <w:bCs/>
          <w:sz w:val="24"/>
          <w:szCs w:val="24"/>
        </w:rPr>
        <w:t>XXX</w:t>
      </w:r>
      <w:r w:rsidR="00DC68A1" w:rsidRPr="00F3528C">
        <w:rPr>
          <w:rFonts w:ascii="Verdana" w:hAnsi="Verdana"/>
          <w:sz w:val="20"/>
          <w:szCs w:val="20"/>
        </w:rPr>
        <w:t xml:space="preserve"> </w:t>
      </w:r>
      <w:r w:rsidR="00A6782F" w:rsidRPr="00F3528C">
        <w:rPr>
          <w:rFonts w:ascii="Verdana" w:hAnsi="Verdana"/>
          <w:sz w:val="20"/>
          <w:szCs w:val="20"/>
        </w:rPr>
        <w:t xml:space="preserve">(hierna: </w:t>
      </w:r>
      <w:r w:rsidR="00DC68A1" w:rsidRPr="000C446C">
        <w:rPr>
          <w:rFonts w:ascii="Verdana" w:hAnsi="Verdana"/>
          <w:b/>
          <w:bCs/>
          <w:sz w:val="24"/>
          <w:szCs w:val="24"/>
        </w:rPr>
        <w:t>XXX</w:t>
      </w:r>
      <w:r w:rsidR="00A6782F" w:rsidRPr="00F3528C">
        <w:rPr>
          <w:rFonts w:ascii="Verdana" w:hAnsi="Verdana"/>
          <w:sz w:val="20"/>
          <w:szCs w:val="20"/>
        </w:rPr>
        <w:t xml:space="preserve">) behandelt dagelijks consumentzaken over non-conformiteit. Haar huidige advisering bij dossiers over non-conformiteit is dan ook grotendeels gebaseerd op de regelgeving uit de huidige kooptitel. </w:t>
      </w:r>
    </w:p>
    <w:p w14:paraId="74FB72E1" w14:textId="77777777" w:rsidR="00A6782F" w:rsidRPr="00F3528C" w:rsidRDefault="00A6782F" w:rsidP="00A6782F">
      <w:pPr>
        <w:pStyle w:val="Geenafstand"/>
        <w:rPr>
          <w:rFonts w:ascii="Verdana" w:hAnsi="Verdana"/>
          <w:sz w:val="20"/>
          <w:szCs w:val="20"/>
        </w:rPr>
      </w:pPr>
    </w:p>
    <w:p w14:paraId="6D7324C9" w14:textId="04D3639A" w:rsidR="00A6782F" w:rsidRPr="00F3528C" w:rsidRDefault="00A6782F" w:rsidP="00A6782F">
      <w:pPr>
        <w:pStyle w:val="Geenafstand"/>
        <w:rPr>
          <w:rFonts w:ascii="Verdana" w:hAnsi="Verdana"/>
          <w:sz w:val="20"/>
          <w:szCs w:val="20"/>
        </w:rPr>
      </w:pPr>
      <w:r w:rsidRPr="00F3528C">
        <w:rPr>
          <w:rFonts w:ascii="Verdana" w:hAnsi="Verdana"/>
          <w:sz w:val="20"/>
          <w:szCs w:val="20"/>
        </w:rPr>
        <w:t xml:space="preserve">Binnen de afdeling contractueel van </w:t>
      </w:r>
      <w:r w:rsidR="00DC68A1" w:rsidRPr="000C446C">
        <w:rPr>
          <w:rFonts w:ascii="Verdana" w:hAnsi="Verdana"/>
          <w:b/>
          <w:bCs/>
          <w:sz w:val="24"/>
          <w:szCs w:val="24"/>
        </w:rPr>
        <w:t>XXX</w:t>
      </w:r>
      <w:r w:rsidR="00DC68A1" w:rsidRPr="00F3528C">
        <w:rPr>
          <w:rFonts w:ascii="Verdana" w:hAnsi="Verdana"/>
          <w:sz w:val="20"/>
          <w:szCs w:val="20"/>
        </w:rPr>
        <w:t xml:space="preserve"> </w:t>
      </w:r>
      <w:r w:rsidRPr="00F3528C">
        <w:rPr>
          <w:rFonts w:ascii="Verdana" w:hAnsi="Verdana"/>
          <w:sz w:val="20"/>
          <w:szCs w:val="20"/>
        </w:rPr>
        <w:t xml:space="preserve">is er nog geen bekendheid over de mogelijke gevolgen – na implementatie van de Richtlijn – voor haar adviespraktijk. In dit onderzoek is getracht om de gevolgen voor de adviespraktijk van </w:t>
      </w:r>
      <w:r w:rsidR="00DC68A1" w:rsidRPr="000C446C">
        <w:rPr>
          <w:rFonts w:ascii="Verdana" w:hAnsi="Verdana"/>
          <w:b/>
          <w:bCs/>
          <w:sz w:val="24"/>
          <w:szCs w:val="24"/>
        </w:rPr>
        <w:t>XXX</w:t>
      </w:r>
      <w:r w:rsidR="00DC68A1" w:rsidRPr="00F3528C">
        <w:rPr>
          <w:rFonts w:ascii="Verdana" w:hAnsi="Verdana"/>
          <w:sz w:val="20"/>
          <w:szCs w:val="20"/>
        </w:rPr>
        <w:t xml:space="preserve"> </w:t>
      </w:r>
      <w:r w:rsidRPr="00F3528C">
        <w:rPr>
          <w:rFonts w:ascii="Verdana" w:hAnsi="Verdana"/>
          <w:sz w:val="20"/>
          <w:szCs w:val="20"/>
        </w:rPr>
        <w:t>– na implementatie van de Richtlijn – uiteen te zetten. De centrale vraag van het onderzoek luidt dan ook als volgt:</w:t>
      </w:r>
      <w:r w:rsidRPr="00F3528C">
        <w:rPr>
          <w:rFonts w:ascii="Verdana" w:hAnsi="Verdana"/>
          <w:sz w:val="20"/>
          <w:szCs w:val="20"/>
        </w:rPr>
        <w:br/>
      </w:r>
      <w:r w:rsidRPr="00F3528C">
        <w:rPr>
          <w:rFonts w:ascii="Verdana" w:hAnsi="Verdana"/>
          <w:sz w:val="20"/>
          <w:szCs w:val="20"/>
        </w:rPr>
        <w:br/>
        <w:t>‘</w:t>
      </w:r>
      <w:r w:rsidRPr="00F3528C">
        <w:rPr>
          <w:rFonts w:ascii="Verdana" w:hAnsi="Verdana"/>
          <w:i/>
          <w:iCs/>
          <w:sz w:val="20"/>
          <w:szCs w:val="20"/>
        </w:rPr>
        <w:t xml:space="preserve">‘In hoeverre heeft de implementatie van de conformiteitsbepalingen uit de Europese Richtlijn 2019/771 invloed op de huidige adviespraktijk van </w:t>
      </w:r>
      <w:r w:rsidR="00DC68A1" w:rsidRPr="000C446C">
        <w:rPr>
          <w:rFonts w:ascii="Verdana" w:hAnsi="Verdana"/>
          <w:b/>
          <w:bCs/>
          <w:sz w:val="24"/>
          <w:szCs w:val="24"/>
        </w:rPr>
        <w:t>XXX</w:t>
      </w:r>
      <w:r w:rsidR="00DC68A1" w:rsidRPr="00F3528C">
        <w:rPr>
          <w:rFonts w:ascii="Verdana" w:hAnsi="Verdana"/>
          <w:i/>
          <w:iCs/>
          <w:sz w:val="20"/>
          <w:szCs w:val="20"/>
        </w:rPr>
        <w:t xml:space="preserve"> </w:t>
      </w:r>
      <w:r w:rsidRPr="00F3528C">
        <w:rPr>
          <w:rFonts w:ascii="Verdana" w:hAnsi="Verdana"/>
          <w:i/>
          <w:iCs/>
          <w:sz w:val="20"/>
          <w:szCs w:val="20"/>
        </w:rPr>
        <w:t>bij zaken over non-conformiteit bij consumentenkoop?´</w:t>
      </w:r>
    </w:p>
    <w:p w14:paraId="75572761" w14:textId="77777777" w:rsidR="00A6782F" w:rsidRPr="00F3528C" w:rsidRDefault="00A6782F" w:rsidP="00A6782F">
      <w:pPr>
        <w:pStyle w:val="Geenafstand"/>
        <w:rPr>
          <w:rFonts w:ascii="Verdana" w:hAnsi="Verdana"/>
          <w:sz w:val="20"/>
          <w:szCs w:val="20"/>
        </w:rPr>
      </w:pPr>
    </w:p>
    <w:p w14:paraId="2B8EB7E4" w14:textId="0FE41035" w:rsidR="00A6782F" w:rsidRPr="00F3528C" w:rsidRDefault="00A6782F" w:rsidP="00A6782F">
      <w:pPr>
        <w:pStyle w:val="Geenafstand"/>
        <w:rPr>
          <w:rFonts w:ascii="Verdana" w:hAnsi="Verdana"/>
          <w:sz w:val="20"/>
          <w:szCs w:val="20"/>
        </w:rPr>
      </w:pPr>
      <w:r w:rsidRPr="00F3528C">
        <w:rPr>
          <w:rFonts w:ascii="Verdana" w:hAnsi="Verdana"/>
          <w:sz w:val="20"/>
          <w:szCs w:val="20"/>
        </w:rPr>
        <w:t>Om tot beantwoording van de centrale vraag te komen is er zowel</w:t>
      </w:r>
      <w:r w:rsidR="00D64021">
        <w:rPr>
          <w:rFonts w:ascii="Verdana" w:hAnsi="Verdana"/>
          <w:sz w:val="20"/>
          <w:szCs w:val="20"/>
        </w:rPr>
        <w:t xml:space="preserve"> </w:t>
      </w:r>
      <w:r w:rsidR="00B05F1F">
        <w:rPr>
          <w:rFonts w:ascii="Verdana" w:hAnsi="Verdana"/>
          <w:sz w:val="20"/>
          <w:szCs w:val="20"/>
        </w:rPr>
        <w:t xml:space="preserve">een </w:t>
      </w:r>
      <w:r w:rsidR="00D64021">
        <w:rPr>
          <w:rFonts w:ascii="Verdana" w:hAnsi="Verdana"/>
          <w:sz w:val="20"/>
          <w:szCs w:val="20"/>
        </w:rPr>
        <w:t>rechtsbronnen</w:t>
      </w:r>
      <w:r w:rsidRPr="00F3528C">
        <w:rPr>
          <w:rFonts w:ascii="Verdana" w:hAnsi="Verdana"/>
          <w:sz w:val="20"/>
          <w:szCs w:val="20"/>
        </w:rPr>
        <w:t xml:space="preserve">- als praktijkonderzoek verricht. Allereerst is onderzocht in hoeverre de Richtlijn doorwerkt op nationaal niveau. Uit een analyse van de Richtlijn en de memorie van toelichting van de Implementatiewet richtlijn verkoop goederen en levering digitale inhoud is gebleken dat – vanwege het dwingende karakter van de Richtlijn – bijna alle bepalingen uit de Richtlijn in de kooptitel van het BW worden opgenomen. Hiermee staat dan ook vast dat de adviespraktijk van </w:t>
      </w:r>
      <w:r w:rsidR="00DC68A1" w:rsidRPr="000C446C">
        <w:rPr>
          <w:rFonts w:ascii="Verdana" w:hAnsi="Verdana"/>
          <w:b/>
          <w:bCs/>
          <w:sz w:val="24"/>
          <w:szCs w:val="24"/>
        </w:rPr>
        <w:t>XXX</w:t>
      </w:r>
      <w:r w:rsidR="00DC68A1" w:rsidRPr="00F3528C">
        <w:rPr>
          <w:rFonts w:ascii="Verdana" w:hAnsi="Verdana"/>
          <w:sz w:val="20"/>
          <w:szCs w:val="20"/>
        </w:rPr>
        <w:t xml:space="preserve"> </w:t>
      </w:r>
      <w:r w:rsidRPr="00F3528C">
        <w:rPr>
          <w:rFonts w:ascii="Verdana" w:hAnsi="Verdana"/>
          <w:sz w:val="20"/>
          <w:szCs w:val="20"/>
        </w:rPr>
        <w:t>door implementatie van de Richtlijn zal wijzigen.</w:t>
      </w:r>
    </w:p>
    <w:p w14:paraId="1D315EDA" w14:textId="486DDCEF" w:rsidR="00A6782F" w:rsidRPr="00F3528C" w:rsidRDefault="00A6782F" w:rsidP="00A6782F">
      <w:pPr>
        <w:pStyle w:val="Geenafstand"/>
        <w:rPr>
          <w:rFonts w:ascii="Verdana" w:hAnsi="Verdana"/>
          <w:sz w:val="20"/>
          <w:szCs w:val="20"/>
        </w:rPr>
      </w:pPr>
      <w:r w:rsidRPr="00F3528C">
        <w:rPr>
          <w:rFonts w:ascii="Verdana" w:hAnsi="Verdana"/>
          <w:sz w:val="20"/>
          <w:szCs w:val="20"/>
        </w:rPr>
        <w:br/>
        <w:t xml:space="preserve">Vervolgens is onderzocht welke wijzigingen de implementatie van de Richtlijn voor de adviespraktijk van </w:t>
      </w:r>
      <w:r w:rsidR="00DC68A1" w:rsidRPr="000C446C">
        <w:rPr>
          <w:rFonts w:ascii="Verdana" w:hAnsi="Verdana"/>
          <w:b/>
          <w:bCs/>
          <w:sz w:val="24"/>
          <w:szCs w:val="24"/>
        </w:rPr>
        <w:t>XXX</w:t>
      </w:r>
      <w:r w:rsidR="00DC68A1" w:rsidRPr="00F3528C">
        <w:rPr>
          <w:rFonts w:ascii="Verdana" w:hAnsi="Verdana"/>
          <w:sz w:val="20"/>
          <w:szCs w:val="20"/>
        </w:rPr>
        <w:t xml:space="preserve"> </w:t>
      </w:r>
      <w:r w:rsidRPr="00F3528C">
        <w:rPr>
          <w:rFonts w:ascii="Verdana" w:hAnsi="Verdana"/>
          <w:sz w:val="20"/>
          <w:szCs w:val="20"/>
        </w:rPr>
        <w:t xml:space="preserve">met zich meebrengt. Door het analyseren van rechtsbronnen, vakliteratuur en handboeken zijn de wijzigingen in kaart gebracht. Allereerst is gebleken dat het toepassingsgebied van de kooptitel wijzigt. Zo valt de koop van roerende zaken waarin digitale inhoud of een digitale dienst is verwerkt onder het toepassingsgebied van de kooptitel. Dat betekent bijvoorbeeld dat de software van apparaten </w:t>
      </w:r>
      <w:r w:rsidR="00F3528C">
        <w:rPr>
          <w:rFonts w:ascii="Verdana" w:hAnsi="Verdana"/>
          <w:sz w:val="20"/>
          <w:szCs w:val="20"/>
        </w:rPr>
        <w:t xml:space="preserve">en de updates daarvan </w:t>
      </w:r>
      <w:r w:rsidRPr="00F3528C">
        <w:rPr>
          <w:rFonts w:ascii="Verdana" w:hAnsi="Verdana"/>
          <w:sz w:val="20"/>
          <w:szCs w:val="20"/>
        </w:rPr>
        <w:t>eveneens onder de conformiteitsbepalingen vallen.</w:t>
      </w:r>
      <w:r w:rsidRPr="00F3528C">
        <w:rPr>
          <w:rFonts w:ascii="Verdana" w:hAnsi="Verdana"/>
          <w:sz w:val="20"/>
          <w:szCs w:val="20"/>
        </w:rPr>
        <w:br/>
      </w:r>
      <w:r w:rsidRPr="00F3528C">
        <w:rPr>
          <w:rFonts w:ascii="Verdana" w:hAnsi="Verdana"/>
          <w:sz w:val="20"/>
          <w:szCs w:val="20"/>
        </w:rPr>
        <w:br/>
        <w:t xml:space="preserve">Ten tweede is gebleken dat de Richtlijn voorziet in aanvullende conformiteiteisen bij consumentenkoop. Een zaak dient zowel aan de objectieve als </w:t>
      </w:r>
      <w:r w:rsidR="00F3528C">
        <w:rPr>
          <w:rFonts w:ascii="Verdana" w:hAnsi="Verdana"/>
          <w:sz w:val="20"/>
          <w:szCs w:val="20"/>
        </w:rPr>
        <w:t xml:space="preserve">de </w:t>
      </w:r>
      <w:r w:rsidRPr="00F3528C">
        <w:rPr>
          <w:rFonts w:ascii="Verdana" w:hAnsi="Verdana"/>
          <w:sz w:val="20"/>
          <w:szCs w:val="20"/>
        </w:rPr>
        <w:t xml:space="preserve">subjectieve conformiteitsvereisten te voldoen. Dat betekent dat </w:t>
      </w:r>
      <w:r w:rsidR="00F3528C">
        <w:rPr>
          <w:rFonts w:ascii="Verdana" w:hAnsi="Verdana"/>
          <w:sz w:val="20"/>
          <w:szCs w:val="20"/>
        </w:rPr>
        <w:t xml:space="preserve">de </w:t>
      </w:r>
      <w:r w:rsidRPr="00F3528C">
        <w:rPr>
          <w:rFonts w:ascii="Verdana" w:hAnsi="Verdana"/>
          <w:sz w:val="20"/>
          <w:szCs w:val="20"/>
        </w:rPr>
        <w:t>zaak aan de overeenkomst moet beantwoorden (subjectief) en dezelfde eigenschappen bezit als soortgelijke zaken (objectief). Daarnaast wordt de verkeerde installatie van goederen en het verplicht leveren van software updates onderdeel van de conformiteiteis bij consumentenkoop.</w:t>
      </w:r>
      <w:r w:rsidRPr="00F3528C">
        <w:rPr>
          <w:rFonts w:ascii="Verdana" w:hAnsi="Verdana"/>
          <w:sz w:val="20"/>
          <w:szCs w:val="20"/>
        </w:rPr>
        <w:br/>
      </w:r>
      <w:r w:rsidRPr="00F3528C">
        <w:rPr>
          <w:rFonts w:ascii="Verdana" w:hAnsi="Verdana"/>
          <w:sz w:val="20"/>
          <w:szCs w:val="20"/>
        </w:rPr>
        <w:br/>
        <w:t xml:space="preserve">Ten derde is gebleken dat het bewijsvermoeden uit het tweede lid van artikel 7:18 BW wordt verlengd. Na implementatie van de Richtlijn ligt de bewijslast – in tegenstelling tot de huidige zes maanden – de eerste twaalf maanden bij de verkoper om aan te tonen dat er geen sprake is van non-conformiteit. </w:t>
      </w:r>
    </w:p>
    <w:p w14:paraId="0A108D71" w14:textId="77777777" w:rsidR="00A6782F" w:rsidRPr="00F3528C" w:rsidRDefault="00A6782F" w:rsidP="00A6782F">
      <w:pPr>
        <w:pStyle w:val="Geenafstand"/>
        <w:rPr>
          <w:rFonts w:ascii="Verdana" w:hAnsi="Verdana"/>
          <w:sz w:val="20"/>
          <w:szCs w:val="20"/>
        </w:rPr>
      </w:pPr>
    </w:p>
    <w:p w14:paraId="380EDD07" w14:textId="77777777" w:rsidR="00A6782F" w:rsidRPr="00A6782F" w:rsidRDefault="00A6782F" w:rsidP="00A6782F">
      <w:pPr>
        <w:pStyle w:val="Geenafstand"/>
        <w:rPr>
          <w:rFonts w:ascii="Verdana" w:hAnsi="Verdana"/>
          <w:color w:val="70AD47" w:themeColor="accent6"/>
          <w:sz w:val="20"/>
          <w:szCs w:val="20"/>
        </w:rPr>
      </w:pPr>
    </w:p>
    <w:p w14:paraId="30D302DE" w14:textId="77777777" w:rsidR="00A6782F" w:rsidRDefault="00A6782F" w:rsidP="00A6782F">
      <w:pPr>
        <w:pStyle w:val="Geenafstand"/>
        <w:rPr>
          <w:rFonts w:ascii="Verdana" w:hAnsi="Verdana"/>
          <w:color w:val="70AD47" w:themeColor="accent6"/>
          <w:sz w:val="20"/>
          <w:szCs w:val="20"/>
        </w:rPr>
      </w:pPr>
    </w:p>
    <w:p w14:paraId="2D421921" w14:textId="62A4FC77" w:rsidR="00A6782F" w:rsidRPr="00F3528C" w:rsidRDefault="00A6782F" w:rsidP="00A6782F">
      <w:pPr>
        <w:pStyle w:val="Geenafstand"/>
        <w:rPr>
          <w:rFonts w:ascii="Verdana" w:hAnsi="Verdana"/>
          <w:sz w:val="20"/>
          <w:szCs w:val="20"/>
        </w:rPr>
      </w:pPr>
      <w:r w:rsidRPr="00F3528C">
        <w:rPr>
          <w:rFonts w:ascii="Verdana" w:hAnsi="Verdana"/>
          <w:sz w:val="20"/>
          <w:szCs w:val="20"/>
        </w:rPr>
        <w:lastRenderedPageBreak/>
        <w:br/>
        <w:t xml:space="preserve">Ten vierde voorziet de Richtlijn in een bepaling dat een verkoper geen gebruikersvergoeding in rekening mag brengen bij een consument voor het normale gebruik van een zaak. Deze nieuwe bepaling kan worden gezien als codificatie van het bekende Quelle-arrest waarin het Hof van Justitie </w:t>
      </w:r>
      <w:r w:rsidR="00F3528C">
        <w:rPr>
          <w:rFonts w:ascii="Verdana" w:hAnsi="Verdana"/>
          <w:sz w:val="20"/>
          <w:szCs w:val="20"/>
        </w:rPr>
        <w:t xml:space="preserve">van de EU </w:t>
      </w:r>
      <w:r w:rsidRPr="00F3528C">
        <w:rPr>
          <w:rFonts w:ascii="Verdana" w:hAnsi="Verdana"/>
          <w:sz w:val="20"/>
          <w:szCs w:val="20"/>
        </w:rPr>
        <w:t xml:space="preserve">heeft geoordeeld dat er geen gebruikersvergoeding door een verkoper in rekening mag worden gebracht. </w:t>
      </w:r>
    </w:p>
    <w:p w14:paraId="5BCADAAF" w14:textId="77777777" w:rsidR="00A6782F" w:rsidRPr="00F3528C" w:rsidRDefault="00A6782F" w:rsidP="00A6782F">
      <w:pPr>
        <w:pStyle w:val="Geenafstand"/>
        <w:rPr>
          <w:rFonts w:ascii="Verdana" w:hAnsi="Verdana"/>
          <w:sz w:val="20"/>
          <w:szCs w:val="20"/>
        </w:rPr>
      </w:pPr>
    </w:p>
    <w:p w14:paraId="1034414C" w14:textId="08956E05" w:rsidR="00A6782F" w:rsidRPr="00F3528C" w:rsidRDefault="00A6782F" w:rsidP="00A6782F">
      <w:pPr>
        <w:pStyle w:val="Geenafstand"/>
        <w:rPr>
          <w:rFonts w:ascii="Verdana" w:hAnsi="Verdana"/>
          <w:sz w:val="20"/>
          <w:szCs w:val="20"/>
        </w:rPr>
      </w:pPr>
      <w:r w:rsidRPr="00F3528C">
        <w:rPr>
          <w:rFonts w:ascii="Verdana" w:hAnsi="Verdana"/>
          <w:sz w:val="20"/>
          <w:szCs w:val="20"/>
        </w:rPr>
        <w:t xml:space="preserve">Ten vijfde wijzigt het getrapte stelsel uit artikel 7:22 BW, waarin is vastgelegd dat een consument enkel tot ontbinding van de overeenkomst of prijsvermindering kan overgaan als herstel of vervanging onmogelijk is. De Richtlijn voorziet in vier nieuwe omstandigheden waarin de consument tot ontbinding van de overeenkomst of prijsvermindering kan overgaan. Het opnemen van de éénmalige herstelmogelijkheid – één van de vier omstandigheden – lijkt voor de adviespraktijk van </w:t>
      </w:r>
      <w:r w:rsidR="00DC68A1" w:rsidRPr="000C446C">
        <w:rPr>
          <w:rFonts w:ascii="Verdana" w:hAnsi="Verdana"/>
          <w:b/>
          <w:bCs/>
          <w:sz w:val="24"/>
          <w:szCs w:val="24"/>
        </w:rPr>
        <w:t>XXX</w:t>
      </w:r>
      <w:r w:rsidR="00DC68A1" w:rsidRPr="00F3528C">
        <w:rPr>
          <w:rFonts w:ascii="Verdana" w:hAnsi="Verdana"/>
          <w:sz w:val="20"/>
          <w:szCs w:val="20"/>
        </w:rPr>
        <w:t xml:space="preserve"> </w:t>
      </w:r>
      <w:r w:rsidRPr="00F3528C">
        <w:rPr>
          <w:rFonts w:ascii="Verdana" w:hAnsi="Verdana"/>
          <w:sz w:val="20"/>
          <w:szCs w:val="20"/>
        </w:rPr>
        <w:t xml:space="preserve">de meeste veranderingen in de behandeling van dossiers met zich mee te brengen. </w:t>
      </w:r>
    </w:p>
    <w:p w14:paraId="3FB9AC4B" w14:textId="77777777" w:rsidR="00A6782F" w:rsidRPr="00F3528C" w:rsidRDefault="00A6782F" w:rsidP="00A6782F">
      <w:pPr>
        <w:pStyle w:val="Geenafstand"/>
        <w:rPr>
          <w:rFonts w:ascii="Verdana" w:hAnsi="Verdana"/>
          <w:sz w:val="20"/>
          <w:szCs w:val="20"/>
        </w:rPr>
      </w:pPr>
    </w:p>
    <w:p w14:paraId="51138F1D" w14:textId="29FF53CF" w:rsidR="00A6782F" w:rsidRPr="00F3528C" w:rsidRDefault="00A6782F" w:rsidP="00A6782F">
      <w:pPr>
        <w:pStyle w:val="Geenafstand"/>
        <w:rPr>
          <w:rFonts w:ascii="Verdana" w:hAnsi="Verdana"/>
          <w:sz w:val="20"/>
          <w:szCs w:val="20"/>
        </w:rPr>
      </w:pPr>
      <w:r w:rsidRPr="00F3528C">
        <w:rPr>
          <w:rFonts w:ascii="Verdana" w:hAnsi="Verdana"/>
          <w:sz w:val="20"/>
          <w:szCs w:val="20"/>
        </w:rPr>
        <w:t xml:space="preserve">Na het uiteenzetten van de wijzigingen uit de Richtlijn voor het huidige BW is er een praktijkonderzoek binnen </w:t>
      </w:r>
      <w:r w:rsidR="00DC68A1" w:rsidRPr="000C446C">
        <w:rPr>
          <w:rFonts w:ascii="Verdana" w:hAnsi="Verdana"/>
          <w:b/>
          <w:bCs/>
          <w:sz w:val="24"/>
          <w:szCs w:val="24"/>
        </w:rPr>
        <w:t>XXX</w:t>
      </w:r>
      <w:r w:rsidR="00DC68A1" w:rsidRPr="00F3528C">
        <w:rPr>
          <w:rFonts w:ascii="Verdana" w:hAnsi="Verdana"/>
          <w:sz w:val="20"/>
          <w:szCs w:val="20"/>
        </w:rPr>
        <w:t xml:space="preserve"> </w:t>
      </w:r>
      <w:r w:rsidRPr="00F3528C">
        <w:rPr>
          <w:rFonts w:ascii="Verdana" w:hAnsi="Verdana"/>
          <w:sz w:val="20"/>
          <w:szCs w:val="20"/>
        </w:rPr>
        <w:t xml:space="preserve">verricht om de exacte gevolgen van implementatie van de Richtlijn voor de huidige adviespraktijk uiteen te zetten. Door het voeren van interviews met juristen én document- en dossieronderzoek is de </w:t>
      </w:r>
      <w:r w:rsidR="00F3528C">
        <w:rPr>
          <w:rFonts w:ascii="Verdana" w:hAnsi="Verdana"/>
          <w:sz w:val="20"/>
          <w:szCs w:val="20"/>
        </w:rPr>
        <w:t xml:space="preserve">huidige </w:t>
      </w:r>
      <w:r w:rsidRPr="00F3528C">
        <w:rPr>
          <w:rFonts w:ascii="Verdana" w:hAnsi="Verdana"/>
          <w:sz w:val="20"/>
          <w:szCs w:val="20"/>
        </w:rPr>
        <w:t>werkwijze geanalyseerd. De conclusies daaruit zijn:</w:t>
      </w:r>
    </w:p>
    <w:p w14:paraId="48A05AF1" w14:textId="77777777" w:rsidR="00A6782F" w:rsidRPr="00F3528C" w:rsidRDefault="00A6782F" w:rsidP="00A6782F">
      <w:pPr>
        <w:pStyle w:val="Geenafstand"/>
        <w:rPr>
          <w:rFonts w:ascii="Verdana" w:hAnsi="Verdana"/>
          <w:sz w:val="20"/>
          <w:szCs w:val="20"/>
        </w:rPr>
      </w:pPr>
    </w:p>
    <w:p w14:paraId="4ACDB048" w14:textId="77777777" w:rsidR="00A6782F" w:rsidRPr="00F3528C" w:rsidRDefault="00A6782F" w:rsidP="00A6782F">
      <w:pPr>
        <w:pStyle w:val="Geenafstand"/>
        <w:numPr>
          <w:ilvl w:val="0"/>
          <w:numId w:val="22"/>
        </w:numPr>
        <w:ind w:left="284" w:hanging="284"/>
        <w:rPr>
          <w:rFonts w:ascii="Verdana" w:hAnsi="Verdana"/>
          <w:sz w:val="20"/>
          <w:szCs w:val="20"/>
        </w:rPr>
      </w:pPr>
      <w:r w:rsidRPr="00F3528C">
        <w:rPr>
          <w:rFonts w:ascii="Verdana" w:hAnsi="Verdana"/>
          <w:sz w:val="20"/>
          <w:szCs w:val="20"/>
        </w:rPr>
        <w:t>Er treden veranderingen op in de haalbaarheid van dossiers over non-conformiteit bij consumentenkoop. Zo wordt de onderzoeksplicht door de Richtlijn geschrapt, waardoor sommige zaken – over het niet voldoen aan de onderzoeksplicht – niet meer onder de uitsluiting van de polisvoorwaarden vallen.</w:t>
      </w:r>
    </w:p>
    <w:p w14:paraId="4FF0A71A" w14:textId="77777777" w:rsidR="00A6782F" w:rsidRPr="00F3528C" w:rsidRDefault="00A6782F" w:rsidP="00A6782F">
      <w:pPr>
        <w:pStyle w:val="Geenafstand"/>
        <w:rPr>
          <w:rFonts w:ascii="Verdana" w:hAnsi="Verdana"/>
          <w:sz w:val="20"/>
          <w:szCs w:val="20"/>
        </w:rPr>
      </w:pPr>
    </w:p>
    <w:p w14:paraId="5E476E54" w14:textId="26D8993F" w:rsidR="00A6782F" w:rsidRPr="00F3528C" w:rsidRDefault="000A286C" w:rsidP="00A6782F">
      <w:pPr>
        <w:pStyle w:val="Geenafstand"/>
        <w:numPr>
          <w:ilvl w:val="0"/>
          <w:numId w:val="22"/>
        </w:numPr>
        <w:ind w:left="284" w:hanging="284"/>
        <w:rPr>
          <w:rFonts w:ascii="Verdana" w:hAnsi="Verdana"/>
          <w:sz w:val="20"/>
          <w:szCs w:val="20"/>
        </w:rPr>
      </w:pPr>
      <w:r>
        <w:rPr>
          <w:rFonts w:ascii="Verdana" w:hAnsi="Verdana"/>
          <w:sz w:val="20"/>
          <w:szCs w:val="20"/>
        </w:rPr>
        <w:t>H</w:t>
      </w:r>
      <w:r w:rsidR="00A6782F" w:rsidRPr="00F3528C">
        <w:rPr>
          <w:rFonts w:ascii="Verdana" w:hAnsi="Verdana"/>
          <w:sz w:val="20"/>
          <w:szCs w:val="20"/>
        </w:rPr>
        <w:t xml:space="preserve">et verlengen van de termijn van het bewijsvermoeden zal de haalbaarheid in dossiers vergroten, omdat uit dossieronderzoek is gebleken dat een dossier – na verloop van de termijn van het bewijsvermoeden – vanwege een gebrek aan bewijs lastiger haalbaar </w:t>
      </w:r>
      <w:r w:rsidR="00792A78">
        <w:rPr>
          <w:rFonts w:ascii="Verdana" w:hAnsi="Verdana"/>
          <w:sz w:val="20"/>
          <w:szCs w:val="20"/>
        </w:rPr>
        <w:t xml:space="preserve">is. </w:t>
      </w:r>
      <w:r w:rsidR="00A6782F" w:rsidRPr="00F3528C">
        <w:rPr>
          <w:rFonts w:ascii="Verdana" w:hAnsi="Verdana"/>
          <w:sz w:val="20"/>
          <w:szCs w:val="20"/>
        </w:rPr>
        <w:t xml:space="preserve"> </w:t>
      </w:r>
      <w:r w:rsidR="00A6782F" w:rsidRPr="00F3528C">
        <w:rPr>
          <w:rFonts w:ascii="Verdana" w:hAnsi="Verdana"/>
          <w:sz w:val="20"/>
          <w:szCs w:val="20"/>
        </w:rPr>
        <w:br/>
      </w:r>
    </w:p>
    <w:p w14:paraId="75607D34" w14:textId="5DA61539" w:rsidR="00A6782F" w:rsidRPr="00F3528C" w:rsidRDefault="000A286C" w:rsidP="00A6782F">
      <w:pPr>
        <w:pStyle w:val="Geenafstand"/>
        <w:numPr>
          <w:ilvl w:val="0"/>
          <w:numId w:val="22"/>
        </w:numPr>
        <w:ind w:left="284" w:hanging="284"/>
        <w:rPr>
          <w:rFonts w:ascii="Verdana" w:hAnsi="Verdana"/>
          <w:sz w:val="20"/>
          <w:szCs w:val="20"/>
        </w:rPr>
      </w:pPr>
      <w:r>
        <w:rPr>
          <w:rFonts w:ascii="Verdana" w:hAnsi="Verdana"/>
          <w:sz w:val="20"/>
          <w:szCs w:val="20"/>
        </w:rPr>
        <w:t xml:space="preserve">Er treedt </w:t>
      </w:r>
      <w:r w:rsidR="00A6782F" w:rsidRPr="00F3528C">
        <w:rPr>
          <w:rFonts w:ascii="Verdana" w:hAnsi="Verdana"/>
          <w:sz w:val="20"/>
          <w:szCs w:val="20"/>
        </w:rPr>
        <w:t xml:space="preserve">een verandering op bij het vaststellen van non-conformiteit. Een jurist bij </w:t>
      </w:r>
      <w:r w:rsidR="00DC68A1" w:rsidRPr="000C446C">
        <w:rPr>
          <w:rFonts w:ascii="Verdana" w:hAnsi="Verdana"/>
          <w:b/>
          <w:bCs/>
          <w:sz w:val="24"/>
          <w:szCs w:val="24"/>
        </w:rPr>
        <w:t>XXX</w:t>
      </w:r>
      <w:r w:rsidR="00DC68A1" w:rsidRPr="00F3528C">
        <w:rPr>
          <w:rFonts w:ascii="Verdana" w:hAnsi="Verdana"/>
          <w:sz w:val="20"/>
          <w:szCs w:val="20"/>
        </w:rPr>
        <w:t xml:space="preserve"> </w:t>
      </w:r>
      <w:r w:rsidR="00A6782F" w:rsidRPr="00F3528C">
        <w:rPr>
          <w:rFonts w:ascii="Verdana" w:hAnsi="Verdana"/>
          <w:sz w:val="20"/>
          <w:szCs w:val="20"/>
        </w:rPr>
        <w:t xml:space="preserve">beoordeelt de non-conformiteit aan de hand van artikel 7:17 BW en jurisprudentie. De Richtlijn zorgt voor verandering in de wettelijke grondslag, omdat de specifieke conformiteitsvereisten bij consumentenkoop in artikel 7:18 BW worden opgenomen. Voor een jurist bij </w:t>
      </w:r>
      <w:r w:rsidR="00DC68A1" w:rsidRPr="000C446C">
        <w:rPr>
          <w:rFonts w:ascii="Verdana" w:hAnsi="Verdana"/>
          <w:b/>
          <w:bCs/>
          <w:sz w:val="24"/>
          <w:szCs w:val="24"/>
        </w:rPr>
        <w:t>XXX</w:t>
      </w:r>
      <w:r w:rsidR="00DC68A1" w:rsidRPr="00F3528C">
        <w:rPr>
          <w:rFonts w:ascii="Verdana" w:hAnsi="Verdana"/>
          <w:sz w:val="20"/>
          <w:szCs w:val="20"/>
        </w:rPr>
        <w:t xml:space="preserve"> </w:t>
      </w:r>
      <w:r w:rsidR="00A6782F" w:rsidRPr="00F3528C">
        <w:rPr>
          <w:rFonts w:ascii="Verdana" w:hAnsi="Verdana"/>
          <w:sz w:val="20"/>
          <w:szCs w:val="20"/>
        </w:rPr>
        <w:t>betekent dit dan ook dat het – na implementatie van de Richtlijn – onvoldoende is om enkel artikel 7:17 BW bij de beoordeling van non-conformiteit mee te wegen.</w:t>
      </w:r>
    </w:p>
    <w:p w14:paraId="38FAE656" w14:textId="77777777" w:rsidR="00D64021" w:rsidRDefault="00D64021" w:rsidP="00D64021">
      <w:pPr>
        <w:pStyle w:val="Geenafstand"/>
        <w:rPr>
          <w:rFonts w:ascii="Verdana" w:hAnsi="Verdana"/>
          <w:sz w:val="20"/>
          <w:szCs w:val="20"/>
        </w:rPr>
      </w:pPr>
    </w:p>
    <w:p w14:paraId="30DF420D" w14:textId="38F56B66" w:rsidR="00A6782F" w:rsidRPr="00D64021" w:rsidRDefault="00D64021" w:rsidP="00A6782F">
      <w:pPr>
        <w:pStyle w:val="Geenafstand"/>
        <w:rPr>
          <w:rFonts w:ascii="Verdana" w:hAnsi="Verdana"/>
          <w:sz w:val="20"/>
          <w:szCs w:val="20"/>
        </w:rPr>
      </w:pPr>
      <w:r w:rsidRPr="00D64021">
        <w:rPr>
          <w:rFonts w:ascii="Verdana" w:hAnsi="Verdana"/>
          <w:sz w:val="20"/>
          <w:szCs w:val="20"/>
        </w:rPr>
        <w:t xml:space="preserve">De wijzigingen uit de Richtlijn resulteren – gelet op de vele wijzigingen  – in een </w:t>
      </w:r>
      <w:r w:rsidR="000A286C">
        <w:rPr>
          <w:rFonts w:ascii="Verdana" w:hAnsi="Verdana"/>
          <w:sz w:val="20"/>
          <w:szCs w:val="20"/>
        </w:rPr>
        <w:t>uitgebreid antwoord</w:t>
      </w:r>
      <w:r w:rsidRPr="00D64021">
        <w:rPr>
          <w:rFonts w:ascii="Verdana" w:hAnsi="Verdana"/>
          <w:sz w:val="20"/>
          <w:szCs w:val="20"/>
        </w:rPr>
        <w:t xml:space="preserve"> op de centrale vraag</w:t>
      </w:r>
      <w:r>
        <w:rPr>
          <w:rFonts w:ascii="Verdana" w:hAnsi="Verdana"/>
          <w:sz w:val="20"/>
          <w:szCs w:val="20"/>
        </w:rPr>
        <w:t xml:space="preserve">. </w:t>
      </w:r>
      <w:r w:rsidR="00A6782F" w:rsidRPr="00D64021">
        <w:rPr>
          <w:rFonts w:ascii="Verdana" w:hAnsi="Verdana"/>
          <w:sz w:val="20"/>
          <w:szCs w:val="20"/>
        </w:rPr>
        <w:t xml:space="preserve">In algemene bewoording kan worden gesteld dat de Richtlijn invloed heeft op de advisering bij </w:t>
      </w:r>
      <w:r w:rsidR="00DC68A1" w:rsidRPr="000C446C">
        <w:rPr>
          <w:rFonts w:ascii="Verdana" w:hAnsi="Verdana"/>
          <w:b/>
          <w:bCs/>
          <w:sz w:val="24"/>
          <w:szCs w:val="24"/>
        </w:rPr>
        <w:t>XXX</w:t>
      </w:r>
      <w:r w:rsidR="00A6782F" w:rsidRPr="00D64021">
        <w:rPr>
          <w:rFonts w:ascii="Verdana" w:hAnsi="Verdana"/>
          <w:sz w:val="20"/>
          <w:szCs w:val="20"/>
        </w:rPr>
        <w:t>, omdat de toepassing van het conformiteitsvereiste, de ontbindingsmogelijkhed</w:t>
      </w:r>
      <w:r w:rsidR="00792A78">
        <w:rPr>
          <w:rFonts w:ascii="Verdana" w:hAnsi="Verdana"/>
          <w:sz w:val="20"/>
          <w:szCs w:val="20"/>
        </w:rPr>
        <w:t>en</w:t>
      </w:r>
      <w:r w:rsidR="00A6782F" w:rsidRPr="00D64021">
        <w:rPr>
          <w:rFonts w:ascii="Verdana" w:hAnsi="Verdana"/>
          <w:sz w:val="20"/>
          <w:szCs w:val="20"/>
        </w:rPr>
        <w:t xml:space="preserve"> en het toepassingsgebied van de kooptitel wijzigen. </w:t>
      </w:r>
    </w:p>
    <w:p w14:paraId="7FF5C117" w14:textId="77777777" w:rsidR="00A6782F" w:rsidRPr="00F3528C" w:rsidRDefault="00A6782F" w:rsidP="00A6782F">
      <w:pPr>
        <w:pStyle w:val="Geenafstand"/>
        <w:rPr>
          <w:rFonts w:ascii="Verdana" w:hAnsi="Verdana"/>
          <w:sz w:val="20"/>
          <w:szCs w:val="20"/>
        </w:rPr>
      </w:pPr>
    </w:p>
    <w:p w14:paraId="73AE5739" w14:textId="02551E1D" w:rsidR="00304118" w:rsidRPr="00F3528C" w:rsidRDefault="00304118" w:rsidP="00304118">
      <w:pPr>
        <w:pStyle w:val="Geenafstand"/>
        <w:rPr>
          <w:rFonts w:ascii="Verdana" w:hAnsi="Verdana"/>
          <w:sz w:val="20"/>
          <w:szCs w:val="20"/>
        </w:rPr>
      </w:pPr>
    </w:p>
    <w:p w14:paraId="13EFF826" w14:textId="64719ACA" w:rsidR="00D64021" w:rsidRDefault="00D64021" w:rsidP="00D64021">
      <w:pPr>
        <w:pStyle w:val="Geenafstand"/>
        <w:rPr>
          <w:rFonts w:ascii="Verdana" w:hAnsi="Verdana"/>
          <w:sz w:val="20"/>
          <w:szCs w:val="20"/>
        </w:rPr>
      </w:pPr>
    </w:p>
    <w:p w14:paraId="754C1D95" w14:textId="77777777" w:rsidR="00D64021" w:rsidRPr="00117001" w:rsidRDefault="00D64021" w:rsidP="00D64021">
      <w:pPr>
        <w:pStyle w:val="Geenafstand"/>
        <w:rPr>
          <w:rFonts w:ascii="Verdana" w:hAnsi="Verdana"/>
          <w:color w:val="70AD47" w:themeColor="accent6"/>
          <w:sz w:val="20"/>
          <w:szCs w:val="20"/>
        </w:rPr>
      </w:pPr>
    </w:p>
    <w:p w14:paraId="780F74F6" w14:textId="77777777" w:rsidR="00D64021" w:rsidRPr="00117001" w:rsidRDefault="00D64021" w:rsidP="00D64021">
      <w:pPr>
        <w:rPr>
          <w:color w:val="70AD47" w:themeColor="accent6"/>
        </w:rPr>
      </w:pPr>
    </w:p>
    <w:p w14:paraId="5D9F35B6" w14:textId="3FDC72DD" w:rsidR="00304118" w:rsidRPr="00F3528C" w:rsidRDefault="00304118" w:rsidP="00304118">
      <w:pPr>
        <w:pStyle w:val="Geenafstand"/>
        <w:rPr>
          <w:rFonts w:ascii="Verdana" w:hAnsi="Verdana"/>
          <w:sz w:val="20"/>
          <w:szCs w:val="20"/>
        </w:rPr>
      </w:pPr>
    </w:p>
    <w:p w14:paraId="072F69C5" w14:textId="40F96A1B" w:rsidR="00304118" w:rsidRPr="00F3528C" w:rsidRDefault="00304118" w:rsidP="00304118">
      <w:pPr>
        <w:pStyle w:val="Geenafstand"/>
        <w:rPr>
          <w:rFonts w:ascii="Verdana" w:hAnsi="Verdana"/>
          <w:sz w:val="20"/>
          <w:szCs w:val="20"/>
        </w:rPr>
      </w:pPr>
    </w:p>
    <w:p w14:paraId="3B6868D9" w14:textId="2F8B1AE9" w:rsidR="00304118" w:rsidRDefault="00304118" w:rsidP="00304118">
      <w:pPr>
        <w:pStyle w:val="Geenafstand"/>
        <w:rPr>
          <w:rFonts w:ascii="Verdana" w:hAnsi="Verdana"/>
          <w:sz w:val="20"/>
          <w:szCs w:val="20"/>
        </w:rPr>
      </w:pPr>
    </w:p>
    <w:p w14:paraId="06941A77" w14:textId="7AC7F515" w:rsidR="00304118" w:rsidRDefault="00304118" w:rsidP="00304118">
      <w:pPr>
        <w:pStyle w:val="Geenafstand"/>
        <w:rPr>
          <w:rFonts w:ascii="Verdana" w:hAnsi="Verdana"/>
          <w:sz w:val="20"/>
          <w:szCs w:val="20"/>
        </w:rPr>
      </w:pPr>
    </w:p>
    <w:p w14:paraId="64122D20" w14:textId="77777777" w:rsidR="00304118" w:rsidRDefault="00304118" w:rsidP="00304118">
      <w:pPr>
        <w:pStyle w:val="Geenafstand"/>
        <w:rPr>
          <w:rFonts w:ascii="Verdana" w:hAnsi="Verdana"/>
          <w:sz w:val="20"/>
          <w:szCs w:val="20"/>
        </w:rPr>
      </w:pPr>
    </w:p>
    <w:p w14:paraId="67DC0FA6" w14:textId="77777777" w:rsidR="00304118" w:rsidRDefault="00304118" w:rsidP="00304118">
      <w:pPr>
        <w:pStyle w:val="Geenafstand"/>
        <w:rPr>
          <w:rFonts w:ascii="Verdana" w:hAnsi="Verdana"/>
          <w:sz w:val="20"/>
          <w:szCs w:val="20"/>
        </w:rPr>
      </w:pPr>
    </w:p>
    <w:sdt>
      <w:sdtPr>
        <w:rPr>
          <w:rFonts w:eastAsiaTheme="minorHAnsi" w:cstheme="minorBidi"/>
          <w:b w:val="0"/>
          <w:bCs/>
          <w:sz w:val="20"/>
          <w:szCs w:val="20"/>
          <w:lang w:eastAsia="en-US"/>
        </w:rPr>
        <w:id w:val="-1046225390"/>
        <w:docPartObj>
          <w:docPartGallery w:val="Table of Contents"/>
          <w:docPartUnique/>
        </w:docPartObj>
      </w:sdtPr>
      <w:sdtEndPr/>
      <w:sdtContent>
        <w:p w14:paraId="1E38B667" w14:textId="4E8A3A78" w:rsidR="007E7A33" w:rsidRPr="0082357C" w:rsidRDefault="007E7A33">
          <w:pPr>
            <w:pStyle w:val="Kopvaninhoudsopgave"/>
            <w:rPr>
              <w:b w:val="0"/>
              <w:color w:val="595959" w:themeColor="text1" w:themeTint="A6"/>
              <w:sz w:val="20"/>
              <w:szCs w:val="20"/>
            </w:rPr>
          </w:pPr>
          <w:r w:rsidRPr="0082357C">
            <w:rPr>
              <w:sz w:val="20"/>
              <w:szCs w:val="20"/>
            </w:rPr>
            <w:t>Inhoudsopgave</w:t>
          </w:r>
        </w:p>
        <w:p w14:paraId="70A5A6E0" w14:textId="77777777" w:rsidR="00B5761F" w:rsidRDefault="00306C56" w:rsidP="0082357C">
          <w:pPr>
            <w:pStyle w:val="Inhopg1"/>
          </w:pPr>
          <w:r w:rsidRPr="0082357C">
            <w:t xml:space="preserve">   </w:t>
          </w:r>
          <w:r w:rsidR="007E7A33" w:rsidRPr="0082357C">
            <w:fldChar w:fldCharType="begin"/>
          </w:r>
          <w:r w:rsidR="007E7A33" w:rsidRPr="0082357C">
            <w:instrText xml:space="preserve"> TOC \o "1-3" \h \z \u </w:instrText>
          </w:r>
          <w:r w:rsidR="007E7A33" w:rsidRPr="0082357C">
            <w:fldChar w:fldCharType="separate"/>
          </w:r>
        </w:p>
        <w:p w14:paraId="1DFFC1C2" w14:textId="4DDFA0ED" w:rsidR="00B5761F" w:rsidRDefault="0065686B">
          <w:pPr>
            <w:pStyle w:val="Inhopg1"/>
            <w:rPr>
              <w:rFonts w:asciiTheme="minorHAnsi" w:eastAsiaTheme="minorEastAsia" w:hAnsiTheme="minorHAnsi"/>
              <w:b w:val="0"/>
              <w:sz w:val="22"/>
              <w:szCs w:val="22"/>
              <w:lang w:eastAsia="nl-NL"/>
            </w:rPr>
          </w:pPr>
          <w:hyperlink w:anchor="_Toc72576270" w:history="1">
            <w:r w:rsidR="00B5761F" w:rsidRPr="00730ED8">
              <w:rPr>
                <w:rStyle w:val="Hyperlink"/>
              </w:rPr>
              <w:t>Hoofstuk 1: Inleiding</w:t>
            </w:r>
            <w:r w:rsidR="00B5761F">
              <w:rPr>
                <w:webHidden/>
              </w:rPr>
              <w:tab/>
            </w:r>
            <w:r w:rsidR="00B5761F">
              <w:rPr>
                <w:webHidden/>
              </w:rPr>
              <w:fldChar w:fldCharType="begin"/>
            </w:r>
            <w:r w:rsidR="00B5761F">
              <w:rPr>
                <w:webHidden/>
              </w:rPr>
              <w:instrText xml:space="preserve"> PAGEREF _Toc72576270 \h </w:instrText>
            </w:r>
            <w:r w:rsidR="00B5761F">
              <w:rPr>
                <w:webHidden/>
              </w:rPr>
            </w:r>
            <w:r w:rsidR="00B5761F">
              <w:rPr>
                <w:webHidden/>
              </w:rPr>
              <w:fldChar w:fldCharType="separate"/>
            </w:r>
            <w:r w:rsidR="000C446C">
              <w:rPr>
                <w:webHidden/>
              </w:rPr>
              <w:t>6</w:t>
            </w:r>
            <w:r w:rsidR="00B5761F">
              <w:rPr>
                <w:webHidden/>
              </w:rPr>
              <w:fldChar w:fldCharType="end"/>
            </w:r>
          </w:hyperlink>
        </w:p>
        <w:p w14:paraId="77B8F5FB" w14:textId="4CDFC022" w:rsidR="00B5761F" w:rsidRDefault="0065686B">
          <w:pPr>
            <w:pStyle w:val="Inhopg2"/>
            <w:rPr>
              <w:rFonts w:asciiTheme="minorHAnsi" w:eastAsiaTheme="minorEastAsia" w:hAnsiTheme="minorHAnsi"/>
              <w:noProof/>
              <w:sz w:val="22"/>
              <w:lang w:eastAsia="nl-NL"/>
            </w:rPr>
          </w:pPr>
          <w:hyperlink w:anchor="_Toc72576271" w:history="1">
            <w:r w:rsidR="00B5761F" w:rsidRPr="00730ED8">
              <w:rPr>
                <w:rStyle w:val="Hyperlink"/>
                <w:noProof/>
              </w:rPr>
              <w:t>1.1 Aanleiding</w:t>
            </w:r>
            <w:r w:rsidR="00B5761F">
              <w:rPr>
                <w:noProof/>
                <w:webHidden/>
              </w:rPr>
              <w:tab/>
            </w:r>
            <w:r w:rsidR="00B5761F">
              <w:rPr>
                <w:noProof/>
                <w:webHidden/>
              </w:rPr>
              <w:fldChar w:fldCharType="begin"/>
            </w:r>
            <w:r w:rsidR="00B5761F">
              <w:rPr>
                <w:noProof/>
                <w:webHidden/>
              </w:rPr>
              <w:instrText xml:space="preserve"> PAGEREF _Toc72576271 \h </w:instrText>
            </w:r>
            <w:r w:rsidR="00B5761F">
              <w:rPr>
                <w:noProof/>
                <w:webHidden/>
              </w:rPr>
            </w:r>
            <w:r w:rsidR="00B5761F">
              <w:rPr>
                <w:noProof/>
                <w:webHidden/>
              </w:rPr>
              <w:fldChar w:fldCharType="separate"/>
            </w:r>
            <w:r w:rsidR="000C446C">
              <w:rPr>
                <w:noProof/>
                <w:webHidden/>
              </w:rPr>
              <w:t>6</w:t>
            </w:r>
            <w:r w:rsidR="00B5761F">
              <w:rPr>
                <w:noProof/>
                <w:webHidden/>
              </w:rPr>
              <w:fldChar w:fldCharType="end"/>
            </w:r>
          </w:hyperlink>
        </w:p>
        <w:p w14:paraId="0DC19B78" w14:textId="66ED13BB" w:rsidR="00B5761F" w:rsidRDefault="0065686B">
          <w:pPr>
            <w:pStyle w:val="Inhopg2"/>
            <w:rPr>
              <w:rFonts w:asciiTheme="minorHAnsi" w:eastAsiaTheme="minorEastAsia" w:hAnsiTheme="minorHAnsi"/>
              <w:noProof/>
              <w:sz w:val="22"/>
              <w:lang w:eastAsia="nl-NL"/>
            </w:rPr>
          </w:pPr>
          <w:hyperlink w:anchor="_Toc72576272" w:history="1">
            <w:r w:rsidR="00B5761F" w:rsidRPr="00730ED8">
              <w:rPr>
                <w:rStyle w:val="Hyperlink"/>
                <w:noProof/>
              </w:rPr>
              <w:t>1.2. Opdrachtgever en doelgroep</w:t>
            </w:r>
            <w:r w:rsidR="00B5761F">
              <w:rPr>
                <w:noProof/>
                <w:webHidden/>
              </w:rPr>
              <w:tab/>
            </w:r>
            <w:r w:rsidR="00B5761F">
              <w:rPr>
                <w:noProof/>
                <w:webHidden/>
              </w:rPr>
              <w:fldChar w:fldCharType="begin"/>
            </w:r>
            <w:r w:rsidR="00B5761F">
              <w:rPr>
                <w:noProof/>
                <w:webHidden/>
              </w:rPr>
              <w:instrText xml:space="preserve"> PAGEREF _Toc72576272 \h </w:instrText>
            </w:r>
            <w:r w:rsidR="00B5761F">
              <w:rPr>
                <w:noProof/>
                <w:webHidden/>
              </w:rPr>
            </w:r>
            <w:r w:rsidR="00B5761F">
              <w:rPr>
                <w:noProof/>
                <w:webHidden/>
              </w:rPr>
              <w:fldChar w:fldCharType="separate"/>
            </w:r>
            <w:r w:rsidR="000C446C">
              <w:rPr>
                <w:noProof/>
                <w:webHidden/>
              </w:rPr>
              <w:t>6</w:t>
            </w:r>
            <w:r w:rsidR="00B5761F">
              <w:rPr>
                <w:noProof/>
                <w:webHidden/>
              </w:rPr>
              <w:fldChar w:fldCharType="end"/>
            </w:r>
          </w:hyperlink>
        </w:p>
        <w:p w14:paraId="5775F2AE" w14:textId="0F735E28" w:rsidR="00B5761F" w:rsidRDefault="0065686B">
          <w:pPr>
            <w:pStyle w:val="Inhopg2"/>
            <w:rPr>
              <w:rFonts w:asciiTheme="minorHAnsi" w:eastAsiaTheme="minorEastAsia" w:hAnsiTheme="minorHAnsi"/>
              <w:noProof/>
              <w:sz w:val="22"/>
              <w:lang w:eastAsia="nl-NL"/>
            </w:rPr>
          </w:pPr>
          <w:hyperlink w:anchor="_Toc72576273" w:history="1">
            <w:r w:rsidR="00B5761F" w:rsidRPr="00730ED8">
              <w:rPr>
                <w:rStyle w:val="Hyperlink"/>
                <w:noProof/>
              </w:rPr>
              <w:t>1.3. Praktijkprobleem</w:t>
            </w:r>
            <w:r w:rsidR="00B5761F">
              <w:rPr>
                <w:noProof/>
                <w:webHidden/>
              </w:rPr>
              <w:tab/>
            </w:r>
            <w:r w:rsidR="00B5761F">
              <w:rPr>
                <w:noProof/>
                <w:webHidden/>
              </w:rPr>
              <w:fldChar w:fldCharType="begin"/>
            </w:r>
            <w:r w:rsidR="00B5761F">
              <w:rPr>
                <w:noProof/>
                <w:webHidden/>
              </w:rPr>
              <w:instrText xml:space="preserve"> PAGEREF _Toc72576273 \h </w:instrText>
            </w:r>
            <w:r w:rsidR="00B5761F">
              <w:rPr>
                <w:noProof/>
                <w:webHidden/>
              </w:rPr>
            </w:r>
            <w:r w:rsidR="00B5761F">
              <w:rPr>
                <w:noProof/>
                <w:webHidden/>
              </w:rPr>
              <w:fldChar w:fldCharType="separate"/>
            </w:r>
            <w:r w:rsidR="000C446C">
              <w:rPr>
                <w:noProof/>
                <w:webHidden/>
              </w:rPr>
              <w:t>6</w:t>
            </w:r>
            <w:r w:rsidR="00B5761F">
              <w:rPr>
                <w:noProof/>
                <w:webHidden/>
              </w:rPr>
              <w:fldChar w:fldCharType="end"/>
            </w:r>
          </w:hyperlink>
        </w:p>
        <w:p w14:paraId="62EBDDDE" w14:textId="2630628F" w:rsidR="00B5761F" w:rsidRDefault="0065686B">
          <w:pPr>
            <w:pStyle w:val="Inhopg2"/>
            <w:rPr>
              <w:rFonts w:asciiTheme="minorHAnsi" w:eastAsiaTheme="minorEastAsia" w:hAnsiTheme="minorHAnsi"/>
              <w:noProof/>
              <w:sz w:val="22"/>
              <w:lang w:eastAsia="nl-NL"/>
            </w:rPr>
          </w:pPr>
          <w:hyperlink w:anchor="_Toc72576274" w:history="1">
            <w:r w:rsidR="00B5761F" w:rsidRPr="00730ED8">
              <w:rPr>
                <w:rStyle w:val="Hyperlink"/>
                <w:noProof/>
              </w:rPr>
              <w:t>1.4. Juridisch kader</w:t>
            </w:r>
            <w:r w:rsidR="00B5761F">
              <w:rPr>
                <w:noProof/>
                <w:webHidden/>
              </w:rPr>
              <w:tab/>
            </w:r>
            <w:r w:rsidR="00B5761F">
              <w:rPr>
                <w:noProof/>
                <w:webHidden/>
              </w:rPr>
              <w:fldChar w:fldCharType="begin"/>
            </w:r>
            <w:r w:rsidR="00B5761F">
              <w:rPr>
                <w:noProof/>
                <w:webHidden/>
              </w:rPr>
              <w:instrText xml:space="preserve"> PAGEREF _Toc72576274 \h </w:instrText>
            </w:r>
            <w:r w:rsidR="00B5761F">
              <w:rPr>
                <w:noProof/>
                <w:webHidden/>
              </w:rPr>
            </w:r>
            <w:r w:rsidR="00B5761F">
              <w:rPr>
                <w:noProof/>
                <w:webHidden/>
              </w:rPr>
              <w:fldChar w:fldCharType="separate"/>
            </w:r>
            <w:r w:rsidR="000C446C">
              <w:rPr>
                <w:noProof/>
                <w:webHidden/>
              </w:rPr>
              <w:t>7</w:t>
            </w:r>
            <w:r w:rsidR="00B5761F">
              <w:rPr>
                <w:noProof/>
                <w:webHidden/>
              </w:rPr>
              <w:fldChar w:fldCharType="end"/>
            </w:r>
          </w:hyperlink>
        </w:p>
        <w:p w14:paraId="0DAB73A1" w14:textId="5A3E9094" w:rsidR="00B5761F" w:rsidRDefault="0065686B">
          <w:pPr>
            <w:pStyle w:val="Inhopg3"/>
            <w:rPr>
              <w:rFonts w:asciiTheme="minorHAnsi" w:hAnsiTheme="minorHAnsi" w:cstheme="minorBidi"/>
              <w:noProof/>
              <w:sz w:val="22"/>
            </w:rPr>
          </w:pPr>
          <w:hyperlink w:anchor="_Toc72576275" w:history="1">
            <w:r w:rsidR="00B5761F" w:rsidRPr="00730ED8">
              <w:rPr>
                <w:rStyle w:val="Hyperlink"/>
                <w:noProof/>
              </w:rPr>
              <w:t>1.4.1 De Richtlijn</w:t>
            </w:r>
            <w:r w:rsidR="00B5761F">
              <w:rPr>
                <w:noProof/>
                <w:webHidden/>
              </w:rPr>
              <w:tab/>
            </w:r>
            <w:r w:rsidR="00B5761F">
              <w:rPr>
                <w:noProof/>
                <w:webHidden/>
              </w:rPr>
              <w:fldChar w:fldCharType="begin"/>
            </w:r>
            <w:r w:rsidR="00B5761F">
              <w:rPr>
                <w:noProof/>
                <w:webHidden/>
              </w:rPr>
              <w:instrText xml:space="preserve"> PAGEREF _Toc72576275 \h </w:instrText>
            </w:r>
            <w:r w:rsidR="00B5761F">
              <w:rPr>
                <w:noProof/>
                <w:webHidden/>
              </w:rPr>
            </w:r>
            <w:r w:rsidR="00B5761F">
              <w:rPr>
                <w:noProof/>
                <w:webHidden/>
              </w:rPr>
              <w:fldChar w:fldCharType="separate"/>
            </w:r>
            <w:r w:rsidR="000C446C">
              <w:rPr>
                <w:noProof/>
                <w:webHidden/>
              </w:rPr>
              <w:t>8</w:t>
            </w:r>
            <w:r w:rsidR="00B5761F">
              <w:rPr>
                <w:noProof/>
                <w:webHidden/>
              </w:rPr>
              <w:fldChar w:fldCharType="end"/>
            </w:r>
          </w:hyperlink>
        </w:p>
        <w:p w14:paraId="057FA323" w14:textId="26D7D5A7" w:rsidR="00B5761F" w:rsidRDefault="0065686B">
          <w:pPr>
            <w:pStyle w:val="Inhopg2"/>
            <w:rPr>
              <w:rFonts w:asciiTheme="minorHAnsi" w:eastAsiaTheme="minorEastAsia" w:hAnsiTheme="minorHAnsi"/>
              <w:noProof/>
              <w:sz w:val="22"/>
              <w:lang w:eastAsia="nl-NL"/>
            </w:rPr>
          </w:pPr>
          <w:hyperlink w:anchor="_Toc72576276" w:history="1">
            <w:r w:rsidR="00B5761F" w:rsidRPr="00730ED8">
              <w:rPr>
                <w:rStyle w:val="Hyperlink"/>
                <w:noProof/>
              </w:rPr>
              <w:t>1.5. Doelstelling</w:t>
            </w:r>
            <w:r w:rsidR="00B5761F">
              <w:rPr>
                <w:noProof/>
                <w:webHidden/>
              </w:rPr>
              <w:tab/>
            </w:r>
            <w:r w:rsidR="00B5761F">
              <w:rPr>
                <w:noProof/>
                <w:webHidden/>
              </w:rPr>
              <w:fldChar w:fldCharType="begin"/>
            </w:r>
            <w:r w:rsidR="00B5761F">
              <w:rPr>
                <w:noProof/>
                <w:webHidden/>
              </w:rPr>
              <w:instrText xml:space="preserve"> PAGEREF _Toc72576276 \h </w:instrText>
            </w:r>
            <w:r w:rsidR="00B5761F">
              <w:rPr>
                <w:noProof/>
                <w:webHidden/>
              </w:rPr>
            </w:r>
            <w:r w:rsidR="00B5761F">
              <w:rPr>
                <w:noProof/>
                <w:webHidden/>
              </w:rPr>
              <w:fldChar w:fldCharType="separate"/>
            </w:r>
            <w:r w:rsidR="000C446C">
              <w:rPr>
                <w:noProof/>
                <w:webHidden/>
              </w:rPr>
              <w:t>8</w:t>
            </w:r>
            <w:r w:rsidR="00B5761F">
              <w:rPr>
                <w:noProof/>
                <w:webHidden/>
              </w:rPr>
              <w:fldChar w:fldCharType="end"/>
            </w:r>
          </w:hyperlink>
        </w:p>
        <w:p w14:paraId="0CA2194F" w14:textId="578404CC" w:rsidR="00B5761F" w:rsidRDefault="0065686B">
          <w:pPr>
            <w:pStyle w:val="Inhopg2"/>
            <w:rPr>
              <w:rFonts w:asciiTheme="minorHAnsi" w:eastAsiaTheme="minorEastAsia" w:hAnsiTheme="minorHAnsi"/>
              <w:noProof/>
              <w:sz w:val="22"/>
              <w:lang w:eastAsia="nl-NL"/>
            </w:rPr>
          </w:pPr>
          <w:hyperlink w:anchor="_Toc72576277" w:history="1">
            <w:r w:rsidR="00B5761F" w:rsidRPr="00730ED8">
              <w:rPr>
                <w:rStyle w:val="Hyperlink"/>
                <w:noProof/>
              </w:rPr>
              <w:t>1.6. Centrale vraag</w:t>
            </w:r>
            <w:r w:rsidR="00B5761F">
              <w:rPr>
                <w:noProof/>
                <w:webHidden/>
              </w:rPr>
              <w:tab/>
            </w:r>
            <w:r w:rsidR="00B5761F">
              <w:rPr>
                <w:noProof/>
                <w:webHidden/>
              </w:rPr>
              <w:fldChar w:fldCharType="begin"/>
            </w:r>
            <w:r w:rsidR="00B5761F">
              <w:rPr>
                <w:noProof/>
                <w:webHidden/>
              </w:rPr>
              <w:instrText xml:space="preserve"> PAGEREF _Toc72576277 \h </w:instrText>
            </w:r>
            <w:r w:rsidR="00B5761F">
              <w:rPr>
                <w:noProof/>
                <w:webHidden/>
              </w:rPr>
            </w:r>
            <w:r w:rsidR="00B5761F">
              <w:rPr>
                <w:noProof/>
                <w:webHidden/>
              </w:rPr>
              <w:fldChar w:fldCharType="separate"/>
            </w:r>
            <w:r w:rsidR="000C446C">
              <w:rPr>
                <w:noProof/>
                <w:webHidden/>
              </w:rPr>
              <w:t>8</w:t>
            </w:r>
            <w:r w:rsidR="00B5761F">
              <w:rPr>
                <w:noProof/>
                <w:webHidden/>
              </w:rPr>
              <w:fldChar w:fldCharType="end"/>
            </w:r>
          </w:hyperlink>
        </w:p>
        <w:p w14:paraId="41B1A9E4" w14:textId="175CE8F7" w:rsidR="00B5761F" w:rsidRDefault="0065686B">
          <w:pPr>
            <w:pStyle w:val="Inhopg2"/>
            <w:rPr>
              <w:rFonts w:asciiTheme="minorHAnsi" w:eastAsiaTheme="minorEastAsia" w:hAnsiTheme="minorHAnsi"/>
              <w:noProof/>
              <w:sz w:val="22"/>
              <w:lang w:eastAsia="nl-NL"/>
            </w:rPr>
          </w:pPr>
          <w:hyperlink w:anchor="_Toc72576278" w:history="1">
            <w:r w:rsidR="00B5761F" w:rsidRPr="00730ED8">
              <w:rPr>
                <w:rStyle w:val="Hyperlink"/>
                <w:noProof/>
              </w:rPr>
              <w:t>1.7. Deelvragen</w:t>
            </w:r>
            <w:r w:rsidR="00B5761F">
              <w:rPr>
                <w:noProof/>
                <w:webHidden/>
              </w:rPr>
              <w:tab/>
            </w:r>
            <w:r w:rsidR="00B5761F">
              <w:rPr>
                <w:noProof/>
                <w:webHidden/>
              </w:rPr>
              <w:fldChar w:fldCharType="begin"/>
            </w:r>
            <w:r w:rsidR="00B5761F">
              <w:rPr>
                <w:noProof/>
                <w:webHidden/>
              </w:rPr>
              <w:instrText xml:space="preserve"> PAGEREF _Toc72576278 \h </w:instrText>
            </w:r>
            <w:r w:rsidR="00B5761F">
              <w:rPr>
                <w:noProof/>
                <w:webHidden/>
              </w:rPr>
            </w:r>
            <w:r w:rsidR="00B5761F">
              <w:rPr>
                <w:noProof/>
                <w:webHidden/>
              </w:rPr>
              <w:fldChar w:fldCharType="separate"/>
            </w:r>
            <w:r w:rsidR="000C446C">
              <w:rPr>
                <w:noProof/>
                <w:webHidden/>
              </w:rPr>
              <w:t>8</w:t>
            </w:r>
            <w:r w:rsidR="00B5761F">
              <w:rPr>
                <w:noProof/>
                <w:webHidden/>
              </w:rPr>
              <w:fldChar w:fldCharType="end"/>
            </w:r>
          </w:hyperlink>
        </w:p>
        <w:p w14:paraId="57CF6086" w14:textId="68B5B5D0" w:rsidR="00B5761F" w:rsidRDefault="0065686B">
          <w:pPr>
            <w:pStyle w:val="Inhopg2"/>
            <w:rPr>
              <w:rFonts w:asciiTheme="minorHAnsi" w:eastAsiaTheme="minorEastAsia" w:hAnsiTheme="minorHAnsi"/>
              <w:noProof/>
              <w:sz w:val="22"/>
              <w:lang w:eastAsia="nl-NL"/>
            </w:rPr>
          </w:pPr>
          <w:hyperlink w:anchor="_Toc72576279" w:history="1">
            <w:r w:rsidR="00B5761F" w:rsidRPr="00730ED8">
              <w:rPr>
                <w:rStyle w:val="Hyperlink"/>
                <w:noProof/>
              </w:rPr>
              <w:t>1.8. Leeswijzer</w:t>
            </w:r>
            <w:r w:rsidR="00B5761F">
              <w:rPr>
                <w:noProof/>
                <w:webHidden/>
              </w:rPr>
              <w:tab/>
            </w:r>
            <w:r w:rsidR="00B5761F">
              <w:rPr>
                <w:noProof/>
                <w:webHidden/>
              </w:rPr>
              <w:fldChar w:fldCharType="begin"/>
            </w:r>
            <w:r w:rsidR="00B5761F">
              <w:rPr>
                <w:noProof/>
                <w:webHidden/>
              </w:rPr>
              <w:instrText xml:space="preserve"> PAGEREF _Toc72576279 \h </w:instrText>
            </w:r>
            <w:r w:rsidR="00B5761F">
              <w:rPr>
                <w:noProof/>
                <w:webHidden/>
              </w:rPr>
            </w:r>
            <w:r w:rsidR="00B5761F">
              <w:rPr>
                <w:noProof/>
                <w:webHidden/>
              </w:rPr>
              <w:fldChar w:fldCharType="separate"/>
            </w:r>
            <w:r w:rsidR="000C446C">
              <w:rPr>
                <w:noProof/>
                <w:webHidden/>
              </w:rPr>
              <w:t>9</w:t>
            </w:r>
            <w:r w:rsidR="00B5761F">
              <w:rPr>
                <w:noProof/>
                <w:webHidden/>
              </w:rPr>
              <w:fldChar w:fldCharType="end"/>
            </w:r>
          </w:hyperlink>
        </w:p>
        <w:p w14:paraId="49B6E692" w14:textId="710C2B10" w:rsidR="00B5761F" w:rsidRDefault="0065686B">
          <w:pPr>
            <w:pStyle w:val="Inhopg1"/>
            <w:rPr>
              <w:rFonts w:asciiTheme="minorHAnsi" w:eastAsiaTheme="minorEastAsia" w:hAnsiTheme="minorHAnsi"/>
              <w:b w:val="0"/>
              <w:sz w:val="22"/>
              <w:szCs w:val="22"/>
              <w:lang w:eastAsia="nl-NL"/>
            </w:rPr>
          </w:pPr>
          <w:hyperlink w:anchor="_Toc72576280" w:history="1">
            <w:r w:rsidR="00B5761F" w:rsidRPr="00730ED8">
              <w:rPr>
                <w:rStyle w:val="Hyperlink"/>
              </w:rPr>
              <w:t>Hoofdstuk 2: Verkenning van Richtlijn 2019/771</w:t>
            </w:r>
            <w:r w:rsidR="00B5761F">
              <w:rPr>
                <w:webHidden/>
              </w:rPr>
              <w:tab/>
            </w:r>
            <w:r w:rsidR="00B5761F">
              <w:rPr>
                <w:webHidden/>
              </w:rPr>
              <w:fldChar w:fldCharType="begin"/>
            </w:r>
            <w:r w:rsidR="00B5761F">
              <w:rPr>
                <w:webHidden/>
              </w:rPr>
              <w:instrText xml:space="preserve"> PAGEREF _Toc72576280 \h </w:instrText>
            </w:r>
            <w:r w:rsidR="00B5761F">
              <w:rPr>
                <w:webHidden/>
              </w:rPr>
            </w:r>
            <w:r w:rsidR="00B5761F">
              <w:rPr>
                <w:webHidden/>
              </w:rPr>
              <w:fldChar w:fldCharType="separate"/>
            </w:r>
            <w:r w:rsidR="000C446C">
              <w:rPr>
                <w:webHidden/>
              </w:rPr>
              <w:t>10</w:t>
            </w:r>
            <w:r w:rsidR="00B5761F">
              <w:rPr>
                <w:webHidden/>
              </w:rPr>
              <w:fldChar w:fldCharType="end"/>
            </w:r>
          </w:hyperlink>
        </w:p>
        <w:p w14:paraId="08B84C7A" w14:textId="091F5E58" w:rsidR="00B5761F" w:rsidRDefault="0065686B">
          <w:pPr>
            <w:pStyle w:val="Inhopg2"/>
            <w:rPr>
              <w:rFonts w:asciiTheme="minorHAnsi" w:eastAsiaTheme="minorEastAsia" w:hAnsiTheme="minorHAnsi"/>
              <w:noProof/>
              <w:sz w:val="22"/>
              <w:lang w:eastAsia="nl-NL"/>
            </w:rPr>
          </w:pPr>
          <w:hyperlink w:anchor="_Toc72576281" w:history="1">
            <w:r w:rsidR="00B5761F" w:rsidRPr="00730ED8">
              <w:rPr>
                <w:rStyle w:val="Hyperlink"/>
                <w:noProof/>
              </w:rPr>
              <w:t>2.1. Een Europese richtlijn</w:t>
            </w:r>
            <w:r w:rsidR="00B5761F">
              <w:rPr>
                <w:noProof/>
                <w:webHidden/>
              </w:rPr>
              <w:tab/>
            </w:r>
            <w:r w:rsidR="00B5761F">
              <w:rPr>
                <w:noProof/>
                <w:webHidden/>
              </w:rPr>
              <w:fldChar w:fldCharType="begin"/>
            </w:r>
            <w:r w:rsidR="00B5761F">
              <w:rPr>
                <w:noProof/>
                <w:webHidden/>
              </w:rPr>
              <w:instrText xml:space="preserve"> PAGEREF _Toc72576281 \h </w:instrText>
            </w:r>
            <w:r w:rsidR="00B5761F">
              <w:rPr>
                <w:noProof/>
                <w:webHidden/>
              </w:rPr>
            </w:r>
            <w:r w:rsidR="00B5761F">
              <w:rPr>
                <w:noProof/>
                <w:webHidden/>
              </w:rPr>
              <w:fldChar w:fldCharType="separate"/>
            </w:r>
            <w:r w:rsidR="000C446C">
              <w:rPr>
                <w:noProof/>
                <w:webHidden/>
              </w:rPr>
              <w:t>10</w:t>
            </w:r>
            <w:r w:rsidR="00B5761F">
              <w:rPr>
                <w:noProof/>
                <w:webHidden/>
              </w:rPr>
              <w:fldChar w:fldCharType="end"/>
            </w:r>
          </w:hyperlink>
        </w:p>
        <w:p w14:paraId="215AAB34" w14:textId="424C08E9" w:rsidR="00B5761F" w:rsidRDefault="0065686B">
          <w:pPr>
            <w:pStyle w:val="Inhopg2"/>
            <w:rPr>
              <w:rFonts w:asciiTheme="minorHAnsi" w:eastAsiaTheme="minorEastAsia" w:hAnsiTheme="minorHAnsi"/>
              <w:noProof/>
              <w:sz w:val="22"/>
              <w:lang w:eastAsia="nl-NL"/>
            </w:rPr>
          </w:pPr>
          <w:hyperlink w:anchor="_Toc72576282" w:history="1">
            <w:r w:rsidR="00B5761F" w:rsidRPr="00730ED8">
              <w:rPr>
                <w:rStyle w:val="Hyperlink"/>
                <w:noProof/>
              </w:rPr>
              <w:t>2.2. Achtergrondinformatie Richtlijn 2019/771</w:t>
            </w:r>
            <w:r w:rsidR="00B5761F">
              <w:rPr>
                <w:noProof/>
                <w:webHidden/>
              </w:rPr>
              <w:tab/>
            </w:r>
            <w:r w:rsidR="00B5761F">
              <w:rPr>
                <w:noProof/>
                <w:webHidden/>
              </w:rPr>
              <w:fldChar w:fldCharType="begin"/>
            </w:r>
            <w:r w:rsidR="00B5761F">
              <w:rPr>
                <w:noProof/>
                <w:webHidden/>
              </w:rPr>
              <w:instrText xml:space="preserve"> PAGEREF _Toc72576282 \h </w:instrText>
            </w:r>
            <w:r w:rsidR="00B5761F">
              <w:rPr>
                <w:noProof/>
                <w:webHidden/>
              </w:rPr>
            </w:r>
            <w:r w:rsidR="00B5761F">
              <w:rPr>
                <w:noProof/>
                <w:webHidden/>
              </w:rPr>
              <w:fldChar w:fldCharType="separate"/>
            </w:r>
            <w:r w:rsidR="000C446C">
              <w:rPr>
                <w:noProof/>
                <w:webHidden/>
              </w:rPr>
              <w:t>10</w:t>
            </w:r>
            <w:r w:rsidR="00B5761F">
              <w:rPr>
                <w:noProof/>
                <w:webHidden/>
              </w:rPr>
              <w:fldChar w:fldCharType="end"/>
            </w:r>
          </w:hyperlink>
        </w:p>
        <w:p w14:paraId="2E66BD4A" w14:textId="38D8B1FB" w:rsidR="00B5761F" w:rsidRDefault="0065686B">
          <w:pPr>
            <w:pStyle w:val="Inhopg2"/>
            <w:rPr>
              <w:rFonts w:asciiTheme="minorHAnsi" w:eastAsiaTheme="minorEastAsia" w:hAnsiTheme="minorHAnsi"/>
              <w:noProof/>
              <w:sz w:val="22"/>
              <w:lang w:eastAsia="nl-NL"/>
            </w:rPr>
          </w:pPr>
          <w:hyperlink w:anchor="_Toc72576283" w:history="1">
            <w:r w:rsidR="00B5761F" w:rsidRPr="00730ED8">
              <w:rPr>
                <w:rStyle w:val="Hyperlink"/>
                <w:noProof/>
              </w:rPr>
              <w:t>2.3. Toepassingsbereik</w:t>
            </w:r>
            <w:r w:rsidR="00B5761F">
              <w:rPr>
                <w:noProof/>
                <w:webHidden/>
              </w:rPr>
              <w:tab/>
            </w:r>
            <w:r w:rsidR="00B5761F">
              <w:rPr>
                <w:noProof/>
                <w:webHidden/>
              </w:rPr>
              <w:fldChar w:fldCharType="begin"/>
            </w:r>
            <w:r w:rsidR="00B5761F">
              <w:rPr>
                <w:noProof/>
                <w:webHidden/>
              </w:rPr>
              <w:instrText xml:space="preserve"> PAGEREF _Toc72576283 \h </w:instrText>
            </w:r>
            <w:r w:rsidR="00B5761F">
              <w:rPr>
                <w:noProof/>
                <w:webHidden/>
              </w:rPr>
            </w:r>
            <w:r w:rsidR="00B5761F">
              <w:rPr>
                <w:noProof/>
                <w:webHidden/>
              </w:rPr>
              <w:fldChar w:fldCharType="separate"/>
            </w:r>
            <w:r w:rsidR="000C446C">
              <w:rPr>
                <w:noProof/>
                <w:webHidden/>
              </w:rPr>
              <w:t>11</w:t>
            </w:r>
            <w:r w:rsidR="00B5761F">
              <w:rPr>
                <w:noProof/>
                <w:webHidden/>
              </w:rPr>
              <w:fldChar w:fldCharType="end"/>
            </w:r>
          </w:hyperlink>
        </w:p>
        <w:p w14:paraId="367879BA" w14:textId="23EE8219" w:rsidR="00B5761F" w:rsidRDefault="0065686B">
          <w:pPr>
            <w:pStyle w:val="Inhopg2"/>
            <w:rPr>
              <w:rFonts w:asciiTheme="minorHAnsi" w:eastAsiaTheme="minorEastAsia" w:hAnsiTheme="minorHAnsi"/>
              <w:noProof/>
              <w:sz w:val="22"/>
              <w:lang w:eastAsia="nl-NL"/>
            </w:rPr>
          </w:pPr>
          <w:hyperlink w:anchor="_Toc72576284" w:history="1">
            <w:r w:rsidR="00B5761F" w:rsidRPr="00730ED8">
              <w:rPr>
                <w:rStyle w:val="Hyperlink"/>
                <w:noProof/>
              </w:rPr>
              <w:t>2.4. Belang consumentenkoop</w:t>
            </w:r>
            <w:r w:rsidR="00B5761F">
              <w:rPr>
                <w:noProof/>
                <w:webHidden/>
              </w:rPr>
              <w:tab/>
            </w:r>
            <w:r w:rsidR="00B5761F">
              <w:rPr>
                <w:noProof/>
                <w:webHidden/>
              </w:rPr>
              <w:fldChar w:fldCharType="begin"/>
            </w:r>
            <w:r w:rsidR="00B5761F">
              <w:rPr>
                <w:noProof/>
                <w:webHidden/>
              </w:rPr>
              <w:instrText xml:space="preserve"> PAGEREF _Toc72576284 \h </w:instrText>
            </w:r>
            <w:r w:rsidR="00B5761F">
              <w:rPr>
                <w:noProof/>
                <w:webHidden/>
              </w:rPr>
            </w:r>
            <w:r w:rsidR="00B5761F">
              <w:rPr>
                <w:noProof/>
                <w:webHidden/>
              </w:rPr>
              <w:fldChar w:fldCharType="separate"/>
            </w:r>
            <w:r w:rsidR="000C446C">
              <w:rPr>
                <w:noProof/>
                <w:webHidden/>
              </w:rPr>
              <w:t>13</w:t>
            </w:r>
            <w:r w:rsidR="00B5761F">
              <w:rPr>
                <w:noProof/>
                <w:webHidden/>
              </w:rPr>
              <w:fldChar w:fldCharType="end"/>
            </w:r>
          </w:hyperlink>
        </w:p>
        <w:p w14:paraId="46E2B71A" w14:textId="2DF79C96" w:rsidR="00B5761F" w:rsidRDefault="0065686B">
          <w:pPr>
            <w:pStyle w:val="Inhopg2"/>
            <w:rPr>
              <w:rFonts w:asciiTheme="minorHAnsi" w:eastAsiaTheme="minorEastAsia" w:hAnsiTheme="minorHAnsi"/>
              <w:noProof/>
              <w:sz w:val="22"/>
              <w:lang w:eastAsia="nl-NL"/>
            </w:rPr>
          </w:pPr>
          <w:hyperlink w:anchor="_Toc72576285" w:history="1">
            <w:r w:rsidR="00B5761F" w:rsidRPr="00730ED8">
              <w:rPr>
                <w:rStyle w:val="Hyperlink"/>
                <w:noProof/>
              </w:rPr>
              <w:t>2.5. Implementatiewijze in het Nederlands recht</w:t>
            </w:r>
            <w:r w:rsidR="00B5761F">
              <w:rPr>
                <w:noProof/>
                <w:webHidden/>
              </w:rPr>
              <w:tab/>
            </w:r>
            <w:r w:rsidR="00B5761F">
              <w:rPr>
                <w:noProof/>
                <w:webHidden/>
              </w:rPr>
              <w:fldChar w:fldCharType="begin"/>
            </w:r>
            <w:r w:rsidR="00B5761F">
              <w:rPr>
                <w:noProof/>
                <w:webHidden/>
              </w:rPr>
              <w:instrText xml:space="preserve"> PAGEREF _Toc72576285 \h </w:instrText>
            </w:r>
            <w:r w:rsidR="00B5761F">
              <w:rPr>
                <w:noProof/>
                <w:webHidden/>
              </w:rPr>
            </w:r>
            <w:r w:rsidR="00B5761F">
              <w:rPr>
                <w:noProof/>
                <w:webHidden/>
              </w:rPr>
              <w:fldChar w:fldCharType="separate"/>
            </w:r>
            <w:r w:rsidR="000C446C">
              <w:rPr>
                <w:noProof/>
                <w:webHidden/>
              </w:rPr>
              <w:t>13</w:t>
            </w:r>
            <w:r w:rsidR="00B5761F">
              <w:rPr>
                <w:noProof/>
                <w:webHidden/>
              </w:rPr>
              <w:fldChar w:fldCharType="end"/>
            </w:r>
          </w:hyperlink>
        </w:p>
        <w:p w14:paraId="029734D2" w14:textId="7A6D830E" w:rsidR="00B5761F" w:rsidRDefault="0065686B">
          <w:pPr>
            <w:pStyle w:val="Inhopg2"/>
            <w:rPr>
              <w:rFonts w:asciiTheme="minorHAnsi" w:eastAsiaTheme="minorEastAsia" w:hAnsiTheme="minorHAnsi"/>
              <w:noProof/>
              <w:sz w:val="22"/>
              <w:lang w:eastAsia="nl-NL"/>
            </w:rPr>
          </w:pPr>
          <w:hyperlink w:anchor="_Toc72576286" w:history="1">
            <w:r w:rsidR="00B5761F" w:rsidRPr="00730ED8">
              <w:rPr>
                <w:rStyle w:val="Hyperlink"/>
                <w:noProof/>
              </w:rPr>
              <w:t>2.6. Voorlopige conclusie</w:t>
            </w:r>
            <w:r w:rsidR="00B5761F">
              <w:rPr>
                <w:noProof/>
                <w:webHidden/>
              </w:rPr>
              <w:tab/>
            </w:r>
            <w:r w:rsidR="00B5761F">
              <w:rPr>
                <w:noProof/>
                <w:webHidden/>
              </w:rPr>
              <w:fldChar w:fldCharType="begin"/>
            </w:r>
            <w:r w:rsidR="00B5761F">
              <w:rPr>
                <w:noProof/>
                <w:webHidden/>
              </w:rPr>
              <w:instrText xml:space="preserve"> PAGEREF _Toc72576286 \h </w:instrText>
            </w:r>
            <w:r w:rsidR="00B5761F">
              <w:rPr>
                <w:noProof/>
                <w:webHidden/>
              </w:rPr>
            </w:r>
            <w:r w:rsidR="00B5761F">
              <w:rPr>
                <w:noProof/>
                <w:webHidden/>
              </w:rPr>
              <w:fldChar w:fldCharType="separate"/>
            </w:r>
            <w:r w:rsidR="000C446C">
              <w:rPr>
                <w:noProof/>
                <w:webHidden/>
              </w:rPr>
              <w:t>13</w:t>
            </w:r>
            <w:r w:rsidR="00B5761F">
              <w:rPr>
                <w:noProof/>
                <w:webHidden/>
              </w:rPr>
              <w:fldChar w:fldCharType="end"/>
            </w:r>
          </w:hyperlink>
        </w:p>
        <w:p w14:paraId="7DD1FDA1" w14:textId="61B27303" w:rsidR="00B5761F" w:rsidRDefault="0065686B">
          <w:pPr>
            <w:pStyle w:val="Inhopg1"/>
            <w:rPr>
              <w:rFonts w:asciiTheme="minorHAnsi" w:eastAsiaTheme="minorEastAsia" w:hAnsiTheme="minorHAnsi"/>
              <w:b w:val="0"/>
              <w:sz w:val="22"/>
              <w:szCs w:val="22"/>
              <w:lang w:eastAsia="nl-NL"/>
            </w:rPr>
          </w:pPr>
          <w:hyperlink w:anchor="_Toc72576287" w:history="1">
            <w:r w:rsidR="00B5761F" w:rsidRPr="00730ED8">
              <w:rPr>
                <w:rStyle w:val="Hyperlink"/>
                <w:bCs/>
              </w:rPr>
              <w:t>Hoofdstuk 3: Conformiteit: het heden en de toekomst</w:t>
            </w:r>
            <w:r w:rsidR="00B5761F">
              <w:rPr>
                <w:webHidden/>
              </w:rPr>
              <w:tab/>
            </w:r>
            <w:r w:rsidR="00B5761F">
              <w:rPr>
                <w:webHidden/>
              </w:rPr>
              <w:fldChar w:fldCharType="begin"/>
            </w:r>
            <w:r w:rsidR="00B5761F">
              <w:rPr>
                <w:webHidden/>
              </w:rPr>
              <w:instrText xml:space="preserve"> PAGEREF _Toc72576287 \h </w:instrText>
            </w:r>
            <w:r w:rsidR="00B5761F">
              <w:rPr>
                <w:webHidden/>
              </w:rPr>
            </w:r>
            <w:r w:rsidR="00B5761F">
              <w:rPr>
                <w:webHidden/>
              </w:rPr>
              <w:fldChar w:fldCharType="separate"/>
            </w:r>
            <w:r w:rsidR="000C446C">
              <w:rPr>
                <w:webHidden/>
              </w:rPr>
              <w:t>14</w:t>
            </w:r>
            <w:r w:rsidR="00B5761F">
              <w:rPr>
                <w:webHidden/>
              </w:rPr>
              <w:fldChar w:fldCharType="end"/>
            </w:r>
          </w:hyperlink>
        </w:p>
        <w:p w14:paraId="7BFC032C" w14:textId="29CBFD93" w:rsidR="00B5761F" w:rsidRDefault="0065686B">
          <w:pPr>
            <w:pStyle w:val="Inhopg2"/>
            <w:rPr>
              <w:rFonts w:asciiTheme="minorHAnsi" w:eastAsiaTheme="minorEastAsia" w:hAnsiTheme="minorHAnsi"/>
              <w:noProof/>
              <w:sz w:val="22"/>
              <w:lang w:eastAsia="nl-NL"/>
            </w:rPr>
          </w:pPr>
          <w:hyperlink w:anchor="_Toc72576288" w:history="1">
            <w:r w:rsidR="00B5761F" w:rsidRPr="00730ED8">
              <w:rPr>
                <w:rStyle w:val="Hyperlink"/>
                <w:bCs/>
                <w:noProof/>
              </w:rPr>
              <w:t>3.1. De bestaande conformiteitsbepalingen</w:t>
            </w:r>
            <w:r w:rsidR="00B5761F">
              <w:rPr>
                <w:noProof/>
                <w:webHidden/>
              </w:rPr>
              <w:tab/>
            </w:r>
            <w:r w:rsidR="00B5761F">
              <w:rPr>
                <w:noProof/>
                <w:webHidden/>
              </w:rPr>
              <w:fldChar w:fldCharType="begin"/>
            </w:r>
            <w:r w:rsidR="00B5761F">
              <w:rPr>
                <w:noProof/>
                <w:webHidden/>
              </w:rPr>
              <w:instrText xml:space="preserve"> PAGEREF _Toc72576288 \h </w:instrText>
            </w:r>
            <w:r w:rsidR="00B5761F">
              <w:rPr>
                <w:noProof/>
                <w:webHidden/>
              </w:rPr>
            </w:r>
            <w:r w:rsidR="00B5761F">
              <w:rPr>
                <w:noProof/>
                <w:webHidden/>
              </w:rPr>
              <w:fldChar w:fldCharType="separate"/>
            </w:r>
            <w:r w:rsidR="000C446C">
              <w:rPr>
                <w:noProof/>
                <w:webHidden/>
              </w:rPr>
              <w:t>14</w:t>
            </w:r>
            <w:r w:rsidR="00B5761F">
              <w:rPr>
                <w:noProof/>
                <w:webHidden/>
              </w:rPr>
              <w:fldChar w:fldCharType="end"/>
            </w:r>
          </w:hyperlink>
        </w:p>
        <w:p w14:paraId="0E129F4E" w14:textId="4E7A07F8" w:rsidR="00B5761F" w:rsidRDefault="0065686B">
          <w:pPr>
            <w:pStyle w:val="Inhopg3"/>
            <w:rPr>
              <w:rFonts w:asciiTheme="minorHAnsi" w:hAnsiTheme="minorHAnsi" w:cstheme="minorBidi"/>
              <w:noProof/>
              <w:sz w:val="22"/>
            </w:rPr>
          </w:pPr>
          <w:hyperlink w:anchor="_Toc72576289" w:history="1">
            <w:r w:rsidR="00B5761F" w:rsidRPr="00730ED8">
              <w:rPr>
                <w:rStyle w:val="Hyperlink"/>
                <w:noProof/>
              </w:rPr>
              <w:t>3.1.1.  Mededelings- en onderzoeksplicht</w:t>
            </w:r>
            <w:r w:rsidR="00B5761F">
              <w:rPr>
                <w:noProof/>
                <w:webHidden/>
              </w:rPr>
              <w:tab/>
            </w:r>
            <w:r w:rsidR="00B5761F">
              <w:rPr>
                <w:noProof/>
                <w:webHidden/>
              </w:rPr>
              <w:fldChar w:fldCharType="begin"/>
            </w:r>
            <w:r w:rsidR="00B5761F">
              <w:rPr>
                <w:noProof/>
                <w:webHidden/>
              </w:rPr>
              <w:instrText xml:space="preserve"> PAGEREF _Toc72576289 \h </w:instrText>
            </w:r>
            <w:r w:rsidR="00B5761F">
              <w:rPr>
                <w:noProof/>
                <w:webHidden/>
              </w:rPr>
            </w:r>
            <w:r w:rsidR="00B5761F">
              <w:rPr>
                <w:noProof/>
                <w:webHidden/>
              </w:rPr>
              <w:fldChar w:fldCharType="separate"/>
            </w:r>
            <w:r w:rsidR="000C446C">
              <w:rPr>
                <w:noProof/>
                <w:webHidden/>
              </w:rPr>
              <w:t>15</w:t>
            </w:r>
            <w:r w:rsidR="00B5761F">
              <w:rPr>
                <w:noProof/>
                <w:webHidden/>
              </w:rPr>
              <w:fldChar w:fldCharType="end"/>
            </w:r>
          </w:hyperlink>
        </w:p>
        <w:p w14:paraId="7B763199" w14:textId="54F96D51" w:rsidR="00B5761F" w:rsidRDefault="0065686B">
          <w:pPr>
            <w:pStyle w:val="Inhopg3"/>
            <w:rPr>
              <w:rFonts w:asciiTheme="minorHAnsi" w:hAnsiTheme="minorHAnsi" w:cstheme="minorBidi"/>
              <w:noProof/>
              <w:sz w:val="22"/>
            </w:rPr>
          </w:pPr>
          <w:hyperlink w:anchor="_Toc72576290" w:history="1">
            <w:r w:rsidR="00B5761F" w:rsidRPr="00730ED8">
              <w:rPr>
                <w:rStyle w:val="Hyperlink"/>
                <w:noProof/>
              </w:rPr>
              <w:t>3.1.2. Klachtplicht</w:t>
            </w:r>
            <w:r w:rsidR="00B5761F">
              <w:rPr>
                <w:noProof/>
                <w:webHidden/>
              </w:rPr>
              <w:tab/>
            </w:r>
            <w:r w:rsidR="00B5761F">
              <w:rPr>
                <w:noProof/>
                <w:webHidden/>
              </w:rPr>
              <w:fldChar w:fldCharType="begin"/>
            </w:r>
            <w:r w:rsidR="00B5761F">
              <w:rPr>
                <w:noProof/>
                <w:webHidden/>
              </w:rPr>
              <w:instrText xml:space="preserve"> PAGEREF _Toc72576290 \h </w:instrText>
            </w:r>
            <w:r w:rsidR="00B5761F">
              <w:rPr>
                <w:noProof/>
                <w:webHidden/>
              </w:rPr>
            </w:r>
            <w:r w:rsidR="00B5761F">
              <w:rPr>
                <w:noProof/>
                <w:webHidden/>
              </w:rPr>
              <w:fldChar w:fldCharType="separate"/>
            </w:r>
            <w:r w:rsidR="000C446C">
              <w:rPr>
                <w:noProof/>
                <w:webHidden/>
              </w:rPr>
              <w:t>16</w:t>
            </w:r>
            <w:r w:rsidR="00B5761F">
              <w:rPr>
                <w:noProof/>
                <w:webHidden/>
              </w:rPr>
              <w:fldChar w:fldCharType="end"/>
            </w:r>
          </w:hyperlink>
        </w:p>
        <w:p w14:paraId="0059B89E" w14:textId="5AA94D9F" w:rsidR="00B5761F" w:rsidRDefault="0065686B">
          <w:pPr>
            <w:pStyle w:val="Inhopg3"/>
            <w:rPr>
              <w:rFonts w:asciiTheme="minorHAnsi" w:hAnsiTheme="minorHAnsi" w:cstheme="minorBidi"/>
              <w:noProof/>
              <w:sz w:val="22"/>
            </w:rPr>
          </w:pPr>
          <w:hyperlink w:anchor="_Toc72576291" w:history="1">
            <w:r w:rsidR="00B5761F" w:rsidRPr="00730ED8">
              <w:rPr>
                <w:rStyle w:val="Hyperlink"/>
                <w:noProof/>
              </w:rPr>
              <w:t>3.1.3. Bewijsvermoeden</w:t>
            </w:r>
            <w:r w:rsidR="00B5761F">
              <w:rPr>
                <w:noProof/>
                <w:webHidden/>
              </w:rPr>
              <w:tab/>
            </w:r>
            <w:r w:rsidR="00B5761F">
              <w:rPr>
                <w:noProof/>
                <w:webHidden/>
              </w:rPr>
              <w:fldChar w:fldCharType="begin"/>
            </w:r>
            <w:r w:rsidR="00B5761F">
              <w:rPr>
                <w:noProof/>
                <w:webHidden/>
              </w:rPr>
              <w:instrText xml:space="preserve"> PAGEREF _Toc72576291 \h </w:instrText>
            </w:r>
            <w:r w:rsidR="00B5761F">
              <w:rPr>
                <w:noProof/>
                <w:webHidden/>
              </w:rPr>
            </w:r>
            <w:r w:rsidR="00B5761F">
              <w:rPr>
                <w:noProof/>
                <w:webHidden/>
              </w:rPr>
              <w:fldChar w:fldCharType="separate"/>
            </w:r>
            <w:r w:rsidR="000C446C">
              <w:rPr>
                <w:noProof/>
                <w:webHidden/>
              </w:rPr>
              <w:t>16</w:t>
            </w:r>
            <w:r w:rsidR="00B5761F">
              <w:rPr>
                <w:noProof/>
                <w:webHidden/>
              </w:rPr>
              <w:fldChar w:fldCharType="end"/>
            </w:r>
          </w:hyperlink>
        </w:p>
        <w:p w14:paraId="0D0C2698" w14:textId="0B4C9834" w:rsidR="00B5761F" w:rsidRDefault="0065686B">
          <w:pPr>
            <w:pStyle w:val="Inhopg2"/>
            <w:rPr>
              <w:rFonts w:asciiTheme="minorHAnsi" w:eastAsiaTheme="minorEastAsia" w:hAnsiTheme="minorHAnsi"/>
              <w:noProof/>
              <w:sz w:val="22"/>
              <w:lang w:eastAsia="nl-NL"/>
            </w:rPr>
          </w:pPr>
          <w:hyperlink w:anchor="_Toc72576292" w:history="1">
            <w:r w:rsidR="00B5761F" w:rsidRPr="00730ED8">
              <w:rPr>
                <w:rStyle w:val="Hyperlink"/>
                <w:noProof/>
              </w:rPr>
              <w:t>3.2. Conformiteit volgens Richtlijn 2019/771</w:t>
            </w:r>
            <w:r w:rsidR="00B5761F">
              <w:rPr>
                <w:noProof/>
                <w:webHidden/>
              </w:rPr>
              <w:tab/>
            </w:r>
            <w:r w:rsidR="00B5761F">
              <w:rPr>
                <w:noProof/>
                <w:webHidden/>
              </w:rPr>
              <w:fldChar w:fldCharType="begin"/>
            </w:r>
            <w:r w:rsidR="00B5761F">
              <w:rPr>
                <w:noProof/>
                <w:webHidden/>
              </w:rPr>
              <w:instrText xml:space="preserve"> PAGEREF _Toc72576292 \h </w:instrText>
            </w:r>
            <w:r w:rsidR="00B5761F">
              <w:rPr>
                <w:noProof/>
                <w:webHidden/>
              </w:rPr>
            </w:r>
            <w:r w:rsidR="00B5761F">
              <w:rPr>
                <w:noProof/>
                <w:webHidden/>
              </w:rPr>
              <w:fldChar w:fldCharType="separate"/>
            </w:r>
            <w:r w:rsidR="000C446C">
              <w:rPr>
                <w:noProof/>
                <w:webHidden/>
              </w:rPr>
              <w:t>16</w:t>
            </w:r>
            <w:r w:rsidR="00B5761F">
              <w:rPr>
                <w:noProof/>
                <w:webHidden/>
              </w:rPr>
              <w:fldChar w:fldCharType="end"/>
            </w:r>
          </w:hyperlink>
        </w:p>
        <w:p w14:paraId="26315A9B" w14:textId="50D83798" w:rsidR="00B5761F" w:rsidRDefault="0065686B">
          <w:pPr>
            <w:pStyle w:val="Inhopg3"/>
            <w:rPr>
              <w:rFonts w:asciiTheme="minorHAnsi" w:hAnsiTheme="minorHAnsi" w:cstheme="minorBidi"/>
              <w:noProof/>
              <w:sz w:val="22"/>
            </w:rPr>
          </w:pPr>
          <w:hyperlink w:anchor="_Toc72576293" w:history="1">
            <w:r w:rsidR="00B5761F" w:rsidRPr="00730ED8">
              <w:rPr>
                <w:rStyle w:val="Hyperlink"/>
                <w:noProof/>
              </w:rPr>
              <w:t>3.2.1. Objectieve en subjectieve conformiteit</w:t>
            </w:r>
            <w:r w:rsidR="00B5761F">
              <w:rPr>
                <w:noProof/>
                <w:webHidden/>
              </w:rPr>
              <w:tab/>
            </w:r>
            <w:r w:rsidR="00B5761F">
              <w:rPr>
                <w:noProof/>
                <w:webHidden/>
              </w:rPr>
              <w:fldChar w:fldCharType="begin"/>
            </w:r>
            <w:r w:rsidR="00B5761F">
              <w:rPr>
                <w:noProof/>
                <w:webHidden/>
              </w:rPr>
              <w:instrText xml:space="preserve"> PAGEREF _Toc72576293 \h </w:instrText>
            </w:r>
            <w:r w:rsidR="00B5761F">
              <w:rPr>
                <w:noProof/>
                <w:webHidden/>
              </w:rPr>
            </w:r>
            <w:r w:rsidR="00B5761F">
              <w:rPr>
                <w:noProof/>
                <w:webHidden/>
              </w:rPr>
              <w:fldChar w:fldCharType="separate"/>
            </w:r>
            <w:r w:rsidR="000C446C">
              <w:rPr>
                <w:noProof/>
                <w:webHidden/>
              </w:rPr>
              <w:t>16</w:t>
            </w:r>
            <w:r w:rsidR="00B5761F">
              <w:rPr>
                <w:noProof/>
                <w:webHidden/>
              </w:rPr>
              <w:fldChar w:fldCharType="end"/>
            </w:r>
          </w:hyperlink>
        </w:p>
        <w:p w14:paraId="4E6DB5CE" w14:textId="6541B1BD" w:rsidR="00B5761F" w:rsidRDefault="0065686B">
          <w:pPr>
            <w:pStyle w:val="Inhopg3"/>
            <w:rPr>
              <w:rFonts w:asciiTheme="minorHAnsi" w:hAnsiTheme="minorHAnsi" w:cstheme="minorBidi"/>
              <w:noProof/>
              <w:sz w:val="22"/>
            </w:rPr>
          </w:pPr>
          <w:hyperlink w:anchor="_Toc72576294" w:history="1">
            <w:r w:rsidR="00B5761F" w:rsidRPr="00730ED8">
              <w:rPr>
                <w:rStyle w:val="Hyperlink"/>
                <w:noProof/>
              </w:rPr>
              <w:t>3.2.2. Verkeerde installatie van een zaak</w:t>
            </w:r>
            <w:r w:rsidR="00B5761F">
              <w:rPr>
                <w:noProof/>
                <w:webHidden/>
              </w:rPr>
              <w:tab/>
            </w:r>
            <w:r w:rsidR="00B5761F">
              <w:rPr>
                <w:noProof/>
                <w:webHidden/>
              </w:rPr>
              <w:fldChar w:fldCharType="begin"/>
            </w:r>
            <w:r w:rsidR="00B5761F">
              <w:rPr>
                <w:noProof/>
                <w:webHidden/>
              </w:rPr>
              <w:instrText xml:space="preserve"> PAGEREF _Toc72576294 \h </w:instrText>
            </w:r>
            <w:r w:rsidR="00B5761F">
              <w:rPr>
                <w:noProof/>
                <w:webHidden/>
              </w:rPr>
            </w:r>
            <w:r w:rsidR="00B5761F">
              <w:rPr>
                <w:noProof/>
                <w:webHidden/>
              </w:rPr>
              <w:fldChar w:fldCharType="separate"/>
            </w:r>
            <w:r w:rsidR="000C446C">
              <w:rPr>
                <w:noProof/>
                <w:webHidden/>
              </w:rPr>
              <w:t>18</w:t>
            </w:r>
            <w:r w:rsidR="00B5761F">
              <w:rPr>
                <w:noProof/>
                <w:webHidden/>
              </w:rPr>
              <w:fldChar w:fldCharType="end"/>
            </w:r>
          </w:hyperlink>
        </w:p>
        <w:p w14:paraId="61E471B1" w14:textId="27F191BD" w:rsidR="00B5761F" w:rsidRDefault="0065686B">
          <w:pPr>
            <w:pStyle w:val="Inhopg3"/>
            <w:rPr>
              <w:rFonts w:asciiTheme="minorHAnsi" w:hAnsiTheme="minorHAnsi" w:cstheme="minorBidi"/>
              <w:noProof/>
              <w:sz w:val="22"/>
            </w:rPr>
          </w:pPr>
          <w:hyperlink w:anchor="_Toc72576295" w:history="1">
            <w:r w:rsidR="00B5761F" w:rsidRPr="00730ED8">
              <w:rPr>
                <w:rStyle w:val="Hyperlink"/>
                <w:noProof/>
              </w:rPr>
              <w:t>3.2.3. Bewijsvermoeden</w:t>
            </w:r>
            <w:r w:rsidR="00B5761F">
              <w:rPr>
                <w:noProof/>
                <w:webHidden/>
              </w:rPr>
              <w:tab/>
            </w:r>
            <w:r w:rsidR="00B5761F">
              <w:rPr>
                <w:noProof/>
                <w:webHidden/>
              </w:rPr>
              <w:fldChar w:fldCharType="begin"/>
            </w:r>
            <w:r w:rsidR="00B5761F">
              <w:rPr>
                <w:noProof/>
                <w:webHidden/>
              </w:rPr>
              <w:instrText xml:space="preserve"> PAGEREF _Toc72576295 \h </w:instrText>
            </w:r>
            <w:r w:rsidR="00B5761F">
              <w:rPr>
                <w:noProof/>
                <w:webHidden/>
              </w:rPr>
            </w:r>
            <w:r w:rsidR="00B5761F">
              <w:rPr>
                <w:noProof/>
                <w:webHidden/>
              </w:rPr>
              <w:fldChar w:fldCharType="separate"/>
            </w:r>
            <w:r w:rsidR="000C446C">
              <w:rPr>
                <w:noProof/>
                <w:webHidden/>
              </w:rPr>
              <w:t>19</w:t>
            </w:r>
            <w:r w:rsidR="00B5761F">
              <w:rPr>
                <w:noProof/>
                <w:webHidden/>
              </w:rPr>
              <w:fldChar w:fldCharType="end"/>
            </w:r>
          </w:hyperlink>
        </w:p>
        <w:p w14:paraId="13EA9155" w14:textId="76C572A8" w:rsidR="00B5761F" w:rsidRDefault="0065686B">
          <w:pPr>
            <w:pStyle w:val="Inhopg3"/>
            <w:rPr>
              <w:rFonts w:asciiTheme="minorHAnsi" w:hAnsiTheme="minorHAnsi" w:cstheme="minorBidi"/>
              <w:noProof/>
              <w:sz w:val="22"/>
            </w:rPr>
          </w:pPr>
          <w:hyperlink w:anchor="_Toc72576296" w:history="1">
            <w:r w:rsidR="00B5761F" w:rsidRPr="00730ED8">
              <w:rPr>
                <w:rStyle w:val="Hyperlink"/>
                <w:noProof/>
              </w:rPr>
              <w:t>3.2.4. Mededelings-, onderzoeks- en klachtplicht</w:t>
            </w:r>
            <w:r w:rsidR="00B5761F">
              <w:rPr>
                <w:noProof/>
                <w:webHidden/>
              </w:rPr>
              <w:tab/>
            </w:r>
            <w:r w:rsidR="00B5761F">
              <w:rPr>
                <w:noProof/>
                <w:webHidden/>
              </w:rPr>
              <w:fldChar w:fldCharType="begin"/>
            </w:r>
            <w:r w:rsidR="00B5761F">
              <w:rPr>
                <w:noProof/>
                <w:webHidden/>
              </w:rPr>
              <w:instrText xml:space="preserve"> PAGEREF _Toc72576296 \h </w:instrText>
            </w:r>
            <w:r w:rsidR="00B5761F">
              <w:rPr>
                <w:noProof/>
                <w:webHidden/>
              </w:rPr>
            </w:r>
            <w:r w:rsidR="00B5761F">
              <w:rPr>
                <w:noProof/>
                <w:webHidden/>
              </w:rPr>
              <w:fldChar w:fldCharType="separate"/>
            </w:r>
            <w:r w:rsidR="000C446C">
              <w:rPr>
                <w:noProof/>
                <w:webHidden/>
              </w:rPr>
              <w:t>19</w:t>
            </w:r>
            <w:r w:rsidR="00B5761F">
              <w:rPr>
                <w:noProof/>
                <w:webHidden/>
              </w:rPr>
              <w:fldChar w:fldCharType="end"/>
            </w:r>
          </w:hyperlink>
        </w:p>
        <w:p w14:paraId="28D6314A" w14:textId="33DBCCB0" w:rsidR="00B5761F" w:rsidRDefault="0065686B">
          <w:pPr>
            <w:pStyle w:val="Inhopg2"/>
            <w:rPr>
              <w:rFonts w:asciiTheme="minorHAnsi" w:eastAsiaTheme="minorEastAsia" w:hAnsiTheme="minorHAnsi"/>
              <w:noProof/>
              <w:sz w:val="22"/>
              <w:lang w:eastAsia="nl-NL"/>
            </w:rPr>
          </w:pPr>
          <w:hyperlink w:anchor="_Toc72576297" w:history="1">
            <w:r w:rsidR="00B5761F" w:rsidRPr="00730ED8">
              <w:rPr>
                <w:rStyle w:val="Hyperlink"/>
                <w:noProof/>
              </w:rPr>
              <w:t>3.3. Voorlopig conclusie</w:t>
            </w:r>
            <w:r w:rsidR="00B5761F">
              <w:rPr>
                <w:noProof/>
                <w:webHidden/>
              </w:rPr>
              <w:tab/>
            </w:r>
            <w:r w:rsidR="00B5761F">
              <w:rPr>
                <w:noProof/>
                <w:webHidden/>
              </w:rPr>
              <w:fldChar w:fldCharType="begin"/>
            </w:r>
            <w:r w:rsidR="00B5761F">
              <w:rPr>
                <w:noProof/>
                <w:webHidden/>
              </w:rPr>
              <w:instrText xml:space="preserve"> PAGEREF _Toc72576297 \h </w:instrText>
            </w:r>
            <w:r w:rsidR="00B5761F">
              <w:rPr>
                <w:noProof/>
                <w:webHidden/>
              </w:rPr>
            </w:r>
            <w:r w:rsidR="00B5761F">
              <w:rPr>
                <w:noProof/>
                <w:webHidden/>
              </w:rPr>
              <w:fldChar w:fldCharType="separate"/>
            </w:r>
            <w:r w:rsidR="000C446C">
              <w:rPr>
                <w:noProof/>
                <w:webHidden/>
              </w:rPr>
              <w:t>19</w:t>
            </w:r>
            <w:r w:rsidR="00B5761F">
              <w:rPr>
                <w:noProof/>
                <w:webHidden/>
              </w:rPr>
              <w:fldChar w:fldCharType="end"/>
            </w:r>
          </w:hyperlink>
        </w:p>
        <w:p w14:paraId="3C2D9B55" w14:textId="795AC421" w:rsidR="00B5761F" w:rsidRDefault="0065686B">
          <w:pPr>
            <w:pStyle w:val="Inhopg1"/>
            <w:rPr>
              <w:rFonts w:asciiTheme="minorHAnsi" w:eastAsiaTheme="minorEastAsia" w:hAnsiTheme="minorHAnsi"/>
              <w:b w:val="0"/>
              <w:sz w:val="22"/>
              <w:szCs w:val="22"/>
              <w:lang w:eastAsia="nl-NL"/>
            </w:rPr>
          </w:pPr>
          <w:hyperlink w:anchor="_Toc72576298" w:history="1">
            <w:r w:rsidR="00B5761F" w:rsidRPr="00730ED8">
              <w:rPr>
                <w:rStyle w:val="Hyperlink"/>
              </w:rPr>
              <w:t xml:space="preserve">Hoofstuk 4: </w:t>
            </w:r>
            <w:r w:rsidR="00B5761F" w:rsidRPr="00730ED8">
              <w:rPr>
                <w:rStyle w:val="Hyperlink"/>
                <w:bCs/>
              </w:rPr>
              <w:t>Remedies bij non-conformiteit: het heden en de toekomst</w:t>
            </w:r>
            <w:r w:rsidR="00B5761F">
              <w:rPr>
                <w:webHidden/>
              </w:rPr>
              <w:tab/>
            </w:r>
            <w:r w:rsidR="00B5761F">
              <w:rPr>
                <w:webHidden/>
              </w:rPr>
              <w:fldChar w:fldCharType="begin"/>
            </w:r>
            <w:r w:rsidR="00B5761F">
              <w:rPr>
                <w:webHidden/>
              </w:rPr>
              <w:instrText xml:space="preserve"> PAGEREF _Toc72576298 \h </w:instrText>
            </w:r>
            <w:r w:rsidR="00B5761F">
              <w:rPr>
                <w:webHidden/>
              </w:rPr>
            </w:r>
            <w:r w:rsidR="00B5761F">
              <w:rPr>
                <w:webHidden/>
              </w:rPr>
              <w:fldChar w:fldCharType="separate"/>
            </w:r>
            <w:r w:rsidR="000C446C">
              <w:rPr>
                <w:webHidden/>
              </w:rPr>
              <w:t>21</w:t>
            </w:r>
            <w:r w:rsidR="00B5761F">
              <w:rPr>
                <w:webHidden/>
              </w:rPr>
              <w:fldChar w:fldCharType="end"/>
            </w:r>
          </w:hyperlink>
        </w:p>
        <w:p w14:paraId="3CACCF3D" w14:textId="20C7DF9F" w:rsidR="00B5761F" w:rsidRDefault="0065686B">
          <w:pPr>
            <w:pStyle w:val="Inhopg2"/>
            <w:rPr>
              <w:rFonts w:asciiTheme="minorHAnsi" w:eastAsiaTheme="minorEastAsia" w:hAnsiTheme="minorHAnsi"/>
              <w:noProof/>
              <w:sz w:val="22"/>
              <w:lang w:eastAsia="nl-NL"/>
            </w:rPr>
          </w:pPr>
          <w:hyperlink w:anchor="_Toc72576299" w:history="1">
            <w:r w:rsidR="00B5761F" w:rsidRPr="00730ED8">
              <w:rPr>
                <w:rStyle w:val="Hyperlink"/>
                <w:noProof/>
              </w:rPr>
              <w:t>4.1 Remedies volgens het huidige recht</w:t>
            </w:r>
            <w:r w:rsidR="00B5761F">
              <w:rPr>
                <w:noProof/>
                <w:webHidden/>
              </w:rPr>
              <w:tab/>
            </w:r>
            <w:r w:rsidR="00B5761F">
              <w:rPr>
                <w:noProof/>
                <w:webHidden/>
              </w:rPr>
              <w:fldChar w:fldCharType="begin"/>
            </w:r>
            <w:r w:rsidR="00B5761F">
              <w:rPr>
                <w:noProof/>
                <w:webHidden/>
              </w:rPr>
              <w:instrText xml:space="preserve"> PAGEREF _Toc72576299 \h </w:instrText>
            </w:r>
            <w:r w:rsidR="00B5761F">
              <w:rPr>
                <w:noProof/>
                <w:webHidden/>
              </w:rPr>
            </w:r>
            <w:r w:rsidR="00B5761F">
              <w:rPr>
                <w:noProof/>
                <w:webHidden/>
              </w:rPr>
              <w:fldChar w:fldCharType="separate"/>
            </w:r>
            <w:r w:rsidR="000C446C">
              <w:rPr>
                <w:noProof/>
                <w:webHidden/>
              </w:rPr>
              <w:t>21</w:t>
            </w:r>
            <w:r w:rsidR="00B5761F">
              <w:rPr>
                <w:noProof/>
                <w:webHidden/>
              </w:rPr>
              <w:fldChar w:fldCharType="end"/>
            </w:r>
          </w:hyperlink>
        </w:p>
        <w:p w14:paraId="4C973C50" w14:textId="154E85C9" w:rsidR="00B5761F" w:rsidRDefault="0065686B">
          <w:pPr>
            <w:pStyle w:val="Inhopg2"/>
            <w:rPr>
              <w:rFonts w:asciiTheme="minorHAnsi" w:eastAsiaTheme="minorEastAsia" w:hAnsiTheme="minorHAnsi"/>
              <w:noProof/>
              <w:sz w:val="22"/>
              <w:lang w:eastAsia="nl-NL"/>
            </w:rPr>
          </w:pPr>
          <w:hyperlink w:anchor="_Toc72576300" w:history="1">
            <w:r w:rsidR="00B5761F" w:rsidRPr="00730ED8">
              <w:rPr>
                <w:rStyle w:val="Hyperlink"/>
                <w:noProof/>
              </w:rPr>
              <w:t>4.2. Remedies volgens Richtlijn 2019/771</w:t>
            </w:r>
            <w:r w:rsidR="00B5761F">
              <w:rPr>
                <w:noProof/>
                <w:webHidden/>
              </w:rPr>
              <w:tab/>
            </w:r>
            <w:r w:rsidR="00B5761F">
              <w:rPr>
                <w:noProof/>
                <w:webHidden/>
              </w:rPr>
              <w:fldChar w:fldCharType="begin"/>
            </w:r>
            <w:r w:rsidR="00B5761F">
              <w:rPr>
                <w:noProof/>
                <w:webHidden/>
              </w:rPr>
              <w:instrText xml:space="preserve"> PAGEREF _Toc72576300 \h </w:instrText>
            </w:r>
            <w:r w:rsidR="00B5761F">
              <w:rPr>
                <w:noProof/>
                <w:webHidden/>
              </w:rPr>
            </w:r>
            <w:r w:rsidR="00B5761F">
              <w:rPr>
                <w:noProof/>
                <w:webHidden/>
              </w:rPr>
              <w:fldChar w:fldCharType="separate"/>
            </w:r>
            <w:r w:rsidR="000C446C">
              <w:rPr>
                <w:noProof/>
                <w:webHidden/>
              </w:rPr>
              <w:t>22</w:t>
            </w:r>
            <w:r w:rsidR="00B5761F">
              <w:rPr>
                <w:noProof/>
                <w:webHidden/>
              </w:rPr>
              <w:fldChar w:fldCharType="end"/>
            </w:r>
          </w:hyperlink>
        </w:p>
        <w:p w14:paraId="60F1AB24" w14:textId="4515D543" w:rsidR="00B5761F" w:rsidRDefault="0065686B">
          <w:pPr>
            <w:pStyle w:val="Inhopg2"/>
            <w:rPr>
              <w:rFonts w:asciiTheme="minorHAnsi" w:eastAsiaTheme="minorEastAsia" w:hAnsiTheme="minorHAnsi"/>
              <w:noProof/>
              <w:sz w:val="22"/>
              <w:lang w:eastAsia="nl-NL"/>
            </w:rPr>
          </w:pPr>
          <w:hyperlink w:anchor="_Toc72576301" w:history="1">
            <w:r w:rsidR="00B5761F" w:rsidRPr="00730ED8">
              <w:rPr>
                <w:rStyle w:val="Hyperlink"/>
                <w:noProof/>
              </w:rPr>
              <w:t xml:space="preserve">4.3. </w:t>
            </w:r>
            <w:r w:rsidR="00B5761F" w:rsidRPr="00730ED8">
              <w:rPr>
                <w:rStyle w:val="Hyperlink"/>
                <w:bCs/>
                <w:noProof/>
              </w:rPr>
              <w:t>Minimumharmonisatie in Richtlijn 2019/771</w:t>
            </w:r>
            <w:r w:rsidR="00B5761F">
              <w:rPr>
                <w:noProof/>
                <w:webHidden/>
              </w:rPr>
              <w:tab/>
            </w:r>
            <w:r w:rsidR="00B5761F">
              <w:rPr>
                <w:noProof/>
                <w:webHidden/>
              </w:rPr>
              <w:fldChar w:fldCharType="begin"/>
            </w:r>
            <w:r w:rsidR="00B5761F">
              <w:rPr>
                <w:noProof/>
                <w:webHidden/>
              </w:rPr>
              <w:instrText xml:space="preserve"> PAGEREF _Toc72576301 \h </w:instrText>
            </w:r>
            <w:r w:rsidR="00B5761F">
              <w:rPr>
                <w:noProof/>
                <w:webHidden/>
              </w:rPr>
            </w:r>
            <w:r w:rsidR="00B5761F">
              <w:rPr>
                <w:noProof/>
                <w:webHidden/>
              </w:rPr>
              <w:fldChar w:fldCharType="separate"/>
            </w:r>
            <w:r w:rsidR="000C446C">
              <w:rPr>
                <w:noProof/>
                <w:webHidden/>
              </w:rPr>
              <w:t>24</w:t>
            </w:r>
            <w:r w:rsidR="00B5761F">
              <w:rPr>
                <w:noProof/>
                <w:webHidden/>
              </w:rPr>
              <w:fldChar w:fldCharType="end"/>
            </w:r>
          </w:hyperlink>
        </w:p>
        <w:p w14:paraId="323F7B5D" w14:textId="203FEBBC" w:rsidR="00B5761F" w:rsidRDefault="0065686B">
          <w:pPr>
            <w:pStyle w:val="Inhopg2"/>
            <w:rPr>
              <w:rFonts w:asciiTheme="minorHAnsi" w:eastAsiaTheme="minorEastAsia" w:hAnsiTheme="minorHAnsi"/>
              <w:noProof/>
              <w:sz w:val="22"/>
              <w:lang w:eastAsia="nl-NL"/>
            </w:rPr>
          </w:pPr>
          <w:hyperlink w:anchor="_Toc72576302" w:history="1">
            <w:r w:rsidR="00B5761F" w:rsidRPr="00730ED8">
              <w:rPr>
                <w:rStyle w:val="Hyperlink"/>
                <w:noProof/>
              </w:rPr>
              <w:t>4.4. Voorlopige conclusie</w:t>
            </w:r>
            <w:r w:rsidR="00B5761F">
              <w:rPr>
                <w:noProof/>
                <w:webHidden/>
              </w:rPr>
              <w:tab/>
            </w:r>
            <w:r w:rsidR="00B5761F">
              <w:rPr>
                <w:noProof/>
                <w:webHidden/>
              </w:rPr>
              <w:fldChar w:fldCharType="begin"/>
            </w:r>
            <w:r w:rsidR="00B5761F">
              <w:rPr>
                <w:noProof/>
                <w:webHidden/>
              </w:rPr>
              <w:instrText xml:space="preserve"> PAGEREF _Toc72576302 \h </w:instrText>
            </w:r>
            <w:r w:rsidR="00B5761F">
              <w:rPr>
                <w:noProof/>
                <w:webHidden/>
              </w:rPr>
            </w:r>
            <w:r w:rsidR="00B5761F">
              <w:rPr>
                <w:noProof/>
                <w:webHidden/>
              </w:rPr>
              <w:fldChar w:fldCharType="separate"/>
            </w:r>
            <w:r w:rsidR="000C446C">
              <w:rPr>
                <w:noProof/>
                <w:webHidden/>
              </w:rPr>
              <w:t>24</w:t>
            </w:r>
            <w:r w:rsidR="00B5761F">
              <w:rPr>
                <w:noProof/>
                <w:webHidden/>
              </w:rPr>
              <w:fldChar w:fldCharType="end"/>
            </w:r>
          </w:hyperlink>
        </w:p>
        <w:p w14:paraId="486C7F38" w14:textId="44993EA8" w:rsidR="00B5761F" w:rsidRDefault="0065686B">
          <w:pPr>
            <w:pStyle w:val="Inhopg1"/>
            <w:rPr>
              <w:rFonts w:asciiTheme="minorHAnsi" w:eastAsiaTheme="minorEastAsia" w:hAnsiTheme="minorHAnsi"/>
              <w:b w:val="0"/>
              <w:sz w:val="22"/>
              <w:szCs w:val="22"/>
              <w:lang w:eastAsia="nl-NL"/>
            </w:rPr>
          </w:pPr>
          <w:hyperlink w:anchor="_Toc72576303" w:history="1">
            <w:r w:rsidR="00B5761F" w:rsidRPr="00730ED8">
              <w:rPr>
                <w:rStyle w:val="Hyperlink"/>
              </w:rPr>
              <w:t xml:space="preserve">Hoofdstuk 5: De huidige adviespraktijk van </w:t>
            </w:r>
            <w:r w:rsidR="00DC68A1" w:rsidRPr="000C446C">
              <w:rPr>
                <w:bCs/>
                <w:sz w:val="24"/>
                <w:szCs w:val="24"/>
              </w:rPr>
              <w:t>XXX</w:t>
            </w:r>
            <w:r w:rsidR="00B5761F">
              <w:rPr>
                <w:webHidden/>
              </w:rPr>
              <w:tab/>
            </w:r>
            <w:r w:rsidR="00B5761F">
              <w:rPr>
                <w:webHidden/>
              </w:rPr>
              <w:fldChar w:fldCharType="begin"/>
            </w:r>
            <w:r w:rsidR="00B5761F">
              <w:rPr>
                <w:webHidden/>
              </w:rPr>
              <w:instrText xml:space="preserve"> PAGEREF _Toc72576303 \h </w:instrText>
            </w:r>
            <w:r w:rsidR="00B5761F">
              <w:rPr>
                <w:webHidden/>
              </w:rPr>
            </w:r>
            <w:r w:rsidR="00B5761F">
              <w:rPr>
                <w:webHidden/>
              </w:rPr>
              <w:fldChar w:fldCharType="separate"/>
            </w:r>
            <w:r w:rsidR="000C446C">
              <w:rPr>
                <w:webHidden/>
              </w:rPr>
              <w:t>25</w:t>
            </w:r>
            <w:r w:rsidR="00B5761F">
              <w:rPr>
                <w:webHidden/>
              </w:rPr>
              <w:fldChar w:fldCharType="end"/>
            </w:r>
          </w:hyperlink>
        </w:p>
        <w:p w14:paraId="0559586C" w14:textId="3646804F" w:rsidR="00B5761F" w:rsidRDefault="0065686B">
          <w:pPr>
            <w:pStyle w:val="Inhopg2"/>
            <w:rPr>
              <w:rFonts w:asciiTheme="minorHAnsi" w:eastAsiaTheme="minorEastAsia" w:hAnsiTheme="minorHAnsi"/>
              <w:noProof/>
              <w:sz w:val="22"/>
              <w:lang w:eastAsia="nl-NL"/>
            </w:rPr>
          </w:pPr>
          <w:hyperlink w:anchor="_Toc72576304" w:history="1">
            <w:r w:rsidR="00B5761F" w:rsidRPr="00730ED8">
              <w:rPr>
                <w:rStyle w:val="Hyperlink"/>
                <w:noProof/>
              </w:rPr>
              <w:t>5.1. Aanmelding van de zaak</w:t>
            </w:r>
            <w:r w:rsidR="00B5761F">
              <w:rPr>
                <w:noProof/>
                <w:webHidden/>
              </w:rPr>
              <w:tab/>
            </w:r>
            <w:r w:rsidR="00B5761F">
              <w:rPr>
                <w:noProof/>
                <w:webHidden/>
              </w:rPr>
              <w:fldChar w:fldCharType="begin"/>
            </w:r>
            <w:r w:rsidR="00B5761F">
              <w:rPr>
                <w:noProof/>
                <w:webHidden/>
              </w:rPr>
              <w:instrText xml:space="preserve"> PAGEREF _Toc72576304 \h </w:instrText>
            </w:r>
            <w:r w:rsidR="00B5761F">
              <w:rPr>
                <w:noProof/>
                <w:webHidden/>
              </w:rPr>
            </w:r>
            <w:r w:rsidR="00B5761F">
              <w:rPr>
                <w:noProof/>
                <w:webHidden/>
              </w:rPr>
              <w:fldChar w:fldCharType="separate"/>
            </w:r>
            <w:r w:rsidR="000C446C">
              <w:rPr>
                <w:noProof/>
                <w:webHidden/>
              </w:rPr>
              <w:t>25</w:t>
            </w:r>
            <w:r w:rsidR="00B5761F">
              <w:rPr>
                <w:noProof/>
                <w:webHidden/>
              </w:rPr>
              <w:fldChar w:fldCharType="end"/>
            </w:r>
          </w:hyperlink>
        </w:p>
        <w:p w14:paraId="4FA1C8E0" w14:textId="443F9065" w:rsidR="00B5761F" w:rsidRDefault="0065686B">
          <w:pPr>
            <w:pStyle w:val="Inhopg3"/>
            <w:rPr>
              <w:rFonts w:asciiTheme="minorHAnsi" w:hAnsiTheme="minorHAnsi" w:cstheme="minorBidi"/>
              <w:noProof/>
              <w:sz w:val="22"/>
            </w:rPr>
          </w:pPr>
          <w:hyperlink w:anchor="_Toc72576305" w:history="1">
            <w:r w:rsidR="00B5761F" w:rsidRPr="00730ED8">
              <w:rPr>
                <w:rStyle w:val="Hyperlink"/>
                <w:noProof/>
              </w:rPr>
              <w:t>5.1.1. Beoordeling dekking</w:t>
            </w:r>
            <w:r w:rsidR="00B5761F">
              <w:rPr>
                <w:noProof/>
                <w:webHidden/>
              </w:rPr>
              <w:tab/>
            </w:r>
            <w:r w:rsidR="00B5761F">
              <w:rPr>
                <w:noProof/>
                <w:webHidden/>
              </w:rPr>
              <w:fldChar w:fldCharType="begin"/>
            </w:r>
            <w:r w:rsidR="00B5761F">
              <w:rPr>
                <w:noProof/>
                <w:webHidden/>
              </w:rPr>
              <w:instrText xml:space="preserve"> PAGEREF _Toc72576305 \h </w:instrText>
            </w:r>
            <w:r w:rsidR="00B5761F">
              <w:rPr>
                <w:noProof/>
                <w:webHidden/>
              </w:rPr>
            </w:r>
            <w:r w:rsidR="00B5761F">
              <w:rPr>
                <w:noProof/>
                <w:webHidden/>
              </w:rPr>
              <w:fldChar w:fldCharType="separate"/>
            </w:r>
            <w:r w:rsidR="000C446C">
              <w:rPr>
                <w:noProof/>
                <w:webHidden/>
              </w:rPr>
              <w:t>25</w:t>
            </w:r>
            <w:r w:rsidR="00B5761F">
              <w:rPr>
                <w:noProof/>
                <w:webHidden/>
              </w:rPr>
              <w:fldChar w:fldCharType="end"/>
            </w:r>
          </w:hyperlink>
        </w:p>
        <w:p w14:paraId="0CA42892" w14:textId="283087C1" w:rsidR="00B5761F" w:rsidRDefault="0065686B">
          <w:pPr>
            <w:pStyle w:val="Inhopg2"/>
            <w:rPr>
              <w:rFonts w:asciiTheme="minorHAnsi" w:eastAsiaTheme="minorEastAsia" w:hAnsiTheme="minorHAnsi"/>
              <w:noProof/>
              <w:sz w:val="22"/>
              <w:lang w:eastAsia="nl-NL"/>
            </w:rPr>
          </w:pPr>
          <w:hyperlink w:anchor="_Toc72576306" w:history="1">
            <w:r w:rsidR="00B5761F" w:rsidRPr="00730ED8">
              <w:rPr>
                <w:rStyle w:val="Hyperlink"/>
                <w:noProof/>
              </w:rPr>
              <w:t xml:space="preserve">5.2. Dossiers bij </w:t>
            </w:r>
            <w:r w:rsidR="00DC68A1" w:rsidRPr="000C446C">
              <w:rPr>
                <w:b/>
                <w:bCs/>
                <w:sz w:val="24"/>
                <w:szCs w:val="24"/>
              </w:rPr>
              <w:t>XXX</w:t>
            </w:r>
            <w:r w:rsidR="00DC68A1" w:rsidRPr="00730ED8">
              <w:rPr>
                <w:rStyle w:val="Hyperlink"/>
                <w:noProof/>
              </w:rPr>
              <w:t xml:space="preserve"> </w:t>
            </w:r>
            <w:r w:rsidR="00B5761F" w:rsidRPr="00730ED8">
              <w:rPr>
                <w:rStyle w:val="Hyperlink"/>
                <w:noProof/>
              </w:rPr>
              <w:t>over non-conformiteit</w:t>
            </w:r>
            <w:r w:rsidR="00B5761F">
              <w:rPr>
                <w:noProof/>
                <w:webHidden/>
              </w:rPr>
              <w:tab/>
            </w:r>
            <w:r w:rsidR="00B5761F">
              <w:rPr>
                <w:noProof/>
                <w:webHidden/>
              </w:rPr>
              <w:fldChar w:fldCharType="begin"/>
            </w:r>
            <w:r w:rsidR="00B5761F">
              <w:rPr>
                <w:noProof/>
                <w:webHidden/>
              </w:rPr>
              <w:instrText xml:space="preserve"> PAGEREF _Toc72576306 \h </w:instrText>
            </w:r>
            <w:r w:rsidR="00B5761F">
              <w:rPr>
                <w:noProof/>
                <w:webHidden/>
              </w:rPr>
            </w:r>
            <w:r w:rsidR="00B5761F">
              <w:rPr>
                <w:noProof/>
                <w:webHidden/>
              </w:rPr>
              <w:fldChar w:fldCharType="separate"/>
            </w:r>
            <w:r w:rsidR="000C446C">
              <w:rPr>
                <w:noProof/>
                <w:webHidden/>
              </w:rPr>
              <w:t>26</w:t>
            </w:r>
            <w:r w:rsidR="00B5761F">
              <w:rPr>
                <w:noProof/>
                <w:webHidden/>
              </w:rPr>
              <w:fldChar w:fldCharType="end"/>
            </w:r>
          </w:hyperlink>
        </w:p>
        <w:p w14:paraId="10B531CC" w14:textId="6CE16056" w:rsidR="00B5761F" w:rsidRDefault="0065686B">
          <w:pPr>
            <w:pStyle w:val="Inhopg2"/>
            <w:rPr>
              <w:rFonts w:asciiTheme="minorHAnsi" w:eastAsiaTheme="minorEastAsia" w:hAnsiTheme="minorHAnsi"/>
              <w:noProof/>
              <w:sz w:val="22"/>
              <w:lang w:eastAsia="nl-NL"/>
            </w:rPr>
          </w:pPr>
          <w:hyperlink w:anchor="_Toc72576307" w:history="1">
            <w:r w:rsidR="00B5761F" w:rsidRPr="00730ED8">
              <w:rPr>
                <w:rStyle w:val="Hyperlink"/>
                <w:noProof/>
              </w:rPr>
              <w:t xml:space="preserve">5.3. </w:t>
            </w:r>
            <w:r w:rsidR="00B5761F" w:rsidRPr="00730ED8">
              <w:rPr>
                <w:rStyle w:val="Hyperlink"/>
                <w:bCs/>
                <w:noProof/>
              </w:rPr>
              <w:t>Werkwijze bij dossiers over non-conformiteit</w:t>
            </w:r>
            <w:r w:rsidR="00B5761F">
              <w:rPr>
                <w:noProof/>
                <w:webHidden/>
              </w:rPr>
              <w:tab/>
            </w:r>
            <w:r w:rsidR="00B5761F">
              <w:rPr>
                <w:noProof/>
                <w:webHidden/>
              </w:rPr>
              <w:fldChar w:fldCharType="begin"/>
            </w:r>
            <w:r w:rsidR="00B5761F">
              <w:rPr>
                <w:noProof/>
                <w:webHidden/>
              </w:rPr>
              <w:instrText xml:space="preserve"> PAGEREF _Toc72576307 \h </w:instrText>
            </w:r>
            <w:r w:rsidR="00B5761F">
              <w:rPr>
                <w:noProof/>
                <w:webHidden/>
              </w:rPr>
            </w:r>
            <w:r w:rsidR="00B5761F">
              <w:rPr>
                <w:noProof/>
                <w:webHidden/>
              </w:rPr>
              <w:fldChar w:fldCharType="separate"/>
            </w:r>
            <w:r w:rsidR="000C446C">
              <w:rPr>
                <w:noProof/>
                <w:webHidden/>
              </w:rPr>
              <w:t>26</w:t>
            </w:r>
            <w:r w:rsidR="00B5761F">
              <w:rPr>
                <w:noProof/>
                <w:webHidden/>
              </w:rPr>
              <w:fldChar w:fldCharType="end"/>
            </w:r>
          </w:hyperlink>
        </w:p>
        <w:p w14:paraId="124420E6" w14:textId="4B5F45EC" w:rsidR="00B5761F" w:rsidRDefault="0065686B">
          <w:pPr>
            <w:pStyle w:val="Inhopg3"/>
            <w:rPr>
              <w:rFonts w:asciiTheme="minorHAnsi" w:hAnsiTheme="minorHAnsi" w:cstheme="minorBidi"/>
              <w:noProof/>
              <w:sz w:val="22"/>
            </w:rPr>
          </w:pPr>
          <w:hyperlink w:anchor="_Toc72576308" w:history="1">
            <w:r w:rsidR="00B5761F" w:rsidRPr="00730ED8">
              <w:rPr>
                <w:rStyle w:val="Hyperlink"/>
                <w:noProof/>
              </w:rPr>
              <w:t>5.3.1. Vaststellen van non-conformiteit</w:t>
            </w:r>
            <w:r w:rsidR="00B5761F">
              <w:rPr>
                <w:noProof/>
                <w:webHidden/>
              </w:rPr>
              <w:tab/>
            </w:r>
            <w:r w:rsidR="00B5761F">
              <w:rPr>
                <w:noProof/>
                <w:webHidden/>
              </w:rPr>
              <w:fldChar w:fldCharType="begin"/>
            </w:r>
            <w:r w:rsidR="00B5761F">
              <w:rPr>
                <w:noProof/>
                <w:webHidden/>
              </w:rPr>
              <w:instrText xml:space="preserve"> PAGEREF _Toc72576308 \h </w:instrText>
            </w:r>
            <w:r w:rsidR="00B5761F">
              <w:rPr>
                <w:noProof/>
                <w:webHidden/>
              </w:rPr>
            </w:r>
            <w:r w:rsidR="00B5761F">
              <w:rPr>
                <w:noProof/>
                <w:webHidden/>
              </w:rPr>
              <w:fldChar w:fldCharType="separate"/>
            </w:r>
            <w:r w:rsidR="000C446C">
              <w:rPr>
                <w:noProof/>
                <w:webHidden/>
              </w:rPr>
              <w:t>26</w:t>
            </w:r>
            <w:r w:rsidR="00B5761F">
              <w:rPr>
                <w:noProof/>
                <w:webHidden/>
              </w:rPr>
              <w:fldChar w:fldCharType="end"/>
            </w:r>
          </w:hyperlink>
        </w:p>
        <w:p w14:paraId="5AAEDD76" w14:textId="2058BA8E" w:rsidR="00B5761F" w:rsidRDefault="0065686B">
          <w:pPr>
            <w:pStyle w:val="Inhopg3"/>
            <w:rPr>
              <w:rFonts w:asciiTheme="minorHAnsi" w:hAnsiTheme="minorHAnsi" w:cstheme="minorBidi"/>
              <w:noProof/>
              <w:sz w:val="22"/>
            </w:rPr>
          </w:pPr>
          <w:hyperlink w:anchor="_Toc72576309" w:history="1">
            <w:r w:rsidR="00B5761F" w:rsidRPr="00730ED8">
              <w:rPr>
                <w:rStyle w:val="Hyperlink"/>
                <w:i/>
                <w:iCs/>
                <w:noProof/>
              </w:rPr>
              <w:t xml:space="preserve">5.3.2. </w:t>
            </w:r>
            <w:r w:rsidR="00B5761F" w:rsidRPr="00730ED8">
              <w:rPr>
                <w:rStyle w:val="Hyperlink"/>
                <w:noProof/>
              </w:rPr>
              <w:t>Er is geen ingebrekestelling verstuurd</w:t>
            </w:r>
            <w:r w:rsidR="00B5761F">
              <w:rPr>
                <w:noProof/>
                <w:webHidden/>
              </w:rPr>
              <w:tab/>
            </w:r>
            <w:r w:rsidR="00B5761F">
              <w:rPr>
                <w:noProof/>
                <w:webHidden/>
              </w:rPr>
              <w:fldChar w:fldCharType="begin"/>
            </w:r>
            <w:r w:rsidR="00B5761F">
              <w:rPr>
                <w:noProof/>
                <w:webHidden/>
              </w:rPr>
              <w:instrText xml:space="preserve"> PAGEREF _Toc72576309 \h </w:instrText>
            </w:r>
            <w:r w:rsidR="00B5761F">
              <w:rPr>
                <w:noProof/>
                <w:webHidden/>
              </w:rPr>
            </w:r>
            <w:r w:rsidR="00B5761F">
              <w:rPr>
                <w:noProof/>
                <w:webHidden/>
              </w:rPr>
              <w:fldChar w:fldCharType="separate"/>
            </w:r>
            <w:r w:rsidR="000C446C">
              <w:rPr>
                <w:noProof/>
                <w:webHidden/>
              </w:rPr>
              <w:t>27</w:t>
            </w:r>
            <w:r w:rsidR="00B5761F">
              <w:rPr>
                <w:noProof/>
                <w:webHidden/>
              </w:rPr>
              <w:fldChar w:fldCharType="end"/>
            </w:r>
          </w:hyperlink>
        </w:p>
        <w:p w14:paraId="0172E3C5" w14:textId="2F82C687" w:rsidR="00B5761F" w:rsidRDefault="0065686B">
          <w:pPr>
            <w:pStyle w:val="Inhopg3"/>
            <w:rPr>
              <w:rFonts w:asciiTheme="minorHAnsi" w:hAnsiTheme="minorHAnsi" w:cstheme="minorBidi"/>
              <w:noProof/>
              <w:sz w:val="22"/>
            </w:rPr>
          </w:pPr>
          <w:hyperlink w:anchor="_Toc72576310" w:history="1">
            <w:r w:rsidR="00B5761F" w:rsidRPr="00730ED8">
              <w:rPr>
                <w:rStyle w:val="Hyperlink"/>
                <w:noProof/>
              </w:rPr>
              <w:t>5.3.3. Uitzondering: Zaak is niet haalbaar</w:t>
            </w:r>
            <w:r w:rsidR="00B5761F">
              <w:rPr>
                <w:noProof/>
                <w:webHidden/>
              </w:rPr>
              <w:tab/>
            </w:r>
            <w:r w:rsidR="00B5761F">
              <w:rPr>
                <w:noProof/>
                <w:webHidden/>
              </w:rPr>
              <w:fldChar w:fldCharType="begin"/>
            </w:r>
            <w:r w:rsidR="00B5761F">
              <w:rPr>
                <w:noProof/>
                <w:webHidden/>
              </w:rPr>
              <w:instrText xml:space="preserve"> PAGEREF _Toc72576310 \h </w:instrText>
            </w:r>
            <w:r w:rsidR="00B5761F">
              <w:rPr>
                <w:noProof/>
                <w:webHidden/>
              </w:rPr>
            </w:r>
            <w:r w:rsidR="00B5761F">
              <w:rPr>
                <w:noProof/>
                <w:webHidden/>
              </w:rPr>
              <w:fldChar w:fldCharType="separate"/>
            </w:r>
            <w:r w:rsidR="000C446C">
              <w:rPr>
                <w:noProof/>
                <w:webHidden/>
              </w:rPr>
              <w:t>27</w:t>
            </w:r>
            <w:r w:rsidR="00B5761F">
              <w:rPr>
                <w:noProof/>
                <w:webHidden/>
              </w:rPr>
              <w:fldChar w:fldCharType="end"/>
            </w:r>
          </w:hyperlink>
        </w:p>
        <w:p w14:paraId="2F989F42" w14:textId="71659C86" w:rsidR="00B5761F" w:rsidRDefault="0065686B">
          <w:pPr>
            <w:pStyle w:val="Inhopg3"/>
            <w:rPr>
              <w:rFonts w:asciiTheme="minorHAnsi" w:hAnsiTheme="minorHAnsi" w:cstheme="minorBidi"/>
              <w:noProof/>
              <w:sz w:val="22"/>
            </w:rPr>
          </w:pPr>
          <w:hyperlink w:anchor="_Toc72576311" w:history="1">
            <w:r w:rsidR="00B5761F" w:rsidRPr="00730ED8">
              <w:rPr>
                <w:rStyle w:val="Hyperlink"/>
                <w:noProof/>
              </w:rPr>
              <w:t>5.3.4. Uitzondering: Afkoop van de zaak</w:t>
            </w:r>
            <w:r w:rsidR="00B5761F">
              <w:rPr>
                <w:noProof/>
                <w:webHidden/>
              </w:rPr>
              <w:tab/>
            </w:r>
            <w:r w:rsidR="00B5761F">
              <w:rPr>
                <w:noProof/>
                <w:webHidden/>
              </w:rPr>
              <w:fldChar w:fldCharType="begin"/>
            </w:r>
            <w:r w:rsidR="00B5761F">
              <w:rPr>
                <w:noProof/>
                <w:webHidden/>
              </w:rPr>
              <w:instrText xml:space="preserve"> PAGEREF _Toc72576311 \h </w:instrText>
            </w:r>
            <w:r w:rsidR="00B5761F">
              <w:rPr>
                <w:noProof/>
                <w:webHidden/>
              </w:rPr>
            </w:r>
            <w:r w:rsidR="00B5761F">
              <w:rPr>
                <w:noProof/>
                <w:webHidden/>
              </w:rPr>
              <w:fldChar w:fldCharType="separate"/>
            </w:r>
            <w:r w:rsidR="000C446C">
              <w:rPr>
                <w:noProof/>
                <w:webHidden/>
              </w:rPr>
              <w:t>29</w:t>
            </w:r>
            <w:r w:rsidR="00B5761F">
              <w:rPr>
                <w:noProof/>
                <w:webHidden/>
              </w:rPr>
              <w:fldChar w:fldCharType="end"/>
            </w:r>
          </w:hyperlink>
        </w:p>
        <w:p w14:paraId="0D2284A4" w14:textId="4D9D6C9D" w:rsidR="00B5761F" w:rsidRDefault="0065686B">
          <w:pPr>
            <w:pStyle w:val="Inhopg2"/>
            <w:rPr>
              <w:rFonts w:asciiTheme="minorHAnsi" w:eastAsiaTheme="minorEastAsia" w:hAnsiTheme="minorHAnsi"/>
              <w:noProof/>
              <w:sz w:val="22"/>
              <w:lang w:eastAsia="nl-NL"/>
            </w:rPr>
          </w:pPr>
          <w:hyperlink w:anchor="_Toc72576312" w:history="1">
            <w:r w:rsidR="00B5761F" w:rsidRPr="00730ED8">
              <w:rPr>
                <w:rStyle w:val="Hyperlink"/>
                <w:noProof/>
              </w:rPr>
              <w:t>5.4. Discussies over non-conformiteit</w:t>
            </w:r>
            <w:r w:rsidR="00B5761F">
              <w:rPr>
                <w:noProof/>
                <w:webHidden/>
              </w:rPr>
              <w:tab/>
            </w:r>
            <w:r w:rsidR="00B5761F">
              <w:rPr>
                <w:noProof/>
                <w:webHidden/>
              </w:rPr>
              <w:fldChar w:fldCharType="begin"/>
            </w:r>
            <w:r w:rsidR="00B5761F">
              <w:rPr>
                <w:noProof/>
                <w:webHidden/>
              </w:rPr>
              <w:instrText xml:space="preserve"> PAGEREF _Toc72576312 \h </w:instrText>
            </w:r>
            <w:r w:rsidR="00B5761F">
              <w:rPr>
                <w:noProof/>
                <w:webHidden/>
              </w:rPr>
            </w:r>
            <w:r w:rsidR="00B5761F">
              <w:rPr>
                <w:noProof/>
                <w:webHidden/>
              </w:rPr>
              <w:fldChar w:fldCharType="separate"/>
            </w:r>
            <w:r w:rsidR="000C446C">
              <w:rPr>
                <w:noProof/>
                <w:webHidden/>
              </w:rPr>
              <w:t>29</w:t>
            </w:r>
            <w:r w:rsidR="00B5761F">
              <w:rPr>
                <w:noProof/>
                <w:webHidden/>
              </w:rPr>
              <w:fldChar w:fldCharType="end"/>
            </w:r>
          </w:hyperlink>
        </w:p>
        <w:p w14:paraId="00474882" w14:textId="1AA7B2CD" w:rsidR="00B5761F" w:rsidRDefault="0065686B">
          <w:pPr>
            <w:pStyle w:val="Inhopg2"/>
            <w:rPr>
              <w:rFonts w:asciiTheme="minorHAnsi" w:eastAsiaTheme="minorEastAsia" w:hAnsiTheme="minorHAnsi"/>
              <w:noProof/>
              <w:sz w:val="22"/>
              <w:lang w:eastAsia="nl-NL"/>
            </w:rPr>
          </w:pPr>
          <w:hyperlink w:anchor="_Toc72576313" w:history="1">
            <w:r w:rsidR="00B5761F" w:rsidRPr="00730ED8">
              <w:rPr>
                <w:rStyle w:val="Hyperlink"/>
                <w:noProof/>
              </w:rPr>
              <w:t>5.5. Voorlopige conclusie</w:t>
            </w:r>
            <w:r w:rsidR="00B5761F">
              <w:rPr>
                <w:noProof/>
                <w:webHidden/>
              </w:rPr>
              <w:tab/>
            </w:r>
            <w:r w:rsidR="00B5761F">
              <w:rPr>
                <w:noProof/>
                <w:webHidden/>
              </w:rPr>
              <w:fldChar w:fldCharType="begin"/>
            </w:r>
            <w:r w:rsidR="00B5761F">
              <w:rPr>
                <w:noProof/>
                <w:webHidden/>
              </w:rPr>
              <w:instrText xml:space="preserve"> PAGEREF _Toc72576313 \h </w:instrText>
            </w:r>
            <w:r w:rsidR="00B5761F">
              <w:rPr>
                <w:noProof/>
                <w:webHidden/>
              </w:rPr>
            </w:r>
            <w:r w:rsidR="00B5761F">
              <w:rPr>
                <w:noProof/>
                <w:webHidden/>
              </w:rPr>
              <w:fldChar w:fldCharType="separate"/>
            </w:r>
            <w:r w:rsidR="000C446C">
              <w:rPr>
                <w:noProof/>
                <w:webHidden/>
              </w:rPr>
              <w:t>30</w:t>
            </w:r>
            <w:r w:rsidR="00B5761F">
              <w:rPr>
                <w:noProof/>
                <w:webHidden/>
              </w:rPr>
              <w:fldChar w:fldCharType="end"/>
            </w:r>
          </w:hyperlink>
        </w:p>
        <w:p w14:paraId="49B5528B" w14:textId="76863618" w:rsidR="00B5761F" w:rsidRDefault="0065686B">
          <w:pPr>
            <w:pStyle w:val="Inhopg1"/>
            <w:rPr>
              <w:rFonts w:asciiTheme="minorHAnsi" w:eastAsiaTheme="minorEastAsia" w:hAnsiTheme="minorHAnsi"/>
              <w:b w:val="0"/>
              <w:sz w:val="22"/>
              <w:szCs w:val="22"/>
              <w:lang w:eastAsia="nl-NL"/>
            </w:rPr>
          </w:pPr>
          <w:hyperlink w:anchor="_Toc72576314" w:history="1">
            <w:r w:rsidR="00B5761F" w:rsidRPr="00730ED8">
              <w:rPr>
                <w:rStyle w:val="Hyperlink"/>
              </w:rPr>
              <w:t>Hoofdstuk 6: Eindconclusie</w:t>
            </w:r>
            <w:r w:rsidR="00B5761F">
              <w:rPr>
                <w:webHidden/>
              </w:rPr>
              <w:tab/>
            </w:r>
            <w:r w:rsidR="00B5761F">
              <w:rPr>
                <w:webHidden/>
              </w:rPr>
              <w:fldChar w:fldCharType="begin"/>
            </w:r>
            <w:r w:rsidR="00B5761F">
              <w:rPr>
                <w:webHidden/>
              </w:rPr>
              <w:instrText xml:space="preserve"> PAGEREF _Toc72576314 \h </w:instrText>
            </w:r>
            <w:r w:rsidR="00B5761F">
              <w:rPr>
                <w:webHidden/>
              </w:rPr>
            </w:r>
            <w:r w:rsidR="00B5761F">
              <w:rPr>
                <w:webHidden/>
              </w:rPr>
              <w:fldChar w:fldCharType="separate"/>
            </w:r>
            <w:r w:rsidR="000C446C">
              <w:rPr>
                <w:webHidden/>
              </w:rPr>
              <w:t>31</w:t>
            </w:r>
            <w:r w:rsidR="00B5761F">
              <w:rPr>
                <w:webHidden/>
              </w:rPr>
              <w:fldChar w:fldCharType="end"/>
            </w:r>
          </w:hyperlink>
        </w:p>
        <w:p w14:paraId="4C2C803E" w14:textId="51F81C3E" w:rsidR="00B5761F" w:rsidRDefault="0065686B">
          <w:pPr>
            <w:pStyle w:val="Inhopg1"/>
            <w:rPr>
              <w:rFonts w:asciiTheme="minorHAnsi" w:eastAsiaTheme="minorEastAsia" w:hAnsiTheme="minorHAnsi"/>
              <w:b w:val="0"/>
              <w:sz w:val="22"/>
              <w:szCs w:val="22"/>
              <w:lang w:eastAsia="nl-NL"/>
            </w:rPr>
          </w:pPr>
          <w:hyperlink w:anchor="_Toc72576315" w:history="1">
            <w:r w:rsidR="00B5761F" w:rsidRPr="00730ED8">
              <w:rPr>
                <w:rStyle w:val="Hyperlink"/>
              </w:rPr>
              <w:t>Bronnenlijst</w:t>
            </w:r>
            <w:r w:rsidR="00B5761F">
              <w:rPr>
                <w:webHidden/>
              </w:rPr>
              <w:tab/>
            </w:r>
            <w:r w:rsidR="00B5761F">
              <w:rPr>
                <w:webHidden/>
              </w:rPr>
              <w:fldChar w:fldCharType="begin"/>
            </w:r>
            <w:r w:rsidR="00B5761F">
              <w:rPr>
                <w:webHidden/>
              </w:rPr>
              <w:instrText xml:space="preserve"> PAGEREF _Toc72576315 \h </w:instrText>
            </w:r>
            <w:r w:rsidR="00B5761F">
              <w:rPr>
                <w:webHidden/>
              </w:rPr>
            </w:r>
            <w:r w:rsidR="00B5761F">
              <w:rPr>
                <w:webHidden/>
              </w:rPr>
              <w:fldChar w:fldCharType="separate"/>
            </w:r>
            <w:r w:rsidR="000C446C">
              <w:rPr>
                <w:webHidden/>
              </w:rPr>
              <w:t>34</w:t>
            </w:r>
            <w:r w:rsidR="00B5761F">
              <w:rPr>
                <w:webHidden/>
              </w:rPr>
              <w:fldChar w:fldCharType="end"/>
            </w:r>
          </w:hyperlink>
        </w:p>
        <w:p w14:paraId="62409D9E" w14:textId="28B868CB" w:rsidR="00B5761F" w:rsidRDefault="0065686B">
          <w:pPr>
            <w:pStyle w:val="Inhopg2"/>
            <w:rPr>
              <w:rFonts w:asciiTheme="minorHAnsi" w:eastAsiaTheme="minorEastAsia" w:hAnsiTheme="minorHAnsi"/>
              <w:noProof/>
              <w:sz w:val="22"/>
              <w:lang w:eastAsia="nl-NL"/>
            </w:rPr>
          </w:pPr>
          <w:hyperlink w:anchor="_Toc72576316" w:history="1">
            <w:r w:rsidR="00B5761F" w:rsidRPr="00730ED8">
              <w:rPr>
                <w:rStyle w:val="Hyperlink"/>
                <w:noProof/>
              </w:rPr>
              <w:t>Literatuur</w:t>
            </w:r>
            <w:r w:rsidR="00B5761F">
              <w:rPr>
                <w:noProof/>
                <w:webHidden/>
              </w:rPr>
              <w:tab/>
            </w:r>
            <w:r w:rsidR="00B5761F">
              <w:rPr>
                <w:noProof/>
                <w:webHidden/>
              </w:rPr>
              <w:fldChar w:fldCharType="begin"/>
            </w:r>
            <w:r w:rsidR="00B5761F">
              <w:rPr>
                <w:noProof/>
                <w:webHidden/>
              </w:rPr>
              <w:instrText xml:space="preserve"> PAGEREF _Toc72576316 \h </w:instrText>
            </w:r>
            <w:r w:rsidR="00B5761F">
              <w:rPr>
                <w:noProof/>
                <w:webHidden/>
              </w:rPr>
            </w:r>
            <w:r w:rsidR="00B5761F">
              <w:rPr>
                <w:noProof/>
                <w:webHidden/>
              </w:rPr>
              <w:fldChar w:fldCharType="separate"/>
            </w:r>
            <w:r w:rsidR="000C446C">
              <w:rPr>
                <w:noProof/>
                <w:webHidden/>
              </w:rPr>
              <w:t>34</w:t>
            </w:r>
            <w:r w:rsidR="00B5761F">
              <w:rPr>
                <w:noProof/>
                <w:webHidden/>
              </w:rPr>
              <w:fldChar w:fldCharType="end"/>
            </w:r>
          </w:hyperlink>
        </w:p>
        <w:p w14:paraId="63EBA118" w14:textId="1A777301" w:rsidR="00B5761F" w:rsidRDefault="0065686B">
          <w:pPr>
            <w:pStyle w:val="Inhopg2"/>
            <w:rPr>
              <w:rFonts w:asciiTheme="minorHAnsi" w:eastAsiaTheme="minorEastAsia" w:hAnsiTheme="minorHAnsi"/>
              <w:noProof/>
              <w:sz w:val="22"/>
              <w:lang w:eastAsia="nl-NL"/>
            </w:rPr>
          </w:pPr>
          <w:hyperlink w:anchor="_Toc72576317" w:history="1">
            <w:r w:rsidR="00B5761F" w:rsidRPr="00730ED8">
              <w:rPr>
                <w:rStyle w:val="Hyperlink"/>
                <w:noProof/>
              </w:rPr>
              <w:t>Overige bronnen</w:t>
            </w:r>
            <w:r w:rsidR="00B5761F">
              <w:rPr>
                <w:noProof/>
                <w:webHidden/>
              </w:rPr>
              <w:tab/>
            </w:r>
            <w:r w:rsidR="00B5761F">
              <w:rPr>
                <w:noProof/>
                <w:webHidden/>
              </w:rPr>
              <w:fldChar w:fldCharType="begin"/>
            </w:r>
            <w:r w:rsidR="00B5761F">
              <w:rPr>
                <w:noProof/>
                <w:webHidden/>
              </w:rPr>
              <w:instrText xml:space="preserve"> PAGEREF _Toc72576317 \h </w:instrText>
            </w:r>
            <w:r w:rsidR="00B5761F">
              <w:rPr>
                <w:noProof/>
                <w:webHidden/>
              </w:rPr>
            </w:r>
            <w:r w:rsidR="00B5761F">
              <w:rPr>
                <w:noProof/>
                <w:webHidden/>
              </w:rPr>
              <w:fldChar w:fldCharType="separate"/>
            </w:r>
            <w:r w:rsidR="000C446C">
              <w:rPr>
                <w:noProof/>
                <w:webHidden/>
              </w:rPr>
              <w:t>35</w:t>
            </w:r>
            <w:r w:rsidR="00B5761F">
              <w:rPr>
                <w:noProof/>
                <w:webHidden/>
              </w:rPr>
              <w:fldChar w:fldCharType="end"/>
            </w:r>
          </w:hyperlink>
        </w:p>
        <w:p w14:paraId="619008BB" w14:textId="1E8429D6" w:rsidR="00B5761F" w:rsidRDefault="0065686B">
          <w:pPr>
            <w:pStyle w:val="Inhopg1"/>
            <w:rPr>
              <w:rFonts w:asciiTheme="minorHAnsi" w:eastAsiaTheme="minorEastAsia" w:hAnsiTheme="minorHAnsi"/>
              <w:b w:val="0"/>
              <w:sz w:val="22"/>
              <w:szCs w:val="22"/>
              <w:lang w:eastAsia="nl-NL"/>
            </w:rPr>
          </w:pPr>
          <w:hyperlink w:anchor="_Toc72576318" w:history="1">
            <w:r w:rsidR="00B5761F" w:rsidRPr="00730ED8">
              <w:rPr>
                <w:rStyle w:val="Hyperlink"/>
              </w:rPr>
              <w:t>Bijlagen</w:t>
            </w:r>
            <w:r w:rsidR="00B5761F">
              <w:rPr>
                <w:webHidden/>
              </w:rPr>
              <w:tab/>
            </w:r>
            <w:r w:rsidR="00B5761F">
              <w:rPr>
                <w:webHidden/>
              </w:rPr>
              <w:fldChar w:fldCharType="begin"/>
            </w:r>
            <w:r w:rsidR="00B5761F">
              <w:rPr>
                <w:webHidden/>
              </w:rPr>
              <w:instrText xml:space="preserve"> PAGEREF _Toc72576318 \h </w:instrText>
            </w:r>
            <w:r w:rsidR="00B5761F">
              <w:rPr>
                <w:webHidden/>
              </w:rPr>
            </w:r>
            <w:r w:rsidR="00B5761F">
              <w:rPr>
                <w:webHidden/>
              </w:rPr>
              <w:fldChar w:fldCharType="separate"/>
            </w:r>
            <w:r w:rsidR="000C446C">
              <w:rPr>
                <w:webHidden/>
              </w:rPr>
              <w:t>36</w:t>
            </w:r>
            <w:r w:rsidR="00B5761F">
              <w:rPr>
                <w:webHidden/>
              </w:rPr>
              <w:fldChar w:fldCharType="end"/>
            </w:r>
          </w:hyperlink>
        </w:p>
        <w:p w14:paraId="6DABE72A" w14:textId="414099C1" w:rsidR="00B5761F" w:rsidRDefault="0065686B">
          <w:pPr>
            <w:pStyle w:val="Inhopg2"/>
            <w:rPr>
              <w:rFonts w:asciiTheme="minorHAnsi" w:eastAsiaTheme="minorEastAsia" w:hAnsiTheme="minorHAnsi"/>
              <w:noProof/>
              <w:sz w:val="22"/>
              <w:lang w:eastAsia="nl-NL"/>
            </w:rPr>
          </w:pPr>
          <w:hyperlink w:anchor="_Toc72576319" w:history="1">
            <w:r w:rsidR="00B5761F" w:rsidRPr="00730ED8">
              <w:rPr>
                <w:rStyle w:val="Hyperlink"/>
                <w:noProof/>
              </w:rPr>
              <w:t>Bijlage 1:  Interview met jurist X</w:t>
            </w:r>
            <w:r w:rsidR="00B5761F">
              <w:rPr>
                <w:noProof/>
                <w:webHidden/>
              </w:rPr>
              <w:tab/>
            </w:r>
            <w:r w:rsidR="00B5761F">
              <w:rPr>
                <w:noProof/>
                <w:webHidden/>
              </w:rPr>
              <w:fldChar w:fldCharType="begin"/>
            </w:r>
            <w:r w:rsidR="00B5761F">
              <w:rPr>
                <w:noProof/>
                <w:webHidden/>
              </w:rPr>
              <w:instrText xml:space="preserve"> PAGEREF _Toc72576319 \h </w:instrText>
            </w:r>
            <w:r w:rsidR="00B5761F">
              <w:rPr>
                <w:noProof/>
                <w:webHidden/>
              </w:rPr>
            </w:r>
            <w:r w:rsidR="00B5761F">
              <w:rPr>
                <w:noProof/>
                <w:webHidden/>
              </w:rPr>
              <w:fldChar w:fldCharType="separate"/>
            </w:r>
            <w:r w:rsidR="000C446C">
              <w:rPr>
                <w:noProof/>
                <w:webHidden/>
              </w:rPr>
              <w:t>36</w:t>
            </w:r>
            <w:r w:rsidR="00B5761F">
              <w:rPr>
                <w:noProof/>
                <w:webHidden/>
              </w:rPr>
              <w:fldChar w:fldCharType="end"/>
            </w:r>
          </w:hyperlink>
        </w:p>
        <w:p w14:paraId="76D03269" w14:textId="3F6E9E24" w:rsidR="00B5761F" w:rsidRDefault="0065686B">
          <w:pPr>
            <w:pStyle w:val="Inhopg2"/>
            <w:rPr>
              <w:rFonts w:asciiTheme="minorHAnsi" w:eastAsiaTheme="minorEastAsia" w:hAnsiTheme="minorHAnsi"/>
              <w:noProof/>
              <w:sz w:val="22"/>
              <w:lang w:eastAsia="nl-NL"/>
            </w:rPr>
          </w:pPr>
          <w:hyperlink w:anchor="_Toc72576320" w:history="1">
            <w:r w:rsidR="00B5761F" w:rsidRPr="00730ED8">
              <w:rPr>
                <w:rStyle w:val="Hyperlink"/>
                <w:noProof/>
              </w:rPr>
              <w:t>Bijlage II: Interview met jurist Y</w:t>
            </w:r>
            <w:r w:rsidR="00B5761F">
              <w:rPr>
                <w:noProof/>
                <w:webHidden/>
              </w:rPr>
              <w:tab/>
            </w:r>
            <w:r w:rsidR="00B5761F">
              <w:rPr>
                <w:noProof/>
                <w:webHidden/>
              </w:rPr>
              <w:fldChar w:fldCharType="begin"/>
            </w:r>
            <w:r w:rsidR="00B5761F">
              <w:rPr>
                <w:noProof/>
                <w:webHidden/>
              </w:rPr>
              <w:instrText xml:space="preserve"> PAGEREF _Toc72576320 \h </w:instrText>
            </w:r>
            <w:r w:rsidR="00B5761F">
              <w:rPr>
                <w:noProof/>
                <w:webHidden/>
              </w:rPr>
            </w:r>
            <w:r w:rsidR="00B5761F">
              <w:rPr>
                <w:noProof/>
                <w:webHidden/>
              </w:rPr>
              <w:fldChar w:fldCharType="separate"/>
            </w:r>
            <w:r w:rsidR="000C446C">
              <w:rPr>
                <w:noProof/>
                <w:webHidden/>
              </w:rPr>
              <w:t>39</w:t>
            </w:r>
            <w:r w:rsidR="00B5761F">
              <w:rPr>
                <w:noProof/>
                <w:webHidden/>
              </w:rPr>
              <w:fldChar w:fldCharType="end"/>
            </w:r>
          </w:hyperlink>
        </w:p>
        <w:p w14:paraId="3F7D22F4" w14:textId="77777777" w:rsidR="000F5E33" w:rsidRDefault="007E7A33" w:rsidP="000F5E33">
          <w:pPr>
            <w:rPr>
              <w:b/>
              <w:bCs/>
              <w:szCs w:val="20"/>
            </w:rPr>
          </w:pPr>
          <w:r w:rsidRPr="0082357C">
            <w:rPr>
              <w:bCs/>
              <w:color w:val="595959" w:themeColor="text1" w:themeTint="A6"/>
              <w:szCs w:val="20"/>
            </w:rPr>
            <w:fldChar w:fldCharType="end"/>
          </w:r>
        </w:p>
      </w:sdtContent>
    </w:sdt>
    <w:p w14:paraId="6A7BFC1D" w14:textId="77777777" w:rsidR="000F5E33" w:rsidRDefault="000F5E33" w:rsidP="00723273">
      <w:pPr>
        <w:pStyle w:val="Kop1"/>
      </w:pPr>
      <w:r>
        <w:rPr>
          <w:szCs w:val="22"/>
        </w:rPr>
        <w:br w:type="page"/>
      </w:r>
    </w:p>
    <w:p w14:paraId="0ECC3305" w14:textId="5D87B481" w:rsidR="00723273" w:rsidRPr="00015664" w:rsidRDefault="00146E58" w:rsidP="00015664">
      <w:pPr>
        <w:pStyle w:val="Kop1"/>
        <w:rPr>
          <w:sz w:val="20"/>
          <w:szCs w:val="20"/>
        </w:rPr>
      </w:pPr>
      <w:bookmarkStart w:id="2" w:name="_Toc72576270"/>
      <w:r w:rsidRPr="00401E1C">
        <w:rPr>
          <w:szCs w:val="22"/>
        </w:rPr>
        <w:lastRenderedPageBreak/>
        <w:t>Hoofstuk 1: Inleiding</w:t>
      </w:r>
      <w:bookmarkEnd w:id="2"/>
      <w:r w:rsidRPr="00401E1C">
        <w:rPr>
          <w:szCs w:val="22"/>
        </w:rPr>
        <w:t xml:space="preserve"> </w:t>
      </w:r>
      <w:r w:rsidR="00015664">
        <w:rPr>
          <w:szCs w:val="22"/>
        </w:rPr>
        <w:br/>
      </w:r>
    </w:p>
    <w:p w14:paraId="2F5323A6" w14:textId="2F5C5CB0" w:rsidR="00B80E14" w:rsidRPr="00D60D43" w:rsidRDefault="000F5E33" w:rsidP="00527244">
      <w:pPr>
        <w:pStyle w:val="Kop2"/>
        <w:rPr>
          <w:szCs w:val="20"/>
        </w:rPr>
      </w:pPr>
      <w:bookmarkStart w:id="3" w:name="_Toc72576271"/>
      <w:r w:rsidRPr="00D60D43">
        <w:rPr>
          <w:szCs w:val="20"/>
        </w:rPr>
        <w:t xml:space="preserve">1.1 </w:t>
      </w:r>
      <w:r w:rsidR="00B77A13" w:rsidRPr="00D60D43">
        <w:rPr>
          <w:szCs w:val="20"/>
        </w:rPr>
        <w:t>Aanleiding</w:t>
      </w:r>
      <w:bookmarkEnd w:id="3"/>
      <w:r w:rsidR="00B77A13" w:rsidRPr="00D60D43">
        <w:rPr>
          <w:szCs w:val="20"/>
        </w:rPr>
        <w:t xml:space="preserve"> </w:t>
      </w:r>
    </w:p>
    <w:p w14:paraId="31E4DCD0" w14:textId="2399A033" w:rsidR="0031267D" w:rsidRPr="00D60D43" w:rsidRDefault="0031267D" w:rsidP="00D60D43">
      <w:pPr>
        <w:pStyle w:val="Geenafstand"/>
        <w:rPr>
          <w:rFonts w:ascii="Verdana" w:hAnsi="Verdana"/>
          <w:sz w:val="20"/>
          <w:szCs w:val="20"/>
        </w:rPr>
      </w:pPr>
      <w:r w:rsidRPr="00D60D43">
        <w:rPr>
          <w:rFonts w:ascii="Verdana" w:hAnsi="Verdana"/>
          <w:sz w:val="20"/>
          <w:szCs w:val="20"/>
        </w:rPr>
        <w:t xml:space="preserve">In het derde leerjaar van de studie rechten aan de Hogeschool Utrecht heb ik voor de duur van acht maanden stagegelopen bij </w:t>
      </w:r>
      <w:r w:rsidR="00DC68A1" w:rsidRPr="000C446C">
        <w:rPr>
          <w:rFonts w:ascii="Verdana" w:hAnsi="Verdana"/>
          <w:b/>
          <w:bCs/>
          <w:sz w:val="24"/>
          <w:szCs w:val="24"/>
        </w:rPr>
        <w:t>XXX</w:t>
      </w:r>
      <w:r w:rsidRPr="00D60D43">
        <w:rPr>
          <w:rFonts w:ascii="Verdana" w:hAnsi="Verdana"/>
          <w:sz w:val="20"/>
          <w:szCs w:val="20"/>
        </w:rPr>
        <w:t>, afdeling contractueel. Tijdens de stage heb ik meerdere adviesbrieven in consument</w:t>
      </w:r>
      <w:r w:rsidR="00941B41" w:rsidRPr="00D60D43">
        <w:rPr>
          <w:rFonts w:ascii="Verdana" w:hAnsi="Verdana"/>
          <w:sz w:val="20"/>
          <w:szCs w:val="20"/>
        </w:rPr>
        <w:t>en</w:t>
      </w:r>
      <w:r w:rsidRPr="00D60D43">
        <w:rPr>
          <w:rFonts w:ascii="Verdana" w:hAnsi="Verdana"/>
          <w:sz w:val="20"/>
          <w:szCs w:val="20"/>
        </w:rPr>
        <w:t xml:space="preserve">zaken opgesteld, </w:t>
      </w:r>
      <w:r w:rsidR="005E5321" w:rsidRPr="00D60D43">
        <w:rPr>
          <w:rFonts w:ascii="Verdana" w:hAnsi="Verdana"/>
          <w:sz w:val="20"/>
          <w:szCs w:val="20"/>
        </w:rPr>
        <w:t>waarin</w:t>
      </w:r>
      <w:r w:rsidRPr="00D60D43">
        <w:rPr>
          <w:rFonts w:ascii="Verdana" w:hAnsi="Verdana"/>
          <w:sz w:val="20"/>
          <w:szCs w:val="20"/>
        </w:rPr>
        <w:t xml:space="preserve"> ik de consument informeerde over zijn positie bij de aankoop van een gebrekkig product. Het advies is in de meeste consument</w:t>
      </w:r>
      <w:r w:rsidR="00941B41" w:rsidRPr="00D60D43">
        <w:rPr>
          <w:rFonts w:ascii="Verdana" w:hAnsi="Verdana"/>
          <w:sz w:val="20"/>
          <w:szCs w:val="20"/>
        </w:rPr>
        <w:t>en</w:t>
      </w:r>
      <w:r w:rsidRPr="00D60D43">
        <w:rPr>
          <w:rFonts w:ascii="Verdana" w:hAnsi="Verdana"/>
          <w:sz w:val="20"/>
          <w:szCs w:val="20"/>
        </w:rPr>
        <w:t>zaken gebaseerd op de wetsartikelen uit de huidige titel 1 van boek 7 van het Burgerlijk Wetboek (hierna: BW).</w:t>
      </w:r>
    </w:p>
    <w:p w14:paraId="6BA09FF5" w14:textId="77777777" w:rsidR="00D60D43" w:rsidRDefault="00D60D43" w:rsidP="00D60D43">
      <w:pPr>
        <w:pStyle w:val="Geenafstand"/>
        <w:rPr>
          <w:rFonts w:ascii="Verdana" w:hAnsi="Verdana"/>
          <w:sz w:val="20"/>
          <w:szCs w:val="20"/>
        </w:rPr>
      </w:pPr>
    </w:p>
    <w:p w14:paraId="33F7D6E1" w14:textId="0C2558CB" w:rsidR="0031267D" w:rsidRDefault="0031267D" w:rsidP="00D60D43">
      <w:pPr>
        <w:pStyle w:val="Geenafstand"/>
        <w:rPr>
          <w:rFonts w:ascii="Verdana" w:hAnsi="Verdana"/>
          <w:sz w:val="20"/>
          <w:szCs w:val="20"/>
        </w:rPr>
      </w:pPr>
      <w:r w:rsidRPr="00D60D43">
        <w:rPr>
          <w:rFonts w:ascii="Verdana" w:hAnsi="Verdana"/>
          <w:sz w:val="20"/>
          <w:szCs w:val="20"/>
        </w:rPr>
        <w:t>Tijdens de stage heb ik opgemerkt dat er op het gebied van het consumentenrecht een richtlijn is aangenomen, welke per 1 januari 2022 in werking treedt. De consument zal – in vergelijking met het huidige recht – nog meer bescherming genieten bij de aankoop van een gebrekkig product.</w:t>
      </w:r>
    </w:p>
    <w:p w14:paraId="0FCC0EAF" w14:textId="77777777" w:rsidR="00D60D43" w:rsidRPr="00D60D43" w:rsidRDefault="00D60D43" w:rsidP="00D60D43">
      <w:pPr>
        <w:pStyle w:val="Geenafstand"/>
        <w:rPr>
          <w:rFonts w:ascii="Verdana" w:hAnsi="Verdana"/>
          <w:sz w:val="20"/>
          <w:szCs w:val="20"/>
        </w:rPr>
      </w:pPr>
    </w:p>
    <w:p w14:paraId="45FB3BDF" w14:textId="36168441" w:rsidR="0031267D" w:rsidRDefault="0031267D" w:rsidP="00D60D43">
      <w:pPr>
        <w:pStyle w:val="Geenafstand"/>
        <w:rPr>
          <w:rFonts w:ascii="Verdana" w:hAnsi="Verdana"/>
          <w:sz w:val="20"/>
          <w:szCs w:val="20"/>
        </w:rPr>
      </w:pPr>
      <w:r w:rsidRPr="00D60D43">
        <w:rPr>
          <w:rFonts w:ascii="Verdana" w:hAnsi="Verdana"/>
          <w:sz w:val="20"/>
          <w:szCs w:val="20"/>
        </w:rPr>
        <w:t xml:space="preserve">Door de aankomende implementatie van de richtlijn zal de huidige regelgeving uit titel 1 van boek 7 BW veranderen. De implementatie zal ook gevolgen hebben voor de juridische advisering bij </w:t>
      </w:r>
      <w:r w:rsidR="00DC68A1" w:rsidRPr="000C446C">
        <w:rPr>
          <w:rFonts w:ascii="Verdana" w:hAnsi="Verdana"/>
          <w:b/>
          <w:bCs/>
          <w:sz w:val="24"/>
          <w:szCs w:val="24"/>
        </w:rPr>
        <w:t>XXX</w:t>
      </w:r>
      <w:r w:rsidRPr="00D60D43">
        <w:rPr>
          <w:rFonts w:ascii="Verdana" w:hAnsi="Verdana"/>
          <w:sz w:val="20"/>
          <w:szCs w:val="20"/>
        </w:rPr>
        <w:t xml:space="preserve">, wat voor mij aanleiding gaf om – in samenspraak met mijn toenmalige stagebegeleider – onderzoek te doen naar de gevolgen van de richtlijn voor de toekomstige juridische advisering bij </w:t>
      </w:r>
      <w:r w:rsidR="00DC68A1" w:rsidRPr="000C446C">
        <w:rPr>
          <w:rFonts w:ascii="Verdana" w:hAnsi="Verdana"/>
          <w:b/>
          <w:bCs/>
          <w:sz w:val="24"/>
          <w:szCs w:val="24"/>
        </w:rPr>
        <w:t>XXX</w:t>
      </w:r>
      <w:r w:rsidRPr="00D60D43">
        <w:rPr>
          <w:rFonts w:ascii="Verdana" w:hAnsi="Verdana"/>
          <w:sz w:val="20"/>
          <w:szCs w:val="20"/>
        </w:rPr>
        <w:t xml:space="preserve">. </w:t>
      </w:r>
    </w:p>
    <w:p w14:paraId="0B4B4B2C" w14:textId="77777777" w:rsidR="00D60D43" w:rsidRPr="00D60D43" w:rsidRDefault="00D60D43" w:rsidP="00D60D43">
      <w:pPr>
        <w:pStyle w:val="Geenafstand"/>
        <w:rPr>
          <w:rFonts w:ascii="Verdana" w:hAnsi="Verdana"/>
          <w:sz w:val="20"/>
          <w:szCs w:val="20"/>
        </w:rPr>
      </w:pPr>
    </w:p>
    <w:p w14:paraId="3A1440DF" w14:textId="46641187" w:rsidR="00B77A13" w:rsidRPr="00D60D43" w:rsidRDefault="00F92BDF" w:rsidP="00527244">
      <w:pPr>
        <w:pStyle w:val="Kop2"/>
        <w:rPr>
          <w:szCs w:val="20"/>
        </w:rPr>
      </w:pPr>
      <w:bookmarkStart w:id="4" w:name="_Toc72576272"/>
      <w:r w:rsidRPr="00D60D43">
        <w:rPr>
          <w:szCs w:val="20"/>
        </w:rPr>
        <w:t>1.2. Opdrachtgever en doelgroep</w:t>
      </w:r>
      <w:bookmarkEnd w:id="4"/>
    </w:p>
    <w:p w14:paraId="08325C98" w14:textId="214C016B" w:rsidR="002D5B13" w:rsidRDefault="00A23A54" w:rsidP="00D60D43">
      <w:pPr>
        <w:pStyle w:val="Geenafstand"/>
        <w:rPr>
          <w:rFonts w:ascii="Verdana" w:hAnsi="Verdana"/>
          <w:sz w:val="20"/>
          <w:szCs w:val="20"/>
        </w:rPr>
      </w:pPr>
      <w:r w:rsidRPr="00D60D43">
        <w:rPr>
          <w:rFonts w:ascii="Verdana" w:hAnsi="Verdana"/>
          <w:sz w:val="20"/>
          <w:szCs w:val="20"/>
        </w:rPr>
        <w:t xml:space="preserve">De opdrachtgever voor dit onderzoek </w:t>
      </w:r>
      <w:r w:rsidR="00E80E0A" w:rsidRPr="00D60D43">
        <w:rPr>
          <w:rFonts w:ascii="Verdana" w:hAnsi="Verdana"/>
          <w:sz w:val="20"/>
          <w:szCs w:val="20"/>
        </w:rPr>
        <w:t>is</w:t>
      </w:r>
      <w:r w:rsidRPr="00D60D43">
        <w:rPr>
          <w:rFonts w:ascii="Verdana" w:hAnsi="Verdana"/>
          <w:sz w:val="20"/>
          <w:szCs w:val="20"/>
        </w:rPr>
        <w:t xml:space="preserve"> </w:t>
      </w:r>
      <w:r w:rsidR="00DC68A1" w:rsidRPr="000C446C">
        <w:rPr>
          <w:rFonts w:ascii="Verdana" w:hAnsi="Verdana"/>
          <w:b/>
          <w:bCs/>
          <w:sz w:val="24"/>
          <w:szCs w:val="24"/>
        </w:rPr>
        <w:t>XXX</w:t>
      </w:r>
      <w:r w:rsidR="00DC68A1" w:rsidRPr="00D60D43">
        <w:rPr>
          <w:rStyle w:val="Voetnootmarkering"/>
          <w:rFonts w:ascii="Verdana" w:hAnsi="Verdana" w:cs="Arial"/>
          <w:sz w:val="20"/>
          <w:szCs w:val="20"/>
        </w:rPr>
        <w:t xml:space="preserve"> </w:t>
      </w:r>
      <w:r w:rsidR="00125DE1" w:rsidRPr="00D60D43">
        <w:rPr>
          <w:rStyle w:val="Voetnootmarkering"/>
          <w:rFonts w:ascii="Verdana" w:hAnsi="Verdana" w:cs="Arial"/>
          <w:sz w:val="20"/>
          <w:szCs w:val="20"/>
        </w:rPr>
        <w:footnoteReference w:id="1"/>
      </w:r>
      <w:r w:rsidR="00112BF8" w:rsidRPr="00D60D43">
        <w:rPr>
          <w:rFonts w:ascii="Verdana" w:hAnsi="Verdana"/>
          <w:sz w:val="20"/>
          <w:szCs w:val="20"/>
        </w:rPr>
        <w:t>.</w:t>
      </w:r>
      <w:r w:rsidR="00601856" w:rsidRPr="00D60D43">
        <w:rPr>
          <w:rFonts w:ascii="Verdana" w:hAnsi="Verdana"/>
          <w:sz w:val="20"/>
          <w:szCs w:val="20"/>
        </w:rPr>
        <w:t xml:space="preserve"> </w:t>
      </w:r>
      <w:r w:rsidR="00DC68A1" w:rsidRPr="000C446C">
        <w:rPr>
          <w:rFonts w:ascii="Verdana" w:hAnsi="Verdana"/>
          <w:b/>
          <w:bCs/>
          <w:sz w:val="24"/>
          <w:szCs w:val="24"/>
        </w:rPr>
        <w:t>XXX</w:t>
      </w:r>
      <w:r w:rsidR="00DC68A1" w:rsidRPr="00D60D43">
        <w:rPr>
          <w:rFonts w:ascii="Verdana" w:hAnsi="Verdana"/>
          <w:sz w:val="20"/>
          <w:szCs w:val="20"/>
        </w:rPr>
        <w:t xml:space="preserve"> </w:t>
      </w:r>
      <w:r w:rsidR="0092033D" w:rsidRPr="00D60D43">
        <w:rPr>
          <w:rFonts w:ascii="Verdana" w:hAnsi="Verdana"/>
          <w:sz w:val="20"/>
          <w:szCs w:val="20"/>
        </w:rPr>
        <w:t xml:space="preserve">houdt zich bezig </w:t>
      </w:r>
      <w:r w:rsidR="00601856" w:rsidRPr="00D60D43">
        <w:rPr>
          <w:rFonts w:ascii="Verdana" w:hAnsi="Verdana"/>
          <w:sz w:val="20"/>
          <w:szCs w:val="20"/>
        </w:rPr>
        <w:t xml:space="preserve">met het </w:t>
      </w:r>
      <w:r w:rsidR="0092033D" w:rsidRPr="00D60D43">
        <w:rPr>
          <w:rFonts w:ascii="Verdana" w:hAnsi="Verdana"/>
          <w:sz w:val="20"/>
          <w:szCs w:val="20"/>
        </w:rPr>
        <w:t>geven van juridisch</w:t>
      </w:r>
      <w:r w:rsidR="003819BE" w:rsidRPr="00D60D43">
        <w:rPr>
          <w:rFonts w:ascii="Verdana" w:hAnsi="Verdana"/>
          <w:sz w:val="20"/>
          <w:szCs w:val="20"/>
        </w:rPr>
        <w:t>e</w:t>
      </w:r>
      <w:r w:rsidR="0092033D" w:rsidRPr="00D60D43">
        <w:rPr>
          <w:rFonts w:ascii="Verdana" w:hAnsi="Verdana"/>
          <w:sz w:val="20"/>
          <w:szCs w:val="20"/>
        </w:rPr>
        <w:t xml:space="preserve"> bijstand aan haar klanten, zowel verzekerden als niet-verzekerden.</w:t>
      </w:r>
      <w:r w:rsidR="00601856" w:rsidRPr="00D60D43">
        <w:rPr>
          <w:rFonts w:ascii="Verdana" w:hAnsi="Verdana"/>
          <w:sz w:val="20"/>
          <w:szCs w:val="20"/>
        </w:rPr>
        <w:t xml:space="preserve"> </w:t>
      </w:r>
      <w:r w:rsidR="006618C9" w:rsidRPr="00D60D43">
        <w:rPr>
          <w:rFonts w:ascii="Verdana" w:hAnsi="Verdana"/>
          <w:sz w:val="20"/>
          <w:szCs w:val="20"/>
        </w:rPr>
        <w:t xml:space="preserve">Haar klantenbestand bestaat </w:t>
      </w:r>
      <w:r w:rsidR="0096449D" w:rsidRPr="00D60D43">
        <w:rPr>
          <w:rFonts w:ascii="Verdana" w:hAnsi="Verdana"/>
          <w:sz w:val="20"/>
          <w:szCs w:val="20"/>
        </w:rPr>
        <w:t>voornamelijk uit consumenten en ondernemers</w:t>
      </w:r>
      <w:r w:rsidR="00DC413B" w:rsidRPr="00D60D43">
        <w:rPr>
          <w:rFonts w:ascii="Verdana" w:hAnsi="Verdana"/>
          <w:sz w:val="20"/>
          <w:szCs w:val="20"/>
        </w:rPr>
        <w:t>.</w:t>
      </w:r>
      <w:r w:rsidR="0021682B" w:rsidRPr="00D60D43">
        <w:rPr>
          <w:rFonts w:ascii="Verdana" w:hAnsi="Verdana"/>
          <w:sz w:val="20"/>
          <w:szCs w:val="20"/>
        </w:rPr>
        <w:t xml:space="preserve"> </w:t>
      </w:r>
    </w:p>
    <w:p w14:paraId="3701EB13" w14:textId="77777777" w:rsidR="00D60D43" w:rsidRPr="00D60D43" w:rsidRDefault="00D60D43" w:rsidP="00D60D43">
      <w:pPr>
        <w:pStyle w:val="Geenafstand"/>
        <w:rPr>
          <w:rFonts w:ascii="Verdana" w:hAnsi="Verdana"/>
          <w:color w:val="FF0000"/>
          <w:sz w:val="20"/>
          <w:szCs w:val="20"/>
        </w:rPr>
      </w:pPr>
    </w:p>
    <w:p w14:paraId="1EAF5BB0" w14:textId="27566603" w:rsidR="00E97510" w:rsidRDefault="002D5B13" w:rsidP="00D60D43">
      <w:pPr>
        <w:pStyle w:val="Geenafstand"/>
        <w:rPr>
          <w:rFonts w:ascii="Verdana" w:hAnsi="Verdana"/>
          <w:sz w:val="20"/>
          <w:szCs w:val="20"/>
        </w:rPr>
      </w:pPr>
      <w:r w:rsidRPr="00D60D43">
        <w:rPr>
          <w:rFonts w:ascii="Verdana" w:hAnsi="Verdana"/>
          <w:sz w:val="20"/>
          <w:szCs w:val="20"/>
        </w:rPr>
        <w:t xml:space="preserve">De uitkomst van het onderzoek is bedoeld voor zowel de klanten van </w:t>
      </w:r>
      <w:r w:rsidR="00DC68A1" w:rsidRPr="000C446C">
        <w:rPr>
          <w:rFonts w:ascii="Verdana" w:hAnsi="Verdana"/>
          <w:b/>
          <w:bCs/>
          <w:sz w:val="24"/>
          <w:szCs w:val="24"/>
        </w:rPr>
        <w:t>XXX</w:t>
      </w:r>
      <w:r w:rsidR="00DC68A1" w:rsidRPr="00D60D43">
        <w:rPr>
          <w:rFonts w:ascii="Verdana" w:hAnsi="Verdana"/>
          <w:sz w:val="20"/>
          <w:szCs w:val="20"/>
        </w:rPr>
        <w:t xml:space="preserve"> </w:t>
      </w:r>
      <w:r w:rsidRPr="00D60D43">
        <w:rPr>
          <w:rFonts w:ascii="Verdana" w:hAnsi="Verdana"/>
          <w:sz w:val="20"/>
          <w:szCs w:val="20"/>
        </w:rPr>
        <w:t xml:space="preserve">als de medewerkers van </w:t>
      </w:r>
      <w:r w:rsidR="00DC68A1" w:rsidRPr="000C446C">
        <w:rPr>
          <w:rFonts w:ascii="Verdana" w:hAnsi="Verdana"/>
          <w:b/>
          <w:bCs/>
          <w:sz w:val="24"/>
          <w:szCs w:val="24"/>
        </w:rPr>
        <w:t>XXX</w:t>
      </w:r>
      <w:r w:rsidRPr="00D60D43">
        <w:rPr>
          <w:rFonts w:ascii="Verdana" w:hAnsi="Verdana"/>
          <w:sz w:val="20"/>
          <w:szCs w:val="20"/>
        </w:rPr>
        <w:t xml:space="preserve">, specifiek de afdeling contractueel. </w:t>
      </w:r>
      <w:r w:rsidR="00E97510" w:rsidRPr="00D60D43">
        <w:rPr>
          <w:rFonts w:ascii="Verdana" w:hAnsi="Verdana"/>
          <w:sz w:val="20"/>
          <w:szCs w:val="20"/>
        </w:rPr>
        <w:t>De afdeling behandelt zaken in het contractenrecht, waarbij</w:t>
      </w:r>
      <w:r w:rsidR="00612438" w:rsidRPr="00D60D43">
        <w:rPr>
          <w:rFonts w:ascii="Verdana" w:hAnsi="Verdana"/>
          <w:sz w:val="20"/>
          <w:szCs w:val="20"/>
        </w:rPr>
        <w:t xml:space="preserve"> belangrijke onderdelen – zoals de totstandkoming en beëindiging – van een overeenkomst centraal staan. </w:t>
      </w:r>
    </w:p>
    <w:p w14:paraId="6DC48C6B" w14:textId="77777777" w:rsidR="00D60D43" w:rsidRPr="00D60D43" w:rsidRDefault="00D60D43" w:rsidP="00D60D43">
      <w:pPr>
        <w:pStyle w:val="Geenafstand"/>
        <w:rPr>
          <w:rFonts w:ascii="Verdana" w:hAnsi="Verdana"/>
          <w:sz w:val="20"/>
          <w:szCs w:val="20"/>
        </w:rPr>
      </w:pPr>
    </w:p>
    <w:p w14:paraId="3206C8D0" w14:textId="05CA9301" w:rsidR="00D00913" w:rsidRPr="00834E18" w:rsidRDefault="008714BD" w:rsidP="00D60D43">
      <w:pPr>
        <w:pStyle w:val="Geenafstand"/>
        <w:rPr>
          <w:rFonts w:ascii="Verdana" w:hAnsi="Verdana"/>
          <w:sz w:val="20"/>
          <w:szCs w:val="20"/>
        </w:rPr>
      </w:pPr>
      <w:r w:rsidRPr="00834E18">
        <w:rPr>
          <w:rFonts w:ascii="Verdana" w:hAnsi="Verdana"/>
          <w:sz w:val="20"/>
          <w:szCs w:val="20"/>
        </w:rPr>
        <w:t>Ongeveer de helft van de zaken op de afdeling betreffen consument</w:t>
      </w:r>
      <w:r w:rsidR="00941B41" w:rsidRPr="00834E18">
        <w:rPr>
          <w:rFonts w:ascii="Verdana" w:hAnsi="Verdana"/>
          <w:sz w:val="20"/>
          <w:szCs w:val="20"/>
        </w:rPr>
        <w:t>en</w:t>
      </w:r>
      <w:r w:rsidRPr="00834E18">
        <w:rPr>
          <w:rFonts w:ascii="Verdana" w:hAnsi="Verdana"/>
          <w:sz w:val="20"/>
          <w:szCs w:val="20"/>
        </w:rPr>
        <w:t xml:space="preserve">zaken. </w:t>
      </w:r>
      <w:r w:rsidR="000720F0" w:rsidRPr="00834E18">
        <w:rPr>
          <w:rFonts w:ascii="Verdana" w:hAnsi="Verdana"/>
          <w:sz w:val="20"/>
          <w:szCs w:val="20"/>
        </w:rPr>
        <w:t xml:space="preserve">Op de afdeling zijn circa </w:t>
      </w:r>
      <w:r w:rsidR="00FD5FC4" w:rsidRPr="00834E18">
        <w:rPr>
          <w:rFonts w:ascii="Verdana" w:hAnsi="Verdana"/>
          <w:sz w:val="20"/>
          <w:szCs w:val="20"/>
        </w:rPr>
        <w:t>tweehonderd</w:t>
      </w:r>
      <w:r w:rsidR="000720F0" w:rsidRPr="00834E18">
        <w:rPr>
          <w:rFonts w:ascii="Verdana" w:hAnsi="Verdana"/>
          <w:sz w:val="20"/>
          <w:szCs w:val="20"/>
        </w:rPr>
        <w:t xml:space="preserve"> medewerkers met een Hbo-of wo-werk- en -denkniveau werkzaam</w:t>
      </w:r>
      <w:r w:rsidR="009C4BAB" w:rsidRPr="00834E18">
        <w:rPr>
          <w:rFonts w:ascii="Verdana" w:hAnsi="Verdana"/>
          <w:sz w:val="20"/>
          <w:szCs w:val="20"/>
        </w:rPr>
        <w:t xml:space="preserve">. </w:t>
      </w:r>
      <w:r w:rsidR="000720F0" w:rsidRPr="00834E18">
        <w:rPr>
          <w:rFonts w:ascii="Verdana" w:hAnsi="Verdana"/>
          <w:sz w:val="20"/>
          <w:szCs w:val="20"/>
        </w:rPr>
        <w:t xml:space="preserve">Het beroepsproduct </w:t>
      </w:r>
      <w:r w:rsidR="00FD5FC4" w:rsidRPr="00834E18">
        <w:rPr>
          <w:rFonts w:ascii="Verdana" w:hAnsi="Verdana"/>
          <w:sz w:val="20"/>
          <w:szCs w:val="20"/>
        </w:rPr>
        <w:t>is</w:t>
      </w:r>
      <w:r w:rsidR="000720F0" w:rsidRPr="00834E18">
        <w:rPr>
          <w:rFonts w:ascii="Verdana" w:hAnsi="Verdana"/>
          <w:sz w:val="20"/>
          <w:szCs w:val="20"/>
        </w:rPr>
        <w:t xml:space="preserve"> gericht aan de </w:t>
      </w:r>
      <w:r w:rsidR="000672FC" w:rsidRPr="00834E18">
        <w:rPr>
          <w:rFonts w:ascii="Verdana" w:hAnsi="Verdana"/>
          <w:sz w:val="20"/>
          <w:szCs w:val="20"/>
        </w:rPr>
        <w:t>juristen</w:t>
      </w:r>
      <w:r w:rsidR="000720F0" w:rsidRPr="00834E18">
        <w:rPr>
          <w:rFonts w:ascii="Verdana" w:hAnsi="Verdana"/>
          <w:sz w:val="20"/>
          <w:szCs w:val="20"/>
        </w:rPr>
        <w:t xml:space="preserve"> van </w:t>
      </w:r>
      <w:r w:rsidR="00DC68A1" w:rsidRPr="000C446C">
        <w:rPr>
          <w:rFonts w:ascii="Verdana" w:hAnsi="Verdana"/>
          <w:b/>
          <w:bCs/>
          <w:sz w:val="24"/>
          <w:szCs w:val="24"/>
        </w:rPr>
        <w:t>XXX</w:t>
      </w:r>
      <w:r w:rsidR="00DC68A1" w:rsidRPr="00834E18">
        <w:rPr>
          <w:rFonts w:ascii="Verdana" w:hAnsi="Verdana"/>
          <w:sz w:val="20"/>
          <w:szCs w:val="20"/>
        </w:rPr>
        <w:t xml:space="preserve"> </w:t>
      </w:r>
      <w:r w:rsidR="000672FC" w:rsidRPr="00834E18">
        <w:rPr>
          <w:rFonts w:ascii="Verdana" w:hAnsi="Verdana"/>
          <w:sz w:val="20"/>
          <w:szCs w:val="20"/>
        </w:rPr>
        <w:t>om hen hiermee te informeren over de gevolgen van implementatie van de Richtlijn voor haar adviespraktijk.</w:t>
      </w:r>
    </w:p>
    <w:p w14:paraId="02665E3D" w14:textId="77777777" w:rsidR="00D60D43" w:rsidRPr="00D60D43" w:rsidRDefault="00D60D43" w:rsidP="00D60D43">
      <w:pPr>
        <w:pStyle w:val="Geenafstand"/>
        <w:rPr>
          <w:rFonts w:ascii="Verdana" w:hAnsi="Verdana"/>
          <w:sz w:val="20"/>
          <w:szCs w:val="20"/>
        </w:rPr>
      </w:pPr>
    </w:p>
    <w:p w14:paraId="5416F426" w14:textId="77777777" w:rsidR="00D00913" w:rsidRPr="00D60D43" w:rsidRDefault="00D00913" w:rsidP="00527244">
      <w:pPr>
        <w:pStyle w:val="Kop2"/>
        <w:rPr>
          <w:szCs w:val="20"/>
        </w:rPr>
      </w:pPr>
      <w:bookmarkStart w:id="5" w:name="_Toc72576273"/>
      <w:r w:rsidRPr="00D60D43">
        <w:rPr>
          <w:szCs w:val="20"/>
        </w:rPr>
        <w:t>1.3. Praktijkprobleem</w:t>
      </w:r>
      <w:bookmarkStart w:id="6" w:name="_Toc63533105"/>
      <w:bookmarkStart w:id="7" w:name="_Toc63533176"/>
      <w:bookmarkEnd w:id="5"/>
    </w:p>
    <w:p w14:paraId="00672531" w14:textId="112B218D" w:rsidR="00314FB5" w:rsidRPr="00D60D43" w:rsidRDefault="00B97E8D" w:rsidP="00D60D43">
      <w:pPr>
        <w:pStyle w:val="Geenafstand"/>
        <w:rPr>
          <w:rFonts w:ascii="Verdana" w:hAnsi="Verdana"/>
          <w:sz w:val="20"/>
          <w:szCs w:val="20"/>
        </w:rPr>
      </w:pPr>
      <w:r w:rsidRPr="00D60D43">
        <w:rPr>
          <w:rFonts w:ascii="Verdana" w:hAnsi="Verdana"/>
          <w:i/>
          <w:iCs/>
          <w:sz w:val="20"/>
          <w:szCs w:val="20"/>
        </w:rPr>
        <w:t>“Er moet worden uitgegaan van een hoog niveau van consumentenbescherming”</w:t>
      </w:r>
      <w:r w:rsidRPr="00D60D43">
        <w:rPr>
          <w:rFonts w:ascii="Verdana" w:hAnsi="Verdana"/>
          <w:sz w:val="20"/>
          <w:szCs w:val="20"/>
        </w:rPr>
        <w:t>, zo luidt de preambule van Richtlijn 2019/771</w:t>
      </w:r>
      <w:r w:rsidR="00A36F0A" w:rsidRPr="00D60D43">
        <w:rPr>
          <w:rStyle w:val="Voetnootmarkering"/>
          <w:rFonts w:ascii="Verdana" w:hAnsi="Verdana"/>
          <w:sz w:val="20"/>
          <w:szCs w:val="20"/>
        </w:rPr>
        <w:footnoteReference w:id="2"/>
      </w:r>
      <w:r w:rsidR="00A36F0A" w:rsidRPr="00D60D43">
        <w:rPr>
          <w:rFonts w:ascii="Verdana" w:hAnsi="Verdana"/>
          <w:sz w:val="20"/>
          <w:szCs w:val="20"/>
        </w:rPr>
        <w:t xml:space="preserve"> </w:t>
      </w:r>
      <w:r w:rsidRPr="00D60D43">
        <w:rPr>
          <w:rFonts w:ascii="Verdana" w:hAnsi="Verdana"/>
          <w:sz w:val="20"/>
          <w:szCs w:val="20"/>
        </w:rPr>
        <w:t>(hierna: Richtlijn)</w:t>
      </w:r>
      <w:r w:rsidR="00AE6B96" w:rsidRPr="00D60D43">
        <w:rPr>
          <w:rFonts w:ascii="Verdana" w:hAnsi="Verdana"/>
          <w:sz w:val="20"/>
          <w:szCs w:val="20"/>
        </w:rPr>
        <w:t xml:space="preserve">. </w:t>
      </w:r>
      <w:r w:rsidRPr="00D60D43">
        <w:rPr>
          <w:rFonts w:ascii="Verdana" w:hAnsi="Verdana"/>
          <w:sz w:val="20"/>
          <w:szCs w:val="20"/>
        </w:rPr>
        <w:t xml:space="preserve">Op 20 mei 2019 is de Richtlijn </w:t>
      </w:r>
      <w:r w:rsidR="00E4355C" w:rsidRPr="00D60D43">
        <w:rPr>
          <w:rFonts w:ascii="Verdana" w:hAnsi="Verdana"/>
          <w:sz w:val="20"/>
          <w:szCs w:val="20"/>
        </w:rPr>
        <w:t xml:space="preserve">van het Europees Parlement en de Raad </w:t>
      </w:r>
      <w:r w:rsidRPr="00D60D43">
        <w:rPr>
          <w:rFonts w:ascii="Verdana" w:hAnsi="Verdana"/>
          <w:sz w:val="20"/>
          <w:szCs w:val="20"/>
        </w:rPr>
        <w:t>aangenomen</w:t>
      </w:r>
      <w:r w:rsidR="003E27A5" w:rsidRPr="00D60D43">
        <w:rPr>
          <w:rFonts w:ascii="Verdana" w:hAnsi="Verdana"/>
          <w:sz w:val="20"/>
          <w:szCs w:val="20"/>
        </w:rPr>
        <w:t>. De Richtlijn zal</w:t>
      </w:r>
      <w:r w:rsidRPr="00D60D43">
        <w:rPr>
          <w:rFonts w:ascii="Verdana" w:hAnsi="Verdana"/>
          <w:sz w:val="20"/>
          <w:szCs w:val="20"/>
        </w:rPr>
        <w:t xml:space="preserve"> de huidige regelgeving uit titel 1 van boek 7 </w:t>
      </w:r>
      <w:r w:rsidR="008008B0" w:rsidRPr="00D60D43">
        <w:rPr>
          <w:rFonts w:ascii="Verdana" w:hAnsi="Verdana"/>
          <w:sz w:val="20"/>
          <w:szCs w:val="20"/>
        </w:rPr>
        <w:t>van het BW</w:t>
      </w:r>
      <w:r w:rsidRPr="00D60D43">
        <w:rPr>
          <w:rFonts w:ascii="Verdana" w:hAnsi="Verdana"/>
          <w:sz w:val="20"/>
          <w:szCs w:val="20"/>
        </w:rPr>
        <w:t xml:space="preserve"> </w:t>
      </w:r>
      <w:r w:rsidR="00137515" w:rsidRPr="00D60D43">
        <w:rPr>
          <w:rFonts w:ascii="Verdana" w:hAnsi="Verdana"/>
          <w:sz w:val="20"/>
          <w:szCs w:val="20"/>
        </w:rPr>
        <w:t>veranderen</w:t>
      </w:r>
      <w:r w:rsidR="00C50F32" w:rsidRPr="00D60D43">
        <w:rPr>
          <w:rFonts w:ascii="Verdana" w:hAnsi="Verdana"/>
          <w:sz w:val="20"/>
          <w:szCs w:val="20"/>
        </w:rPr>
        <w:t xml:space="preserve"> om</w:t>
      </w:r>
      <w:r w:rsidR="003E27A5" w:rsidRPr="00D60D43">
        <w:rPr>
          <w:rFonts w:ascii="Verdana" w:hAnsi="Verdana"/>
          <w:sz w:val="20"/>
          <w:szCs w:val="20"/>
        </w:rPr>
        <w:t xml:space="preserve"> zo</w:t>
      </w:r>
      <w:r w:rsidR="003819BE" w:rsidRPr="00D60D43">
        <w:rPr>
          <w:rFonts w:ascii="Verdana" w:hAnsi="Verdana"/>
          <w:sz w:val="20"/>
          <w:szCs w:val="20"/>
        </w:rPr>
        <w:t xml:space="preserve"> </w:t>
      </w:r>
      <w:r w:rsidR="00C50F32" w:rsidRPr="00D60D43">
        <w:rPr>
          <w:rFonts w:ascii="Verdana" w:hAnsi="Verdana"/>
          <w:sz w:val="20"/>
          <w:szCs w:val="20"/>
        </w:rPr>
        <w:t>de consument</w:t>
      </w:r>
      <w:r w:rsidR="003819BE" w:rsidRPr="00D60D43">
        <w:rPr>
          <w:rFonts w:ascii="Verdana" w:hAnsi="Verdana"/>
          <w:sz w:val="20"/>
          <w:szCs w:val="20"/>
        </w:rPr>
        <w:t xml:space="preserve"> nog meer</w:t>
      </w:r>
      <w:r w:rsidR="00C50F32" w:rsidRPr="00D60D43">
        <w:rPr>
          <w:rFonts w:ascii="Verdana" w:hAnsi="Verdana"/>
          <w:sz w:val="20"/>
          <w:szCs w:val="20"/>
        </w:rPr>
        <w:t xml:space="preserve"> te beschermen</w:t>
      </w:r>
      <w:r w:rsidRPr="00D60D43">
        <w:rPr>
          <w:rFonts w:ascii="Verdana" w:hAnsi="Verdana"/>
          <w:sz w:val="20"/>
          <w:szCs w:val="20"/>
        </w:rPr>
        <w:t>. De huidige regelgeving is gebaseerd op Richtlijn 1999/44/EG</w:t>
      </w:r>
      <w:r w:rsidRPr="00D60D43">
        <w:rPr>
          <w:rStyle w:val="Voetnootmarkering"/>
          <w:rFonts w:ascii="Verdana" w:hAnsi="Verdana"/>
          <w:sz w:val="20"/>
          <w:szCs w:val="20"/>
        </w:rPr>
        <w:footnoteReference w:id="3"/>
      </w:r>
      <w:r w:rsidRPr="00D60D43">
        <w:rPr>
          <w:rFonts w:ascii="Verdana" w:hAnsi="Verdana"/>
          <w:sz w:val="20"/>
          <w:szCs w:val="20"/>
        </w:rPr>
        <w:t xml:space="preserve">, welke na ruim tweeëntwintig jaar niet meer voldoende aansluit op de huidige samenleving. </w:t>
      </w:r>
    </w:p>
    <w:p w14:paraId="15914131" w14:textId="77777777" w:rsidR="00D60D43" w:rsidRDefault="00D60D43" w:rsidP="00D60D43">
      <w:pPr>
        <w:pStyle w:val="Geenafstand"/>
        <w:rPr>
          <w:rFonts w:ascii="Verdana" w:hAnsi="Verdana"/>
          <w:sz w:val="20"/>
          <w:szCs w:val="20"/>
        </w:rPr>
      </w:pPr>
    </w:p>
    <w:p w14:paraId="4998B2CF" w14:textId="15414685" w:rsidR="00D60D43" w:rsidRDefault="00B97E8D" w:rsidP="00D60D43">
      <w:pPr>
        <w:pStyle w:val="Geenafstand"/>
        <w:rPr>
          <w:rFonts w:ascii="Verdana" w:hAnsi="Verdana"/>
          <w:sz w:val="20"/>
          <w:szCs w:val="20"/>
        </w:rPr>
      </w:pPr>
      <w:r w:rsidRPr="00D60D43">
        <w:rPr>
          <w:rFonts w:ascii="Verdana" w:hAnsi="Verdana"/>
          <w:sz w:val="20"/>
          <w:szCs w:val="20"/>
        </w:rPr>
        <w:t xml:space="preserve">Om maar een voorbeeld te noemen is er in voornoemde richtlijn </w:t>
      </w:r>
      <w:r w:rsidR="003200DA" w:rsidRPr="00D60D43">
        <w:rPr>
          <w:rFonts w:ascii="Verdana" w:hAnsi="Verdana"/>
          <w:sz w:val="20"/>
          <w:szCs w:val="20"/>
        </w:rPr>
        <w:t>geen</w:t>
      </w:r>
      <w:r w:rsidRPr="00D60D43">
        <w:rPr>
          <w:rFonts w:ascii="Verdana" w:hAnsi="Verdana"/>
          <w:sz w:val="20"/>
          <w:szCs w:val="20"/>
        </w:rPr>
        <w:t xml:space="preserve"> rekening gehouden met de koop van digitale inhoud</w:t>
      </w:r>
      <w:r w:rsidR="00A67253" w:rsidRPr="00D60D43">
        <w:rPr>
          <w:rFonts w:ascii="Verdana" w:hAnsi="Verdana"/>
          <w:sz w:val="20"/>
          <w:szCs w:val="20"/>
        </w:rPr>
        <w:t xml:space="preserve">, terwijl de huidige digitale samenleving daar </w:t>
      </w:r>
      <w:r w:rsidR="00827922" w:rsidRPr="00D60D43">
        <w:rPr>
          <w:rFonts w:ascii="Verdana" w:hAnsi="Verdana"/>
          <w:sz w:val="20"/>
          <w:szCs w:val="20"/>
        </w:rPr>
        <w:t xml:space="preserve">juist </w:t>
      </w:r>
      <w:r w:rsidR="00A67253" w:rsidRPr="00D60D43">
        <w:rPr>
          <w:rFonts w:ascii="Verdana" w:hAnsi="Verdana"/>
          <w:sz w:val="20"/>
          <w:szCs w:val="20"/>
        </w:rPr>
        <w:t xml:space="preserve">om vraagt.  </w:t>
      </w:r>
    </w:p>
    <w:p w14:paraId="043B2347" w14:textId="77777777" w:rsidR="00D60D43" w:rsidRPr="00D60D43" w:rsidRDefault="00D60D43" w:rsidP="00D60D43">
      <w:pPr>
        <w:pStyle w:val="Geenafstand"/>
        <w:rPr>
          <w:rFonts w:ascii="Verdana" w:hAnsi="Verdana"/>
          <w:sz w:val="20"/>
          <w:szCs w:val="20"/>
        </w:rPr>
      </w:pPr>
    </w:p>
    <w:p w14:paraId="091E9737" w14:textId="77777777" w:rsidR="000A286C" w:rsidRDefault="00A97124" w:rsidP="00D60D43">
      <w:pPr>
        <w:pStyle w:val="Geenafstand"/>
        <w:rPr>
          <w:rFonts w:ascii="Verdana" w:hAnsi="Verdana"/>
          <w:sz w:val="20"/>
          <w:szCs w:val="20"/>
        </w:rPr>
      </w:pPr>
      <w:r w:rsidRPr="00D60D43">
        <w:rPr>
          <w:rFonts w:ascii="Verdana" w:hAnsi="Verdana"/>
          <w:sz w:val="20"/>
          <w:szCs w:val="20"/>
        </w:rPr>
        <w:t>Een belangrijke verandering in de Richtlijn is het uitbreiden van één van de bestaande hoof</w:t>
      </w:r>
      <w:r w:rsidR="003819BE" w:rsidRPr="00D60D43">
        <w:rPr>
          <w:rFonts w:ascii="Verdana" w:hAnsi="Verdana"/>
          <w:sz w:val="20"/>
          <w:szCs w:val="20"/>
        </w:rPr>
        <w:t>d</w:t>
      </w:r>
      <w:r w:rsidRPr="00D60D43">
        <w:rPr>
          <w:rFonts w:ascii="Verdana" w:hAnsi="Verdana"/>
          <w:sz w:val="20"/>
          <w:szCs w:val="20"/>
        </w:rPr>
        <w:t>verplichtingen van de verkoper: het verkochte dient aan d</w:t>
      </w:r>
      <w:bookmarkStart w:id="8" w:name="_Hlk64450154"/>
      <w:bookmarkStart w:id="9" w:name="_Hlk64450120"/>
      <w:r w:rsidRPr="00D60D43">
        <w:rPr>
          <w:rFonts w:ascii="Verdana" w:hAnsi="Verdana"/>
          <w:sz w:val="20"/>
          <w:szCs w:val="20"/>
        </w:rPr>
        <w:t xml:space="preserve">e overeenkomst te </w:t>
      </w:r>
      <w:r w:rsidRPr="00D60D43">
        <w:rPr>
          <w:rFonts w:ascii="Verdana" w:hAnsi="Verdana"/>
          <w:sz w:val="20"/>
          <w:szCs w:val="20"/>
        </w:rPr>
        <w:lastRenderedPageBreak/>
        <w:t xml:space="preserve">beantwoorden. </w:t>
      </w:r>
      <w:r w:rsidR="00183CCB" w:rsidRPr="00D60D43">
        <w:rPr>
          <w:rFonts w:ascii="Verdana" w:hAnsi="Verdana"/>
          <w:sz w:val="20"/>
          <w:szCs w:val="20"/>
        </w:rPr>
        <w:t>Dit is de huidige conformite</w:t>
      </w:r>
      <w:r w:rsidR="008D1A4F" w:rsidRPr="00D60D43">
        <w:rPr>
          <w:rFonts w:ascii="Verdana" w:hAnsi="Verdana"/>
          <w:sz w:val="20"/>
          <w:szCs w:val="20"/>
        </w:rPr>
        <w:t>i</w:t>
      </w:r>
      <w:r w:rsidR="00183CCB" w:rsidRPr="00D60D43">
        <w:rPr>
          <w:rFonts w:ascii="Verdana" w:hAnsi="Verdana"/>
          <w:sz w:val="20"/>
          <w:szCs w:val="20"/>
        </w:rPr>
        <w:t>t</w:t>
      </w:r>
      <w:r w:rsidR="008D1A4F" w:rsidRPr="00D60D43">
        <w:rPr>
          <w:rFonts w:ascii="Verdana" w:hAnsi="Verdana"/>
          <w:sz w:val="20"/>
          <w:szCs w:val="20"/>
        </w:rPr>
        <w:t xml:space="preserve">seis </w:t>
      </w:r>
      <w:r w:rsidR="0021682B" w:rsidRPr="00D60D43">
        <w:rPr>
          <w:rFonts w:ascii="Verdana" w:hAnsi="Verdana"/>
          <w:sz w:val="20"/>
          <w:szCs w:val="20"/>
        </w:rPr>
        <w:t xml:space="preserve">die volgt </w:t>
      </w:r>
      <w:r w:rsidR="008D1A4F" w:rsidRPr="00D60D43">
        <w:rPr>
          <w:rFonts w:ascii="Verdana" w:hAnsi="Verdana"/>
          <w:sz w:val="20"/>
          <w:szCs w:val="20"/>
        </w:rPr>
        <w:t xml:space="preserve">uit artikel 7:17 BW. De Richtlijn geeft een aanvulling op de bestaande conformiteitsregeling. </w:t>
      </w:r>
    </w:p>
    <w:p w14:paraId="005F40DE" w14:textId="7DE65A2E" w:rsidR="00FA7AF2" w:rsidRDefault="008D1A4F" w:rsidP="00D60D43">
      <w:pPr>
        <w:pStyle w:val="Geenafstand"/>
        <w:rPr>
          <w:rFonts w:ascii="Verdana" w:hAnsi="Verdana"/>
          <w:sz w:val="20"/>
          <w:szCs w:val="20"/>
        </w:rPr>
      </w:pPr>
      <w:r w:rsidRPr="00D60D43">
        <w:rPr>
          <w:rFonts w:ascii="Verdana" w:hAnsi="Verdana"/>
          <w:sz w:val="20"/>
          <w:szCs w:val="20"/>
        </w:rPr>
        <w:t xml:space="preserve">Er wordt </w:t>
      </w:r>
      <w:r w:rsidR="00E84541" w:rsidRPr="00D60D43">
        <w:rPr>
          <w:rFonts w:ascii="Verdana" w:hAnsi="Verdana"/>
          <w:sz w:val="20"/>
          <w:szCs w:val="20"/>
        </w:rPr>
        <w:t xml:space="preserve">met de nieuwe Richtlijn </w:t>
      </w:r>
      <w:r w:rsidRPr="00D60D43">
        <w:rPr>
          <w:rFonts w:ascii="Verdana" w:hAnsi="Verdana"/>
          <w:sz w:val="20"/>
          <w:szCs w:val="20"/>
        </w:rPr>
        <w:t xml:space="preserve">namelijk onderscheid gemaakt tussen wat de koper op grond van de koopovereenkomst mag verwachten </w:t>
      </w:r>
      <w:r w:rsidR="00E84541" w:rsidRPr="00D60D43">
        <w:rPr>
          <w:rFonts w:ascii="Verdana" w:hAnsi="Verdana"/>
          <w:sz w:val="20"/>
          <w:szCs w:val="20"/>
        </w:rPr>
        <w:t xml:space="preserve">enerzijds </w:t>
      </w:r>
      <w:r w:rsidRPr="00D60D43">
        <w:rPr>
          <w:rFonts w:ascii="Verdana" w:hAnsi="Verdana"/>
          <w:sz w:val="20"/>
          <w:szCs w:val="20"/>
        </w:rPr>
        <w:t>en de eigenschappen en kwaliteiten van een soortgelijk product</w:t>
      </w:r>
      <w:r w:rsidR="00E84541" w:rsidRPr="00D60D43">
        <w:rPr>
          <w:rFonts w:ascii="Verdana" w:hAnsi="Verdana"/>
          <w:sz w:val="20"/>
          <w:szCs w:val="20"/>
        </w:rPr>
        <w:t xml:space="preserve"> anderzijds</w:t>
      </w:r>
      <w:r w:rsidRPr="00D60D43">
        <w:rPr>
          <w:rFonts w:ascii="Verdana" w:hAnsi="Verdana"/>
          <w:sz w:val="20"/>
          <w:szCs w:val="20"/>
        </w:rPr>
        <w:t>.</w:t>
      </w:r>
      <w:r w:rsidR="00FA7AF2" w:rsidRPr="00D60D43">
        <w:rPr>
          <w:rFonts w:ascii="Verdana" w:hAnsi="Verdana"/>
          <w:sz w:val="20"/>
          <w:szCs w:val="20"/>
        </w:rPr>
        <w:t xml:space="preserve"> De consument mag hierdoor nog meer eigenschappen van een product verwachten. </w:t>
      </w:r>
      <w:r w:rsidRPr="00D60D43">
        <w:rPr>
          <w:rFonts w:ascii="Verdana" w:hAnsi="Verdana"/>
          <w:sz w:val="20"/>
          <w:szCs w:val="20"/>
        </w:rPr>
        <w:t xml:space="preserve"> </w:t>
      </w:r>
    </w:p>
    <w:p w14:paraId="038E99FC" w14:textId="77777777" w:rsidR="00D60D43" w:rsidRPr="00D60D43" w:rsidRDefault="00D60D43" w:rsidP="00D60D43">
      <w:pPr>
        <w:pStyle w:val="Geenafstand"/>
        <w:rPr>
          <w:rFonts w:ascii="Verdana" w:hAnsi="Verdana"/>
          <w:sz w:val="20"/>
          <w:szCs w:val="20"/>
        </w:rPr>
      </w:pPr>
    </w:p>
    <w:p w14:paraId="7C2B5F9F" w14:textId="676B7A21" w:rsidR="0025590B" w:rsidRDefault="008D1A4F" w:rsidP="00D60D43">
      <w:pPr>
        <w:pStyle w:val="Geenafstand"/>
        <w:rPr>
          <w:rFonts w:ascii="Verdana" w:hAnsi="Verdana"/>
          <w:sz w:val="20"/>
          <w:szCs w:val="20"/>
        </w:rPr>
      </w:pPr>
      <w:bookmarkStart w:id="10" w:name="_Hlk64460427"/>
      <w:r w:rsidRPr="00D60D43">
        <w:rPr>
          <w:rFonts w:ascii="Verdana" w:hAnsi="Verdana"/>
          <w:sz w:val="20"/>
          <w:szCs w:val="20"/>
        </w:rPr>
        <w:t xml:space="preserve">Ook voorziet de Richtlijn in meer beschermende bepalingen voor de consument in het geval van non-conformiteit. </w:t>
      </w:r>
      <w:bookmarkEnd w:id="8"/>
      <w:bookmarkEnd w:id="9"/>
      <w:bookmarkEnd w:id="10"/>
      <w:r w:rsidR="000D6219" w:rsidRPr="00D60D43">
        <w:rPr>
          <w:rFonts w:ascii="Verdana" w:hAnsi="Verdana"/>
          <w:sz w:val="20"/>
          <w:szCs w:val="20"/>
        </w:rPr>
        <w:t>Zo wordt onder ander</w:t>
      </w:r>
      <w:r w:rsidR="00B861D5" w:rsidRPr="00D60D43">
        <w:rPr>
          <w:rFonts w:ascii="Verdana" w:hAnsi="Verdana"/>
          <w:sz w:val="20"/>
          <w:szCs w:val="20"/>
        </w:rPr>
        <w:t>e</w:t>
      </w:r>
      <w:r w:rsidR="000D6219" w:rsidRPr="00D60D43">
        <w:rPr>
          <w:rFonts w:ascii="Verdana" w:hAnsi="Verdana"/>
          <w:sz w:val="20"/>
          <w:szCs w:val="20"/>
        </w:rPr>
        <w:t xml:space="preserve"> het bewijsvermoeden </w:t>
      </w:r>
      <w:r w:rsidR="00F94750" w:rsidRPr="00D60D43">
        <w:rPr>
          <w:rFonts w:ascii="Verdana" w:hAnsi="Verdana"/>
          <w:sz w:val="20"/>
          <w:szCs w:val="20"/>
        </w:rPr>
        <w:t>bij</w:t>
      </w:r>
      <w:r w:rsidR="000D6219" w:rsidRPr="00D60D43">
        <w:rPr>
          <w:rFonts w:ascii="Verdana" w:hAnsi="Verdana"/>
          <w:sz w:val="20"/>
          <w:szCs w:val="20"/>
        </w:rPr>
        <w:t xml:space="preserve"> non-conformiteit verlengd. </w:t>
      </w:r>
    </w:p>
    <w:p w14:paraId="21392A31" w14:textId="77777777" w:rsidR="00D60D43" w:rsidRPr="00D60D43" w:rsidRDefault="00D60D43" w:rsidP="00D60D43">
      <w:pPr>
        <w:pStyle w:val="Geenafstand"/>
        <w:rPr>
          <w:rFonts w:ascii="Verdana" w:hAnsi="Verdana"/>
          <w:sz w:val="20"/>
          <w:szCs w:val="20"/>
        </w:rPr>
      </w:pPr>
    </w:p>
    <w:p w14:paraId="080D9C65" w14:textId="578D37DC" w:rsidR="008D1A4F" w:rsidRDefault="008D1A4F" w:rsidP="00D60D43">
      <w:pPr>
        <w:pStyle w:val="Geenafstand"/>
        <w:rPr>
          <w:rFonts w:ascii="Verdana" w:hAnsi="Verdana"/>
          <w:sz w:val="20"/>
          <w:szCs w:val="20"/>
        </w:rPr>
      </w:pPr>
      <w:r w:rsidRPr="00D60D43">
        <w:rPr>
          <w:rFonts w:ascii="Verdana" w:hAnsi="Verdana"/>
          <w:sz w:val="20"/>
          <w:szCs w:val="20"/>
        </w:rPr>
        <w:t>Door de nadere invulling van de conformiteitseis en de meer beschermende bepalingen voor de consument</w:t>
      </w:r>
      <w:r w:rsidR="00183CCB" w:rsidRPr="00D60D43">
        <w:rPr>
          <w:rFonts w:ascii="Verdana" w:hAnsi="Verdana"/>
          <w:sz w:val="20"/>
          <w:szCs w:val="20"/>
        </w:rPr>
        <w:t>,</w:t>
      </w:r>
      <w:r w:rsidRPr="00D60D43">
        <w:rPr>
          <w:rFonts w:ascii="Verdana" w:hAnsi="Verdana"/>
          <w:sz w:val="20"/>
          <w:szCs w:val="20"/>
        </w:rPr>
        <w:t xml:space="preserve"> zal de huidige advisering bij </w:t>
      </w:r>
      <w:r w:rsidR="00DC68A1" w:rsidRPr="000C446C">
        <w:rPr>
          <w:rFonts w:ascii="Verdana" w:hAnsi="Verdana"/>
          <w:b/>
          <w:bCs/>
          <w:sz w:val="24"/>
          <w:szCs w:val="24"/>
        </w:rPr>
        <w:t>XXX</w:t>
      </w:r>
      <w:r w:rsidR="00DC68A1" w:rsidRPr="00D60D43">
        <w:rPr>
          <w:rFonts w:ascii="Verdana" w:hAnsi="Verdana"/>
          <w:sz w:val="20"/>
          <w:szCs w:val="20"/>
        </w:rPr>
        <w:t xml:space="preserve"> </w:t>
      </w:r>
      <w:r w:rsidRPr="00D60D43">
        <w:rPr>
          <w:rFonts w:ascii="Verdana" w:hAnsi="Verdana"/>
          <w:sz w:val="20"/>
          <w:szCs w:val="20"/>
        </w:rPr>
        <w:t xml:space="preserve">– na implementatie van de Richtlijn – een </w:t>
      </w:r>
      <w:r w:rsidR="00A86B4E" w:rsidRPr="00D60D43">
        <w:rPr>
          <w:rFonts w:ascii="Verdana" w:hAnsi="Verdana"/>
          <w:sz w:val="20"/>
          <w:szCs w:val="20"/>
        </w:rPr>
        <w:t>ander</w:t>
      </w:r>
      <w:r w:rsidR="009D50F2" w:rsidRPr="00D60D43">
        <w:rPr>
          <w:rFonts w:ascii="Verdana" w:hAnsi="Verdana"/>
          <w:sz w:val="20"/>
          <w:szCs w:val="20"/>
        </w:rPr>
        <w:t xml:space="preserve"> advies opleveren. Ook zal de juridische haalbaarheid van een consumentzaak veranderen. </w:t>
      </w:r>
    </w:p>
    <w:p w14:paraId="0520C4AA" w14:textId="77777777" w:rsidR="00D60D43" w:rsidRPr="00D60D43" w:rsidRDefault="00D60D43" w:rsidP="00D60D43">
      <w:pPr>
        <w:pStyle w:val="Geenafstand"/>
        <w:rPr>
          <w:rFonts w:ascii="Verdana" w:hAnsi="Verdana"/>
          <w:sz w:val="20"/>
          <w:szCs w:val="20"/>
        </w:rPr>
      </w:pPr>
    </w:p>
    <w:p w14:paraId="0D357B94" w14:textId="552561D5" w:rsidR="008D1A4F" w:rsidRDefault="008D1A4F" w:rsidP="00D60D43">
      <w:pPr>
        <w:pStyle w:val="Geenafstand"/>
        <w:rPr>
          <w:rFonts w:ascii="Verdana" w:hAnsi="Verdana"/>
          <w:sz w:val="20"/>
          <w:szCs w:val="20"/>
        </w:rPr>
      </w:pPr>
      <w:r w:rsidRPr="00D60D43">
        <w:rPr>
          <w:rFonts w:ascii="Verdana" w:hAnsi="Verdana"/>
          <w:sz w:val="20"/>
          <w:szCs w:val="20"/>
        </w:rPr>
        <w:t>Een gesprek met mijn praktijkbegeleide</w:t>
      </w:r>
      <w:r w:rsidR="00B02E4B" w:rsidRPr="00D60D43">
        <w:rPr>
          <w:rFonts w:ascii="Verdana" w:hAnsi="Verdana"/>
          <w:sz w:val="20"/>
          <w:szCs w:val="20"/>
        </w:rPr>
        <w:t xml:space="preserve">r, jurist van de afdeling contractueel, </w:t>
      </w:r>
      <w:r w:rsidRPr="00D60D43">
        <w:rPr>
          <w:rFonts w:ascii="Verdana" w:hAnsi="Verdana"/>
          <w:sz w:val="20"/>
          <w:szCs w:val="20"/>
        </w:rPr>
        <w:t>leert mij dat er intern nog geen bekendheid is over de gevolgen voor de toekomstige dossierbehandeling</w:t>
      </w:r>
      <w:r w:rsidR="003200DA" w:rsidRPr="00D60D43">
        <w:rPr>
          <w:rStyle w:val="Voetnootmarkering"/>
          <w:rFonts w:ascii="Verdana" w:hAnsi="Verdana"/>
          <w:sz w:val="20"/>
          <w:szCs w:val="20"/>
        </w:rPr>
        <w:footnoteReference w:id="4"/>
      </w:r>
      <w:r w:rsidRPr="00D60D43">
        <w:rPr>
          <w:rFonts w:ascii="Verdana" w:hAnsi="Verdana"/>
          <w:sz w:val="20"/>
          <w:szCs w:val="20"/>
        </w:rPr>
        <w:t>.</w:t>
      </w:r>
      <w:r w:rsidR="00DE5B9D" w:rsidRPr="00D60D43">
        <w:rPr>
          <w:rFonts w:ascii="Verdana" w:hAnsi="Verdana"/>
          <w:sz w:val="20"/>
          <w:szCs w:val="20"/>
        </w:rPr>
        <w:t xml:space="preserve"> </w:t>
      </w:r>
      <w:r w:rsidRPr="00D60D43">
        <w:rPr>
          <w:rFonts w:ascii="Verdana" w:hAnsi="Verdana"/>
          <w:sz w:val="20"/>
          <w:szCs w:val="20"/>
        </w:rPr>
        <w:t xml:space="preserve">Mijn praktijkbegeleider </w:t>
      </w:r>
      <w:r w:rsidR="00B861D5" w:rsidRPr="00D60D43">
        <w:rPr>
          <w:rFonts w:ascii="Verdana" w:hAnsi="Verdana"/>
          <w:sz w:val="20"/>
          <w:szCs w:val="20"/>
        </w:rPr>
        <w:t>wilde</w:t>
      </w:r>
      <w:r w:rsidRPr="00D60D43">
        <w:rPr>
          <w:rFonts w:ascii="Verdana" w:hAnsi="Verdana"/>
          <w:sz w:val="20"/>
          <w:szCs w:val="20"/>
        </w:rPr>
        <w:t xml:space="preserve"> </w:t>
      </w:r>
      <w:r w:rsidR="00B861D5" w:rsidRPr="00D60D43">
        <w:rPr>
          <w:rFonts w:ascii="Verdana" w:hAnsi="Verdana"/>
          <w:sz w:val="20"/>
          <w:szCs w:val="20"/>
        </w:rPr>
        <w:t>daarom</w:t>
      </w:r>
      <w:r w:rsidRPr="00D60D43">
        <w:rPr>
          <w:rFonts w:ascii="Verdana" w:hAnsi="Verdana"/>
          <w:sz w:val="20"/>
          <w:szCs w:val="20"/>
        </w:rPr>
        <w:t xml:space="preserve"> </w:t>
      </w:r>
      <w:r w:rsidR="00B02E4B" w:rsidRPr="00D60D43">
        <w:rPr>
          <w:rFonts w:ascii="Verdana" w:hAnsi="Verdana"/>
          <w:sz w:val="20"/>
          <w:szCs w:val="20"/>
        </w:rPr>
        <w:t xml:space="preserve">advies over </w:t>
      </w:r>
      <w:r w:rsidRPr="00D60D43">
        <w:rPr>
          <w:rFonts w:ascii="Verdana" w:hAnsi="Verdana"/>
          <w:sz w:val="20"/>
          <w:szCs w:val="20"/>
        </w:rPr>
        <w:t>de</w:t>
      </w:r>
      <w:r w:rsidR="003819BE" w:rsidRPr="00D60D43">
        <w:rPr>
          <w:rFonts w:ascii="Verdana" w:hAnsi="Verdana"/>
          <w:sz w:val="20"/>
          <w:szCs w:val="20"/>
        </w:rPr>
        <w:t xml:space="preserve"> </w:t>
      </w:r>
      <w:r w:rsidR="008C5CF3" w:rsidRPr="00D60D43">
        <w:rPr>
          <w:rFonts w:ascii="Verdana" w:hAnsi="Verdana"/>
          <w:sz w:val="20"/>
          <w:szCs w:val="20"/>
        </w:rPr>
        <w:t xml:space="preserve">mogelijke </w:t>
      </w:r>
      <w:r w:rsidRPr="00D60D43">
        <w:rPr>
          <w:rFonts w:ascii="Verdana" w:hAnsi="Verdana"/>
          <w:sz w:val="20"/>
          <w:szCs w:val="20"/>
        </w:rPr>
        <w:t>gevolgen voor haar dossierbehandeling na implementatie van de Richtlijn.</w:t>
      </w:r>
    </w:p>
    <w:p w14:paraId="16270B70" w14:textId="77777777" w:rsidR="00D60D43" w:rsidRPr="00D60D43" w:rsidRDefault="00D60D43" w:rsidP="00D60D43">
      <w:pPr>
        <w:pStyle w:val="Geenafstand"/>
        <w:rPr>
          <w:rFonts w:ascii="Verdana" w:hAnsi="Verdana"/>
          <w:sz w:val="20"/>
          <w:szCs w:val="20"/>
        </w:rPr>
      </w:pPr>
    </w:p>
    <w:p w14:paraId="029D5FAE" w14:textId="41F7FFC5" w:rsidR="00867536" w:rsidRDefault="008D1A4F" w:rsidP="00D60D43">
      <w:pPr>
        <w:pStyle w:val="Geenafstand"/>
        <w:rPr>
          <w:rFonts w:ascii="Verdana" w:hAnsi="Verdana"/>
          <w:sz w:val="20"/>
          <w:szCs w:val="20"/>
        </w:rPr>
      </w:pPr>
      <w:r w:rsidRPr="00D60D43">
        <w:rPr>
          <w:rFonts w:ascii="Verdana" w:hAnsi="Verdana"/>
          <w:sz w:val="20"/>
          <w:szCs w:val="20"/>
        </w:rPr>
        <w:t xml:space="preserve">Om mijn praktijkbegeleider van een passend advies te voorzien zal er, naast het theoretische gedeelte, een praktijkonderzoek worden verricht. Met het doen van documentonderzoek en dossieronderzoek binnen </w:t>
      </w:r>
      <w:r w:rsidR="00DC68A1" w:rsidRPr="000C446C">
        <w:rPr>
          <w:rFonts w:ascii="Verdana" w:hAnsi="Verdana"/>
          <w:b/>
          <w:bCs/>
          <w:sz w:val="24"/>
          <w:szCs w:val="24"/>
        </w:rPr>
        <w:t>XXX</w:t>
      </w:r>
      <w:r w:rsidR="00DC68A1" w:rsidRPr="00D60D43">
        <w:rPr>
          <w:rFonts w:ascii="Verdana" w:hAnsi="Verdana"/>
          <w:sz w:val="20"/>
          <w:szCs w:val="20"/>
        </w:rPr>
        <w:t xml:space="preserve"> </w:t>
      </w:r>
      <w:r w:rsidRPr="00D60D43">
        <w:rPr>
          <w:rFonts w:ascii="Verdana" w:hAnsi="Verdana"/>
          <w:sz w:val="20"/>
          <w:szCs w:val="20"/>
        </w:rPr>
        <w:t xml:space="preserve">kan in beeld worden gebracht hoe de consument momenteel wordt geadviseerd en hoe dit na implementatie van de Richtlijn </w:t>
      </w:r>
      <w:r w:rsidR="00B02E4B" w:rsidRPr="00D60D43">
        <w:rPr>
          <w:rFonts w:ascii="Verdana" w:hAnsi="Verdana"/>
          <w:sz w:val="20"/>
          <w:szCs w:val="20"/>
        </w:rPr>
        <w:t>hoort te zijn</w:t>
      </w:r>
      <w:r w:rsidR="00736EF7" w:rsidRPr="00D60D43">
        <w:rPr>
          <w:rFonts w:ascii="Verdana" w:hAnsi="Verdana"/>
          <w:sz w:val="20"/>
          <w:szCs w:val="20"/>
        </w:rPr>
        <w:t xml:space="preserve">. </w:t>
      </w:r>
      <w:r w:rsidR="00867536" w:rsidRPr="00D60D43">
        <w:rPr>
          <w:rFonts w:ascii="Verdana" w:hAnsi="Verdana"/>
          <w:sz w:val="20"/>
          <w:szCs w:val="20"/>
        </w:rPr>
        <w:t>Het dossieronderzoek bestaat uit het bestuderen van adviesbrieven</w:t>
      </w:r>
      <w:r w:rsidR="00CD2B36">
        <w:rPr>
          <w:rFonts w:ascii="Verdana" w:hAnsi="Verdana"/>
          <w:sz w:val="20"/>
          <w:szCs w:val="20"/>
        </w:rPr>
        <w:t xml:space="preserve"> en </w:t>
      </w:r>
      <w:r w:rsidR="00867536" w:rsidRPr="00D60D43">
        <w:rPr>
          <w:rFonts w:ascii="Verdana" w:hAnsi="Verdana"/>
          <w:sz w:val="20"/>
          <w:szCs w:val="20"/>
        </w:rPr>
        <w:t xml:space="preserve">reacties van </w:t>
      </w:r>
      <w:r w:rsidR="00CD2B36">
        <w:rPr>
          <w:rFonts w:ascii="Verdana" w:hAnsi="Verdana"/>
          <w:sz w:val="20"/>
          <w:szCs w:val="20"/>
        </w:rPr>
        <w:t xml:space="preserve">de </w:t>
      </w:r>
      <w:r w:rsidR="00867536" w:rsidRPr="00D60D43">
        <w:rPr>
          <w:rFonts w:ascii="Verdana" w:hAnsi="Verdana"/>
          <w:sz w:val="20"/>
          <w:szCs w:val="20"/>
        </w:rPr>
        <w:t xml:space="preserve">wederpartij uit vijftien </w:t>
      </w:r>
      <w:r w:rsidR="009D6490" w:rsidRPr="00D60D43">
        <w:rPr>
          <w:rFonts w:ascii="Verdana" w:hAnsi="Verdana"/>
          <w:sz w:val="20"/>
          <w:szCs w:val="20"/>
        </w:rPr>
        <w:t>consument</w:t>
      </w:r>
      <w:r w:rsidR="00867536" w:rsidRPr="00D60D43">
        <w:rPr>
          <w:rFonts w:ascii="Verdana" w:hAnsi="Verdana"/>
          <w:sz w:val="20"/>
          <w:szCs w:val="20"/>
        </w:rPr>
        <w:t xml:space="preserve">dossiers over </w:t>
      </w:r>
      <w:r w:rsidR="009D6490" w:rsidRPr="00D60D43">
        <w:rPr>
          <w:rFonts w:ascii="Verdana" w:hAnsi="Verdana"/>
          <w:sz w:val="20"/>
          <w:szCs w:val="20"/>
        </w:rPr>
        <w:t xml:space="preserve">de periode 2020-2021. </w:t>
      </w:r>
      <w:r w:rsidR="00280B64" w:rsidRPr="00D60D43">
        <w:rPr>
          <w:rFonts w:ascii="Verdana" w:hAnsi="Verdana"/>
          <w:sz w:val="20"/>
          <w:szCs w:val="20"/>
        </w:rPr>
        <w:t>Dit aantal en deze periode geeft een actueel</w:t>
      </w:r>
      <w:r w:rsidR="000B148E" w:rsidRPr="00D60D43">
        <w:rPr>
          <w:rFonts w:ascii="Verdana" w:hAnsi="Verdana"/>
          <w:sz w:val="20"/>
          <w:szCs w:val="20"/>
        </w:rPr>
        <w:t xml:space="preserve"> </w:t>
      </w:r>
      <w:r w:rsidR="00B861D5" w:rsidRPr="00D60D43">
        <w:rPr>
          <w:rFonts w:ascii="Verdana" w:hAnsi="Verdana"/>
          <w:sz w:val="20"/>
          <w:szCs w:val="20"/>
        </w:rPr>
        <w:t xml:space="preserve">en representatief </w:t>
      </w:r>
      <w:r w:rsidR="00280B64" w:rsidRPr="00D60D43">
        <w:rPr>
          <w:rFonts w:ascii="Verdana" w:hAnsi="Verdana"/>
          <w:sz w:val="20"/>
          <w:szCs w:val="20"/>
        </w:rPr>
        <w:t xml:space="preserve">beeld van de huidige advisering bij </w:t>
      </w:r>
      <w:r w:rsidR="00DC68A1" w:rsidRPr="000C446C">
        <w:rPr>
          <w:rFonts w:ascii="Verdana" w:hAnsi="Verdana"/>
          <w:b/>
          <w:bCs/>
          <w:sz w:val="24"/>
          <w:szCs w:val="24"/>
        </w:rPr>
        <w:t>XXX</w:t>
      </w:r>
      <w:r w:rsidR="00280B64" w:rsidRPr="00D60D43">
        <w:rPr>
          <w:rFonts w:ascii="Verdana" w:hAnsi="Verdana"/>
          <w:sz w:val="20"/>
          <w:szCs w:val="20"/>
        </w:rPr>
        <w:t xml:space="preserve">. </w:t>
      </w:r>
      <w:r w:rsidR="009D6490" w:rsidRPr="00D60D43">
        <w:rPr>
          <w:rFonts w:ascii="Verdana" w:hAnsi="Verdana"/>
          <w:sz w:val="20"/>
          <w:szCs w:val="20"/>
        </w:rPr>
        <w:t xml:space="preserve">Bij het documentonderzoek </w:t>
      </w:r>
      <w:r w:rsidR="00BD1A72" w:rsidRPr="00D60D43">
        <w:rPr>
          <w:rFonts w:ascii="Verdana" w:hAnsi="Verdana"/>
          <w:sz w:val="20"/>
          <w:szCs w:val="20"/>
        </w:rPr>
        <w:t xml:space="preserve">zullen </w:t>
      </w:r>
      <w:r w:rsidR="00B861D5" w:rsidRPr="00D60D43">
        <w:rPr>
          <w:rFonts w:ascii="Verdana" w:hAnsi="Verdana"/>
          <w:sz w:val="20"/>
          <w:szCs w:val="20"/>
        </w:rPr>
        <w:t xml:space="preserve">daarnaast ook </w:t>
      </w:r>
      <w:r w:rsidR="00BD1A72" w:rsidRPr="00D60D43">
        <w:rPr>
          <w:rFonts w:ascii="Verdana" w:hAnsi="Verdana"/>
          <w:sz w:val="20"/>
          <w:szCs w:val="20"/>
        </w:rPr>
        <w:t>de</w:t>
      </w:r>
      <w:r w:rsidR="009D6490" w:rsidRPr="00D60D43">
        <w:rPr>
          <w:rFonts w:ascii="Verdana" w:hAnsi="Verdana"/>
          <w:sz w:val="20"/>
          <w:szCs w:val="20"/>
        </w:rPr>
        <w:t xml:space="preserve"> meest recente polisvoorwaarden </w:t>
      </w:r>
      <w:r w:rsidR="00BD1A72" w:rsidRPr="00D60D43">
        <w:rPr>
          <w:rFonts w:ascii="Verdana" w:hAnsi="Verdana"/>
          <w:sz w:val="20"/>
          <w:szCs w:val="20"/>
        </w:rPr>
        <w:t xml:space="preserve">van </w:t>
      </w:r>
      <w:r w:rsidR="00677551" w:rsidRPr="000C446C">
        <w:rPr>
          <w:rFonts w:ascii="Verdana" w:hAnsi="Verdana"/>
          <w:b/>
          <w:bCs/>
          <w:sz w:val="24"/>
          <w:szCs w:val="24"/>
        </w:rPr>
        <w:t>XXX</w:t>
      </w:r>
      <w:r w:rsidR="00677551" w:rsidRPr="00D60D43">
        <w:rPr>
          <w:rFonts w:ascii="Verdana" w:hAnsi="Verdana"/>
          <w:sz w:val="20"/>
          <w:szCs w:val="20"/>
        </w:rPr>
        <w:t xml:space="preserve"> </w:t>
      </w:r>
      <w:r w:rsidR="00BD1A72" w:rsidRPr="00D60D43">
        <w:rPr>
          <w:rFonts w:ascii="Verdana" w:hAnsi="Verdana"/>
          <w:sz w:val="20"/>
          <w:szCs w:val="20"/>
        </w:rPr>
        <w:t xml:space="preserve">worden bestudeerd. </w:t>
      </w:r>
      <w:r w:rsidR="009D6490" w:rsidRPr="00D60D43">
        <w:rPr>
          <w:rFonts w:ascii="Verdana" w:hAnsi="Verdana"/>
          <w:sz w:val="20"/>
          <w:szCs w:val="20"/>
        </w:rPr>
        <w:t xml:space="preserve"> </w:t>
      </w:r>
    </w:p>
    <w:p w14:paraId="42B58365" w14:textId="77777777" w:rsidR="00D60D43" w:rsidRPr="00D60D43" w:rsidRDefault="00D60D43" w:rsidP="00D60D43">
      <w:pPr>
        <w:pStyle w:val="Geenafstand"/>
        <w:rPr>
          <w:rFonts w:ascii="Verdana" w:hAnsi="Verdana"/>
          <w:sz w:val="20"/>
          <w:szCs w:val="20"/>
        </w:rPr>
      </w:pPr>
    </w:p>
    <w:p w14:paraId="5DBDD682" w14:textId="77777777" w:rsidR="000F5E33" w:rsidRPr="00D60D43" w:rsidRDefault="001666FB" w:rsidP="00723273">
      <w:pPr>
        <w:pStyle w:val="Kop2"/>
        <w:rPr>
          <w:rStyle w:val="Kop2Char"/>
          <w:b/>
          <w:szCs w:val="20"/>
        </w:rPr>
      </w:pPr>
      <w:bookmarkStart w:id="11" w:name="_Toc72576274"/>
      <w:r w:rsidRPr="00D60D43">
        <w:rPr>
          <w:rStyle w:val="Kop2Char"/>
          <w:b/>
          <w:szCs w:val="20"/>
        </w:rPr>
        <w:t>1.</w:t>
      </w:r>
      <w:r w:rsidR="00A93121" w:rsidRPr="00D60D43">
        <w:rPr>
          <w:rStyle w:val="Kop2Char"/>
          <w:b/>
          <w:szCs w:val="20"/>
        </w:rPr>
        <w:t>4</w:t>
      </w:r>
      <w:r w:rsidRPr="00D60D43">
        <w:rPr>
          <w:rStyle w:val="Kop2Char"/>
          <w:b/>
          <w:szCs w:val="20"/>
        </w:rPr>
        <w:t>. Juridisch kader</w:t>
      </w:r>
      <w:bookmarkEnd w:id="6"/>
      <w:bookmarkEnd w:id="7"/>
      <w:bookmarkEnd w:id="11"/>
    </w:p>
    <w:p w14:paraId="715FC0C4" w14:textId="58EC8633" w:rsidR="00C91E8D" w:rsidRPr="00D60D43" w:rsidRDefault="00C91E8D" w:rsidP="00D60D43">
      <w:pPr>
        <w:pStyle w:val="Geenafstand"/>
        <w:rPr>
          <w:rFonts w:ascii="Verdana" w:hAnsi="Verdana"/>
          <w:sz w:val="20"/>
          <w:szCs w:val="20"/>
        </w:rPr>
      </w:pPr>
      <w:r w:rsidRPr="00D60D43">
        <w:rPr>
          <w:rFonts w:ascii="Verdana" w:hAnsi="Verdana"/>
          <w:sz w:val="20"/>
          <w:szCs w:val="20"/>
        </w:rPr>
        <w:t>In dit onderzoek staat de conformiteitseis uit het eerste lid van artikel 17 van boek 7 BW centraal. Dit artikel luidt als volgt:</w:t>
      </w:r>
      <w:r w:rsidR="00D60D43">
        <w:rPr>
          <w:rFonts w:ascii="Verdana" w:hAnsi="Verdana"/>
          <w:sz w:val="20"/>
          <w:szCs w:val="20"/>
        </w:rPr>
        <w:br/>
      </w:r>
      <w:r w:rsidR="00D60D43">
        <w:rPr>
          <w:rFonts w:ascii="Verdana" w:hAnsi="Verdana"/>
          <w:sz w:val="20"/>
          <w:szCs w:val="20"/>
        </w:rPr>
        <w:br/>
      </w:r>
      <w:r w:rsidRPr="00D60D43">
        <w:rPr>
          <w:rFonts w:ascii="Verdana" w:hAnsi="Verdana"/>
          <w:sz w:val="20"/>
          <w:szCs w:val="20"/>
        </w:rPr>
        <w:t>“de afgeleverde zaak moet aan de overeenkomst beantwoorden.”</w:t>
      </w:r>
      <w:r w:rsidR="00D60D43">
        <w:rPr>
          <w:rFonts w:ascii="Verdana" w:hAnsi="Verdana"/>
          <w:sz w:val="20"/>
          <w:szCs w:val="20"/>
        </w:rPr>
        <w:br/>
      </w:r>
    </w:p>
    <w:p w14:paraId="017320C2" w14:textId="77777777" w:rsidR="00C91E8D" w:rsidRPr="00D60D43" w:rsidRDefault="00C91E8D" w:rsidP="00D60D43">
      <w:pPr>
        <w:pStyle w:val="Geenafstand"/>
        <w:rPr>
          <w:rFonts w:ascii="Verdana" w:hAnsi="Verdana"/>
          <w:sz w:val="20"/>
          <w:szCs w:val="20"/>
        </w:rPr>
      </w:pPr>
      <w:r w:rsidRPr="00D60D43">
        <w:rPr>
          <w:rFonts w:ascii="Verdana" w:hAnsi="Verdana"/>
          <w:sz w:val="20"/>
          <w:szCs w:val="20"/>
        </w:rPr>
        <w:t>Om vast te stellen of de zaak aan de overeenkomst beantwoordt, kan aansluiting worden gevonden in het tweede tot en met het zesde lid van artikel 17 en – in het geval van consumentenkoop – artikel 18 van boek 7 BW. Hierin staat omschreven in welke gevallen de zaak niet aan de overeenkomst beantwoordt, zodat er sprake is van non-conformiteit.</w:t>
      </w:r>
    </w:p>
    <w:p w14:paraId="3A5231A3" w14:textId="1A74A6B0" w:rsidR="00C91E8D" w:rsidRPr="00D60D43" w:rsidRDefault="00C91E8D" w:rsidP="00D60D43">
      <w:pPr>
        <w:pStyle w:val="Geenafstand"/>
        <w:rPr>
          <w:rFonts w:ascii="Verdana" w:hAnsi="Verdana"/>
          <w:sz w:val="20"/>
          <w:szCs w:val="20"/>
        </w:rPr>
      </w:pPr>
      <w:r w:rsidRPr="00D60D43">
        <w:rPr>
          <w:rFonts w:ascii="Verdana" w:hAnsi="Verdana"/>
          <w:sz w:val="20"/>
          <w:szCs w:val="20"/>
        </w:rPr>
        <w:br/>
        <w:t>Onlosmakelijk verbonden met de conformiteitseis zijn de rechten die de koper bij non-conformiteit heeft. De rechten van de consument bij non-conformiteit vindt zijn wettelijke grondslag in artikel 7:21 BW en – aanvullend bij consumentenkoop – artikel 7:23 BW. In het geval van non-conformiteit heeft de koper recht op correcte nakoming, waarbij er aanspraak kan worden gemaakt op aflevering van het ontbrekende, herstel en/of vervanging van de zaak.</w:t>
      </w:r>
    </w:p>
    <w:p w14:paraId="4DB6045A" w14:textId="4D864C38" w:rsidR="000672FC" w:rsidRPr="00D60D43" w:rsidRDefault="000672FC" w:rsidP="00D60D43">
      <w:pPr>
        <w:pStyle w:val="Geenafstand"/>
        <w:rPr>
          <w:rFonts w:ascii="Verdana" w:hAnsi="Verdana"/>
          <w:sz w:val="20"/>
          <w:szCs w:val="20"/>
        </w:rPr>
      </w:pPr>
      <w:r w:rsidRPr="00D60D43">
        <w:rPr>
          <w:rFonts w:ascii="Verdana" w:hAnsi="Verdana"/>
          <w:sz w:val="20"/>
          <w:szCs w:val="20"/>
        </w:rPr>
        <w:br/>
        <w:t xml:space="preserve">Daarnaast heeft de consument eveneens het recht om tot ontbinding van de overeenkomst of prijsvermindering over te gaan. Deze bevoegdheid bestaat pas vanaf het moment dat herstel of vervanging onmogelijk is. </w:t>
      </w:r>
    </w:p>
    <w:p w14:paraId="7E470BA9" w14:textId="7ED96194" w:rsidR="00C91E8D" w:rsidRPr="00D60D43" w:rsidRDefault="00C91E8D" w:rsidP="00953C18">
      <w:pPr>
        <w:pStyle w:val="Geenafstand"/>
        <w:rPr>
          <w:rFonts w:ascii="Verdana" w:hAnsi="Verdana"/>
          <w:sz w:val="20"/>
          <w:szCs w:val="20"/>
        </w:rPr>
      </w:pPr>
    </w:p>
    <w:p w14:paraId="74816FD6" w14:textId="24AC555D" w:rsidR="000F5E33" w:rsidRPr="00D60D43" w:rsidRDefault="000F5E33" w:rsidP="00953C18">
      <w:pPr>
        <w:pStyle w:val="Geenafstand"/>
        <w:rPr>
          <w:rFonts w:ascii="Verdana" w:hAnsi="Verdana"/>
          <w:sz w:val="20"/>
          <w:szCs w:val="20"/>
        </w:rPr>
      </w:pPr>
    </w:p>
    <w:p w14:paraId="02538491" w14:textId="04E538A9" w:rsidR="000F5E33" w:rsidRDefault="000F5E33" w:rsidP="00953C18">
      <w:pPr>
        <w:pStyle w:val="Geenafstand"/>
        <w:rPr>
          <w:rFonts w:ascii="Verdana" w:hAnsi="Verdana"/>
          <w:sz w:val="20"/>
          <w:szCs w:val="20"/>
        </w:rPr>
      </w:pPr>
    </w:p>
    <w:p w14:paraId="68BB4E9C" w14:textId="74C39EBF" w:rsidR="00D60D43" w:rsidRDefault="00D60D43" w:rsidP="00953C18">
      <w:pPr>
        <w:pStyle w:val="Geenafstand"/>
        <w:rPr>
          <w:rFonts w:ascii="Verdana" w:hAnsi="Verdana"/>
          <w:sz w:val="20"/>
          <w:szCs w:val="20"/>
        </w:rPr>
      </w:pPr>
    </w:p>
    <w:p w14:paraId="0FADEAB1" w14:textId="77777777" w:rsidR="00D60D43" w:rsidRPr="00D60D43" w:rsidRDefault="00D60D43" w:rsidP="00953C18">
      <w:pPr>
        <w:pStyle w:val="Geenafstand"/>
        <w:rPr>
          <w:rFonts w:ascii="Verdana" w:hAnsi="Verdana"/>
          <w:sz w:val="20"/>
          <w:szCs w:val="20"/>
        </w:rPr>
      </w:pPr>
    </w:p>
    <w:p w14:paraId="340A4815" w14:textId="77777777" w:rsidR="000F5E33" w:rsidRPr="00D60D43" w:rsidRDefault="000F5E33" w:rsidP="00953C18">
      <w:pPr>
        <w:pStyle w:val="Geenafstand"/>
        <w:rPr>
          <w:rFonts w:ascii="Verdana" w:hAnsi="Verdana"/>
          <w:sz w:val="20"/>
          <w:szCs w:val="20"/>
        </w:rPr>
      </w:pPr>
    </w:p>
    <w:p w14:paraId="06973D3F" w14:textId="23F062B3" w:rsidR="00C91E8D" w:rsidRPr="00D60D43" w:rsidRDefault="00C91E8D" w:rsidP="000F5E33">
      <w:pPr>
        <w:pStyle w:val="Kop3"/>
        <w:spacing w:before="0" w:beforeAutospacing="0" w:after="0" w:afterAutospacing="0"/>
        <w:rPr>
          <w:szCs w:val="20"/>
        </w:rPr>
      </w:pPr>
      <w:bookmarkStart w:id="12" w:name="_Toc72576275"/>
      <w:r w:rsidRPr="00D60D43">
        <w:rPr>
          <w:szCs w:val="20"/>
        </w:rPr>
        <w:t>1.4.1 De Richtlijn</w:t>
      </w:r>
      <w:bookmarkEnd w:id="12"/>
    </w:p>
    <w:p w14:paraId="136838E8" w14:textId="1E1151F5" w:rsidR="00C91E8D" w:rsidRDefault="00C91E8D" w:rsidP="00D60D43">
      <w:pPr>
        <w:pStyle w:val="Geenafstand"/>
        <w:rPr>
          <w:rFonts w:ascii="Verdana" w:hAnsi="Verdana"/>
          <w:sz w:val="20"/>
          <w:szCs w:val="20"/>
        </w:rPr>
      </w:pPr>
      <w:r w:rsidRPr="00D60D43">
        <w:rPr>
          <w:rFonts w:ascii="Verdana" w:hAnsi="Verdana"/>
          <w:sz w:val="20"/>
          <w:szCs w:val="20"/>
        </w:rPr>
        <w:t xml:space="preserve">In de Richtlijn wordt de conformiteitseis met vijf artikelen uitgebreid: de artikelen 5 tot en met 9. Installatie van goederen, software updates en reclame-uitingen gaan onder andere een rol spelen bij het vaststellen van conformiteit. </w:t>
      </w:r>
    </w:p>
    <w:p w14:paraId="1981ECB0" w14:textId="77777777" w:rsidR="00D60D43" w:rsidRPr="00D60D43" w:rsidRDefault="00D60D43" w:rsidP="00D60D43">
      <w:pPr>
        <w:pStyle w:val="Geenafstand"/>
        <w:rPr>
          <w:rFonts w:ascii="Verdana" w:hAnsi="Verdana"/>
          <w:sz w:val="20"/>
          <w:szCs w:val="20"/>
        </w:rPr>
      </w:pPr>
    </w:p>
    <w:p w14:paraId="0148E898" w14:textId="2861D6C2" w:rsidR="00C91E8D" w:rsidRDefault="00C91E8D" w:rsidP="00D60D43">
      <w:pPr>
        <w:pStyle w:val="Geenafstand"/>
        <w:rPr>
          <w:rFonts w:ascii="Verdana" w:hAnsi="Verdana"/>
          <w:sz w:val="20"/>
          <w:szCs w:val="20"/>
        </w:rPr>
      </w:pPr>
      <w:r w:rsidRPr="00D60D43">
        <w:rPr>
          <w:rFonts w:ascii="Verdana" w:hAnsi="Verdana"/>
          <w:sz w:val="20"/>
          <w:szCs w:val="20"/>
        </w:rPr>
        <w:t>De rechten van de consument bij non-conformiteit worden in de artikelen 13 tot en met 16 van de Richtlijn uiteengezet.</w:t>
      </w:r>
      <w:r w:rsidR="007754D7" w:rsidRPr="00D60D43">
        <w:rPr>
          <w:rFonts w:ascii="Verdana" w:hAnsi="Verdana"/>
          <w:sz w:val="20"/>
          <w:szCs w:val="20"/>
        </w:rPr>
        <w:t xml:space="preserve"> De rechten van de consument blijven grotendeels gelijk</w:t>
      </w:r>
      <w:r w:rsidR="007916DC" w:rsidRPr="00D60D43">
        <w:rPr>
          <w:rFonts w:ascii="Verdana" w:hAnsi="Verdana"/>
          <w:sz w:val="20"/>
          <w:szCs w:val="20"/>
        </w:rPr>
        <w:t xml:space="preserve"> met het huidige recht. Op enkele punten worden de rechten uitgebreid. Zo voorziet de Richtlijn in </w:t>
      </w:r>
      <w:r w:rsidR="002D0F10" w:rsidRPr="00D60D43">
        <w:rPr>
          <w:rFonts w:ascii="Verdana" w:hAnsi="Verdana"/>
          <w:sz w:val="20"/>
          <w:szCs w:val="20"/>
        </w:rPr>
        <w:t xml:space="preserve">nieuwe omstandigheden waarin de consument tot ontbinding van de overeenkomst of prijsvermindering mag overgaan. </w:t>
      </w:r>
    </w:p>
    <w:p w14:paraId="4C789A81" w14:textId="77777777" w:rsidR="00D60D43" w:rsidRPr="00D60D43" w:rsidRDefault="00D60D43" w:rsidP="00D60D43">
      <w:pPr>
        <w:pStyle w:val="Geenafstand"/>
        <w:rPr>
          <w:rFonts w:ascii="Verdana" w:hAnsi="Verdana"/>
          <w:sz w:val="20"/>
          <w:szCs w:val="20"/>
        </w:rPr>
      </w:pPr>
    </w:p>
    <w:p w14:paraId="72984F07" w14:textId="3E84D648" w:rsidR="007916DC" w:rsidRDefault="00C91E8D" w:rsidP="00D60D43">
      <w:pPr>
        <w:pStyle w:val="Geenafstand"/>
        <w:rPr>
          <w:rFonts w:ascii="Verdana" w:hAnsi="Verdana"/>
          <w:sz w:val="20"/>
          <w:szCs w:val="20"/>
        </w:rPr>
      </w:pPr>
      <w:r w:rsidRPr="00D60D43">
        <w:rPr>
          <w:rFonts w:ascii="Verdana" w:hAnsi="Verdana"/>
          <w:sz w:val="20"/>
          <w:szCs w:val="20"/>
        </w:rPr>
        <w:t xml:space="preserve">Om inzicht te krijgen in de verandering en gevolgen van implementatie van de Richtlijn zal er onderzoek gedaan worden naar de bepalingen uit het huidige BW en de Richtlijn. Onderdeel daarvan is het bestuderen van de wetsgeschiedenis, de preambule van de Richtlijn en het commentaar van rechtsgeleerde auteurs in vaktijdschriften. </w:t>
      </w:r>
      <w:r w:rsidR="006A5FB8" w:rsidRPr="00D60D43">
        <w:rPr>
          <w:rFonts w:ascii="Verdana" w:hAnsi="Verdana"/>
          <w:sz w:val="20"/>
          <w:szCs w:val="20"/>
        </w:rPr>
        <w:br/>
      </w:r>
      <w:r w:rsidR="006A5FB8" w:rsidRPr="00D60D43">
        <w:rPr>
          <w:rFonts w:ascii="Verdana" w:hAnsi="Verdana"/>
          <w:sz w:val="20"/>
          <w:szCs w:val="20"/>
        </w:rPr>
        <w:br/>
        <w:t xml:space="preserve">Sommige bepalingen uit het huidige BW </w:t>
      </w:r>
      <w:r w:rsidR="00B452CC" w:rsidRPr="00D60D43">
        <w:rPr>
          <w:rFonts w:ascii="Verdana" w:hAnsi="Verdana"/>
          <w:sz w:val="20"/>
          <w:szCs w:val="20"/>
        </w:rPr>
        <w:t>zijn</w:t>
      </w:r>
      <w:r w:rsidR="006A5FB8" w:rsidRPr="00D60D43">
        <w:rPr>
          <w:rFonts w:ascii="Verdana" w:hAnsi="Verdana"/>
          <w:sz w:val="20"/>
          <w:szCs w:val="20"/>
        </w:rPr>
        <w:t xml:space="preserve"> gedeeltelijk al in lijn met de Richtlijn. </w:t>
      </w:r>
      <w:r w:rsidR="007916DC" w:rsidRPr="00D60D43">
        <w:rPr>
          <w:rFonts w:ascii="Verdana" w:hAnsi="Verdana"/>
          <w:sz w:val="20"/>
          <w:szCs w:val="20"/>
        </w:rPr>
        <w:t xml:space="preserve">Bij deze bepalingen zal aansluiting bij jurisprudentie worden </w:t>
      </w:r>
      <w:r w:rsidR="00D60D43">
        <w:rPr>
          <w:rFonts w:ascii="Verdana" w:hAnsi="Verdana"/>
          <w:sz w:val="20"/>
          <w:szCs w:val="20"/>
        </w:rPr>
        <w:t>gezocht</w:t>
      </w:r>
      <w:r w:rsidR="007916DC" w:rsidRPr="00D60D43">
        <w:rPr>
          <w:rFonts w:ascii="Verdana" w:hAnsi="Verdana"/>
          <w:sz w:val="20"/>
          <w:szCs w:val="20"/>
        </w:rPr>
        <w:t xml:space="preserve"> om zo een volledig beeld van de conformiteitsbepalingen te krijgen</w:t>
      </w:r>
      <w:r w:rsidR="001753A1" w:rsidRPr="00D60D43">
        <w:rPr>
          <w:rFonts w:ascii="Verdana" w:hAnsi="Verdana"/>
          <w:sz w:val="20"/>
          <w:szCs w:val="20"/>
        </w:rPr>
        <w:t>.</w:t>
      </w:r>
    </w:p>
    <w:p w14:paraId="39B5CC8B" w14:textId="77777777" w:rsidR="00D60D43" w:rsidRPr="00D60D43" w:rsidRDefault="00D60D43" w:rsidP="00D60D43">
      <w:pPr>
        <w:pStyle w:val="Geenafstand"/>
        <w:rPr>
          <w:rFonts w:ascii="Verdana" w:hAnsi="Verdana"/>
          <w:sz w:val="20"/>
          <w:szCs w:val="20"/>
        </w:rPr>
      </w:pPr>
    </w:p>
    <w:p w14:paraId="4B4A1C63" w14:textId="7F3EEE87" w:rsidR="006B2F6D" w:rsidRPr="00D60D43" w:rsidRDefault="00264309" w:rsidP="00527244">
      <w:pPr>
        <w:pStyle w:val="Kop2"/>
        <w:rPr>
          <w:szCs w:val="20"/>
        </w:rPr>
      </w:pPr>
      <w:bookmarkStart w:id="13" w:name="_Toc63533106"/>
      <w:bookmarkStart w:id="14" w:name="_Toc63533177"/>
      <w:bookmarkStart w:id="15" w:name="_Toc72576276"/>
      <w:r w:rsidRPr="00D60D43">
        <w:rPr>
          <w:szCs w:val="20"/>
        </w:rPr>
        <w:t>1.</w:t>
      </w:r>
      <w:r w:rsidR="00A93121" w:rsidRPr="00D60D43">
        <w:rPr>
          <w:szCs w:val="20"/>
        </w:rPr>
        <w:t>5</w:t>
      </w:r>
      <w:r w:rsidRPr="00D60D43">
        <w:rPr>
          <w:szCs w:val="20"/>
        </w:rPr>
        <w:t>. Doelstelling</w:t>
      </w:r>
      <w:bookmarkEnd w:id="13"/>
      <w:bookmarkEnd w:id="14"/>
      <w:bookmarkEnd w:id="15"/>
    </w:p>
    <w:p w14:paraId="4DED95C8" w14:textId="2289B5D5" w:rsidR="002D0F10" w:rsidRPr="00D60D43" w:rsidRDefault="00451F21" w:rsidP="00D60D43">
      <w:pPr>
        <w:pStyle w:val="Geenafstand"/>
        <w:rPr>
          <w:rFonts w:ascii="Verdana" w:hAnsi="Verdana"/>
          <w:sz w:val="20"/>
          <w:szCs w:val="20"/>
        </w:rPr>
      </w:pPr>
      <w:r w:rsidRPr="00D60D43">
        <w:rPr>
          <w:rFonts w:ascii="Verdana" w:hAnsi="Verdana"/>
          <w:sz w:val="20"/>
          <w:szCs w:val="20"/>
        </w:rPr>
        <w:t xml:space="preserve">Het doel van dit onderzoek is om </w:t>
      </w:r>
      <w:r w:rsidR="00843C42" w:rsidRPr="00D60D43">
        <w:rPr>
          <w:rFonts w:ascii="Verdana" w:hAnsi="Verdana"/>
          <w:sz w:val="20"/>
          <w:szCs w:val="20"/>
        </w:rPr>
        <w:t xml:space="preserve">op 26 mei 2021 </w:t>
      </w:r>
      <w:r w:rsidRPr="00D60D43">
        <w:rPr>
          <w:rFonts w:ascii="Verdana" w:hAnsi="Verdana"/>
          <w:sz w:val="20"/>
          <w:szCs w:val="20"/>
        </w:rPr>
        <w:t>de juristen va</w:t>
      </w:r>
      <w:r w:rsidR="00E57B99" w:rsidRPr="00D60D43">
        <w:rPr>
          <w:rFonts w:ascii="Verdana" w:hAnsi="Verdana"/>
          <w:sz w:val="20"/>
          <w:szCs w:val="20"/>
        </w:rPr>
        <w:t xml:space="preserve">n de </w:t>
      </w:r>
      <w:r w:rsidRPr="00D60D43">
        <w:rPr>
          <w:rFonts w:ascii="Verdana" w:hAnsi="Verdana"/>
          <w:sz w:val="20"/>
          <w:szCs w:val="20"/>
        </w:rPr>
        <w:t>afdeling contractueel</w:t>
      </w:r>
      <w:r w:rsidR="002D0F10" w:rsidRPr="00D60D43">
        <w:rPr>
          <w:rFonts w:ascii="Verdana" w:hAnsi="Verdana"/>
          <w:sz w:val="20"/>
          <w:szCs w:val="20"/>
        </w:rPr>
        <w:t xml:space="preserve"> </w:t>
      </w:r>
      <w:r w:rsidR="009B7788">
        <w:rPr>
          <w:rFonts w:ascii="Verdana" w:hAnsi="Verdana"/>
          <w:sz w:val="20"/>
          <w:szCs w:val="20"/>
        </w:rPr>
        <w:t>met</w:t>
      </w:r>
      <w:r w:rsidR="002D0F10" w:rsidRPr="00D60D43">
        <w:rPr>
          <w:rFonts w:ascii="Verdana" w:hAnsi="Verdana"/>
          <w:sz w:val="20"/>
          <w:szCs w:val="20"/>
        </w:rPr>
        <w:t xml:space="preserve"> het onderzoeksrapport te informeren </w:t>
      </w:r>
      <w:r w:rsidR="00C00260" w:rsidRPr="00D60D43">
        <w:rPr>
          <w:rFonts w:ascii="Verdana" w:hAnsi="Verdana"/>
          <w:sz w:val="20"/>
          <w:szCs w:val="20"/>
        </w:rPr>
        <w:t xml:space="preserve">over de gevolgen van implementatie van de Richtlijn voor haar </w:t>
      </w:r>
      <w:r w:rsidR="00BB2D82" w:rsidRPr="00D60D43">
        <w:rPr>
          <w:rFonts w:ascii="Verdana" w:hAnsi="Verdana"/>
          <w:sz w:val="20"/>
          <w:szCs w:val="20"/>
        </w:rPr>
        <w:t>toekomstige</w:t>
      </w:r>
      <w:r w:rsidR="00C00260" w:rsidRPr="00D60D43">
        <w:rPr>
          <w:rFonts w:ascii="Verdana" w:hAnsi="Verdana"/>
          <w:sz w:val="20"/>
          <w:szCs w:val="20"/>
        </w:rPr>
        <w:t xml:space="preserve"> advisering in een consumentenzaak over non-conformiteit. </w:t>
      </w:r>
      <w:r w:rsidR="002D0F10" w:rsidRPr="00D60D43">
        <w:rPr>
          <w:rFonts w:ascii="Verdana" w:hAnsi="Verdana"/>
          <w:sz w:val="20"/>
          <w:szCs w:val="20"/>
        </w:rPr>
        <w:t xml:space="preserve">Daarnaast wordt de informatie uit het onderzoeksrapport verwerkt in een </w:t>
      </w:r>
      <w:r w:rsidR="00741121">
        <w:rPr>
          <w:rFonts w:ascii="Verdana" w:hAnsi="Verdana"/>
          <w:sz w:val="20"/>
          <w:szCs w:val="20"/>
        </w:rPr>
        <w:t>infographic</w:t>
      </w:r>
      <w:r w:rsidR="002D0F10" w:rsidRPr="00D60D43">
        <w:rPr>
          <w:rFonts w:ascii="Verdana" w:hAnsi="Verdana"/>
          <w:sz w:val="20"/>
          <w:szCs w:val="20"/>
        </w:rPr>
        <w:t xml:space="preserve">, zodat een jurist op eenvoudige wijze op de hoogte is van de gevolgen </w:t>
      </w:r>
      <w:r w:rsidR="00B17674" w:rsidRPr="00D60D43">
        <w:rPr>
          <w:rFonts w:ascii="Verdana" w:hAnsi="Verdana"/>
          <w:sz w:val="20"/>
          <w:szCs w:val="20"/>
        </w:rPr>
        <w:t xml:space="preserve">implementatie van de Richtlijn voor haar adviespraktijk. </w:t>
      </w:r>
      <w:r w:rsidR="00DA77AE">
        <w:rPr>
          <w:rFonts w:ascii="Verdana" w:hAnsi="Verdana"/>
          <w:sz w:val="20"/>
          <w:szCs w:val="20"/>
        </w:rPr>
        <w:br/>
      </w:r>
    </w:p>
    <w:p w14:paraId="1FD54CB2" w14:textId="77777777" w:rsidR="00D00913" w:rsidRPr="00D60D43" w:rsidRDefault="00D00913" w:rsidP="000F5E33">
      <w:pPr>
        <w:pStyle w:val="Kop2"/>
        <w:rPr>
          <w:szCs w:val="20"/>
        </w:rPr>
      </w:pPr>
      <w:bookmarkStart w:id="16" w:name="_Toc72576277"/>
      <w:r w:rsidRPr="00D60D43">
        <w:rPr>
          <w:szCs w:val="20"/>
        </w:rPr>
        <w:t>1.6. Centrale vraag</w:t>
      </w:r>
      <w:bookmarkEnd w:id="16"/>
      <w:r w:rsidRPr="00D60D43">
        <w:rPr>
          <w:szCs w:val="20"/>
        </w:rPr>
        <w:t xml:space="preserve"> </w:t>
      </w:r>
    </w:p>
    <w:p w14:paraId="1C26A051" w14:textId="5473AE95" w:rsidR="00504453" w:rsidRPr="00D60D43" w:rsidRDefault="00D00913" w:rsidP="00D60D43">
      <w:pPr>
        <w:pStyle w:val="Geenafstand"/>
        <w:rPr>
          <w:rFonts w:ascii="Verdana" w:hAnsi="Verdana"/>
          <w:b/>
          <w:sz w:val="20"/>
          <w:szCs w:val="20"/>
        </w:rPr>
      </w:pPr>
      <w:r w:rsidRPr="00D60D43">
        <w:rPr>
          <w:rFonts w:ascii="Verdana" w:hAnsi="Verdana"/>
          <w:sz w:val="20"/>
          <w:szCs w:val="20"/>
        </w:rPr>
        <w:t xml:space="preserve">De </w:t>
      </w:r>
      <w:r w:rsidR="00965507" w:rsidRPr="00D60D43">
        <w:rPr>
          <w:rFonts w:ascii="Verdana" w:hAnsi="Verdana"/>
          <w:sz w:val="20"/>
          <w:szCs w:val="20"/>
        </w:rPr>
        <w:t>centrale onderzoeksvraag</w:t>
      </w:r>
      <w:r w:rsidR="004827E1" w:rsidRPr="00D60D43">
        <w:rPr>
          <w:rFonts w:ascii="Verdana" w:hAnsi="Verdana"/>
          <w:sz w:val="20"/>
          <w:szCs w:val="20"/>
        </w:rPr>
        <w:t xml:space="preserve"> voor dit onderzoek</w:t>
      </w:r>
      <w:r w:rsidR="00965507" w:rsidRPr="00D60D43">
        <w:rPr>
          <w:rFonts w:ascii="Verdana" w:hAnsi="Verdana"/>
          <w:sz w:val="20"/>
          <w:szCs w:val="20"/>
        </w:rPr>
        <w:t xml:space="preserve"> luidt:</w:t>
      </w:r>
      <w:r w:rsidR="00D60D43">
        <w:rPr>
          <w:rFonts w:ascii="Verdana" w:hAnsi="Verdana"/>
          <w:sz w:val="20"/>
          <w:szCs w:val="20"/>
        </w:rPr>
        <w:br/>
      </w:r>
    </w:p>
    <w:p w14:paraId="13D15CE5" w14:textId="2D1DA06D" w:rsidR="005A1316" w:rsidRPr="00D60D43" w:rsidRDefault="00270B51" w:rsidP="00D60D43">
      <w:pPr>
        <w:pStyle w:val="Geenafstand"/>
        <w:ind w:left="284"/>
        <w:rPr>
          <w:rFonts w:ascii="Verdana" w:hAnsi="Verdana"/>
          <w:b/>
          <w:sz w:val="20"/>
          <w:szCs w:val="20"/>
        </w:rPr>
      </w:pPr>
      <w:r w:rsidRPr="00D60D43">
        <w:rPr>
          <w:rFonts w:ascii="Verdana" w:hAnsi="Verdana"/>
          <w:i/>
          <w:iCs/>
          <w:sz w:val="20"/>
          <w:szCs w:val="20"/>
        </w:rPr>
        <w:t xml:space="preserve">‘In hoeverre heeft de implementatie van de conformiteitsbepalingen uit de Europese Richtlijn 2019/771 invloed op de huidige adviespraktijk van </w:t>
      </w:r>
      <w:r w:rsidR="00DC68A1" w:rsidRPr="000C446C">
        <w:rPr>
          <w:rFonts w:ascii="Verdana" w:hAnsi="Verdana"/>
          <w:b/>
          <w:bCs/>
          <w:sz w:val="24"/>
          <w:szCs w:val="24"/>
        </w:rPr>
        <w:t>XXX</w:t>
      </w:r>
      <w:r w:rsidR="00DC68A1" w:rsidRPr="00D60D43">
        <w:rPr>
          <w:rFonts w:ascii="Verdana" w:hAnsi="Verdana"/>
          <w:i/>
          <w:iCs/>
          <w:sz w:val="20"/>
          <w:szCs w:val="20"/>
        </w:rPr>
        <w:t xml:space="preserve"> </w:t>
      </w:r>
      <w:r w:rsidRPr="00D60D43">
        <w:rPr>
          <w:rFonts w:ascii="Verdana" w:hAnsi="Verdana"/>
          <w:i/>
          <w:iCs/>
          <w:sz w:val="20"/>
          <w:szCs w:val="20"/>
        </w:rPr>
        <w:t>bij zaken over non-conformiteit bij consumentenkoop?</w:t>
      </w:r>
      <w:r w:rsidR="009B3231" w:rsidRPr="00D60D43">
        <w:rPr>
          <w:rFonts w:ascii="Verdana" w:hAnsi="Verdana"/>
          <w:i/>
          <w:iCs/>
          <w:sz w:val="20"/>
          <w:szCs w:val="20"/>
        </w:rPr>
        <w:t>´</w:t>
      </w:r>
      <w:r w:rsidR="00D60D43">
        <w:rPr>
          <w:rFonts w:ascii="Verdana" w:hAnsi="Verdana"/>
          <w:i/>
          <w:iCs/>
          <w:sz w:val="20"/>
          <w:szCs w:val="20"/>
        </w:rPr>
        <w:br/>
      </w:r>
    </w:p>
    <w:p w14:paraId="2425F661" w14:textId="068FF369" w:rsidR="00E60E51" w:rsidRPr="00D60D43" w:rsidRDefault="0091153A" w:rsidP="000F5E33">
      <w:pPr>
        <w:pStyle w:val="Kop2"/>
        <w:rPr>
          <w:szCs w:val="20"/>
        </w:rPr>
      </w:pPr>
      <w:bookmarkStart w:id="17" w:name="_Toc63533108"/>
      <w:bookmarkStart w:id="18" w:name="_Toc63533179"/>
      <w:bookmarkStart w:id="19" w:name="_Toc72576278"/>
      <w:r w:rsidRPr="00D60D43">
        <w:rPr>
          <w:szCs w:val="20"/>
        </w:rPr>
        <w:t>1.</w:t>
      </w:r>
      <w:r w:rsidR="00063E6F" w:rsidRPr="00D60D43">
        <w:rPr>
          <w:szCs w:val="20"/>
        </w:rPr>
        <w:t>7</w:t>
      </w:r>
      <w:r w:rsidRPr="00D60D43">
        <w:rPr>
          <w:szCs w:val="20"/>
        </w:rPr>
        <w:t xml:space="preserve">. </w:t>
      </w:r>
      <w:r w:rsidR="00EC63BD" w:rsidRPr="00D60D43">
        <w:rPr>
          <w:szCs w:val="20"/>
        </w:rPr>
        <w:t>Deelvragen</w:t>
      </w:r>
      <w:bookmarkEnd w:id="17"/>
      <w:bookmarkEnd w:id="18"/>
      <w:bookmarkEnd w:id="19"/>
    </w:p>
    <w:p w14:paraId="5E9758B0" w14:textId="36E87EAA" w:rsidR="00641BDD" w:rsidRPr="00D60D43" w:rsidRDefault="00EC63BD" w:rsidP="00D60D43">
      <w:pPr>
        <w:pStyle w:val="Geenafstand"/>
        <w:rPr>
          <w:rFonts w:ascii="Verdana" w:hAnsi="Verdana"/>
          <w:sz w:val="20"/>
          <w:szCs w:val="20"/>
        </w:rPr>
      </w:pPr>
      <w:r w:rsidRPr="00D60D43">
        <w:rPr>
          <w:rFonts w:ascii="Verdana" w:hAnsi="Verdana"/>
          <w:sz w:val="20"/>
          <w:szCs w:val="20"/>
        </w:rPr>
        <w:t>Om tot beantwoording van de centrale vraag te komen</w:t>
      </w:r>
      <w:r w:rsidR="007973B2" w:rsidRPr="00D60D43">
        <w:rPr>
          <w:rFonts w:ascii="Verdana" w:hAnsi="Verdana"/>
          <w:sz w:val="20"/>
          <w:szCs w:val="20"/>
        </w:rPr>
        <w:t>,</w:t>
      </w:r>
      <w:r w:rsidRPr="00D60D43">
        <w:rPr>
          <w:rFonts w:ascii="Verdana" w:hAnsi="Verdana"/>
          <w:sz w:val="20"/>
          <w:szCs w:val="20"/>
        </w:rPr>
        <w:t xml:space="preserve"> </w:t>
      </w:r>
      <w:r w:rsidR="008702C7" w:rsidRPr="00D60D43">
        <w:rPr>
          <w:rFonts w:ascii="Verdana" w:hAnsi="Verdana"/>
          <w:sz w:val="20"/>
          <w:szCs w:val="20"/>
        </w:rPr>
        <w:t xml:space="preserve">zijn onderstaande deelvragen van belang. </w:t>
      </w:r>
      <w:r w:rsidR="00504453" w:rsidRPr="00D60D43">
        <w:rPr>
          <w:rFonts w:ascii="Verdana" w:hAnsi="Verdana"/>
          <w:sz w:val="20"/>
          <w:szCs w:val="20"/>
        </w:rPr>
        <w:br/>
      </w:r>
      <w:r w:rsidR="00504453" w:rsidRPr="00D60D43">
        <w:rPr>
          <w:rFonts w:ascii="Verdana" w:hAnsi="Verdana"/>
          <w:sz w:val="20"/>
          <w:szCs w:val="20"/>
        </w:rPr>
        <w:br/>
      </w:r>
      <w:r w:rsidRPr="00D60D43">
        <w:rPr>
          <w:rFonts w:ascii="Verdana" w:hAnsi="Verdana"/>
          <w:color w:val="171717" w:themeColor="background2" w:themeShade="1A"/>
          <w:sz w:val="20"/>
          <w:szCs w:val="20"/>
        </w:rPr>
        <w:t>Theorievragen</w:t>
      </w:r>
      <w:r w:rsidRPr="00D60D43">
        <w:rPr>
          <w:rFonts w:ascii="Verdana" w:hAnsi="Verdana"/>
          <w:sz w:val="20"/>
          <w:szCs w:val="20"/>
        </w:rPr>
        <w:br/>
      </w:r>
      <w:r w:rsidR="00504453" w:rsidRPr="00D60D43">
        <w:rPr>
          <w:rFonts w:ascii="Verdana" w:hAnsi="Verdana"/>
          <w:sz w:val="20"/>
          <w:szCs w:val="20"/>
        </w:rPr>
        <w:t>1</w:t>
      </w:r>
      <w:r w:rsidR="008702C7" w:rsidRPr="00D60D43">
        <w:rPr>
          <w:rFonts w:ascii="Verdana" w:hAnsi="Verdana"/>
          <w:sz w:val="20"/>
          <w:szCs w:val="20"/>
        </w:rPr>
        <w:t>.</w:t>
      </w:r>
      <w:r w:rsidR="008702C7" w:rsidRPr="00D60D43">
        <w:rPr>
          <w:rFonts w:ascii="Verdana" w:hAnsi="Verdana"/>
          <w:sz w:val="20"/>
          <w:szCs w:val="20"/>
        </w:rPr>
        <w:tab/>
        <w:t xml:space="preserve">Wat zijn de beweegredenen voor de Europese Unie om </w:t>
      </w:r>
      <w:r w:rsidR="009D50F2" w:rsidRPr="00D60D43">
        <w:rPr>
          <w:rFonts w:ascii="Verdana" w:hAnsi="Verdana"/>
          <w:sz w:val="20"/>
          <w:szCs w:val="20"/>
        </w:rPr>
        <w:t>Richtlijn 2019/771</w:t>
      </w:r>
      <w:r w:rsidR="00E73091" w:rsidRPr="00D60D43">
        <w:rPr>
          <w:rFonts w:ascii="Verdana" w:hAnsi="Verdana"/>
          <w:sz w:val="20"/>
          <w:szCs w:val="20"/>
        </w:rPr>
        <w:t xml:space="preserve"> </w:t>
      </w:r>
      <w:r w:rsidR="008702C7" w:rsidRPr="00D60D43">
        <w:rPr>
          <w:rFonts w:ascii="Verdana" w:hAnsi="Verdana"/>
          <w:sz w:val="20"/>
          <w:szCs w:val="20"/>
        </w:rPr>
        <w:t xml:space="preserve">aan te </w:t>
      </w:r>
      <w:r w:rsidR="008702C7" w:rsidRPr="00D60D43">
        <w:rPr>
          <w:rFonts w:ascii="Verdana" w:hAnsi="Verdana"/>
          <w:sz w:val="20"/>
          <w:szCs w:val="20"/>
        </w:rPr>
        <w:tab/>
        <w:t xml:space="preserve">nemen en in hoeverre zal </w:t>
      </w:r>
      <w:r w:rsidR="009D50F2" w:rsidRPr="00D60D43">
        <w:rPr>
          <w:rFonts w:ascii="Verdana" w:hAnsi="Verdana"/>
          <w:sz w:val="20"/>
          <w:szCs w:val="20"/>
        </w:rPr>
        <w:t>de richtlijn</w:t>
      </w:r>
      <w:r w:rsidR="008702C7" w:rsidRPr="00D60D43">
        <w:rPr>
          <w:rFonts w:ascii="Verdana" w:hAnsi="Verdana"/>
          <w:sz w:val="20"/>
          <w:szCs w:val="20"/>
        </w:rPr>
        <w:t xml:space="preserve"> doorwerken op nationaal niveau? </w:t>
      </w:r>
      <w:r w:rsidR="00D60D43">
        <w:rPr>
          <w:rFonts w:ascii="Verdana" w:hAnsi="Verdana"/>
          <w:sz w:val="20"/>
          <w:szCs w:val="20"/>
        </w:rPr>
        <w:br/>
      </w:r>
    </w:p>
    <w:p w14:paraId="7D2B7AEB" w14:textId="77777777" w:rsidR="00D60D43" w:rsidRDefault="00504453" w:rsidP="00D60D43">
      <w:pPr>
        <w:pStyle w:val="Geenafstand"/>
        <w:ind w:left="709" w:hanging="709"/>
        <w:rPr>
          <w:rFonts w:ascii="Verdana" w:hAnsi="Verdana"/>
          <w:sz w:val="20"/>
          <w:szCs w:val="20"/>
        </w:rPr>
      </w:pPr>
      <w:r w:rsidRPr="00D60D43">
        <w:rPr>
          <w:rFonts w:ascii="Verdana" w:hAnsi="Verdana"/>
          <w:sz w:val="20"/>
          <w:szCs w:val="20"/>
        </w:rPr>
        <w:t>2</w:t>
      </w:r>
      <w:r w:rsidR="007D3563" w:rsidRPr="00D60D43">
        <w:rPr>
          <w:rFonts w:ascii="Verdana" w:hAnsi="Verdana"/>
          <w:sz w:val="20"/>
          <w:szCs w:val="20"/>
        </w:rPr>
        <w:t xml:space="preserve">. </w:t>
      </w:r>
      <w:r w:rsidR="007D3563" w:rsidRPr="00D60D43">
        <w:rPr>
          <w:rFonts w:ascii="Verdana" w:hAnsi="Verdana"/>
          <w:sz w:val="20"/>
          <w:szCs w:val="20"/>
        </w:rPr>
        <w:tab/>
      </w:r>
      <w:r w:rsidR="00A93121" w:rsidRPr="00D60D43">
        <w:rPr>
          <w:rFonts w:ascii="Verdana" w:hAnsi="Verdana"/>
          <w:sz w:val="20"/>
          <w:szCs w:val="20"/>
        </w:rPr>
        <w:t xml:space="preserve">Op welke wijze wordt door Richtlijn </w:t>
      </w:r>
      <w:r w:rsidR="009F795A" w:rsidRPr="00D60D43">
        <w:rPr>
          <w:rFonts w:ascii="Verdana" w:hAnsi="Verdana"/>
          <w:sz w:val="20"/>
          <w:szCs w:val="20"/>
        </w:rPr>
        <w:t xml:space="preserve">2019/771 </w:t>
      </w:r>
      <w:r w:rsidR="00A93121" w:rsidRPr="00D60D43">
        <w:rPr>
          <w:rFonts w:ascii="Verdana" w:hAnsi="Verdana"/>
          <w:sz w:val="20"/>
          <w:szCs w:val="20"/>
        </w:rPr>
        <w:t>invulling gegeven aan de toepassing</w:t>
      </w:r>
      <w:r w:rsidR="00641BDD" w:rsidRPr="00D60D43">
        <w:rPr>
          <w:rFonts w:ascii="Verdana" w:hAnsi="Verdana"/>
          <w:sz w:val="20"/>
          <w:szCs w:val="20"/>
        </w:rPr>
        <w:t xml:space="preserve"> van het conformiteitsvereiste in</w:t>
      </w:r>
      <w:r w:rsidR="00A93121" w:rsidRPr="00D60D43">
        <w:rPr>
          <w:rFonts w:ascii="Verdana" w:hAnsi="Verdana"/>
          <w:sz w:val="20"/>
          <w:szCs w:val="20"/>
        </w:rPr>
        <w:t xml:space="preserve"> vergelijking met </w:t>
      </w:r>
      <w:r w:rsidR="009F795A" w:rsidRPr="00D60D43">
        <w:rPr>
          <w:rFonts w:ascii="Verdana" w:hAnsi="Verdana"/>
          <w:sz w:val="20"/>
          <w:szCs w:val="20"/>
        </w:rPr>
        <w:t>de huidige titel 1 van boek 7 van het Burgerlijk Wetboek?</w:t>
      </w:r>
    </w:p>
    <w:p w14:paraId="09A6C27F" w14:textId="77777777" w:rsidR="00D60D43" w:rsidRDefault="00D60D43" w:rsidP="00D60D43">
      <w:pPr>
        <w:pStyle w:val="Geenafstand"/>
        <w:ind w:left="709" w:hanging="709"/>
        <w:rPr>
          <w:rFonts w:ascii="Verdana" w:hAnsi="Verdana"/>
          <w:sz w:val="20"/>
          <w:szCs w:val="20"/>
        </w:rPr>
      </w:pPr>
    </w:p>
    <w:p w14:paraId="4CE116FC" w14:textId="6665A851" w:rsidR="00953C18" w:rsidRPr="00D60D43" w:rsidRDefault="00D60D43" w:rsidP="00D60D43">
      <w:pPr>
        <w:pStyle w:val="Geenafstand"/>
        <w:ind w:left="709" w:hanging="709"/>
        <w:rPr>
          <w:rFonts w:ascii="Verdana" w:hAnsi="Verdana"/>
          <w:sz w:val="20"/>
          <w:szCs w:val="20"/>
        </w:rPr>
      </w:pPr>
      <w:r>
        <w:rPr>
          <w:rFonts w:ascii="Verdana" w:hAnsi="Verdana"/>
          <w:sz w:val="20"/>
          <w:szCs w:val="20"/>
        </w:rPr>
        <w:t xml:space="preserve">3. </w:t>
      </w:r>
      <w:r>
        <w:rPr>
          <w:rFonts w:ascii="Verdana" w:hAnsi="Verdana"/>
          <w:sz w:val="20"/>
          <w:szCs w:val="20"/>
        </w:rPr>
        <w:tab/>
      </w:r>
      <w:r w:rsidR="00DA2D91" w:rsidRPr="00D60D43">
        <w:rPr>
          <w:rFonts w:ascii="Verdana" w:hAnsi="Verdana"/>
          <w:sz w:val="20"/>
          <w:szCs w:val="20"/>
        </w:rPr>
        <w:t xml:space="preserve">Over welke </w:t>
      </w:r>
      <w:r w:rsidR="002768CE" w:rsidRPr="00D60D43">
        <w:rPr>
          <w:rFonts w:ascii="Verdana" w:hAnsi="Verdana"/>
          <w:sz w:val="20"/>
          <w:szCs w:val="20"/>
        </w:rPr>
        <w:t>remedies</w:t>
      </w:r>
      <w:r w:rsidR="00155FFC" w:rsidRPr="00D60D43">
        <w:rPr>
          <w:rFonts w:ascii="Verdana" w:hAnsi="Verdana"/>
          <w:sz w:val="20"/>
          <w:szCs w:val="20"/>
        </w:rPr>
        <w:t xml:space="preserve"> </w:t>
      </w:r>
      <w:r w:rsidR="00DA2D91" w:rsidRPr="00D60D43">
        <w:rPr>
          <w:rFonts w:ascii="Verdana" w:hAnsi="Verdana"/>
          <w:sz w:val="20"/>
          <w:szCs w:val="20"/>
        </w:rPr>
        <w:t xml:space="preserve">beschikt de consument in het geval van non-conformiteit na </w:t>
      </w:r>
      <w:r w:rsidR="00564A01" w:rsidRPr="00D60D43">
        <w:rPr>
          <w:rFonts w:ascii="Verdana" w:hAnsi="Verdana"/>
          <w:sz w:val="20"/>
          <w:szCs w:val="20"/>
        </w:rPr>
        <w:t>implementatie van Richtlijn</w:t>
      </w:r>
      <w:r w:rsidR="009F795A" w:rsidRPr="00D60D43">
        <w:rPr>
          <w:rFonts w:ascii="Verdana" w:hAnsi="Verdana"/>
          <w:sz w:val="20"/>
          <w:szCs w:val="20"/>
        </w:rPr>
        <w:t xml:space="preserve"> 2019/771</w:t>
      </w:r>
      <w:r w:rsidR="00564A01" w:rsidRPr="00D60D43">
        <w:rPr>
          <w:rFonts w:ascii="Verdana" w:hAnsi="Verdana"/>
          <w:sz w:val="20"/>
          <w:szCs w:val="20"/>
        </w:rPr>
        <w:t xml:space="preserve"> in vergelijking met </w:t>
      </w:r>
      <w:r w:rsidR="009F795A" w:rsidRPr="00D60D43">
        <w:rPr>
          <w:rFonts w:ascii="Verdana" w:hAnsi="Verdana"/>
          <w:sz w:val="20"/>
          <w:szCs w:val="20"/>
        </w:rPr>
        <w:t>de huidige titel 1 van boek 7 van het Burgerlijk Wetboek?</w:t>
      </w:r>
      <w:r>
        <w:rPr>
          <w:rFonts w:ascii="Verdana" w:hAnsi="Verdana"/>
          <w:sz w:val="20"/>
          <w:szCs w:val="20"/>
        </w:rPr>
        <w:br/>
      </w:r>
    </w:p>
    <w:p w14:paraId="314BBE84" w14:textId="65792D40" w:rsidR="00504453" w:rsidRPr="00D60D43" w:rsidRDefault="00504453" w:rsidP="00D60D43">
      <w:pPr>
        <w:pStyle w:val="Geenafstand"/>
        <w:rPr>
          <w:rFonts w:ascii="Verdana" w:hAnsi="Verdana"/>
          <w:sz w:val="20"/>
          <w:szCs w:val="20"/>
        </w:rPr>
      </w:pPr>
      <w:r w:rsidRPr="00D60D43">
        <w:rPr>
          <w:rFonts w:ascii="Verdana" w:hAnsi="Verdana"/>
          <w:sz w:val="20"/>
          <w:szCs w:val="20"/>
        </w:rPr>
        <w:t xml:space="preserve">Praktijkvraag </w:t>
      </w:r>
      <w:r w:rsidRPr="00D60D43">
        <w:rPr>
          <w:rFonts w:ascii="Verdana" w:hAnsi="Verdana"/>
          <w:sz w:val="20"/>
          <w:szCs w:val="20"/>
        </w:rPr>
        <w:br/>
        <w:t>4.</w:t>
      </w:r>
      <w:r w:rsidRPr="00D60D43">
        <w:rPr>
          <w:rFonts w:ascii="Verdana" w:hAnsi="Verdana"/>
          <w:sz w:val="20"/>
          <w:szCs w:val="20"/>
        </w:rPr>
        <w:tab/>
        <w:t xml:space="preserve">Wat is de huidige werkwijze van </w:t>
      </w:r>
      <w:r w:rsidR="00DC68A1" w:rsidRPr="000C446C">
        <w:rPr>
          <w:rFonts w:ascii="Verdana" w:hAnsi="Verdana"/>
          <w:b/>
          <w:bCs/>
          <w:sz w:val="24"/>
          <w:szCs w:val="24"/>
        </w:rPr>
        <w:t>XXX</w:t>
      </w:r>
      <w:r w:rsidR="00DC68A1" w:rsidRPr="00D60D43">
        <w:rPr>
          <w:rFonts w:ascii="Verdana" w:hAnsi="Verdana"/>
          <w:sz w:val="20"/>
          <w:szCs w:val="20"/>
        </w:rPr>
        <w:t xml:space="preserve"> </w:t>
      </w:r>
      <w:r w:rsidRPr="00D60D43">
        <w:rPr>
          <w:rFonts w:ascii="Verdana" w:hAnsi="Verdana"/>
          <w:sz w:val="20"/>
          <w:szCs w:val="20"/>
        </w:rPr>
        <w:t xml:space="preserve">in een consumentenzaak over non- </w:t>
      </w:r>
      <w:r w:rsidRPr="00D60D43">
        <w:rPr>
          <w:rFonts w:ascii="Verdana" w:hAnsi="Verdana"/>
          <w:sz w:val="20"/>
          <w:szCs w:val="20"/>
        </w:rPr>
        <w:lastRenderedPageBreak/>
        <w:tab/>
        <w:t xml:space="preserve">conformiteit vanaf het moment van aanmelding van de zaak tot en met het eerste  </w:t>
      </w:r>
      <w:r w:rsidRPr="00D60D43">
        <w:rPr>
          <w:rFonts w:ascii="Verdana" w:hAnsi="Verdana"/>
          <w:sz w:val="20"/>
          <w:szCs w:val="20"/>
        </w:rPr>
        <w:br/>
      </w:r>
      <w:r w:rsidRPr="00D60D43">
        <w:rPr>
          <w:rFonts w:ascii="Verdana" w:hAnsi="Verdana"/>
          <w:sz w:val="20"/>
          <w:szCs w:val="20"/>
        </w:rPr>
        <w:tab/>
        <w:t>advies?</w:t>
      </w:r>
    </w:p>
    <w:p w14:paraId="2BBA9DFD" w14:textId="77777777" w:rsidR="00504453" w:rsidRPr="00D60D43" w:rsidRDefault="00504453" w:rsidP="00504453">
      <w:pPr>
        <w:ind w:left="567" w:hanging="567"/>
        <w:rPr>
          <w:szCs w:val="20"/>
        </w:rPr>
      </w:pPr>
    </w:p>
    <w:p w14:paraId="3FDB6CAA" w14:textId="2D441C18" w:rsidR="000A347A" w:rsidRPr="00F3528C" w:rsidRDefault="000A347A" w:rsidP="000F5E33">
      <w:pPr>
        <w:pStyle w:val="Kop2"/>
        <w:rPr>
          <w:szCs w:val="20"/>
        </w:rPr>
      </w:pPr>
      <w:bookmarkStart w:id="20" w:name="_Toc72576279"/>
      <w:r w:rsidRPr="00F3528C">
        <w:rPr>
          <w:szCs w:val="20"/>
        </w:rPr>
        <w:t>1.8. Leeswijzer</w:t>
      </w:r>
      <w:bookmarkEnd w:id="20"/>
      <w:r w:rsidRPr="00F3528C">
        <w:rPr>
          <w:szCs w:val="20"/>
        </w:rPr>
        <w:t xml:space="preserve"> </w:t>
      </w:r>
    </w:p>
    <w:p w14:paraId="5642A396" w14:textId="4936A938" w:rsidR="009B7788" w:rsidRPr="00F3528C" w:rsidRDefault="005048B0" w:rsidP="009B7788">
      <w:pPr>
        <w:pStyle w:val="Geenafstand"/>
        <w:rPr>
          <w:rFonts w:ascii="Verdana" w:hAnsi="Verdana"/>
          <w:sz w:val="20"/>
          <w:szCs w:val="20"/>
        </w:rPr>
      </w:pPr>
      <w:r w:rsidRPr="00F3528C">
        <w:rPr>
          <w:rFonts w:ascii="Verdana" w:hAnsi="Verdana"/>
          <w:sz w:val="20"/>
          <w:szCs w:val="20"/>
        </w:rPr>
        <w:t>Het tweede</w:t>
      </w:r>
      <w:r w:rsidR="00DD46A0" w:rsidRPr="00F3528C">
        <w:rPr>
          <w:rFonts w:ascii="Verdana" w:hAnsi="Verdana"/>
          <w:sz w:val="20"/>
          <w:szCs w:val="20"/>
        </w:rPr>
        <w:t xml:space="preserve"> hoofdstuk</w:t>
      </w:r>
      <w:r w:rsidR="009B7788" w:rsidRPr="00F3528C">
        <w:rPr>
          <w:rFonts w:ascii="Verdana" w:hAnsi="Verdana"/>
          <w:sz w:val="20"/>
          <w:szCs w:val="20"/>
        </w:rPr>
        <w:t xml:space="preserve"> behandelt de betekenis van de Richtlijn voor het Nederlandse recht. In hoofdstuk drie worden de verschillen tussen de toepassing van het conformiteitsvereiste tussen het huidige recht en de Richtlijn uiteengezet. Hoofdstuk vier gaat over de nakomingsmogelijkheden volgens het huidige recht en de Richtlijn. Hoofdstuk vijf is gewijd aan het praktijkonderzoek binnen </w:t>
      </w:r>
      <w:r w:rsidR="00DC68A1" w:rsidRPr="000C446C">
        <w:rPr>
          <w:rFonts w:ascii="Verdana" w:hAnsi="Verdana"/>
          <w:b/>
          <w:bCs/>
          <w:sz w:val="24"/>
          <w:szCs w:val="24"/>
        </w:rPr>
        <w:t>XXX</w:t>
      </w:r>
      <w:r w:rsidR="009B7788" w:rsidRPr="00F3528C">
        <w:rPr>
          <w:rFonts w:ascii="Verdana" w:hAnsi="Verdana"/>
          <w:sz w:val="20"/>
          <w:szCs w:val="20"/>
        </w:rPr>
        <w:t>. Hierin wordt uiteengezet op</w:t>
      </w:r>
      <w:r w:rsidR="00DC68A1">
        <w:rPr>
          <w:rFonts w:ascii="Verdana" w:hAnsi="Verdana"/>
          <w:sz w:val="20"/>
          <w:szCs w:val="20"/>
        </w:rPr>
        <w:t xml:space="preserve"> welke wettelijke grondslagen</w:t>
      </w:r>
      <w:r w:rsidR="00DC68A1" w:rsidRPr="00DC68A1">
        <w:rPr>
          <w:rFonts w:ascii="Verdana" w:hAnsi="Verdana"/>
          <w:b/>
          <w:bCs/>
          <w:sz w:val="24"/>
          <w:szCs w:val="24"/>
        </w:rPr>
        <w:t xml:space="preserve"> </w:t>
      </w:r>
      <w:r w:rsidR="00DC68A1" w:rsidRPr="000C446C">
        <w:rPr>
          <w:rFonts w:ascii="Verdana" w:hAnsi="Verdana"/>
          <w:b/>
          <w:bCs/>
          <w:sz w:val="24"/>
          <w:szCs w:val="24"/>
        </w:rPr>
        <w:t>XXX</w:t>
      </w:r>
      <w:r w:rsidR="00DC68A1" w:rsidRPr="00F3528C">
        <w:rPr>
          <w:rFonts w:ascii="Verdana" w:hAnsi="Verdana"/>
          <w:sz w:val="20"/>
          <w:szCs w:val="20"/>
        </w:rPr>
        <w:t xml:space="preserve"> </w:t>
      </w:r>
      <w:r w:rsidR="009B7788" w:rsidRPr="00F3528C">
        <w:rPr>
          <w:rFonts w:ascii="Verdana" w:hAnsi="Verdana"/>
          <w:sz w:val="20"/>
          <w:szCs w:val="20"/>
        </w:rPr>
        <w:t xml:space="preserve"> haar huidige advisering bij een zaak over non-conformiteit baseert. Tot slot wordt er in hoofdstuk zes een eindconclusie geformuleerd over de vraag die in dit onderzoek centraal staat.</w:t>
      </w:r>
    </w:p>
    <w:p w14:paraId="558A8B55" w14:textId="77777777" w:rsidR="009B7788" w:rsidRPr="00F3528C" w:rsidRDefault="009B7788" w:rsidP="009B7788">
      <w:pPr>
        <w:pStyle w:val="Geenafstand"/>
        <w:rPr>
          <w:rFonts w:ascii="Verdana" w:hAnsi="Verdana"/>
          <w:sz w:val="20"/>
          <w:szCs w:val="20"/>
        </w:rPr>
      </w:pPr>
      <w:r w:rsidRPr="00F3528C">
        <w:rPr>
          <w:rFonts w:ascii="Verdana" w:hAnsi="Verdana"/>
          <w:sz w:val="20"/>
          <w:szCs w:val="20"/>
        </w:rPr>
        <w:br w:type="page"/>
      </w:r>
    </w:p>
    <w:p w14:paraId="3C6CC608" w14:textId="77777777" w:rsidR="006B0462" w:rsidRPr="006B0462" w:rsidRDefault="006B0462" w:rsidP="006B0462">
      <w:pPr>
        <w:pStyle w:val="Kop1"/>
      </w:pPr>
      <w:bookmarkStart w:id="21" w:name="_Toc66712998"/>
      <w:bookmarkStart w:id="22" w:name="_Toc72576280"/>
      <w:r w:rsidRPr="006B0462">
        <w:lastRenderedPageBreak/>
        <w:t xml:space="preserve">Hoofdstuk 2: </w:t>
      </w:r>
      <w:bookmarkEnd w:id="21"/>
      <w:r w:rsidRPr="006B0462">
        <w:t>Verkenning van Richtlijn 2019/771</w:t>
      </w:r>
      <w:bookmarkEnd w:id="22"/>
    </w:p>
    <w:p w14:paraId="634F7938" w14:textId="7ACE18D4" w:rsidR="006B0462" w:rsidRPr="004A1890" w:rsidRDefault="006B0462" w:rsidP="004A1890">
      <w:pPr>
        <w:pStyle w:val="Geenafstand"/>
        <w:rPr>
          <w:rFonts w:ascii="Verdana" w:hAnsi="Verdana"/>
          <w:sz w:val="20"/>
          <w:szCs w:val="20"/>
        </w:rPr>
      </w:pPr>
      <w:r w:rsidRPr="004A1890">
        <w:rPr>
          <w:rFonts w:ascii="Verdana" w:hAnsi="Verdana"/>
          <w:sz w:val="20"/>
          <w:szCs w:val="20"/>
        </w:rPr>
        <w:t xml:space="preserve">In dit hoofdstuk wordt antwoord gegeven op de tweede deelvraag: ‘Wat zijn de beweegredenen voor de EU om de Richtlijn aan te nemen en in hoeverre zal de richtlijn doorwerken op nationaal niveau?’ Met beantwoording van deze deelvraag wordt inzichtelijk in hoeverre de implementatie van de Richtlijn gevolgen heeft voor de toekomstige adviespraktijk van </w:t>
      </w:r>
      <w:r w:rsidR="00DC68A1" w:rsidRPr="000C446C">
        <w:rPr>
          <w:rFonts w:ascii="Verdana" w:hAnsi="Verdana"/>
          <w:b/>
          <w:bCs/>
          <w:sz w:val="24"/>
          <w:szCs w:val="24"/>
        </w:rPr>
        <w:t>XXX</w:t>
      </w:r>
      <w:r w:rsidRPr="004A1890">
        <w:rPr>
          <w:rFonts w:ascii="Verdana" w:hAnsi="Verdana"/>
          <w:sz w:val="20"/>
          <w:szCs w:val="20"/>
        </w:rPr>
        <w:t xml:space="preserve">. De betekenis van een Europese richtlijn wordt in paragraaf </w:t>
      </w:r>
      <w:r w:rsidR="00B4644E">
        <w:rPr>
          <w:rFonts w:ascii="Verdana" w:hAnsi="Verdana"/>
          <w:sz w:val="20"/>
          <w:szCs w:val="20"/>
        </w:rPr>
        <w:t>2</w:t>
      </w:r>
      <w:r w:rsidRPr="004A1890">
        <w:rPr>
          <w:rFonts w:ascii="Verdana" w:hAnsi="Verdana"/>
          <w:sz w:val="20"/>
          <w:szCs w:val="20"/>
        </w:rPr>
        <w:t xml:space="preserve">.1. uiteengezet. In paragraaf </w:t>
      </w:r>
      <w:r w:rsidR="00B4644E">
        <w:rPr>
          <w:rFonts w:ascii="Verdana" w:hAnsi="Verdana"/>
          <w:sz w:val="20"/>
          <w:szCs w:val="20"/>
        </w:rPr>
        <w:t>2</w:t>
      </w:r>
      <w:r w:rsidRPr="004A1890">
        <w:rPr>
          <w:rFonts w:ascii="Verdana" w:hAnsi="Verdana"/>
          <w:sz w:val="20"/>
          <w:szCs w:val="20"/>
        </w:rPr>
        <w:t xml:space="preserve">.2. wordt ingegaan op de nieuwe richtlijnen binnen het consumentenrecht. Paragraaf </w:t>
      </w:r>
      <w:r w:rsidR="00B4644E">
        <w:rPr>
          <w:rFonts w:ascii="Verdana" w:hAnsi="Verdana"/>
          <w:sz w:val="20"/>
          <w:szCs w:val="20"/>
        </w:rPr>
        <w:t>2</w:t>
      </w:r>
      <w:r w:rsidRPr="004A1890">
        <w:rPr>
          <w:rFonts w:ascii="Verdana" w:hAnsi="Verdana"/>
          <w:sz w:val="20"/>
          <w:szCs w:val="20"/>
        </w:rPr>
        <w:t xml:space="preserve">.3. en </w:t>
      </w:r>
      <w:r w:rsidR="00B4644E">
        <w:rPr>
          <w:rFonts w:ascii="Verdana" w:hAnsi="Verdana"/>
          <w:sz w:val="20"/>
          <w:szCs w:val="20"/>
        </w:rPr>
        <w:t>2</w:t>
      </w:r>
      <w:r w:rsidRPr="004A1890">
        <w:rPr>
          <w:rFonts w:ascii="Verdana" w:hAnsi="Verdana"/>
          <w:sz w:val="20"/>
          <w:szCs w:val="20"/>
        </w:rPr>
        <w:t xml:space="preserve">.4. beschrijven het toepassingsbereik van de Richtlijn. In paragraaf </w:t>
      </w:r>
      <w:r w:rsidR="00B4644E">
        <w:rPr>
          <w:rFonts w:ascii="Verdana" w:hAnsi="Verdana"/>
          <w:sz w:val="20"/>
          <w:szCs w:val="20"/>
        </w:rPr>
        <w:t>2</w:t>
      </w:r>
      <w:r w:rsidRPr="004A1890">
        <w:rPr>
          <w:rFonts w:ascii="Verdana" w:hAnsi="Verdana"/>
          <w:sz w:val="20"/>
          <w:szCs w:val="20"/>
        </w:rPr>
        <w:t xml:space="preserve">.5. wordt de implementatiewijze van de Richtlijn in het Nederlandse recht besproken. </w:t>
      </w:r>
      <w:bookmarkStart w:id="23" w:name="_Toc66712999"/>
      <w:r w:rsidRPr="004A1890">
        <w:rPr>
          <w:rFonts w:ascii="Verdana" w:hAnsi="Verdana"/>
          <w:sz w:val="20"/>
          <w:szCs w:val="20"/>
        </w:rPr>
        <w:t xml:space="preserve">Het hoofdstuk eindigt in paragraaf </w:t>
      </w:r>
      <w:r w:rsidR="00355846">
        <w:rPr>
          <w:rFonts w:ascii="Verdana" w:hAnsi="Verdana"/>
          <w:sz w:val="20"/>
          <w:szCs w:val="20"/>
        </w:rPr>
        <w:t>2</w:t>
      </w:r>
      <w:r w:rsidRPr="004A1890">
        <w:rPr>
          <w:rFonts w:ascii="Verdana" w:hAnsi="Verdana"/>
          <w:sz w:val="20"/>
          <w:szCs w:val="20"/>
        </w:rPr>
        <w:t>.6. met een voorlopige conclusie.</w:t>
      </w:r>
    </w:p>
    <w:p w14:paraId="6531A308" w14:textId="77777777" w:rsidR="004A1890" w:rsidRPr="004A1890" w:rsidRDefault="004A1890" w:rsidP="004A1890">
      <w:pPr>
        <w:pStyle w:val="Geenafstand"/>
        <w:rPr>
          <w:rStyle w:val="Kop2Char"/>
          <w:rFonts w:eastAsiaTheme="minorHAnsi" w:cstheme="minorBidi"/>
          <w:b w:val="0"/>
          <w:szCs w:val="20"/>
        </w:rPr>
      </w:pPr>
    </w:p>
    <w:p w14:paraId="795CA717" w14:textId="103BBB37" w:rsidR="006B0462" w:rsidRPr="004A1890" w:rsidRDefault="006B0462" w:rsidP="00527244">
      <w:pPr>
        <w:pStyle w:val="Kop2"/>
        <w:rPr>
          <w:rStyle w:val="Kop2Char"/>
          <w:b/>
          <w:szCs w:val="20"/>
        </w:rPr>
      </w:pPr>
      <w:bookmarkStart w:id="24" w:name="_Toc72576281"/>
      <w:r w:rsidRPr="004A1890">
        <w:rPr>
          <w:rStyle w:val="Kop2Char"/>
          <w:b/>
          <w:szCs w:val="20"/>
        </w:rPr>
        <w:t>2.1. Een Europese richtlijn</w:t>
      </w:r>
      <w:bookmarkEnd w:id="24"/>
    </w:p>
    <w:p w14:paraId="14112436" w14:textId="1D35686C" w:rsidR="001E70E1" w:rsidRDefault="006B0462" w:rsidP="004A1890">
      <w:pPr>
        <w:pStyle w:val="Geenafstand"/>
        <w:rPr>
          <w:rFonts w:ascii="Verdana" w:hAnsi="Verdana"/>
          <w:sz w:val="20"/>
          <w:szCs w:val="20"/>
        </w:rPr>
      </w:pPr>
      <w:r w:rsidRPr="004A1890">
        <w:rPr>
          <w:rFonts w:ascii="Verdana" w:hAnsi="Verdana"/>
          <w:sz w:val="20"/>
          <w:szCs w:val="20"/>
        </w:rPr>
        <w:t>Nederland is één van de zevenentwintig leden van de EU</w:t>
      </w:r>
      <w:r w:rsidRPr="004A1890">
        <w:rPr>
          <w:rStyle w:val="Voetnootmarkering"/>
          <w:rFonts w:ascii="Verdana" w:hAnsi="Verdana"/>
          <w:sz w:val="20"/>
          <w:szCs w:val="20"/>
        </w:rPr>
        <w:footnoteReference w:id="5"/>
      </w:r>
      <w:r w:rsidRPr="004A1890">
        <w:rPr>
          <w:rFonts w:ascii="Verdana" w:hAnsi="Verdana"/>
          <w:sz w:val="20"/>
          <w:szCs w:val="20"/>
        </w:rPr>
        <w:t>.</w:t>
      </w:r>
      <w:r w:rsidR="00156B62">
        <w:rPr>
          <w:rFonts w:ascii="Verdana" w:hAnsi="Verdana"/>
          <w:sz w:val="20"/>
          <w:szCs w:val="20"/>
        </w:rPr>
        <w:t xml:space="preserve"> </w:t>
      </w:r>
      <w:r w:rsidRPr="004A1890">
        <w:rPr>
          <w:rFonts w:ascii="Verdana" w:hAnsi="Verdana"/>
          <w:sz w:val="20"/>
          <w:szCs w:val="20"/>
        </w:rPr>
        <w:t>De EU heeft onder andere tot doel om een gemeenschappelijk economisch beleid binnen Europa te voeren.</w:t>
      </w:r>
      <w:r w:rsidR="00156B62">
        <w:rPr>
          <w:rFonts w:ascii="Verdana" w:hAnsi="Verdana"/>
          <w:sz w:val="20"/>
          <w:szCs w:val="20"/>
        </w:rPr>
        <w:t xml:space="preserve"> </w:t>
      </w:r>
      <w:r w:rsidRPr="004A1890">
        <w:rPr>
          <w:rFonts w:ascii="Verdana" w:hAnsi="Verdana"/>
          <w:sz w:val="20"/>
          <w:szCs w:val="20"/>
        </w:rPr>
        <w:t>Door het aannemen van zowel richtlijnen als verordeningen wordt er op Europees niveau zorggedragen voor een gemeenschappelijke regelgeving.</w:t>
      </w:r>
      <w:r w:rsidR="001E70E1" w:rsidRPr="004A1890">
        <w:rPr>
          <w:rFonts w:ascii="Verdana" w:hAnsi="Verdana"/>
          <w:sz w:val="20"/>
          <w:szCs w:val="20"/>
        </w:rPr>
        <w:t xml:space="preserve"> </w:t>
      </w:r>
    </w:p>
    <w:p w14:paraId="3D4890F8" w14:textId="77777777" w:rsidR="004A1890" w:rsidRPr="004A1890" w:rsidRDefault="004A1890" w:rsidP="004A1890">
      <w:pPr>
        <w:pStyle w:val="Geenafstand"/>
        <w:rPr>
          <w:rFonts w:ascii="Verdana" w:hAnsi="Verdana"/>
          <w:sz w:val="20"/>
          <w:szCs w:val="20"/>
        </w:rPr>
      </w:pPr>
    </w:p>
    <w:p w14:paraId="2F744682" w14:textId="7BEA4D45" w:rsidR="001E70E1" w:rsidRDefault="001E70E1" w:rsidP="004A1890">
      <w:pPr>
        <w:pStyle w:val="Geenafstand"/>
        <w:rPr>
          <w:rFonts w:ascii="Verdana" w:hAnsi="Verdana"/>
          <w:sz w:val="20"/>
          <w:szCs w:val="20"/>
        </w:rPr>
      </w:pPr>
      <w:r w:rsidRPr="004A1890">
        <w:rPr>
          <w:rFonts w:ascii="Verdana" w:hAnsi="Verdana"/>
          <w:sz w:val="20"/>
          <w:szCs w:val="20"/>
        </w:rPr>
        <w:t>Een verordening heeft een directe werking</w:t>
      </w:r>
      <w:r w:rsidRPr="004A1890">
        <w:rPr>
          <w:rStyle w:val="Voetnootmarkering"/>
          <w:rFonts w:ascii="Verdana" w:hAnsi="Verdana"/>
          <w:sz w:val="20"/>
          <w:szCs w:val="20"/>
        </w:rPr>
        <w:footnoteReference w:id="6"/>
      </w:r>
      <w:r w:rsidRPr="004A1890">
        <w:rPr>
          <w:rFonts w:ascii="Verdana" w:hAnsi="Verdana"/>
          <w:sz w:val="20"/>
          <w:szCs w:val="20"/>
        </w:rPr>
        <w:t>. Dat betekent dat de burgers van de lidstaten direct gebonden zijn aan de regels uit de verordening. Een richtlijn heeft geen directe werking, maar dient eerst te worden geïmplementeerd in nationale wetgeving om haar werking te krijgen</w:t>
      </w:r>
      <w:r w:rsidRPr="004A1890">
        <w:rPr>
          <w:rStyle w:val="Voetnootmarkering"/>
          <w:rFonts w:ascii="Verdana" w:hAnsi="Verdana"/>
          <w:sz w:val="20"/>
          <w:szCs w:val="20"/>
        </w:rPr>
        <w:footnoteReference w:id="7"/>
      </w:r>
      <w:r w:rsidRPr="004A1890">
        <w:rPr>
          <w:rFonts w:ascii="Verdana" w:hAnsi="Verdana"/>
          <w:sz w:val="20"/>
          <w:szCs w:val="20"/>
        </w:rPr>
        <w:t>. Het is voor de lidstaten echter verboden - in de periode tussen het aannemen en implementatie van de richtlijn - maatregelen te treffen, die niet in lijn zijn met het door de richtlijn beoogde resultaat</w:t>
      </w:r>
      <w:r w:rsidRPr="004A1890">
        <w:rPr>
          <w:rStyle w:val="Voetnootmarkering"/>
          <w:rFonts w:ascii="Verdana" w:hAnsi="Verdana"/>
          <w:sz w:val="20"/>
          <w:szCs w:val="20"/>
        </w:rPr>
        <w:footnoteReference w:id="8"/>
      </w:r>
      <w:r w:rsidRPr="004A1890">
        <w:rPr>
          <w:rFonts w:ascii="Verdana" w:hAnsi="Verdana"/>
          <w:sz w:val="20"/>
          <w:szCs w:val="20"/>
        </w:rPr>
        <w:t xml:space="preserve">. Als een richtlijn bijvoorbeeld voorschrijft dat een consument twaalf maanden bescherming geniet bij de aankoop van een gebrekkig product, is het lidstaten verboden om voor implementatie van de richtlijn maatregelen te treffen om deze termijn te verkorten. Een consument kan in dit geval alsnog een beroep doen op de bepaling uit de richtlijn. </w:t>
      </w:r>
    </w:p>
    <w:p w14:paraId="0AA65786" w14:textId="77777777" w:rsidR="004A1890" w:rsidRPr="004A1890" w:rsidRDefault="004A1890" w:rsidP="004A1890">
      <w:pPr>
        <w:pStyle w:val="Geenafstand"/>
        <w:rPr>
          <w:rFonts w:ascii="Verdana" w:hAnsi="Verdana"/>
          <w:sz w:val="20"/>
          <w:szCs w:val="20"/>
        </w:rPr>
      </w:pPr>
    </w:p>
    <w:p w14:paraId="16487625" w14:textId="66A343AE" w:rsidR="001E70E1" w:rsidRPr="004A1890" w:rsidRDefault="001E70E1" w:rsidP="004A1890">
      <w:pPr>
        <w:pStyle w:val="Geenafstand"/>
        <w:rPr>
          <w:rFonts w:ascii="Verdana" w:hAnsi="Verdana"/>
          <w:sz w:val="20"/>
          <w:szCs w:val="20"/>
        </w:rPr>
      </w:pPr>
      <w:r w:rsidRPr="004A1890">
        <w:rPr>
          <w:rFonts w:ascii="Verdana" w:hAnsi="Verdana"/>
          <w:sz w:val="20"/>
          <w:szCs w:val="20"/>
        </w:rPr>
        <w:t>Een nieuwe richtlijn of verordening binnen Europa ontstaat altijd op initiatief van de Europese commissie (hierna: Commissie)</w:t>
      </w:r>
      <w:r w:rsidRPr="004A1890">
        <w:rPr>
          <w:rStyle w:val="Voetnootmarkering"/>
          <w:rFonts w:ascii="Verdana" w:hAnsi="Verdana"/>
          <w:sz w:val="20"/>
          <w:szCs w:val="20"/>
        </w:rPr>
        <w:footnoteReference w:id="9"/>
      </w:r>
      <w:r w:rsidRPr="004A1890">
        <w:rPr>
          <w:rFonts w:ascii="Verdana" w:hAnsi="Verdana"/>
          <w:sz w:val="20"/>
          <w:szCs w:val="20"/>
        </w:rPr>
        <w:t>. Vervolgens is het aan het Europees Parlement en de Raad van ministers om het voorstel van de Commissie te beoordelen en, bij een akkoord, tot vaststelling van de verordening of richtlijn over te gaan. Iedere lidstaat van de EU heeft vervolgens de verplichting om – binnen de vastgestelde termijn – tot implementatie van de richtlijn in nationale wetgeving over te gaan. Zo is ook de Richtlijn die in dit onderzoek centraal staat tot stand gekomen.</w:t>
      </w:r>
      <w:r w:rsidR="004A1890" w:rsidRPr="004A1890">
        <w:rPr>
          <w:rFonts w:ascii="Verdana" w:hAnsi="Verdana"/>
          <w:sz w:val="20"/>
          <w:szCs w:val="20"/>
        </w:rPr>
        <w:br/>
      </w:r>
    </w:p>
    <w:p w14:paraId="4A402A68" w14:textId="1AC1C252" w:rsidR="006B0462" w:rsidRPr="004A1890" w:rsidRDefault="006B0462" w:rsidP="006B0462">
      <w:pPr>
        <w:pStyle w:val="Kop2"/>
        <w:rPr>
          <w:szCs w:val="20"/>
        </w:rPr>
      </w:pPr>
      <w:bookmarkStart w:id="25" w:name="_Toc72576282"/>
      <w:r w:rsidRPr="004A1890">
        <w:rPr>
          <w:szCs w:val="20"/>
        </w:rPr>
        <w:t>2.2. Achtergrondinformatie</w:t>
      </w:r>
      <w:bookmarkEnd w:id="23"/>
      <w:r w:rsidRPr="004A1890">
        <w:rPr>
          <w:szCs w:val="20"/>
        </w:rPr>
        <w:t xml:space="preserve"> Richtlijn 2019/771</w:t>
      </w:r>
      <w:bookmarkEnd w:id="25"/>
    </w:p>
    <w:p w14:paraId="42E15EE8" w14:textId="17BE886F" w:rsidR="00422BFF" w:rsidRDefault="006B0462" w:rsidP="004A1890">
      <w:pPr>
        <w:pStyle w:val="Geenafstand"/>
        <w:rPr>
          <w:rFonts w:ascii="Verdana" w:hAnsi="Verdana"/>
          <w:sz w:val="20"/>
          <w:szCs w:val="20"/>
        </w:rPr>
      </w:pPr>
      <w:r w:rsidRPr="004A1890">
        <w:rPr>
          <w:rFonts w:ascii="Verdana" w:hAnsi="Verdana"/>
          <w:sz w:val="20"/>
          <w:szCs w:val="20"/>
        </w:rPr>
        <w:t>Eén van de hoofdprioriteiten van de EU is het volledig harmoniseren van de rechten en plichten bij een koopovereenkomst binnen de EU.</w:t>
      </w:r>
      <w:r w:rsidRPr="004A1890">
        <w:rPr>
          <w:rStyle w:val="Voetnootmarkering"/>
          <w:rFonts w:ascii="Verdana" w:hAnsi="Verdana"/>
          <w:sz w:val="20"/>
          <w:szCs w:val="20"/>
        </w:rPr>
        <w:footnoteReference w:id="10"/>
      </w:r>
      <w:r w:rsidRPr="004A1890">
        <w:rPr>
          <w:rFonts w:ascii="Verdana" w:hAnsi="Verdana"/>
          <w:sz w:val="20"/>
          <w:szCs w:val="20"/>
        </w:rPr>
        <w:t xml:space="preserve"> Uit het voorstel van de Commissie om twee nieuwe richtlijnen aan te nemen, blijkt dat het uiteindelijke doel is om één digitale eengemaakte</w:t>
      </w:r>
      <w:r w:rsidR="00156B62">
        <w:rPr>
          <w:rFonts w:ascii="Verdana" w:hAnsi="Verdana"/>
          <w:sz w:val="20"/>
          <w:szCs w:val="20"/>
        </w:rPr>
        <w:t xml:space="preserve"> </w:t>
      </w:r>
      <w:r w:rsidRPr="004A1890">
        <w:rPr>
          <w:rFonts w:ascii="Verdana" w:hAnsi="Verdana"/>
          <w:sz w:val="20"/>
          <w:szCs w:val="20"/>
        </w:rPr>
        <w:t>markt binnen de EU te realiseren.</w:t>
      </w:r>
      <w:r w:rsidRPr="004A1890">
        <w:rPr>
          <w:rStyle w:val="Voetnootmarkering"/>
          <w:rFonts w:ascii="Verdana" w:hAnsi="Verdana"/>
          <w:sz w:val="20"/>
          <w:szCs w:val="20"/>
        </w:rPr>
        <w:footnoteReference w:id="11"/>
      </w:r>
      <w:r w:rsidRPr="004A1890">
        <w:rPr>
          <w:rFonts w:ascii="Verdana" w:hAnsi="Verdana"/>
          <w:sz w:val="20"/>
          <w:szCs w:val="20"/>
        </w:rPr>
        <w:t xml:space="preserve"> In een digitale eengemaakte markt zijn er geen grensoverschrijdende belemmeringen meer: iedere lidstaat hanteert dezelfde regelgeving bij de koop van goederen. </w:t>
      </w:r>
    </w:p>
    <w:p w14:paraId="0384BAE2" w14:textId="16021831" w:rsidR="00355846" w:rsidRDefault="00355846" w:rsidP="004A1890">
      <w:pPr>
        <w:pStyle w:val="Geenafstand"/>
        <w:rPr>
          <w:rFonts w:ascii="Verdana" w:hAnsi="Verdana"/>
          <w:sz w:val="20"/>
          <w:szCs w:val="20"/>
        </w:rPr>
      </w:pPr>
    </w:p>
    <w:p w14:paraId="6966CA18" w14:textId="77777777" w:rsidR="00355846" w:rsidRPr="004A1890" w:rsidRDefault="00355846" w:rsidP="004A1890">
      <w:pPr>
        <w:pStyle w:val="Geenafstand"/>
        <w:rPr>
          <w:rFonts w:ascii="Verdana" w:hAnsi="Verdana"/>
          <w:sz w:val="20"/>
          <w:szCs w:val="20"/>
        </w:rPr>
      </w:pPr>
    </w:p>
    <w:p w14:paraId="33D770C3" w14:textId="77777777" w:rsidR="004A1890" w:rsidRPr="004A1890" w:rsidRDefault="004A1890" w:rsidP="004A1890">
      <w:pPr>
        <w:pStyle w:val="Geenafstand"/>
        <w:rPr>
          <w:rFonts w:ascii="Verdana" w:hAnsi="Verdana"/>
          <w:sz w:val="20"/>
          <w:szCs w:val="20"/>
        </w:rPr>
      </w:pPr>
    </w:p>
    <w:p w14:paraId="4C3A0596" w14:textId="3DAFEEAC" w:rsidR="006B0462" w:rsidRDefault="006B0462" w:rsidP="004A1890">
      <w:pPr>
        <w:pStyle w:val="Geenafstand"/>
        <w:rPr>
          <w:rFonts w:ascii="Verdana" w:hAnsi="Verdana"/>
          <w:sz w:val="20"/>
          <w:szCs w:val="20"/>
        </w:rPr>
      </w:pPr>
      <w:r w:rsidRPr="004A1890">
        <w:rPr>
          <w:rFonts w:ascii="Verdana" w:hAnsi="Verdana"/>
          <w:sz w:val="20"/>
          <w:szCs w:val="20"/>
        </w:rPr>
        <w:lastRenderedPageBreak/>
        <w:t>Het voorstel van de Commissie tot het aannemen van nieuwe richtlijnen binnen het consumentenrecht kwam voor vele rechtswetenschappers niet als een verrassing.</w:t>
      </w:r>
      <w:r w:rsidR="00355846">
        <w:rPr>
          <w:rFonts w:ascii="Verdana" w:hAnsi="Verdana"/>
          <w:sz w:val="20"/>
          <w:szCs w:val="20"/>
        </w:rPr>
        <w:t xml:space="preserve"> </w:t>
      </w:r>
      <w:r w:rsidRPr="004A1890">
        <w:rPr>
          <w:rFonts w:ascii="Verdana" w:hAnsi="Verdana"/>
          <w:sz w:val="20"/>
          <w:szCs w:val="20"/>
        </w:rPr>
        <w:t xml:space="preserve">De Commissie is namelijk al ruim tien jaar bezig met het harmoniseren van het kooprecht binnen de EU. De huidige richtlijn binnen het consumentenrecht – Richtlijn 1999/44/EG – beoogt minimumharmonisatie. Bij minimumharmonisatie hebben de lidstaten de vrijheid om strengere regelgevingen in hun wetgeving op te nemen. Hierdoor zijn er ongelijkheden tussen de rechtstelsels van de lidstaten en dat is slecht voor het functioneren van de interne markt. </w:t>
      </w:r>
    </w:p>
    <w:p w14:paraId="67D42373" w14:textId="77777777" w:rsidR="004A1890" w:rsidRPr="004A1890" w:rsidRDefault="004A1890" w:rsidP="004A1890">
      <w:pPr>
        <w:pStyle w:val="Geenafstand"/>
        <w:rPr>
          <w:rFonts w:ascii="Verdana" w:hAnsi="Verdana"/>
          <w:sz w:val="20"/>
          <w:szCs w:val="20"/>
        </w:rPr>
      </w:pPr>
    </w:p>
    <w:p w14:paraId="68F52122" w14:textId="5060EE1C" w:rsidR="006B0462" w:rsidRDefault="006B0462" w:rsidP="004A1890">
      <w:pPr>
        <w:pStyle w:val="Geenafstand"/>
        <w:rPr>
          <w:rFonts w:ascii="Verdana" w:hAnsi="Verdana"/>
          <w:sz w:val="20"/>
          <w:szCs w:val="20"/>
        </w:rPr>
      </w:pPr>
      <w:r w:rsidRPr="004A1890">
        <w:rPr>
          <w:rFonts w:ascii="Verdana" w:hAnsi="Verdana"/>
          <w:sz w:val="20"/>
          <w:szCs w:val="20"/>
        </w:rPr>
        <w:t>Daarnaast is Richtlijn 1999/44/EG sterk verouderd. Er heeft in de afgelopen tweeëntwintig jaar een enorme groei in technologische ontwikkelingen plaatsgevonden. De richtlijn voorziet niet in regelgeving die aansluit bij de huidige digitale samenleving.</w:t>
      </w:r>
      <w:r w:rsidRPr="004A1890">
        <w:rPr>
          <w:rStyle w:val="Voetnootmarkering"/>
          <w:rFonts w:ascii="Verdana" w:hAnsi="Verdana"/>
          <w:sz w:val="20"/>
          <w:szCs w:val="20"/>
        </w:rPr>
        <w:footnoteReference w:id="12"/>
      </w:r>
      <w:r w:rsidRPr="004A1890">
        <w:rPr>
          <w:rFonts w:ascii="Verdana" w:hAnsi="Verdana"/>
          <w:sz w:val="20"/>
          <w:szCs w:val="20"/>
        </w:rPr>
        <w:t xml:space="preserve"> Er zijn bijvoorbeeld geen conformiteitsbepalingen opgenomen over de koop van software of slimme apparaten, zoals een smart-televisie. </w:t>
      </w:r>
    </w:p>
    <w:p w14:paraId="319B8143" w14:textId="77777777" w:rsidR="004A1890" w:rsidRPr="004A1890" w:rsidRDefault="004A1890" w:rsidP="004A1890">
      <w:pPr>
        <w:pStyle w:val="Geenafstand"/>
        <w:rPr>
          <w:rFonts w:ascii="Verdana" w:hAnsi="Verdana"/>
          <w:sz w:val="20"/>
          <w:szCs w:val="20"/>
        </w:rPr>
      </w:pPr>
    </w:p>
    <w:p w14:paraId="1EE273BD" w14:textId="6FA21747" w:rsidR="006B0462" w:rsidRDefault="006B0462" w:rsidP="004A1890">
      <w:pPr>
        <w:pStyle w:val="Geenafstand"/>
        <w:rPr>
          <w:rFonts w:ascii="Verdana" w:hAnsi="Verdana"/>
          <w:sz w:val="20"/>
          <w:szCs w:val="20"/>
        </w:rPr>
      </w:pPr>
      <w:r w:rsidRPr="004A1890">
        <w:rPr>
          <w:rFonts w:ascii="Verdana" w:hAnsi="Verdana"/>
          <w:sz w:val="20"/>
          <w:szCs w:val="20"/>
        </w:rPr>
        <w:t>Een verordening zou de oplossing zijn tot eenheid binnen de EU</w:t>
      </w:r>
      <w:r w:rsidRPr="004A1890">
        <w:rPr>
          <w:rStyle w:val="Voetnootmarkering"/>
          <w:rFonts w:ascii="Verdana" w:hAnsi="Verdana"/>
          <w:sz w:val="20"/>
          <w:szCs w:val="20"/>
        </w:rPr>
        <w:footnoteReference w:id="13"/>
      </w:r>
      <w:r w:rsidRPr="004A1890">
        <w:rPr>
          <w:rFonts w:ascii="Verdana" w:hAnsi="Verdana"/>
          <w:sz w:val="20"/>
          <w:szCs w:val="20"/>
        </w:rPr>
        <w:t>, maar kreeg uiteindelijk onvoldoende steun van de Raad.</w:t>
      </w:r>
      <w:r w:rsidRPr="004A1890">
        <w:rPr>
          <w:rStyle w:val="Voetnootmarkering"/>
          <w:rFonts w:ascii="Verdana" w:hAnsi="Verdana"/>
          <w:sz w:val="20"/>
          <w:szCs w:val="20"/>
        </w:rPr>
        <w:footnoteReference w:id="14"/>
      </w:r>
      <w:r w:rsidRPr="004A1890">
        <w:rPr>
          <w:rFonts w:ascii="Verdana" w:hAnsi="Verdana"/>
          <w:sz w:val="20"/>
          <w:szCs w:val="20"/>
        </w:rPr>
        <w:t xml:space="preserve"> Het zou een te grote inbreuk in het nationaal contractenrecht hebben, omdat lidstaten dan zelf geen inspraak meer hebben. </w:t>
      </w:r>
    </w:p>
    <w:p w14:paraId="3863FCAC" w14:textId="77777777" w:rsidR="004A1890" w:rsidRPr="004A1890" w:rsidRDefault="004A1890" w:rsidP="004A1890">
      <w:pPr>
        <w:pStyle w:val="Geenafstand"/>
        <w:rPr>
          <w:rFonts w:ascii="Verdana" w:hAnsi="Verdana"/>
          <w:sz w:val="20"/>
          <w:szCs w:val="20"/>
        </w:rPr>
      </w:pPr>
    </w:p>
    <w:p w14:paraId="4C6DDF6E" w14:textId="7E6788F0" w:rsidR="006B0462" w:rsidRDefault="006B0462" w:rsidP="004A1890">
      <w:pPr>
        <w:pStyle w:val="Geenafstand"/>
        <w:rPr>
          <w:rFonts w:ascii="Verdana" w:hAnsi="Verdana"/>
          <w:sz w:val="20"/>
          <w:szCs w:val="20"/>
        </w:rPr>
      </w:pPr>
      <w:r w:rsidRPr="004A1890">
        <w:rPr>
          <w:rFonts w:ascii="Verdana" w:hAnsi="Verdana"/>
          <w:sz w:val="20"/>
          <w:szCs w:val="20"/>
        </w:rPr>
        <w:t>In 2011 is er binnen het consumentenrecht de Richtlijn Consumentenrechten aangenomen, maar deze richtlijn wijzigde slechts enkele aspecten binnen het consumentenrecht.</w:t>
      </w:r>
      <w:r w:rsidRPr="004A1890">
        <w:rPr>
          <w:rStyle w:val="Voetnootmarkering"/>
          <w:rFonts w:ascii="Verdana" w:hAnsi="Verdana"/>
          <w:sz w:val="20"/>
          <w:szCs w:val="20"/>
        </w:rPr>
        <w:footnoteReference w:id="15"/>
      </w:r>
      <w:r w:rsidRPr="004A1890">
        <w:rPr>
          <w:rFonts w:ascii="Verdana" w:hAnsi="Verdana"/>
          <w:sz w:val="20"/>
          <w:szCs w:val="20"/>
        </w:rPr>
        <w:t xml:space="preserve"> De richtlijn voorziet voornamelijk in regelgeving over de koop op afstand en koop buiten de verkoopruimte. Ook bij deze richtlijn hadden de lidstaten de vrijheid om in nationale wetgeving af te wijken van de bepalingen uit de richtlijn. </w:t>
      </w:r>
    </w:p>
    <w:p w14:paraId="64FD4D2E" w14:textId="77777777" w:rsidR="004A1890" w:rsidRPr="004A1890" w:rsidRDefault="004A1890" w:rsidP="004A1890">
      <w:pPr>
        <w:pStyle w:val="Geenafstand"/>
        <w:rPr>
          <w:rFonts w:ascii="Verdana" w:hAnsi="Verdana"/>
          <w:sz w:val="20"/>
          <w:szCs w:val="20"/>
        </w:rPr>
      </w:pPr>
    </w:p>
    <w:p w14:paraId="641B54AC" w14:textId="6486D06D" w:rsidR="00422BFF" w:rsidRDefault="006B0462" w:rsidP="004A1890">
      <w:pPr>
        <w:pStyle w:val="Geenafstand"/>
        <w:rPr>
          <w:rFonts w:ascii="Verdana" w:hAnsi="Verdana"/>
          <w:sz w:val="20"/>
          <w:szCs w:val="20"/>
        </w:rPr>
      </w:pPr>
      <w:r w:rsidRPr="004A1890">
        <w:rPr>
          <w:rFonts w:ascii="Verdana" w:hAnsi="Verdana"/>
          <w:sz w:val="20"/>
          <w:szCs w:val="20"/>
        </w:rPr>
        <w:t>Om meer eenheid binnen de lidstaten te creëren heeft de Commissie op 19 mei 2019 twee nieuwe richtlijnen aangenomen. Richtlijn 2019/770</w:t>
      </w:r>
      <w:r w:rsidRPr="004A1890">
        <w:rPr>
          <w:rStyle w:val="Voetnootmarkering"/>
          <w:rFonts w:ascii="Verdana" w:hAnsi="Verdana"/>
          <w:sz w:val="20"/>
          <w:szCs w:val="20"/>
        </w:rPr>
        <w:footnoteReference w:id="16"/>
      </w:r>
      <w:r w:rsidRPr="004A1890">
        <w:rPr>
          <w:rFonts w:ascii="Verdana" w:hAnsi="Verdana"/>
          <w:sz w:val="20"/>
          <w:szCs w:val="20"/>
        </w:rPr>
        <w:t xml:space="preserve"> – één van de aangenomen richtlijnen – voorziet voornamelijk in nieuwe regelgeving over de koop van digitale inhoud</w:t>
      </w:r>
      <w:r w:rsidRPr="004A1890">
        <w:rPr>
          <w:rStyle w:val="Voetnootmarkering"/>
          <w:rFonts w:ascii="Verdana" w:hAnsi="Verdana"/>
          <w:sz w:val="20"/>
          <w:szCs w:val="20"/>
        </w:rPr>
        <w:footnoteReference w:id="17"/>
      </w:r>
      <w:r w:rsidRPr="004A1890">
        <w:rPr>
          <w:rFonts w:ascii="Verdana" w:hAnsi="Verdana"/>
          <w:sz w:val="20"/>
          <w:szCs w:val="20"/>
        </w:rPr>
        <w:t>. Beide richtlijnen beogen maximumharmonisatie.</w:t>
      </w:r>
      <w:r w:rsidRPr="004A1890">
        <w:rPr>
          <w:rStyle w:val="Voetnootmarkering"/>
          <w:rFonts w:ascii="Verdana" w:hAnsi="Verdana"/>
          <w:sz w:val="20"/>
          <w:szCs w:val="20"/>
        </w:rPr>
        <w:footnoteReference w:id="18"/>
      </w:r>
      <w:r w:rsidRPr="004A1890">
        <w:rPr>
          <w:rFonts w:ascii="Verdana" w:hAnsi="Verdana"/>
          <w:sz w:val="20"/>
          <w:szCs w:val="20"/>
        </w:rPr>
        <w:t xml:space="preserve"> Bij maximumharmonisatie is het lidstaten niet toegestaan om – behoudens uitzonderingen – van een richtlijn af te wijken. </w:t>
      </w:r>
    </w:p>
    <w:p w14:paraId="22F6C2F6" w14:textId="77777777" w:rsidR="004A1890" w:rsidRPr="004A1890" w:rsidRDefault="004A1890" w:rsidP="004A1890">
      <w:pPr>
        <w:pStyle w:val="Geenafstand"/>
        <w:rPr>
          <w:rFonts w:ascii="Verdana" w:hAnsi="Verdana"/>
          <w:sz w:val="20"/>
          <w:szCs w:val="20"/>
        </w:rPr>
      </w:pPr>
    </w:p>
    <w:p w14:paraId="6F817B50" w14:textId="6EE13251" w:rsidR="004A1890" w:rsidRDefault="006B0462" w:rsidP="004A1890">
      <w:pPr>
        <w:pStyle w:val="Geenafstand"/>
        <w:rPr>
          <w:rFonts w:ascii="Verdana" w:hAnsi="Verdana"/>
          <w:sz w:val="20"/>
          <w:szCs w:val="20"/>
        </w:rPr>
      </w:pPr>
      <w:r w:rsidRPr="004A1890">
        <w:rPr>
          <w:rFonts w:ascii="Verdana" w:hAnsi="Verdana"/>
          <w:sz w:val="20"/>
          <w:szCs w:val="20"/>
        </w:rPr>
        <w:t>Deze nieuwe Richtlijn zal Richtlijn 1999/44/EG vervangen en per 1 januari 2022 in werking treden.</w:t>
      </w:r>
      <w:r w:rsidRPr="004A1890">
        <w:rPr>
          <w:rStyle w:val="Voetnootmarkering"/>
          <w:rFonts w:ascii="Verdana" w:hAnsi="Verdana"/>
          <w:sz w:val="20"/>
          <w:szCs w:val="20"/>
        </w:rPr>
        <w:footnoteReference w:id="19"/>
      </w:r>
      <w:r w:rsidRPr="004A1890">
        <w:rPr>
          <w:rFonts w:ascii="Verdana" w:hAnsi="Verdana"/>
          <w:sz w:val="20"/>
          <w:szCs w:val="20"/>
        </w:rPr>
        <w:t xml:space="preserve"> De lidstaten dienen uiterlijk 1 juli 2021 bekend te maken op welke wijze de Richtlijn in nationale wetgeving wordt geïmplementeerd.</w:t>
      </w:r>
      <w:r w:rsidRPr="004A1890">
        <w:rPr>
          <w:rStyle w:val="Voetnootmarkering"/>
          <w:rFonts w:ascii="Verdana" w:hAnsi="Verdana"/>
          <w:sz w:val="20"/>
          <w:szCs w:val="20"/>
        </w:rPr>
        <w:footnoteReference w:id="20"/>
      </w:r>
      <w:r w:rsidRPr="004A1890">
        <w:rPr>
          <w:rFonts w:ascii="Verdana" w:hAnsi="Verdana"/>
          <w:sz w:val="20"/>
          <w:szCs w:val="20"/>
        </w:rPr>
        <w:t xml:space="preserve"> In Nederland is er momenteel door de regering een wetsvoorstel ingediend om de Richtlijn om te zetten in nationale wetgeving.</w:t>
      </w:r>
      <w:r w:rsidRPr="004A1890">
        <w:rPr>
          <w:rStyle w:val="Voetnootmarkering"/>
          <w:rFonts w:ascii="Verdana" w:hAnsi="Verdana"/>
          <w:sz w:val="20"/>
          <w:szCs w:val="20"/>
        </w:rPr>
        <w:footnoteReference w:id="21"/>
      </w:r>
    </w:p>
    <w:p w14:paraId="5054337A" w14:textId="77777777" w:rsidR="004A1890" w:rsidRPr="004A1890" w:rsidRDefault="004A1890" w:rsidP="004A1890">
      <w:pPr>
        <w:pStyle w:val="Geenafstand"/>
        <w:rPr>
          <w:rFonts w:ascii="Verdana" w:hAnsi="Verdana"/>
          <w:sz w:val="20"/>
          <w:szCs w:val="20"/>
        </w:rPr>
      </w:pPr>
    </w:p>
    <w:p w14:paraId="31EF23ED" w14:textId="77777777" w:rsidR="006B0462" w:rsidRPr="004A1890" w:rsidRDefault="006B0462" w:rsidP="006B0462">
      <w:pPr>
        <w:pStyle w:val="Kop2"/>
        <w:rPr>
          <w:szCs w:val="20"/>
        </w:rPr>
      </w:pPr>
      <w:bookmarkStart w:id="27" w:name="_Toc66713000"/>
      <w:bookmarkStart w:id="28" w:name="_Toc72576283"/>
      <w:r w:rsidRPr="004A1890">
        <w:rPr>
          <w:szCs w:val="20"/>
        </w:rPr>
        <w:t>2.3. Toepassingsbereik</w:t>
      </w:r>
      <w:bookmarkEnd w:id="27"/>
      <w:bookmarkEnd w:id="28"/>
    </w:p>
    <w:p w14:paraId="08102E07" w14:textId="4947B872" w:rsidR="006B0462" w:rsidRDefault="006B0462" w:rsidP="004A1890">
      <w:pPr>
        <w:pStyle w:val="Geenafstand"/>
        <w:rPr>
          <w:rFonts w:ascii="Verdana" w:hAnsi="Verdana"/>
          <w:sz w:val="20"/>
          <w:szCs w:val="20"/>
        </w:rPr>
      </w:pPr>
      <w:r w:rsidRPr="004A1890">
        <w:rPr>
          <w:rFonts w:ascii="Verdana" w:hAnsi="Verdana"/>
          <w:sz w:val="20"/>
          <w:szCs w:val="20"/>
        </w:rPr>
        <w:t>De Richtlijn is uitsluitend van toepassing op overeenkomsten die gesloten zijn tussen een consument en een professionele verkoper.</w:t>
      </w:r>
      <w:r w:rsidRPr="004A1890">
        <w:rPr>
          <w:rStyle w:val="Voetnootmarkering"/>
          <w:rFonts w:ascii="Verdana" w:hAnsi="Verdana"/>
          <w:sz w:val="20"/>
          <w:szCs w:val="20"/>
        </w:rPr>
        <w:footnoteReference w:id="22"/>
      </w:r>
      <w:r w:rsidRPr="004A1890">
        <w:rPr>
          <w:rFonts w:ascii="Verdana" w:hAnsi="Verdana"/>
          <w:sz w:val="20"/>
          <w:szCs w:val="20"/>
        </w:rPr>
        <w:t xml:space="preserve"> Onder consument wordt verstaan: een natuurlijk persoon die handelt buiten zijn handels-, bedrijfs-, ambachts- of beroepsactiviteit.</w:t>
      </w:r>
      <w:r w:rsidRPr="004A1890">
        <w:rPr>
          <w:rStyle w:val="Voetnootmarkering"/>
          <w:rFonts w:ascii="Verdana" w:hAnsi="Verdana"/>
          <w:sz w:val="20"/>
          <w:szCs w:val="20"/>
        </w:rPr>
        <w:footnoteReference w:id="23"/>
      </w:r>
      <w:r w:rsidRPr="004A1890">
        <w:rPr>
          <w:rFonts w:ascii="Verdana" w:hAnsi="Verdana"/>
          <w:sz w:val="20"/>
          <w:szCs w:val="20"/>
        </w:rPr>
        <w:t xml:space="preserve"> Een professionele verkoper handelt uitsluitend in de uitoefening van zijn beroep of bedrijf.</w:t>
      </w:r>
    </w:p>
    <w:p w14:paraId="5F7BC12F" w14:textId="77777777" w:rsidR="004A1890" w:rsidRPr="004A1890" w:rsidRDefault="004A1890" w:rsidP="004A1890">
      <w:pPr>
        <w:pStyle w:val="Geenafstand"/>
        <w:rPr>
          <w:rFonts w:ascii="Verdana" w:hAnsi="Verdana"/>
          <w:sz w:val="20"/>
          <w:szCs w:val="20"/>
        </w:rPr>
      </w:pPr>
    </w:p>
    <w:p w14:paraId="11F45277" w14:textId="22B08773" w:rsidR="006B0462" w:rsidRDefault="006B0462" w:rsidP="004A1890">
      <w:pPr>
        <w:pStyle w:val="Geenafstand"/>
        <w:rPr>
          <w:rFonts w:ascii="Verdana" w:hAnsi="Verdana"/>
          <w:sz w:val="20"/>
          <w:szCs w:val="20"/>
        </w:rPr>
      </w:pPr>
      <w:r w:rsidRPr="004A1890">
        <w:rPr>
          <w:rFonts w:ascii="Verdana" w:hAnsi="Verdana"/>
          <w:sz w:val="20"/>
          <w:szCs w:val="20"/>
        </w:rPr>
        <w:t>Bij een gemengde overeenkomst – de koper handelt deels zakelijk en deels privé – is het aan lidstaten zelf om te bepalen of er sprake is van consumentenkoop.</w:t>
      </w:r>
      <w:r w:rsidRPr="004A1890">
        <w:rPr>
          <w:rStyle w:val="Voetnootmarkering"/>
          <w:rFonts w:ascii="Verdana" w:hAnsi="Verdana"/>
          <w:sz w:val="20"/>
          <w:szCs w:val="20"/>
        </w:rPr>
        <w:footnoteReference w:id="24"/>
      </w:r>
      <w:r w:rsidRPr="004A1890">
        <w:rPr>
          <w:rFonts w:ascii="Verdana" w:hAnsi="Verdana"/>
          <w:sz w:val="20"/>
          <w:szCs w:val="20"/>
        </w:rPr>
        <w:t xml:space="preserve"> Uit jurisprudentie blijkt dat er bij een gemengde overeenkomst alleen sprake is van consumentenkoop als het bedrijfsmatige deel van marginale betekenis is.</w:t>
      </w:r>
      <w:r w:rsidRPr="004A1890">
        <w:rPr>
          <w:rStyle w:val="Voetnootmarkering"/>
          <w:rFonts w:ascii="Verdana" w:hAnsi="Verdana"/>
          <w:sz w:val="20"/>
          <w:szCs w:val="20"/>
        </w:rPr>
        <w:footnoteReference w:id="25"/>
      </w:r>
    </w:p>
    <w:p w14:paraId="6948FCE0" w14:textId="77777777" w:rsidR="004A1890" w:rsidRPr="004A1890" w:rsidRDefault="004A1890" w:rsidP="004A1890">
      <w:pPr>
        <w:pStyle w:val="Geenafstand"/>
        <w:rPr>
          <w:rFonts w:ascii="Verdana" w:hAnsi="Verdana"/>
          <w:sz w:val="20"/>
          <w:szCs w:val="20"/>
        </w:rPr>
      </w:pPr>
    </w:p>
    <w:p w14:paraId="27741CE8" w14:textId="3019FCC3" w:rsidR="006B0462" w:rsidRDefault="006B0462" w:rsidP="004A1890">
      <w:pPr>
        <w:pStyle w:val="Geenafstand"/>
        <w:rPr>
          <w:rFonts w:ascii="Verdana" w:hAnsi="Verdana"/>
          <w:sz w:val="20"/>
          <w:szCs w:val="20"/>
        </w:rPr>
      </w:pPr>
      <w:r w:rsidRPr="004A1890">
        <w:rPr>
          <w:rFonts w:ascii="Verdana" w:hAnsi="Verdana"/>
          <w:sz w:val="20"/>
          <w:szCs w:val="20"/>
        </w:rPr>
        <w:t>Het begrip consument uit het huidige BW wijkt overigens niet af van de Richtlijn. De verwachting is dan ook dat de huidige rechtsregel bij een gemengde overeenkomst blijft gelden.</w:t>
      </w:r>
      <w:r w:rsidRPr="004A1890">
        <w:rPr>
          <w:rStyle w:val="Voetnootmarkering"/>
          <w:rFonts w:ascii="Verdana" w:hAnsi="Verdana"/>
          <w:sz w:val="20"/>
          <w:szCs w:val="20"/>
        </w:rPr>
        <w:footnoteReference w:id="26"/>
      </w:r>
    </w:p>
    <w:p w14:paraId="70028114" w14:textId="77777777" w:rsidR="004A1890" w:rsidRPr="004A1890" w:rsidRDefault="004A1890" w:rsidP="004A1890">
      <w:pPr>
        <w:pStyle w:val="Geenafstand"/>
        <w:rPr>
          <w:rFonts w:ascii="Verdana" w:hAnsi="Verdana"/>
          <w:sz w:val="20"/>
          <w:szCs w:val="20"/>
        </w:rPr>
      </w:pPr>
    </w:p>
    <w:p w14:paraId="5A11328D" w14:textId="2B1EDDF8" w:rsidR="006B0462" w:rsidRDefault="006B0462" w:rsidP="004A1890">
      <w:pPr>
        <w:pStyle w:val="Geenafstand"/>
        <w:rPr>
          <w:rFonts w:ascii="Verdana" w:hAnsi="Verdana"/>
          <w:sz w:val="20"/>
          <w:szCs w:val="20"/>
        </w:rPr>
      </w:pPr>
      <w:r w:rsidRPr="004A1890">
        <w:rPr>
          <w:rFonts w:ascii="Verdana" w:hAnsi="Verdana"/>
          <w:sz w:val="20"/>
          <w:szCs w:val="20"/>
        </w:rPr>
        <w:t>De Richtlijn bevat een tweetal uitzonderingen voor haar toepassingsgebied.</w:t>
      </w:r>
      <w:r w:rsidRPr="004A1890">
        <w:rPr>
          <w:rStyle w:val="Voetnootmarkering"/>
          <w:rFonts w:ascii="Verdana" w:hAnsi="Verdana"/>
          <w:sz w:val="20"/>
          <w:szCs w:val="20"/>
        </w:rPr>
        <w:footnoteReference w:id="27"/>
      </w:r>
      <w:r w:rsidR="00422BFF" w:rsidRPr="004A1890">
        <w:rPr>
          <w:rFonts w:ascii="Verdana" w:hAnsi="Verdana"/>
          <w:sz w:val="20"/>
          <w:szCs w:val="20"/>
        </w:rPr>
        <w:t xml:space="preserve"> </w:t>
      </w:r>
      <w:r w:rsidRPr="004A1890">
        <w:rPr>
          <w:rFonts w:ascii="Verdana" w:hAnsi="Verdana"/>
          <w:sz w:val="20"/>
          <w:szCs w:val="20"/>
        </w:rPr>
        <w:t>Uitgezonderd zijn goederen die executoriaal worden verkocht en de koop van een digitale gegevensdrager. Bij de koop van een digitale gegevensdrager kan gedacht worden aan de koop van een usb-stick, geheugenkaart of dvd. In het geval de koop van een goed niet onder de werkingssfeer van de Richtlijn valt, is de regelgeving uit het nationale recht van toepassing.</w:t>
      </w:r>
    </w:p>
    <w:p w14:paraId="5A3636C1" w14:textId="77777777" w:rsidR="004A1890" w:rsidRPr="004A1890" w:rsidRDefault="004A1890" w:rsidP="004A1890">
      <w:pPr>
        <w:pStyle w:val="Geenafstand"/>
        <w:rPr>
          <w:rFonts w:ascii="Verdana" w:hAnsi="Verdana"/>
          <w:sz w:val="20"/>
          <w:szCs w:val="20"/>
        </w:rPr>
      </w:pPr>
    </w:p>
    <w:p w14:paraId="38645060" w14:textId="43D24803" w:rsidR="006B0462" w:rsidRDefault="006B0462" w:rsidP="004A1890">
      <w:pPr>
        <w:pStyle w:val="Geenafstand"/>
        <w:rPr>
          <w:rFonts w:ascii="Verdana" w:hAnsi="Verdana"/>
          <w:sz w:val="20"/>
          <w:szCs w:val="20"/>
        </w:rPr>
      </w:pPr>
      <w:r w:rsidRPr="004A1890">
        <w:rPr>
          <w:rFonts w:ascii="Verdana" w:hAnsi="Verdana"/>
          <w:sz w:val="20"/>
          <w:szCs w:val="20"/>
        </w:rPr>
        <w:t>De Richtlijn bevat de vrijheid voor lidstaten om twee situaties onder de werkingssfeer van de Richtlijn uit te sluiten.</w:t>
      </w:r>
      <w:r w:rsidRPr="004A1890">
        <w:rPr>
          <w:rStyle w:val="Voetnootmarkering"/>
          <w:rFonts w:ascii="Verdana" w:hAnsi="Verdana"/>
          <w:sz w:val="20"/>
          <w:szCs w:val="20"/>
        </w:rPr>
        <w:footnoteReference w:id="28"/>
      </w:r>
      <w:r w:rsidRPr="004A1890">
        <w:rPr>
          <w:rFonts w:ascii="Verdana" w:hAnsi="Verdana"/>
          <w:sz w:val="20"/>
          <w:szCs w:val="20"/>
        </w:rPr>
        <w:t xml:space="preserve"> Het gaat hier om de koop van tweedehandsgoederen op openbare veilingen en levende dieren. Uit de MvT van de Implementatiewet richtlijn verkoop goederen en levering digitale inhoud (hierna: Implementatiewet)</w:t>
      </w:r>
      <w:r w:rsidRPr="004A1890">
        <w:rPr>
          <w:rStyle w:val="Voetnootmarkering"/>
          <w:rFonts w:ascii="Verdana" w:hAnsi="Verdana"/>
          <w:sz w:val="20"/>
          <w:szCs w:val="20"/>
        </w:rPr>
        <w:footnoteReference w:id="29"/>
      </w:r>
      <w:r w:rsidRPr="004A1890">
        <w:rPr>
          <w:rFonts w:ascii="Verdana" w:hAnsi="Verdana"/>
          <w:sz w:val="20"/>
          <w:szCs w:val="20"/>
        </w:rPr>
        <w:t xml:space="preserve"> blijkt dat het kabinet geen gebruik maakt van deze mogelijkheid.</w:t>
      </w:r>
      <w:r w:rsidRPr="004A1890">
        <w:rPr>
          <w:rStyle w:val="Voetnootmarkering"/>
          <w:rFonts w:ascii="Verdana" w:hAnsi="Verdana"/>
          <w:sz w:val="20"/>
          <w:szCs w:val="20"/>
        </w:rPr>
        <w:footnoteReference w:id="30"/>
      </w:r>
    </w:p>
    <w:p w14:paraId="5129F7E4" w14:textId="77777777" w:rsidR="004A1890" w:rsidRPr="004A1890" w:rsidRDefault="004A1890" w:rsidP="004A1890">
      <w:pPr>
        <w:pStyle w:val="Geenafstand"/>
        <w:rPr>
          <w:rFonts w:ascii="Verdana" w:hAnsi="Verdana"/>
          <w:sz w:val="20"/>
          <w:szCs w:val="20"/>
        </w:rPr>
      </w:pPr>
    </w:p>
    <w:p w14:paraId="3361D32D" w14:textId="5217B853" w:rsidR="00422BFF" w:rsidRDefault="006B0462" w:rsidP="004A1890">
      <w:pPr>
        <w:pStyle w:val="Geenafstand"/>
        <w:rPr>
          <w:rFonts w:ascii="Verdana" w:hAnsi="Verdana"/>
          <w:sz w:val="20"/>
          <w:szCs w:val="20"/>
        </w:rPr>
      </w:pPr>
      <w:r w:rsidRPr="004A1890">
        <w:rPr>
          <w:rFonts w:ascii="Verdana" w:hAnsi="Verdana"/>
          <w:sz w:val="20"/>
          <w:szCs w:val="20"/>
        </w:rPr>
        <w:t>Een belangrijk verschil met de huidige kooptitel 1 van boek 7 BW</w:t>
      </w:r>
      <w:r w:rsidRPr="004A1890">
        <w:rPr>
          <w:rFonts w:ascii="Verdana" w:hAnsi="Verdana"/>
          <w:color w:val="C00000"/>
          <w:sz w:val="20"/>
          <w:szCs w:val="20"/>
        </w:rPr>
        <w:t xml:space="preserve"> </w:t>
      </w:r>
      <w:r w:rsidRPr="004A1890">
        <w:rPr>
          <w:rFonts w:ascii="Verdana" w:hAnsi="Verdana"/>
          <w:sz w:val="20"/>
          <w:szCs w:val="20"/>
        </w:rPr>
        <w:t>is dat de Richtlijn ook van toepassing is op de koop van een roerende zaak waarin digitale inhoud of diensten zijn verwerkt.</w:t>
      </w:r>
      <w:r w:rsidRPr="004A1890">
        <w:rPr>
          <w:rStyle w:val="Voetnootmarkering"/>
          <w:rFonts w:ascii="Verdana" w:hAnsi="Verdana"/>
          <w:sz w:val="20"/>
          <w:szCs w:val="20"/>
        </w:rPr>
        <w:footnoteReference w:id="31"/>
      </w:r>
      <w:r w:rsidRPr="004A1890">
        <w:rPr>
          <w:rFonts w:ascii="Verdana" w:hAnsi="Verdana"/>
          <w:sz w:val="20"/>
          <w:szCs w:val="20"/>
        </w:rPr>
        <w:t xml:space="preserve"> Voorbeelden zijn een laptop, smartphone en een smartwatch.</w:t>
      </w:r>
      <w:r w:rsidRPr="004A1890">
        <w:rPr>
          <w:rStyle w:val="Voetnootmarkering"/>
          <w:rFonts w:ascii="Verdana" w:hAnsi="Verdana"/>
          <w:sz w:val="20"/>
          <w:szCs w:val="20"/>
        </w:rPr>
        <w:footnoteReference w:id="32"/>
      </w:r>
      <w:r w:rsidRPr="004A1890">
        <w:rPr>
          <w:rFonts w:ascii="Verdana" w:hAnsi="Verdana"/>
          <w:sz w:val="20"/>
          <w:szCs w:val="20"/>
        </w:rPr>
        <w:t xml:space="preserve"> Door het van toepassing verklaren van de koop van de digitale inhoud en diensten mag de consument ook verwachten dat de digitale inhoud en/of dienst naar behoren functioneert. </w:t>
      </w:r>
    </w:p>
    <w:p w14:paraId="73072177" w14:textId="77777777" w:rsidR="004A1890" w:rsidRPr="004A1890" w:rsidRDefault="004A1890" w:rsidP="004A1890">
      <w:pPr>
        <w:pStyle w:val="Geenafstand"/>
        <w:rPr>
          <w:rFonts w:ascii="Verdana" w:hAnsi="Verdana"/>
          <w:sz w:val="20"/>
          <w:szCs w:val="20"/>
        </w:rPr>
      </w:pPr>
    </w:p>
    <w:p w14:paraId="24FDEFA9" w14:textId="7521735A" w:rsidR="00422BFF" w:rsidRDefault="006B0462" w:rsidP="004A1890">
      <w:pPr>
        <w:pStyle w:val="Geenafstand"/>
        <w:rPr>
          <w:rFonts w:ascii="Verdana" w:hAnsi="Verdana"/>
          <w:sz w:val="20"/>
          <w:szCs w:val="20"/>
        </w:rPr>
      </w:pPr>
      <w:r w:rsidRPr="004A1890">
        <w:rPr>
          <w:rFonts w:ascii="Verdana" w:hAnsi="Verdana"/>
          <w:sz w:val="20"/>
          <w:szCs w:val="20"/>
        </w:rPr>
        <w:t>Als we kijken naar de uitwerking in de praktijk betekent dit het volgende:</w:t>
      </w:r>
    </w:p>
    <w:p w14:paraId="1F5342DA" w14:textId="77777777" w:rsidR="00136809" w:rsidRDefault="00136809" w:rsidP="004A1890">
      <w:pPr>
        <w:pStyle w:val="Geenafstand"/>
        <w:rPr>
          <w:rFonts w:ascii="Verdana" w:hAnsi="Verdana"/>
          <w:sz w:val="20"/>
          <w:szCs w:val="20"/>
        </w:rPr>
      </w:pPr>
    </w:p>
    <w:p w14:paraId="123BEA15" w14:textId="77777777" w:rsidR="004A1890" w:rsidRDefault="006B0462" w:rsidP="004A1890">
      <w:pPr>
        <w:pStyle w:val="Geenafstand"/>
        <w:numPr>
          <w:ilvl w:val="0"/>
          <w:numId w:val="20"/>
        </w:numPr>
        <w:rPr>
          <w:rFonts w:ascii="Verdana" w:hAnsi="Verdana"/>
          <w:sz w:val="20"/>
          <w:szCs w:val="20"/>
        </w:rPr>
      </w:pPr>
      <w:r w:rsidRPr="004A1890">
        <w:rPr>
          <w:rFonts w:ascii="Verdana" w:hAnsi="Verdana"/>
          <w:sz w:val="20"/>
          <w:szCs w:val="20"/>
        </w:rPr>
        <w:t>een consument mag verwachten dat meegeleverde software functioneert;</w:t>
      </w:r>
    </w:p>
    <w:p w14:paraId="326DCFC6" w14:textId="77777777" w:rsidR="004A1890" w:rsidRDefault="006B0462" w:rsidP="004A1890">
      <w:pPr>
        <w:pStyle w:val="Geenafstand"/>
        <w:numPr>
          <w:ilvl w:val="0"/>
          <w:numId w:val="20"/>
        </w:numPr>
        <w:rPr>
          <w:rFonts w:ascii="Verdana" w:hAnsi="Verdana"/>
          <w:sz w:val="20"/>
          <w:szCs w:val="20"/>
        </w:rPr>
      </w:pPr>
      <w:r w:rsidRPr="004A1890">
        <w:rPr>
          <w:rFonts w:ascii="Verdana" w:hAnsi="Verdana"/>
          <w:sz w:val="20"/>
          <w:szCs w:val="20"/>
        </w:rPr>
        <w:t>een consument mag verwachten dat het downloaden van apps op een smartphone mogelijk is;</w:t>
      </w:r>
    </w:p>
    <w:p w14:paraId="5536BBE8" w14:textId="39C8B579" w:rsidR="006B0462" w:rsidRDefault="006B0462" w:rsidP="004A1890">
      <w:pPr>
        <w:pStyle w:val="Geenafstand"/>
        <w:numPr>
          <w:ilvl w:val="0"/>
          <w:numId w:val="20"/>
        </w:numPr>
        <w:rPr>
          <w:rFonts w:ascii="Verdana" w:hAnsi="Verdana"/>
          <w:sz w:val="20"/>
          <w:szCs w:val="20"/>
        </w:rPr>
      </w:pPr>
      <w:r w:rsidRPr="004A1890">
        <w:rPr>
          <w:rFonts w:ascii="Verdana" w:hAnsi="Verdana"/>
          <w:sz w:val="20"/>
          <w:szCs w:val="20"/>
        </w:rPr>
        <w:t>toegezegde mogelijkheden en reclame-uitingen over een apparaat maken eveneens onderdeel uit van de koopovereenkomst: Bijvoorbeeld: ‘een reclamespot over een televisie met Netflix’ versus ‘de televisie bevat de mogelijkheid tot het downloaden van de app Netflix’.</w:t>
      </w:r>
    </w:p>
    <w:p w14:paraId="63E6B4ED" w14:textId="24253E43" w:rsidR="004A1890" w:rsidRPr="004A1890" w:rsidRDefault="004A1890" w:rsidP="00136809">
      <w:pPr>
        <w:pStyle w:val="Geenafstand"/>
        <w:ind w:left="360"/>
        <w:rPr>
          <w:rFonts w:ascii="Verdana" w:hAnsi="Verdana"/>
          <w:sz w:val="20"/>
          <w:szCs w:val="20"/>
        </w:rPr>
      </w:pPr>
    </w:p>
    <w:p w14:paraId="6585A5A4" w14:textId="24B7DD5D" w:rsidR="006B0462" w:rsidRDefault="006B0462" w:rsidP="004A1890">
      <w:pPr>
        <w:pStyle w:val="Geenafstand"/>
        <w:rPr>
          <w:rFonts w:ascii="Verdana" w:hAnsi="Verdana"/>
          <w:sz w:val="20"/>
          <w:szCs w:val="20"/>
        </w:rPr>
      </w:pPr>
      <w:r w:rsidRPr="004A1890">
        <w:rPr>
          <w:rFonts w:ascii="Verdana" w:hAnsi="Verdana"/>
          <w:sz w:val="20"/>
          <w:szCs w:val="20"/>
        </w:rPr>
        <w:t>De Richtlijn is ook van toepassing op de nog te vervaardigen of te produceren producten.</w:t>
      </w:r>
      <w:r w:rsidRPr="004A1890">
        <w:rPr>
          <w:rStyle w:val="Voetnootmarkering"/>
          <w:rFonts w:ascii="Verdana" w:hAnsi="Verdana"/>
          <w:sz w:val="20"/>
          <w:szCs w:val="20"/>
        </w:rPr>
        <w:footnoteReference w:id="33"/>
      </w:r>
      <w:r w:rsidRPr="004A1890">
        <w:rPr>
          <w:rFonts w:ascii="Verdana" w:hAnsi="Verdana"/>
          <w:sz w:val="20"/>
          <w:szCs w:val="20"/>
        </w:rPr>
        <w:t xml:space="preserve"> Dat betekent dat het bestellen van een nog te maken fotoboek of schilderij onder de kooptitel valt en de conformiteitsbepalingen uit de Richtlijn van toepassing zijn.</w:t>
      </w:r>
      <w:r w:rsidRPr="004A1890">
        <w:rPr>
          <w:rStyle w:val="Voetnootmarkering"/>
          <w:rFonts w:ascii="Verdana" w:hAnsi="Verdana"/>
          <w:sz w:val="20"/>
          <w:szCs w:val="20"/>
        </w:rPr>
        <w:footnoteReference w:id="34"/>
      </w:r>
    </w:p>
    <w:p w14:paraId="3CB3F687" w14:textId="5F05664B" w:rsidR="004A1890" w:rsidRDefault="004A1890" w:rsidP="004A1890">
      <w:pPr>
        <w:pStyle w:val="Geenafstand"/>
        <w:rPr>
          <w:rFonts w:ascii="Verdana" w:hAnsi="Verdana"/>
          <w:sz w:val="20"/>
          <w:szCs w:val="20"/>
        </w:rPr>
      </w:pPr>
    </w:p>
    <w:p w14:paraId="6D322F7F" w14:textId="77777777" w:rsidR="004A1890" w:rsidRPr="004A1890" w:rsidRDefault="004A1890" w:rsidP="004A1890">
      <w:pPr>
        <w:pStyle w:val="Geenafstand"/>
        <w:rPr>
          <w:rFonts w:ascii="Verdana" w:hAnsi="Verdana"/>
          <w:sz w:val="20"/>
          <w:szCs w:val="20"/>
        </w:rPr>
      </w:pPr>
    </w:p>
    <w:p w14:paraId="53307F76" w14:textId="77777777" w:rsidR="006B0462" w:rsidRPr="004A1890" w:rsidRDefault="006B0462" w:rsidP="006B0462">
      <w:pPr>
        <w:pStyle w:val="Kop2"/>
        <w:rPr>
          <w:szCs w:val="20"/>
        </w:rPr>
      </w:pPr>
      <w:bookmarkStart w:id="29" w:name="_Toc66713001"/>
      <w:bookmarkStart w:id="30" w:name="_Toc72576284"/>
      <w:r w:rsidRPr="004A1890">
        <w:rPr>
          <w:szCs w:val="20"/>
        </w:rPr>
        <w:lastRenderedPageBreak/>
        <w:t>2.4. Belang consumentenkoop</w:t>
      </w:r>
      <w:bookmarkEnd w:id="29"/>
      <w:bookmarkEnd w:id="30"/>
    </w:p>
    <w:p w14:paraId="036913A8" w14:textId="7123D1D8" w:rsidR="008754D4" w:rsidRPr="004A1890" w:rsidRDefault="006B0462" w:rsidP="004A1890">
      <w:pPr>
        <w:pStyle w:val="Geenafstand"/>
        <w:rPr>
          <w:rFonts w:ascii="Verdana" w:hAnsi="Verdana"/>
          <w:sz w:val="20"/>
          <w:szCs w:val="20"/>
        </w:rPr>
      </w:pPr>
      <w:r w:rsidRPr="004A1890">
        <w:rPr>
          <w:rFonts w:ascii="Verdana" w:hAnsi="Verdana"/>
          <w:sz w:val="20"/>
          <w:szCs w:val="20"/>
        </w:rPr>
        <w:t>In eerdere paragrafen wordt nadrukkelijk gesproken over consumentenkoop en niet over de ‘gewone’ koop. Het is van belang om onderscheid te maken tussen beide koopsoorten omdat voor beide afwijkende regels gelden. Bij consumentenkoop geniet de consument meer bescherming en zijn diverse bepalingen uit de kooptitel – titel 1 van boek 7 BW – van dwingend recht.</w:t>
      </w:r>
      <w:r w:rsidRPr="004A1890">
        <w:rPr>
          <w:rStyle w:val="Voetnootmarkering"/>
          <w:rFonts w:ascii="Verdana" w:hAnsi="Verdana"/>
          <w:sz w:val="20"/>
          <w:szCs w:val="20"/>
        </w:rPr>
        <w:footnoteReference w:id="35"/>
      </w:r>
      <w:r w:rsidRPr="004A1890">
        <w:rPr>
          <w:rFonts w:ascii="Verdana" w:hAnsi="Verdana"/>
          <w:sz w:val="20"/>
          <w:szCs w:val="20"/>
        </w:rPr>
        <w:t xml:space="preserve"> Het is de verkoper dan niet toegestaan om ten nadele van de consument af te wijken. Bij de ‘gewone’ koop hebben partijen meer contractsvrijheid en gelden er minder dwingendrechtelijke bepalingen. </w:t>
      </w:r>
      <w:r w:rsidR="004A1890">
        <w:rPr>
          <w:rFonts w:ascii="Verdana" w:hAnsi="Verdana"/>
          <w:sz w:val="20"/>
          <w:szCs w:val="20"/>
        </w:rPr>
        <w:br/>
      </w:r>
    </w:p>
    <w:p w14:paraId="4489D51C" w14:textId="77777777" w:rsidR="006B0462" w:rsidRPr="004A1890" w:rsidRDefault="006B0462" w:rsidP="006B0462">
      <w:pPr>
        <w:pStyle w:val="Kop2"/>
        <w:rPr>
          <w:szCs w:val="20"/>
        </w:rPr>
      </w:pPr>
      <w:bookmarkStart w:id="31" w:name="_Toc66713002"/>
      <w:bookmarkStart w:id="32" w:name="_Toc72576285"/>
      <w:r w:rsidRPr="004A1890">
        <w:rPr>
          <w:szCs w:val="20"/>
        </w:rPr>
        <w:t>2.5. Implementatiewijze in het Nederlands recht</w:t>
      </w:r>
      <w:bookmarkEnd w:id="31"/>
      <w:bookmarkEnd w:id="32"/>
    </w:p>
    <w:p w14:paraId="765D33CD" w14:textId="388BC9D7" w:rsidR="006B0462" w:rsidRPr="004A1890" w:rsidRDefault="006B0462" w:rsidP="004A1890">
      <w:pPr>
        <w:pStyle w:val="Geenafstand"/>
        <w:rPr>
          <w:rFonts w:ascii="Verdana" w:hAnsi="Verdana"/>
          <w:sz w:val="20"/>
          <w:szCs w:val="20"/>
        </w:rPr>
      </w:pPr>
      <w:r w:rsidRPr="004A1890">
        <w:rPr>
          <w:rFonts w:ascii="Verdana" w:hAnsi="Verdana"/>
          <w:sz w:val="20"/>
          <w:szCs w:val="20"/>
        </w:rPr>
        <w:t>De wijze waarop de Richtlijn in het Nederlandse recht wordt geïmplementeerd, is terug te vinden in de Implementatiewet.</w:t>
      </w:r>
      <w:r w:rsidRPr="004A1890">
        <w:rPr>
          <w:rStyle w:val="Voetnootmarkering"/>
          <w:rFonts w:ascii="Verdana" w:hAnsi="Verdana"/>
          <w:sz w:val="20"/>
          <w:szCs w:val="20"/>
        </w:rPr>
        <w:footnoteReference w:id="36"/>
      </w:r>
      <w:r w:rsidRPr="004A1890">
        <w:rPr>
          <w:rFonts w:ascii="Verdana" w:hAnsi="Verdana"/>
          <w:sz w:val="20"/>
          <w:szCs w:val="20"/>
        </w:rPr>
        <w:t xml:space="preserve"> Het wetsvoorstel ziet toe op de wijziging van titel 1 van boek 7 BW en introduceert een nieuwe titel, namelijk titel 1AA boek 7 BW. Deze titel wordt in het BW opgenomen om Richtlijn 2019/770 – met een breder toepassingsbereik – te implementeren.</w:t>
      </w:r>
      <w:r w:rsidRPr="004A1890">
        <w:rPr>
          <w:rStyle w:val="Voetnootmarkering"/>
          <w:rFonts w:ascii="Verdana" w:hAnsi="Verdana"/>
          <w:sz w:val="20"/>
          <w:szCs w:val="20"/>
        </w:rPr>
        <w:footnoteReference w:id="37"/>
      </w:r>
      <w:r w:rsidR="004A1890">
        <w:rPr>
          <w:rFonts w:ascii="Verdana" w:hAnsi="Verdana"/>
          <w:sz w:val="20"/>
          <w:szCs w:val="20"/>
        </w:rPr>
        <w:br/>
      </w:r>
    </w:p>
    <w:p w14:paraId="408EB438" w14:textId="6368296D" w:rsidR="006B0462" w:rsidRPr="004A1890" w:rsidRDefault="006B0462" w:rsidP="004A1890">
      <w:pPr>
        <w:pStyle w:val="Geenafstand"/>
        <w:rPr>
          <w:rFonts w:ascii="Verdana" w:hAnsi="Verdana"/>
          <w:sz w:val="20"/>
          <w:szCs w:val="20"/>
        </w:rPr>
      </w:pPr>
      <w:r w:rsidRPr="004A1890">
        <w:rPr>
          <w:rFonts w:ascii="Verdana" w:hAnsi="Verdana"/>
          <w:sz w:val="20"/>
          <w:szCs w:val="20"/>
        </w:rPr>
        <w:t>Op sommige onderdelen is het BW al in overeenstemming met de Richtlijn en zal deze dan ook – na implementatie van de Richtlijn – gelijk blijven.</w:t>
      </w:r>
      <w:r w:rsidRPr="004A1890">
        <w:rPr>
          <w:rStyle w:val="Voetnootmarkering"/>
          <w:rFonts w:ascii="Verdana" w:hAnsi="Verdana"/>
          <w:sz w:val="20"/>
          <w:szCs w:val="20"/>
        </w:rPr>
        <w:footnoteReference w:id="38"/>
      </w:r>
      <w:r w:rsidRPr="004A1890">
        <w:rPr>
          <w:rFonts w:ascii="Verdana" w:hAnsi="Verdana"/>
          <w:sz w:val="20"/>
          <w:szCs w:val="20"/>
        </w:rPr>
        <w:t xml:space="preserve"> Onder andere blijft het overgrote deel van de rechten van de consument bij non-conformiteit gelijk.</w:t>
      </w:r>
      <w:r w:rsidR="004A1890">
        <w:rPr>
          <w:rFonts w:ascii="Verdana" w:hAnsi="Verdana"/>
          <w:sz w:val="20"/>
          <w:szCs w:val="20"/>
        </w:rPr>
        <w:br/>
      </w:r>
    </w:p>
    <w:p w14:paraId="76EF0AEA" w14:textId="20ABE7C4" w:rsidR="00422BFF" w:rsidRDefault="006B0462" w:rsidP="004A1890">
      <w:pPr>
        <w:pStyle w:val="Geenafstand"/>
        <w:rPr>
          <w:rFonts w:ascii="Verdana" w:hAnsi="Verdana"/>
          <w:sz w:val="20"/>
          <w:szCs w:val="20"/>
        </w:rPr>
      </w:pPr>
      <w:r w:rsidRPr="004A1890">
        <w:rPr>
          <w:rFonts w:ascii="Verdana" w:hAnsi="Verdana"/>
          <w:sz w:val="20"/>
          <w:szCs w:val="20"/>
        </w:rPr>
        <w:t>De belangrijkste wijzigingen die zullen plaatsvinden zijn</w:t>
      </w:r>
      <w:r w:rsidR="00136809">
        <w:rPr>
          <w:rFonts w:ascii="Verdana" w:hAnsi="Verdana"/>
          <w:sz w:val="20"/>
          <w:szCs w:val="20"/>
        </w:rPr>
        <w:t>:</w:t>
      </w:r>
      <w:r w:rsidRPr="004A1890">
        <w:rPr>
          <w:rStyle w:val="Voetnootmarkering"/>
          <w:rFonts w:ascii="Verdana" w:hAnsi="Verdana"/>
          <w:sz w:val="20"/>
          <w:szCs w:val="20"/>
        </w:rPr>
        <w:footnoteReference w:id="39"/>
      </w:r>
      <w:r w:rsidR="00136809">
        <w:rPr>
          <w:rFonts w:ascii="Verdana" w:hAnsi="Verdana"/>
          <w:sz w:val="20"/>
          <w:szCs w:val="20"/>
        </w:rPr>
        <w:br/>
      </w:r>
    </w:p>
    <w:p w14:paraId="4D6B7C92" w14:textId="77777777" w:rsidR="004A1890" w:rsidRDefault="006B0462" w:rsidP="004A1890">
      <w:pPr>
        <w:pStyle w:val="Geenafstand"/>
        <w:numPr>
          <w:ilvl w:val="0"/>
          <w:numId w:val="20"/>
        </w:numPr>
        <w:rPr>
          <w:rFonts w:ascii="Verdana" w:hAnsi="Verdana"/>
          <w:sz w:val="20"/>
          <w:szCs w:val="20"/>
        </w:rPr>
      </w:pPr>
      <w:r w:rsidRPr="004A1890">
        <w:rPr>
          <w:rFonts w:ascii="Verdana" w:hAnsi="Verdana"/>
          <w:sz w:val="20"/>
          <w:szCs w:val="20"/>
        </w:rPr>
        <w:t>aanvulling en actualisatie van het toepassingsgebied van titel 1 boek 7 BW;</w:t>
      </w:r>
    </w:p>
    <w:p w14:paraId="3DF16562" w14:textId="77777777" w:rsidR="008C27A1" w:rsidRDefault="006B0462" w:rsidP="004A1890">
      <w:pPr>
        <w:pStyle w:val="Geenafstand"/>
        <w:numPr>
          <w:ilvl w:val="0"/>
          <w:numId w:val="20"/>
        </w:numPr>
        <w:rPr>
          <w:rFonts w:ascii="Verdana" w:hAnsi="Verdana"/>
          <w:sz w:val="20"/>
          <w:szCs w:val="20"/>
        </w:rPr>
      </w:pPr>
      <w:r w:rsidRPr="004A1890">
        <w:rPr>
          <w:rFonts w:ascii="Verdana" w:hAnsi="Verdana"/>
          <w:sz w:val="20"/>
          <w:szCs w:val="20"/>
        </w:rPr>
        <w:t xml:space="preserve">verandering van de termijn van het bewijsvermoeden; </w:t>
      </w:r>
    </w:p>
    <w:p w14:paraId="5D442731" w14:textId="3789D65C" w:rsidR="004A1890" w:rsidRDefault="006B0462" w:rsidP="004A1890">
      <w:pPr>
        <w:pStyle w:val="Geenafstand"/>
        <w:numPr>
          <w:ilvl w:val="0"/>
          <w:numId w:val="20"/>
        </w:numPr>
        <w:rPr>
          <w:rFonts w:ascii="Verdana" w:hAnsi="Verdana"/>
          <w:sz w:val="20"/>
          <w:szCs w:val="20"/>
        </w:rPr>
      </w:pPr>
      <w:r w:rsidRPr="004A1890">
        <w:rPr>
          <w:rFonts w:ascii="Verdana" w:hAnsi="Verdana"/>
          <w:sz w:val="20"/>
          <w:szCs w:val="20"/>
        </w:rPr>
        <w:t xml:space="preserve">uitbreiding van de conformiteitsvereisten bij consumentenkoop; </w:t>
      </w:r>
    </w:p>
    <w:p w14:paraId="32C5B41F" w14:textId="5F53EEC3" w:rsidR="006B0462" w:rsidRDefault="006B0462" w:rsidP="004A1890">
      <w:pPr>
        <w:pStyle w:val="Geenafstand"/>
        <w:numPr>
          <w:ilvl w:val="0"/>
          <w:numId w:val="20"/>
        </w:numPr>
        <w:rPr>
          <w:rFonts w:ascii="Verdana" w:hAnsi="Verdana"/>
          <w:sz w:val="20"/>
          <w:szCs w:val="20"/>
        </w:rPr>
      </w:pPr>
      <w:r w:rsidRPr="004A1890">
        <w:rPr>
          <w:rFonts w:ascii="Verdana" w:hAnsi="Verdana"/>
          <w:sz w:val="20"/>
          <w:szCs w:val="20"/>
        </w:rPr>
        <w:t>precisering van de ontbindingsmogelijkheden.</w:t>
      </w:r>
    </w:p>
    <w:p w14:paraId="31FB9F75" w14:textId="77777777" w:rsidR="00FF572B" w:rsidRPr="004A1890" w:rsidRDefault="00FF572B" w:rsidP="008C27A1">
      <w:pPr>
        <w:pStyle w:val="Geenafstand"/>
        <w:ind w:left="720"/>
        <w:rPr>
          <w:rFonts w:ascii="Verdana" w:hAnsi="Verdana"/>
          <w:sz w:val="20"/>
          <w:szCs w:val="20"/>
        </w:rPr>
      </w:pPr>
    </w:p>
    <w:p w14:paraId="4E053EFD" w14:textId="1D212592" w:rsidR="00422BFF" w:rsidRDefault="006B0462" w:rsidP="004A1890">
      <w:pPr>
        <w:pStyle w:val="Geenafstand"/>
        <w:rPr>
          <w:rFonts w:ascii="Verdana" w:hAnsi="Verdana"/>
          <w:sz w:val="20"/>
          <w:szCs w:val="20"/>
        </w:rPr>
      </w:pPr>
      <w:r w:rsidRPr="004A1890">
        <w:rPr>
          <w:rFonts w:ascii="Verdana" w:hAnsi="Verdana"/>
          <w:sz w:val="20"/>
          <w:szCs w:val="20"/>
        </w:rPr>
        <w:t>De zogenoemde ‘kan’-bepalingen uit de Richtlijn worden niet geïmplementeerd, omdat er al soortgelijke bepalingen in het BW bestaan.</w:t>
      </w:r>
      <w:r w:rsidRPr="004A1890">
        <w:rPr>
          <w:rStyle w:val="Voetnootmarkering"/>
          <w:rFonts w:ascii="Verdana" w:hAnsi="Verdana"/>
          <w:sz w:val="20"/>
          <w:szCs w:val="20"/>
        </w:rPr>
        <w:footnoteReference w:id="40"/>
      </w:r>
    </w:p>
    <w:p w14:paraId="1BAB1241" w14:textId="77777777" w:rsidR="00FF572B" w:rsidRPr="004A1890" w:rsidRDefault="00FF572B" w:rsidP="004A1890">
      <w:pPr>
        <w:pStyle w:val="Geenafstand"/>
        <w:rPr>
          <w:rFonts w:ascii="Verdana" w:hAnsi="Verdana"/>
          <w:sz w:val="20"/>
          <w:szCs w:val="20"/>
        </w:rPr>
      </w:pPr>
    </w:p>
    <w:p w14:paraId="25214927" w14:textId="4ADE6137" w:rsidR="003440BC" w:rsidRDefault="006B0462" w:rsidP="004A1890">
      <w:pPr>
        <w:pStyle w:val="Geenafstand"/>
        <w:rPr>
          <w:rFonts w:ascii="Verdana" w:hAnsi="Verdana"/>
          <w:sz w:val="20"/>
          <w:szCs w:val="20"/>
        </w:rPr>
      </w:pPr>
      <w:r w:rsidRPr="004A1890">
        <w:rPr>
          <w:rFonts w:ascii="Verdana" w:hAnsi="Verdana"/>
          <w:sz w:val="20"/>
          <w:szCs w:val="20"/>
        </w:rPr>
        <w:t xml:space="preserve">Het is essentieel voor </w:t>
      </w:r>
      <w:r w:rsidR="00DC68A1" w:rsidRPr="000C446C">
        <w:rPr>
          <w:rFonts w:ascii="Verdana" w:hAnsi="Verdana"/>
          <w:b/>
          <w:bCs/>
          <w:sz w:val="24"/>
          <w:szCs w:val="24"/>
        </w:rPr>
        <w:t>XXX</w:t>
      </w:r>
      <w:r w:rsidR="00DC68A1" w:rsidRPr="004A1890">
        <w:rPr>
          <w:rFonts w:ascii="Verdana" w:hAnsi="Verdana"/>
          <w:sz w:val="20"/>
          <w:szCs w:val="20"/>
        </w:rPr>
        <w:t xml:space="preserve"> </w:t>
      </w:r>
      <w:r w:rsidRPr="004A1890">
        <w:rPr>
          <w:rFonts w:ascii="Verdana" w:hAnsi="Verdana"/>
          <w:sz w:val="20"/>
          <w:szCs w:val="20"/>
        </w:rPr>
        <w:t xml:space="preserve">om de wijzigingen uit de Richtlijn nader te onderzoeken, omdat de huidige adviespraktijk van </w:t>
      </w:r>
      <w:r w:rsidR="00677551" w:rsidRPr="000C446C">
        <w:rPr>
          <w:rFonts w:ascii="Verdana" w:hAnsi="Verdana"/>
          <w:b/>
          <w:bCs/>
          <w:sz w:val="24"/>
          <w:szCs w:val="24"/>
        </w:rPr>
        <w:t>XXX</w:t>
      </w:r>
      <w:r w:rsidR="00677551" w:rsidRPr="004A1890">
        <w:rPr>
          <w:rFonts w:ascii="Verdana" w:hAnsi="Verdana"/>
          <w:sz w:val="20"/>
          <w:szCs w:val="20"/>
        </w:rPr>
        <w:t xml:space="preserve"> </w:t>
      </w:r>
      <w:r w:rsidRPr="004A1890">
        <w:rPr>
          <w:rFonts w:ascii="Verdana" w:hAnsi="Verdana"/>
          <w:sz w:val="20"/>
          <w:szCs w:val="20"/>
        </w:rPr>
        <w:t>een andere benaderingswijze in dossiers over non-conformiteit kent. De exacte inhoud van de wijzigingen worden in de volgende hoofdstukken uitvoerig besproken.</w:t>
      </w:r>
    </w:p>
    <w:p w14:paraId="3E6CA6ED" w14:textId="77777777" w:rsidR="00FF572B" w:rsidRPr="004A1890" w:rsidRDefault="00FF572B" w:rsidP="004A1890">
      <w:pPr>
        <w:pStyle w:val="Geenafstand"/>
        <w:rPr>
          <w:rFonts w:ascii="Verdana" w:hAnsi="Verdana"/>
          <w:sz w:val="20"/>
          <w:szCs w:val="20"/>
        </w:rPr>
      </w:pPr>
    </w:p>
    <w:p w14:paraId="1792794A" w14:textId="77777777" w:rsidR="006B0462" w:rsidRPr="004A1890" w:rsidRDefault="006B0462" w:rsidP="00422BFF">
      <w:pPr>
        <w:pStyle w:val="Kop2"/>
        <w:rPr>
          <w:szCs w:val="20"/>
        </w:rPr>
      </w:pPr>
      <w:bookmarkStart w:id="33" w:name="_Toc66713003"/>
      <w:bookmarkStart w:id="34" w:name="_Toc72576286"/>
      <w:r w:rsidRPr="004A1890">
        <w:rPr>
          <w:szCs w:val="20"/>
        </w:rPr>
        <w:t>2.6. Voorlopige conclusie</w:t>
      </w:r>
      <w:bookmarkEnd w:id="33"/>
      <w:bookmarkEnd w:id="34"/>
      <w:r w:rsidRPr="004A1890">
        <w:rPr>
          <w:szCs w:val="20"/>
        </w:rPr>
        <w:t xml:space="preserve"> </w:t>
      </w:r>
    </w:p>
    <w:p w14:paraId="0EBE418C" w14:textId="0C5445D9" w:rsidR="008754D4" w:rsidRPr="00494844" w:rsidRDefault="006B0462" w:rsidP="00494844">
      <w:pPr>
        <w:pStyle w:val="Geenafstand"/>
        <w:rPr>
          <w:rFonts w:ascii="Verdana" w:hAnsi="Verdana"/>
          <w:sz w:val="20"/>
          <w:szCs w:val="20"/>
        </w:rPr>
      </w:pPr>
      <w:r w:rsidRPr="00494844">
        <w:rPr>
          <w:rFonts w:ascii="Verdana" w:hAnsi="Verdana"/>
          <w:sz w:val="20"/>
          <w:szCs w:val="20"/>
        </w:rPr>
        <w:t xml:space="preserve">De Europese Commissie heeft op 20 mei 2019 binnen het consumentenrecht twee nieuwe richtlijnen aangenomen. Beide richtlijnen hebben als doel om het kooprecht binnen de EU te harmoniseren. De Richtlijn zal de huidige titel 1 van boek 7 BW veranderen door onder andere de conformiteitsbepalingen uit te breiden. Ook zal de titel – na implementatie van de Richtlijn – een breder toepassingsgebied hebben. Zo zal de koop van roerende zaken waarin digitale inhoud en/of diensten zijn verwerkt onder titel 1 van boek 7 BW vallen. De Richtlijn zal per 1 januari 2022 in werking treden en uiterlijk 1 juli 2021 dienen de lidstaten bekend te maken op welke wijze de Richtlijn in nationale wetgeving wordt geïmplementeerd. In Nederland is er inmiddels door de regering een wetsvoorstel ingediend. Uit het wetsvoorstel blijkt dat de ‘kan’-bepalingen uit de richtlijn niet worden geïmplementeerd, de ontbindingsmogelijkheden worden gepreciseerd en een verandering in het bewijsvermoeden optreedt. </w:t>
      </w:r>
    </w:p>
    <w:p w14:paraId="0FBFF6E6" w14:textId="526F7CF7" w:rsidR="00CE5D91" w:rsidRDefault="00CE5D91" w:rsidP="00CE5D91">
      <w:pPr>
        <w:pStyle w:val="Geenafstand"/>
        <w:rPr>
          <w:rFonts w:ascii="Verdana" w:hAnsi="Verdana"/>
          <w:sz w:val="20"/>
          <w:szCs w:val="20"/>
        </w:rPr>
      </w:pPr>
    </w:p>
    <w:p w14:paraId="1A19FE67" w14:textId="724173C1" w:rsidR="00CE5D91" w:rsidRDefault="00CE5D91" w:rsidP="00CE5D91">
      <w:pPr>
        <w:pStyle w:val="Geenafstand"/>
        <w:rPr>
          <w:rFonts w:ascii="Verdana" w:hAnsi="Verdana"/>
          <w:sz w:val="20"/>
          <w:szCs w:val="20"/>
        </w:rPr>
      </w:pPr>
    </w:p>
    <w:p w14:paraId="5402B81C" w14:textId="075DF3E6" w:rsidR="00CE5D91" w:rsidRDefault="00CE5D91" w:rsidP="00CE5D91">
      <w:pPr>
        <w:pStyle w:val="Geenafstand"/>
        <w:rPr>
          <w:rFonts w:ascii="Verdana" w:hAnsi="Verdana"/>
          <w:sz w:val="20"/>
          <w:szCs w:val="20"/>
        </w:rPr>
      </w:pPr>
    </w:p>
    <w:p w14:paraId="3A627D58" w14:textId="758718A7" w:rsidR="00CE5D91" w:rsidRDefault="00CE5D91" w:rsidP="00CE5D91">
      <w:pPr>
        <w:pStyle w:val="Kop1"/>
      </w:pPr>
      <w:bookmarkStart w:id="35" w:name="_Toc72576287"/>
      <w:r w:rsidRPr="0072061F">
        <w:rPr>
          <w:bCs/>
          <w:sz w:val="20"/>
          <w:szCs w:val="20"/>
        </w:rPr>
        <w:t>H</w:t>
      </w:r>
      <w:r>
        <w:rPr>
          <w:bCs/>
          <w:sz w:val="20"/>
          <w:szCs w:val="20"/>
        </w:rPr>
        <w:t>oofdstuk 3</w:t>
      </w:r>
      <w:r w:rsidRPr="0072061F">
        <w:rPr>
          <w:bCs/>
          <w:sz w:val="20"/>
          <w:szCs w:val="20"/>
        </w:rPr>
        <w:t>: Conformiteit: het heden en de toekomst</w:t>
      </w:r>
      <w:bookmarkEnd w:id="35"/>
      <w:r>
        <w:t xml:space="preserve"> </w:t>
      </w:r>
    </w:p>
    <w:p w14:paraId="540A9687" w14:textId="0DCB0971" w:rsidR="00CE5D91" w:rsidRDefault="00CE5D91" w:rsidP="00494844">
      <w:pPr>
        <w:pStyle w:val="Geenafstand"/>
        <w:rPr>
          <w:rFonts w:ascii="Verdana" w:hAnsi="Verdana"/>
          <w:sz w:val="20"/>
          <w:szCs w:val="20"/>
        </w:rPr>
      </w:pPr>
      <w:r w:rsidRPr="00494844">
        <w:rPr>
          <w:rFonts w:ascii="Verdana" w:hAnsi="Verdana"/>
          <w:sz w:val="20"/>
          <w:szCs w:val="20"/>
        </w:rPr>
        <w:t xml:space="preserve">In dit hoofdstuk wordt antwoord gegeven op de derde deelvraag: ‘Op welke wijze wordt door de Richtlijn invulling gegeven aan de toepassing van het conformiteitsvereiste in vergelijking met de huidige titel 1 van boek 7 BW?’ Met beantwoording van deze deelvraag wordt inzichtelijk in hoeverre de huidige advisering bij </w:t>
      </w:r>
      <w:r w:rsidR="00DC68A1" w:rsidRPr="000C446C">
        <w:rPr>
          <w:rFonts w:ascii="Verdana" w:hAnsi="Verdana"/>
          <w:b/>
          <w:bCs/>
          <w:sz w:val="24"/>
          <w:szCs w:val="24"/>
        </w:rPr>
        <w:t>XXX</w:t>
      </w:r>
      <w:r w:rsidR="00DC68A1" w:rsidRPr="00494844">
        <w:rPr>
          <w:rFonts w:ascii="Verdana" w:hAnsi="Verdana"/>
          <w:sz w:val="20"/>
          <w:szCs w:val="20"/>
        </w:rPr>
        <w:t xml:space="preserve"> </w:t>
      </w:r>
      <w:r w:rsidRPr="00494844">
        <w:rPr>
          <w:rFonts w:ascii="Verdana" w:hAnsi="Verdana"/>
          <w:sz w:val="20"/>
          <w:szCs w:val="20"/>
        </w:rPr>
        <w:t xml:space="preserve">zal moeten veranderen door implementatie van de conformiteitsbepalingen van de Richtlijn. Om een helder beeld te krijgen welke veranderingen de implementatie van de Richtlijn met zich meebrengt wordt zowel de huidige als toekomstige situatie uiteengezet. In paragraaf 3.1. leest u welke conformiteitsbepalingen op dit moment in het Nederlandse recht gelden. In paragraaf 3.2 worden de conformiteitsbepalingen in de Richtlijn besproken. Het hoofdstuk eindigt in paragraaf 3.3 met een voorlopige conclusie.  </w:t>
      </w:r>
    </w:p>
    <w:p w14:paraId="00A73EA7" w14:textId="77777777" w:rsidR="00494844" w:rsidRPr="00494844" w:rsidRDefault="00494844" w:rsidP="00494844">
      <w:pPr>
        <w:pStyle w:val="Geenafstand"/>
        <w:rPr>
          <w:rFonts w:ascii="Verdana" w:hAnsi="Verdana"/>
          <w:sz w:val="20"/>
          <w:szCs w:val="20"/>
        </w:rPr>
      </w:pPr>
    </w:p>
    <w:p w14:paraId="699404CB" w14:textId="32AFA12C" w:rsidR="00CE5D91" w:rsidRPr="00494844" w:rsidRDefault="00CE5D91" w:rsidP="00F63B13">
      <w:pPr>
        <w:pStyle w:val="Kop2"/>
        <w:spacing w:before="0"/>
        <w:rPr>
          <w:bCs/>
          <w:szCs w:val="20"/>
        </w:rPr>
      </w:pPr>
      <w:bookmarkStart w:id="36" w:name="_Toc72576288"/>
      <w:r w:rsidRPr="00494844">
        <w:rPr>
          <w:bCs/>
          <w:szCs w:val="20"/>
        </w:rPr>
        <w:t>3.1. De bestaande conformiteitsbepalingen</w:t>
      </w:r>
      <w:bookmarkEnd w:id="36"/>
    </w:p>
    <w:p w14:paraId="2B147576" w14:textId="64ED80EB" w:rsidR="00CE5D91" w:rsidRDefault="00CE5D91" w:rsidP="00494844">
      <w:pPr>
        <w:pStyle w:val="Geenafstand"/>
        <w:rPr>
          <w:rFonts w:ascii="Verdana" w:hAnsi="Verdana"/>
          <w:sz w:val="20"/>
          <w:szCs w:val="20"/>
        </w:rPr>
      </w:pPr>
      <w:r w:rsidRPr="00494844">
        <w:rPr>
          <w:rFonts w:ascii="Verdana" w:hAnsi="Verdana"/>
          <w:sz w:val="20"/>
          <w:szCs w:val="20"/>
        </w:rPr>
        <w:t>Volgens het huidige Nederlandse recht heeft een verkoper twee hoofdverplichtingen: het overdragen van eigendom en het leveren van de zaak aan de koper.</w:t>
      </w:r>
      <w:r w:rsidRPr="00494844">
        <w:rPr>
          <w:rStyle w:val="Voetnootmarkering"/>
          <w:rFonts w:ascii="Verdana" w:hAnsi="Verdana"/>
          <w:sz w:val="20"/>
          <w:szCs w:val="20"/>
        </w:rPr>
        <w:footnoteReference w:id="41"/>
      </w:r>
      <w:r w:rsidRPr="00494844">
        <w:rPr>
          <w:rFonts w:ascii="Verdana" w:hAnsi="Verdana"/>
          <w:sz w:val="20"/>
          <w:szCs w:val="20"/>
        </w:rPr>
        <w:t xml:space="preserve"> Als aanvullende eis geldt dat de verkoper – volgens het eerste lid van artikel 7:17 BW – een zaak levert die aan de overeenkomst beantwoordt. Het begrip ‘aan de overeenkomst beantwoorden’ wordt in de opvolgende leden van het artikel nader ingevuld.</w:t>
      </w:r>
      <w:r w:rsidRPr="00494844">
        <w:rPr>
          <w:rStyle w:val="Voetnootmarkering"/>
          <w:rFonts w:ascii="Verdana" w:hAnsi="Verdana"/>
          <w:sz w:val="20"/>
          <w:szCs w:val="20"/>
        </w:rPr>
        <w:footnoteReference w:id="42"/>
      </w:r>
    </w:p>
    <w:p w14:paraId="0677A97E" w14:textId="77777777" w:rsidR="00E40DF4" w:rsidRPr="00D71B51" w:rsidRDefault="00E40DF4" w:rsidP="00494844">
      <w:pPr>
        <w:pStyle w:val="Geenafstand"/>
        <w:rPr>
          <w:rFonts w:ascii="Verdana" w:hAnsi="Verdana"/>
          <w:sz w:val="20"/>
          <w:szCs w:val="20"/>
        </w:rPr>
      </w:pPr>
    </w:p>
    <w:p w14:paraId="4AEAF4CD" w14:textId="465A1A55" w:rsidR="00CE5D91" w:rsidRPr="00D71B51" w:rsidRDefault="00CE5D91" w:rsidP="00494844">
      <w:pPr>
        <w:pStyle w:val="Geenafstand"/>
        <w:rPr>
          <w:rFonts w:ascii="Verdana" w:hAnsi="Verdana"/>
          <w:sz w:val="20"/>
          <w:szCs w:val="20"/>
        </w:rPr>
      </w:pPr>
      <w:r w:rsidRPr="00D71B51">
        <w:rPr>
          <w:rFonts w:ascii="Verdana" w:hAnsi="Verdana"/>
          <w:sz w:val="20"/>
          <w:szCs w:val="20"/>
        </w:rPr>
        <w:t>Om vast te stellen of een zaak aan de overeenkomst beantwoordt, kan er onderscheid worden gemaakt tussen drie aspecten: kwantiteit, identiteit en kwaliteit.</w:t>
      </w:r>
      <w:r w:rsidRPr="00D71B51">
        <w:rPr>
          <w:rStyle w:val="Voetnootmarkering"/>
          <w:rFonts w:ascii="Verdana" w:hAnsi="Verdana"/>
          <w:sz w:val="20"/>
          <w:szCs w:val="20"/>
        </w:rPr>
        <w:footnoteReference w:id="43"/>
      </w:r>
      <w:r w:rsidRPr="00D71B51">
        <w:rPr>
          <w:rFonts w:ascii="Verdana" w:hAnsi="Verdana"/>
          <w:sz w:val="20"/>
          <w:szCs w:val="20"/>
        </w:rPr>
        <w:t xml:space="preserve"> Bij kwantiteit geldt dat de verkoper de juiste hoeveelheid en gewicht levert. Het identiteitsaspect gaat over het leveren van dezelfde zaak in de overeengekomen soort.</w:t>
      </w:r>
      <w:r w:rsidRPr="00D71B51">
        <w:rPr>
          <w:rStyle w:val="Voetnootmarkering"/>
          <w:rFonts w:ascii="Verdana" w:hAnsi="Verdana"/>
          <w:sz w:val="20"/>
          <w:szCs w:val="20"/>
        </w:rPr>
        <w:footnoteReference w:id="44"/>
      </w:r>
      <w:r w:rsidRPr="00D71B51">
        <w:rPr>
          <w:rFonts w:ascii="Verdana" w:hAnsi="Verdana"/>
          <w:sz w:val="20"/>
          <w:szCs w:val="20"/>
        </w:rPr>
        <w:t xml:space="preserve"> Als de koper en verkoper bijvoorbeeld overeenkomen dat er een boormachine van een bepaald model en type wordt geleverd, </w:t>
      </w:r>
      <w:r w:rsidR="00D71B51" w:rsidRPr="00D71B51">
        <w:rPr>
          <w:rFonts w:ascii="Verdana" w:hAnsi="Verdana"/>
          <w:sz w:val="20"/>
          <w:szCs w:val="20"/>
        </w:rPr>
        <w:t xml:space="preserve">dan </w:t>
      </w:r>
      <w:r w:rsidRPr="00D71B51">
        <w:rPr>
          <w:rFonts w:ascii="Verdana" w:hAnsi="Verdana"/>
          <w:sz w:val="20"/>
          <w:szCs w:val="20"/>
        </w:rPr>
        <w:t>dient de verkoper het juiste model en type model aan de koper te leveren.</w:t>
      </w:r>
      <w:r w:rsidRPr="00D71B51">
        <w:rPr>
          <w:rStyle w:val="Voetnootmarkering"/>
          <w:rFonts w:ascii="Verdana" w:hAnsi="Verdana"/>
          <w:sz w:val="20"/>
          <w:szCs w:val="20"/>
        </w:rPr>
        <w:footnoteReference w:id="45"/>
      </w:r>
    </w:p>
    <w:p w14:paraId="3259AA3E" w14:textId="77777777" w:rsidR="00494844" w:rsidRPr="00494844" w:rsidRDefault="00494844" w:rsidP="00494844">
      <w:pPr>
        <w:pStyle w:val="Geenafstand"/>
        <w:rPr>
          <w:rFonts w:ascii="Verdana" w:hAnsi="Verdana"/>
          <w:sz w:val="20"/>
          <w:szCs w:val="20"/>
        </w:rPr>
      </w:pPr>
    </w:p>
    <w:p w14:paraId="32BE3A82" w14:textId="34E4DFC5" w:rsidR="00CE5D91" w:rsidRDefault="00CE5D91" w:rsidP="00494844">
      <w:pPr>
        <w:pStyle w:val="Geenafstand"/>
        <w:rPr>
          <w:rFonts w:ascii="Verdana" w:hAnsi="Verdana"/>
          <w:sz w:val="20"/>
          <w:szCs w:val="20"/>
        </w:rPr>
      </w:pPr>
      <w:r w:rsidRPr="00494844">
        <w:rPr>
          <w:rFonts w:ascii="Verdana" w:hAnsi="Verdana"/>
          <w:sz w:val="20"/>
          <w:szCs w:val="20"/>
        </w:rPr>
        <w:t>Bij de kwaliteitseis speelt de vraag of de zaak voldoet aan de verwachtingen die de koper op grond van de koopovereenkomst mocht hebben.</w:t>
      </w:r>
      <w:r w:rsidRPr="00494844">
        <w:rPr>
          <w:rStyle w:val="Voetnootmarkering"/>
          <w:rFonts w:ascii="Verdana" w:hAnsi="Verdana"/>
          <w:sz w:val="20"/>
          <w:szCs w:val="20"/>
        </w:rPr>
        <w:footnoteReference w:id="46"/>
      </w:r>
      <w:r w:rsidRPr="00494844">
        <w:rPr>
          <w:rFonts w:ascii="Verdana" w:hAnsi="Verdana"/>
          <w:sz w:val="20"/>
          <w:szCs w:val="20"/>
        </w:rPr>
        <w:t xml:space="preserve"> Een koper mag verwachten dat de zaak geschikt is voor normaal gebruik. Daarnaast mag de koper – indien dat tussen partijen is overeengekomen – verwachten dat de zaak bijzondere eigenschappen bezit. Een voorbeeld hiervan is de aankoop van een waterdicht horloge. De koper mag dan verwachten dat het horloge tegen een regenbui bestendig is.</w:t>
      </w:r>
      <w:r w:rsidRPr="00494844">
        <w:rPr>
          <w:rStyle w:val="Voetnootmarkering"/>
          <w:rFonts w:ascii="Verdana" w:hAnsi="Verdana"/>
          <w:sz w:val="20"/>
          <w:szCs w:val="20"/>
        </w:rPr>
        <w:footnoteReference w:id="47"/>
      </w:r>
    </w:p>
    <w:p w14:paraId="4B695AD6" w14:textId="77777777" w:rsidR="00494844" w:rsidRPr="00494844" w:rsidRDefault="00494844" w:rsidP="00494844">
      <w:pPr>
        <w:pStyle w:val="Geenafstand"/>
        <w:rPr>
          <w:rFonts w:ascii="Verdana" w:hAnsi="Verdana"/>
          <w:sz w:val="20"/>
          <w:szCs w:val="20"/>
        </w:rPr>
      </w:pPr>
    </w:p>
    <w:p w14:paraId="23C6B977" w14:textId="1557DB3F" w:rsidR="004B7E5F" w:rsidRDefault="00CE5D91" w:rsidP="00494844">
      <w:pPr>
        <w:pStyle w:val="Geenafstand"/>
        <w:rPr>
          <w:rFonts w:ascii="Verdana" w:hAnsi="Verdana"/>
          <w:sz w:val="20"/>
          <w:szCs w:val="20"/>
        </w:rPr>
      </w:pPr>
      <w:r w:rsidRPr="00494844">
        <w:rPr>
          <w:rFonts w:ascii="Verdana" w:hAnsi="Verdana"/>
          <w:sz w:val="20"/>
          <w:szCs w:val="20"/>
        </w:rPr>
        <w:t>Er is geen eenduidig antwoord te geven op de vraag wat er onder ‘normaal gebruik’ moet worden verstaan. Het spreekt voor zich dat het mogelijk moet zijn om met een stofzuiger te kunnen zuigen en dat met een auto gereden moet kunnen worden. Het grootste probleem in de praktijk is vaak de levensduur die een koper van een zaak mag verwachten</w:t>
      </w:r>
      <w:r w:rsidRPr="00494844">
        <w:rPr>
          <w:rStyle w:val="Voetnootmarkering"/>
          <w:rFonts w:ascii="Verdana" w:hAnsi="Verdana"/>
          <w:sz w:val="20"/>
          <w:szCs w:val="20"/>
        </w:rPr>
        <w:footnoteReference w:id="48"/>
      </w:r>
      <w:r w:rsidRPr="00494844">
        <w:rPr>
          <w:rFonts w:ascii="Verdana" w:hAnsi="Verdana"/>
          <w:sz w:val="20"/>
          <w:szCs w:val="20"/>
        </w:rPr>
        <w:t>. Is het bijvoorbeeld normaal dat een televisie na twee jaar niet meer werkt? De wet kent geen specifieke bepaling over de levensduur van een zaak. Daarvoor zal aansluiting moeten worden gevonden bij de opgave van fabrikanten zelf en richtlijnen over de gemiddelde levensduur van apparaten.</w:t>
      </w:r>
      <w:r w:rsidRPr="00494844">
        <w:rPr>
          <w:rStyle w:val="Voetnootmarkering"/>
          <w:rFonts w:ascii="Verdana" w:hAnsi="Verdana"/>
          <w:sz w:val="20"/>
          <w:szCs w:val="20"/>
        </w:rPr>
        <w:footnoteReference w:id="49"/>
      </w:r>
      <w:r w:rsidRPr="00494844">
        <w:rPr>
          <w:rFonts w:ascii="Verdana" w:hAnsi="Verdana"/>
          <w:sz w:val="20"/>
          <w:szCs w:val="20"/>
        </w:rPr>
        <w:t xml:space="preserve"> Zo geeft Miele bijvoorbeeld een garantie van twee jaar op alle huishoudelijke apparaten.</w:t>
      </w:r>
      <w:r w:rsidRPr="00494844">
        <w:rPr>
          <w:rStyle w:val="Voetnootmarkering"/>
          <w:rFonts w:ascii="Verdana" w:hAnsi="Verdana"/>
          <w:sz w:val="20"/>
          <w:szCs w:val="20"/>
        </w:rPr>
        <w:footnoteReference w:id="50"/>
      </w:r>
    </w:p>
    <w:p w14:paraId="6682AA38" w14:textId="3DC9183C" w:rsidR="00355846" w:rsidRDefault="00355846" w:rsidP="00494844">
      <w:pPr>
        <w:pStyle w:val="Geenafstand"/>
        <w:rPr>
          <w:rFonts w:ascii="Verdana" w:hAnsi="Verdana"/>
          <w:sz w:val="20"/>
          <w:szCs w:val="20"/>
        </w:rPr>
      </w:pPr>
    </w:p>
    <w:p w14:paraId="66B3933B" w14:textId="12242BAF" w:rsidR="00355846" w:rsidRDefault="00355846" w:rsidP="00494844">
      <w:pPr>
        <w:pStyle w:val="Geenafstand"/>
        <w:rPr>
          <w:rFonts w:ascii="Verdana" w:hAnsi="Verdana"/>
          <w:sz w:val="20"/>
          <w:szCs w:val="20"/>
        </w:rPr>
      </w:pPr>
    </w:p>
    <w:p w14:paraId="10AC859C" w14:textId="77777777" w:rsidR="00355846" w:rsidRDefault="00355846" w:rsidP="00494844">
      <w:pPr>
        <w:pStyle w:val="Geenafstand"/>
        <w:rPr>
          <w:rFonts w:ascii="Verdana" w:hAnsi="Verdana"/>
          <w:sz w:val="20"/>
          <w:szCs w:val="20"/>
        </w:rPr>
      </w:pPr>
    </w:p>
    <w:p w14:paraId="541F6280" w14:textId="77777777" w:rsidR="004B7E5F" w:rsidRDefault="004B7E5F" w:rsidP="00494844">
      <w:pPr>
        <w:pStyle w:val="Geenafstand"/>
        <w:rPr>
          <w:rFonts w:ascii="Verdana" w:hAnsi="Verdana"/>
          <w:sz w:val="20"/>
          <w:szCs w:val="20"/>
        </w:rPr>
      </w:pPr>
    </w:p>
    <w:p w14:paraId="023FABFB" w14:textId="19C5CB92" w:rsidR="00F63B13" w:rsidRDefault="00CE5D91" w:rsidP="00494844">
      <w:pPr>
        <w:pStyle w:val="Geenafstand"/>
        <w:rPr>
          <w:rFonts w:ascii="Verdana" w:hAnsi="Verdana"/>
          <w:sz w:val="20"/>
          <w:szCs w:val="20"/>
        </w:rPr>
      </w:pPr>
      <w:r w:rsidRPr="00494844">
        <w:rPr>
          <w:rFonts w:ascii="Verdana" w:hAnsi="Verdana"/>
          <w:sz w:val="20"/>
          <w:szCs w:val="20"/>
        </w:rPr>
        <w:t>De verwachtingen die de koper op grond van de overeenkomst mag hebben, hangen af van alle omstandigheden van het specifieke geval</w:t>
      </w:r>
      <w:r w:rsidRPr="00494844">
        <w:rPr>
          <w:rStyle w:val="Voetnootmarkering"/>
          <w:rFonts w:ascii="Verdana" w:hAnsi="Verdana"/>
          <w:sz w:val="20"/>
          <w:szCs w:val="20"/>
        </w:rPr>
        <w:footnoteReference w:id="51"/>
      </w:r>
      <w:r w:rsidRPr="00494844">
        <w:rPr>
          <w:rFonts w:ascii="Verdana" w:hAnsi="Verdana"/>
          <w:sz w:val="20"/>
          <w:szCs w:val="20"/>
        </w:rPr>
        <w:t>. Daarbij spelen de volgende gezichtspunten een belangrijke rol</w:t>
      </w:r>
      <w:r w:rsidRPr="00494844">
        <w:rPr>
          <w:rStyle w:val="Voetnootmarkering"/>
          <w:rFonts w:ascii="Verdana" w:hAnsi="Verdana"/>
          <w:sz w:val="20"/>
          <w:szCs w:val="20"/>
        </w:rPr>
        <w:footnoteReference w:id="52"/>
      </w:r>
      <w:r w:rsidRPr="00494844">
        <w:rPr>
          <w:rFonts w:ascii="Verdana" w:hAnsi="Verdana"/>
          <w:sz w:val="20"/>
          <w:szCs w:val="20"/>
        </w:rPr>
        <w:t>:</w:t>
      </w:r>
      <w:r w:rsidR="00F63B13">
        <w:rPr>
          <w:rFonts w:ascii="Verdana" w:hAnsi="Verdana"/>
          <w:sz w:val="20"/>
          <w:szCs w:val="20"/>
        </w:rPr>
        <w:br/>
      </w:r>
    </w:p>
    <w:p w14:paraId="4C31F6BB" w14:textId="77777777" w:rsidR="00F63B13" w:rsidRDefault="00CE5D91" w:rsidP="00494844">
      <w:pPr>
        <w:pStyle w:val="Geenafstand"/>
        <w:numPr>
          <w:ilvl w:val="0"/>
          <w:numId w:val="20"/>
        </w:numPr>
        <w:rPr>
          <w:rFonts w:ascii="Verdana" w:hAnsi="Verdana"/>
          <w:sz w:val="20"/>
          <w:szCs w:val="20"/>
        </w:rPr>
      </w:pPr>
      <w:r w:rsidRPr="00F63B13">
        <w:rPr>
          <w:rFonts w:ascii="Verdana" w:hAnsi="Verdana"/>
          <w:sz w:val="20"/>
          <w:szCs w:val="20"/>
        </w:rPr>
        <w:t>is de zaak nieuw of gebruikt?;</w:t>
      </w:r>
    </w:p>
    <w:p w14:paraId="325989E1" w14:textId="77777777" w:rsidR="00F63B13" w:rsidRDefault="00CE5D91" w:rsidP="00494844">
      <w:pPr>
        <w:pStyle w:val="Geenafstand"/>
        <w:numPr>
          <w:ilvl w:val="0"/>
          <w:numId w:val="20"/>
        </w:numPr>
        <w:rPr>
          <w:rFonts w:ascii="Verdana" w:hAnsi="Verdana"/>
          <w:sz w:val="20"/>
          <w:szCs w:val="20"/>
        </w:rPr>
      </w:pPr>
      <w:r w:rsidRPr="00F63B13">
        <w:rPr>
          <w:rFonts w:ascii="Verdana" w:hAnsi="Verdana"/>
          <w:sz w:val="20"/>
          <w:szCs w:val="20"/>
        </w:rPr>
        <w:t>is het een merkartikel of van onbekende herkomst?;</w:t>
      </w:r>
    </w:p>
    <w:p w14:paraId="2DE68D45" w14:textId="77777777" w:rsidR="00F63B13" w:rsidRDefault="00CE5D91" w:rsidP="00494844">
      <w:pPr>
        <w:pStyle w:val="Geenafstand"/>
        <w:numPr>
          <w:ilvl w:val="0"/>
          <w:numId w:val="20"/>
        </w:numPr>
        <w:rPr>
          <w:rFonts w:ascii="Verdana" w:hAnsi="Verdana"/>
          <w:sz w:val="20"/>
          <w:szCs w:val="20"/>
        </w:rPr>
      </w:pPr>
      <w:r w:rsidRPr="00F63B13">
        <w:rPr>
          <w:rFonts w:ascii="Verdana" w:hAnsi="Verdana"/>
          <w:sz w:val="20"/>
          <w:szCs w:val="20"/>
        </w:rPr>
        <w:t>waar is de zaak gekocht?;</w:t>
      </w:r>
    </w:p>
    <w:p w14:paraId="10A15EDC" w14:textId="183BCD2C" w:rsidR="00CE5D91" w:rsidRDefault="00CE5D91" w:rsidP="00494844">
      <w:pPr>
        <w:pStyle w:val="Geenafstand"/>
        <w:numPr>
          <w:ilvl w:val="0"/>
          <w:numId w:val="20"/>
        </w:numPr>
        <w:rPr>
          <w:rFonts w:ascii="Verdana" w:hAnsi="Verdana"/>
          <w:sz w:val="20"/>
          <w:szCs w:val="20"/>
        </w:rPr>
      </w:pPr>
      <w:r w:rsidRPr="00F63B13">
        <w:rPr>
          <w:rFonts w:ascii="Verdana" w:hAnsi="Verdana"/>
          <w:sz w:val="20"/>
          <w:szCs w:val="20"/>
        </w:rPr>
        <w:t>wat is de aankoopprijs?.</w:t>
      </w:r>
    </w:p>
    <w:p w14:paraId="493AC330" w14:textId="77777777" w:rsidR="00F63B13" w:rsidRPr="00F63B13" w:rsidRDefault="00F63B13" w:rsidP="00F63B13">
      <w:pPr>
        <w:pStyle w:val="Geenafstand"/>
        <w:ind w:left="720"/>
        <w:rPr>
          <w:rFonts w:ascii="Verdana" w:hAnsi="Verdana"/>
          <w:sz w:val="20"/>
          <w:szCs w:val="20"/>
        </w:rPr>
      </w:pPr>
    </w:p>
    <w:p w14:paraId="62E3AB90" w14:textId="4760E362" w:rsidR="00494844" w:rsidRDefault="00CE5D91" w:rsidP="00494844">
      <w:pPr>
        <w:pStyle w:val="Geenafstand"/>
        <w:rPr>
          <w:rFonts w:ascii="Verdana" w:hAnsi="Verdana"/>
          <w:sz w:val="20"/>
          <w:szCs w:val="20"/>
        </w:rPr>
      </w:pPr>
      <w:r w:rsidRPr="00494844">
        <w:rPr>
          <w:rFonts w:ascii="Verdana" w:hAnsi="Verdana"/>
          <w:sz w:val="20"/>
          <w:szCs w:val="20"/>
        </w:rPr>
        <w:t>Van een nieuwe zaak mag een koper meer verwachten dan een gebruikte zaak. Hetzelfde geldt voor de omstandigheden waarin de zaak is gekocht. Bij een product gekocht op de markt mag een koper minder verwachtingen hebben dan bij de koop van een product in een luxe woonwinkel.</w:t>
      </w:r>
      <w:r w:rsidRPr="00494844">
        <w:rPr>
          <w:rStyle w:val="Voetnootmarkering"/>
          <w:rFonts w:ascii="Verdana" w:hAnsi="Verdana"/>
          <w:sz w:val="20"/>
          <w:szCs w:val="20"/>
        </w:rPr>
        <w:footnoteReference w:id="53"/>
      </w:r>
      <w:r w:rsidRPr="00494844">
        <w:rPr>
          <w:rFonts w:ascii="Verdana" w:hAnsi="Verdana"/>
          <w:sz w:val="20"/>
          <w:szCs w:val="20"/>
        </w:rPr>
        <w:t xml:space="preserve"> Ook de aankoopprijs speelt een belangrijke rol: hoe hoger het aankoopbedrag, hoe meer verwachtingen de koper van de zaak mag hebben.</w:t>
      </w:r>
      <w:r w:rsidRPr="00494844">
        <w:rPr>
          <w:rStyle w:val="Voetnootmarkering"/>
          <w:rFonts w:ascii="Verdana" w:hAnsi="Verdana"/>
          <w:sz w:val="20"/>
          <w:szCs w:val="20"/>
        </w:rPr>
        <w:footnoteReference w:id="54"/>
      </w:r>
    </w:p>
    <w:p w14:paraId="6AFFEE75" w14:textId="77777777" w:rsidR="00F63B13" w:rsidRPr="00494844" w:rsidRDefault="00F63B13" w:rsidP="00494844">
      <w:pPr>
        <w:pStyle w:val="Geenafstand"/>
        <w:rPr>
          <w:rFonts w:ascii="Verdana" w:hAnsi="Verdana"/>
          <w:sz w:val="20"/>
          <w:szCs w:val="20"/>
        </w:rPr>
      </w:pPr>
    </w:p>
    <w:p w14:paraId="12A58A8C" w14:textId="47CA48B4" w:rsidR="00494844" w:rsidRPr="00494844" w:rsidRDefault="00494844" w:rsidP="00494844">
      <w:pPr>
        <w:pStyle w:val="Kop3"/>
        <w:spacing w:before="0" w:beforeAutospacing="0" w:after="0" w:afterAutospacing="0"/>
        <w:rPr>
          <w:szCs w:val="20"/>
        </w:rPr>
      </w:pPr>
      <w:bookmarkStart w:id="37" w:name="_Toc72576289"/>
      <w:r w:rsidRPr="00494844">
        <w:rPr>
          <w:szCs w:val="20"/>
        </w:rPr>
        <w:t>3.1.1.  Mededelings- en onderzoeksplicht</w:t>
      </w:r>
      <w:bookmarkEnd w:id="37"/>
    </w:p>
    <w:p w14:paraId="1B874591" w14:textId="0D557D32" w:rsidR="00494844" w:rsidRPr="00D71B51" w:rsidRDefault="00494844" w:rsidP="00494844">
      <w:pPr>
        <w:pStyle w:val="Geenafstand"/>
        <w:rPr>
          <w:rFonts w:ascii="Verdana" w:hAnsi="Verdana"/>
          <w:sz w:val="20"/>
          <w:szCs w:val="20"/>
        </w:rPr>
      </w:pPr>
      <w:bookmarkStart w:id="38" w:name="_Hlk70862262"/>
      <w:bookmarkStart w:id="39" w:name="_Hlk70862113"/>
      <w:r w:rsidRPr="00D71B51">
        <w:rPr>
          <w:rFonts w:ascii="Verdana" w:hAnsi="Verdana"/>
          <w:sz w:val="20"/>
          <w:szCs w:val="20"/>
        </w:rPr>
        <w:t xml:space="preserve">Een belangrijk onderdeel bij het vaststellen van conformiteit is zowel de onderzoeksplicht van de koper als de mededelingsplicht van de verkoper. De onderzoeksplicht volgt uit de woorden ‘waarvan hij de aanwezigheid niet behoefde te betwijfelen’ uit de slotzin van het tweede lid van artikel 7:17 BW. De mededelingsplicht van de verkoper volgt uit de woorden ‘mededelingen die de verkoper over de zaak heeft gedaan’ uit het tweede lid van artikel 7:17 BW en de woorden ‘mededelingen die door of ten behoeve van een vorige verkoper zijn gedaan’ uit het eerste lid van artikel 7:18 BW. </w:t>
      </w:r>
    </w:p>
    <w:p w14:paraId="23B0983F" w14:textId="77777777" w:rsidR="00BF22A9" w:rsidRPr="00D71B51" w:rsidRDefault="00BF22A9" w:rsidP="00494844">
      <w:pPr>
        <w:pStyle w:val="Geenafstand"/>
        <w:rPr>
          <w:rFonts w:ascii="Verdana" w:hAnsi="Verdana"/>
          <w:sz w:val="20"/>
          <w:szCs w:val="20"/>
        </w:rPr>
      </w:pPr>
    </w:p>
    <w:p w14:paraId="0B17156F" w14:textId="48CD5B63" w:rsidR="00494844" w:rsidRPr="00D71B51" w:rsidRDefault="00494844" w:rsidP="00494844">
      <w:pPr>
        <w:pStyle w:val="Geenafstand"/>
        <w:rPr>
          <w:rFonts w:ascii="Verdana" w:hAnsi="Verdana"/>
          <w:sz w:val="20"/>
          <w:szCs w:val="20"/>
        </w:rPr>
      </w:pPr>
      <w:r w:rsidRPr="00D71B51">
        <w:rPr>
          <w:rFonts w:ascii="Verdana" w:hAnsi="Verdana"/>
          <w:sz w:val="20"/>
          <w:szCs w:val="20"/>
        </w:rPr>
        <w:t>De onderzoeksplicht van de koper houdt in dat de koper, bij twijfels over de zaak, onderzoek doet naar de eigenschappen van de zaak of vragen aan de verkoper over de zaak stelt. Aanwijzingen tot twijfels kunnen zijn dat de zaak tegen een zeer lage prijs wordt verkocht of zichtbaar in een slechte staat verkeert</w:t>
      </w:r>
      <w:r w:rsidRPr="00D71B51">
        <w:rPr>
          <w:rStyle w:val="Voetnootmarkering"/>
          <w:rFonts w:ascii="Verdana" w:hAnsi="Verdana"/>
          <w:sz w:val="20"/>
          <w:szCs w:val="20"/>
        </w:rPr>
        <w:footnoteReference w:id="55"/>
      </w:r>
      <w:r w:rsidRPr="00D71B51">
        <w:rPr>
          <w:rFonts w:ascii="Verdana" w:hAnsi="Verdana"/>
          <w:sz w:val="20"/>
          <w:szCs w:val="20"/>
        </w:rPr>
        <w:t>. Als de koper zijn onderzoeksplicht niet nakomt, loopt hij het risico dat hij geen beroep meer kan doen op de non-conformiteit van de zaak.</w:t>
      </w:r>
      <w:r w:rsidRPr="00D71B51">
        <w:rPr>
          <w:rStyle w:val="Voetnootmarkering"/>
          <w:rFonts w:ascii="Verdana" w:hAnsi="Verdana"/>
          <w:sz w:val="20"/>
          <w:szCs w:val="20"/>
        </w:rPr>
        <w:footnoteReference w:id="56"/>
      </w:r>
      <w:r w:rsidRPr="00D71B51">
        <w:rPr>
          <w:rFonts w:ascii="Verdana" w:hAnsi="Verdana"/>
          <w:sz w:val="20"/>
          <w:szCs w:val="20"/>
        </w:rPr>
        <w:t xml:space="preserve"> In hoeverre de koper verder onderzoek naar de zaak dient te verrichten, hangt af van de omstandigheden van het geval. Doorgaans geldt dat een ondeskundige koper een minder grote onderzoeksplicht heeft dan een deskundige koper.</w:t>
      </w:r>
      <w:r w:rsidRPr="00D71B51">
        <w:rPr>
          <w:rStyle w:val="Voetnootmarkering"/>
          <w:rFonts w:ascii="Verdana" w:hAnsi="Verdana"/>
          <w:sz w:val="20"/>
          <w:szCs w:val="20"/>
        </w:rPr>
        <w:footnoteReference w:id="57"/>
      </w:r>
    </w:p>
    <w:p w14:paraId="0937CF24" w14:textId="77777777" w:rsidR="00BF22A9" w:rsidRPr="00D71B51" w:rsidRDefault="00BF22A9" w:rsidP="00494844">
      <w:pPr>
        <w:pStyle w:val="Geenafstand"/>
        <w:rPr>
          <w:rFonts w:ascii="Verdana" w:hAnsi="Verdana"/>
          <w:sz w:val="20"/>
          <w:szCs w:val="20"/>
        </w:rPr>
      </w:pPr>
    </w:p>
    <w:p w14:paraId="71A84F79" w14:textId="0AC11454" w:rsidR="00494844" w:rsidRPr="00D71B51" w:rsidRDefault="00494844" w:rsidP="00494844">
      <w:pPr>
        <w:pStyle w:val="Geenafstand"/>
        <w:rPr>
          <w:rFonts w:ascii="Verdana" w:hAnsi="Verdana"/>
          <w:sz w:val="20"/>
          <w:szCs w:val="20"/>
        </w:rPr>
      </w:pPr>
      <w:r w:rsidRPr="00D71B51">
        <w:rPr>
          <w:rFonts w:ascii="Verdana" w:hAnsi="Verdana"/>
          <w:sz w:val="20"/>
          <w:szCs w:val="20"/>
        </w:rPr>
        <w:t>Tegenover de onderzoeksplicht van de koper staat de mededelingsplicht van de verkoper. De verkoper dient alle informatie over de zaak aan de koper te geven. Ook als hij weet dat er een defect aan de zaak is. In dit geval heeft de verkoper een spreekplicht: dat is de plicht om gebreken die hij kent of behoort te kennen van de zaak aan de koper mede te delen.</w:t>
      </w:r>
      <w:r w:rsidRPr="00D71B51">
        <w:rPr>
          <w:rStyle w:val="Voetnootmarkering"/>
          <w:rFonts w:ascii="Verdana" w:hAnsi="Verdana"/>
          <w:sz w:val="20"/>
          <w:szCs w:val="20"/>
        </w:rPr>
        <w:footnoteReference w:id="58"/>
      </w:r>
    </w:p>
    <w:p w14:paraId="07A0E7B1" w14:textId="77777777" w:rsidR="00494844" w:rsidRPr="00D71B51" w:rsidRDefault="00494844" w:rsidP="00494844">
      <w:pPr>
        <w:pStyle w:val="Geenafstand"/>
        <w:rPr>
          <w:rFonts w:ascii="Verdana" w:hAnsi="Verdana"/>
          <w:sz w:val="20"/>
          <w:szCs w:val="20"/>
        </w:rPr>
      </w:pPr>
    </w:p>
    <w:p w14:paraId="03BF897D" w14:textId="2F6EAF16" w:rsidR="00355846" w:rsidRDefault="00494844" w:rsidP="00494844">
      <w:pPr>
        <w:pStyle w:val="Geenafstand"/>
        <w:rPr>
          <w:rFonts w:ascii="Verdana" w:hAnsi="Verdana"/>
          <w:sz w:val="20"/>
          <w:szCs w:val="20"/>
        </w:rPr>
      </w:pPr>
      <w:r w:rsidRPr="00D71B51">
        <w:rPr>
          <w:rFonts w:ascii="Verdana" w:hAnsi="Verdana"/>
          <w:sz w:val="20"/>
          <w:szCs w:val="20"/>
        </w:rPr>
        <w:t>De mededelingsplicht gaat vóór op de onderzoeksplicht van de koper.</w:t>
      </w:r>
      <w:r w:rsidRPr="00D71B51">
        <w:rPr>
          <w:rStyle w:val="Voetnootmarkering"/>
          <w:rFonts w:ascii="Verdana" w:hAnsi="Verdana"/>
          <w:sz w:val="20"/>
          <w:szCs w:val="20"/>
        </w:rPr>
        <w:footnoteReference w:id="59"/>
      </w:r>
      <w:r w:rsidRPr="00D71B51">
        <w:rPr>
          <w:rFonts w:ascii="Verdana" w:hAnsi="Verdana"/>
          <w:sz w:val="20"/>
          <w:szCs w:val="20"/>
        </w:rPr>
        <w:t xml:space="preserve"> Dat betekent dat als een verkoper een mededeling over de zaak doet, de koper af mag gaan op de juistheid daarvan. De koper hoeft dan niet extra onderzoek te doen naar de juistheid van de mededeling of toegezegde eigenschap.</w:t>
      </w:r>
      <w:bookmarkEnd w:id="38"/>
    </w:p>
    <w:p w14:paraId="443FB83B" w14:textId="6903375C" w:rsidR="00355846" w:rsidRDefault="00355846" w:rsidP="00494844">
      <w:pPr>
        <w:pStyle w:val="Geenafstand"/>
        <w:rPr>
          <w:rFonts w:ascii="Verdana" w:hAnsi="Verdana"/>
          <w:sz w:val="20"/>
          <w:szCs w:val="20"/>
        </w:rPr>
      </w:pPr>
    </w:p>
    <w:p w14:paraId="3B6FAAED" w14:textId="45FD0C28" w:rsidR="00355846" w:rsidRDefault="00355846" w:rsidP="00494844">
      <w:pPr>
        <w:pStyle w:val="Geenafstand"/>
        <w:rPr>
          <w:rFonts w:ascii="Verdana" w:hAnsi="Verdana"/>
          <w:sz w:val="20"/>
          <w:szCs w:val="20"/>
        </w:rPr>
      </w:pPr>
    </w:p>
    <w:p w14:paraId="17C82E01" w14:textId="77777777" w:rsidR="00355846" w:rsidRPr="00D71B51" w:rsidRDefault="00355846" w:rsidP="00494844">
      <w:pPr>
        <w:pStyle w:val="Geenafstand"/>
        <w:rPr>
          <w:rFonts w:ascii="Verdana" w:hAnsi="Verdana"/>
          <w:sz w:val="20"/>
          <w:szCs w:val="20"/>
        </w:rPr>
      </w:pPr>
    </w:p>
    <w:p w14:paraId="7FE7ED0B" w14:textId="77777777" w:rsidR="00F63B13" w:rsidRPr="00D71B51" w:rsidRDefault="00F63B13" w:rsidP="00494844">
      <w:pPr>
        <w:pStyle w:val="Geenafstand"/>
        <w:rPr>
          <w:rFonts w:ascii="Verdana" w:hAnsi="Verdana"/>
          <w:sz w:val="20"/>
          <w:szCs w:val="20"/>
        </w:rPr>
      </w:pPr>
    </w:p>
    <w:p w14:paraId="0341C2E4" w14:textId="77777777" w:rsidR="00494844" w:rsidRPr="00D71B51" w:rsidRDefault="00494844" w:rsidP="00494844">
      <w:pPr>
        <w:pStyle w:val="Geenafstand"/>
        <w:rPr>
          <w:rFonts w:ascii="Verdana" w:hAnsi="Verdana"/>
          <w:sz w:val="20"/>
          <w:szCs w:val="20"/>
        </w:rPr>
      </w:pPr>
      <w:r w:rsidRPr="00D71B51">
        <w:rPr>
          <w:rFonts w:ascii="Verdana" w:hAnsi="Verdana"/>
          <w:sz w:val="20"/>
          <w:szCs w:val="20"/>
        </w:rPr>
        <w:lastRenderedPageBreak/>
        <w:t>Bij consumentenkoop geldt – als extra bescherming – dat de mededelingen van vorige verkopers ook behoren tot de eigenschappen die de consument van de zaak mag verwachten.</w:t>
      </w:r>
      <w:r w:rsidRPr="00D71B51">
        <w:rPr>
          <w:rStyle w:val="Voetnootmarkering"/>
          <w:rFonts w:ascii="Verdana" w:hAnsi="Verdana"/>
          <w:sz w:val="20"/>
          <w:szCs w:val="20"/>
        </w:rPr>
        <w:footnoteReference w:id="60"/>
      </w:r>
      <w:r w:rsidRPr="00D71B51">
        <w:rPr>
          <w:rFonts w:ascii="Verdana" w:hAnsi="Verdana"/>
          <w:sz w:val="20"/>
          <w:szCs w:val="20"/>
        </w:rPr>
        <w:t xml:space="preserve"> Hierbij kan gedacht worden aan reclame-uitingen van de fabrikant van het product.  </w:t>
      </w:r>
    </w:p>
    <w:bookmarkEnd w:id="39"/>
    <w:p w14:paraId="5C988D6E" w14:textId="75999D2C" w:rsidR="00494844" w:rsidRPr="00D71B51" w:rsidRDefault="00494844" w:rsidP="00494844">
      <w:pPr>
        <w:spacing w:after="0"/>
      </w:pPr>
    </w:p>
    <w:p w14:paraId="14B86950" w14:textId="733BE653" w:rsidR="00F63B13" w:rsidRPr="00F63B13" w:rsidRDefault="00F63B13" w:rsidP="00F63B13">
      <w:pPr>
        <w:pStyle w:val="Kop3"/>
        <w:spacing w:before="0" w:beforeAutospacing="0" w:after="0" w:afterAutospacing="0"/>
        <w:rPr>
          <w:szCs w:val="20"/>
        </w:rPr>
      </w:pPr>
      <w:bookmarkStart w:id="40" w:name="_Toc72576290"/>
      <w:r w:rsidRPr="00F63B13">
        <w:rPr>
          <w:szCs w:val="20"/>
        </w:rPr>
        <w:t>3.1.2. Klachtplicht</w:t>
      </w:r>
      <w:bookmarkEnd w:id="40"/>
      <w:r w:rsidRPr="00F63B13">
        <w:rPr>
          <w:szCs w:val="20"/>
        </w:rPr>
        <w:t xml:space="preserve"> </w:t>
      </w:r>
    </w:p>
    <w:p w14:paraId="15A604A7" w14:textId="5C6263CF" w:rsidR="00F63B13" w:rsidRPr="00F63B13" w:rsidRDefault="00F63B13" w:rsidP="00F63B13">
      <w:pPr>
        <w:pStyle w:val="Geenafstand"/>
        <w:rPr>
          <w:rFonts w:ascii="Verdana" w:hAnsi="Verdana"/>
          <w:sz w:val="20"/>
          <w:szCs w:val="20"/>
        </w:rPr>
      </w:pPr>
      <w:r w:rsidRPr="00F63B13">
        <w:rPr>
          <w:rFonts w:ascii="Verdana" w:hAnsi="Verdana"/>
          <w:sz w:val="20"/>
          <w:szCs w:val="20"/>
        </w:rPr>
        <w:t>De koper kan geen beroep meer doen op non-conformiteit als hij niet tijdig klaagt.</w:t>
      </w:r>
      <w:r w:rsidRPr="00F63B13">
        <w:rPr>
          <w:rStyle w:val="Voetnootmarkering"/>
          <w:rFonts w:ascii="Verdana" w:hAnsi="Verdana"/>
          <w:sz w:val="20"/>
          <w:szCs w:val="20"/>
        </w:rPr>
        <w:footnoteReference w:id="61"/>
      </w:r>
      <w:r w:rsidRPr="00F63B13">
        <w:rPr>
          <w:rFonts w:ascii="Verdana" w:hAnsi="Verdana"/>
          <w:sz w:val="20"/>
          <w:szCs w:val="20"/>
        </w:rPr>
        <w:t xml:space="preserve"> Na ontdekking van het gebrek dient de koper de verkoper zo snel mogelijk in kennis te stellen van het gebrek. Bij consumentenkoop geldt dat een klachttermijn van twee maanden na ontdekking van het gebrek redelijk wordt geacht.</w:t>
      </w:r>
      <w:r w:rsidRPr="00F63B13">
        <w:rPr>
          <w:rStyle w:val="Voetnootmarkering"/>
          <w:rFonts w:ascii="Verdana" w:hAnsi="Verdana"/>
          <w:sz w:val="20"/>
          <w:szCs w:val="20"/>
        </w:rPr>
        <w:footnoteReference w:id="62"/>
      </w:r>
    </w:p>
    <w:p w14:paraId="459BD331" w14:textId="77777777" w:rsidR="00F63B13" w:rsidRPr="00F63B13" w:rsidRDefault="00F63B13" w:rsidP="00F63B13">
      <w:pPr>
        <w:pStyle w:val="Geenafstand"/>
        <w:rPr>
          <w:rFonts w:ascii="Verdana" w:hAnsi="Verdana"/>
          <w:sz w:val="20"/>
          <w:szCs w:val="20"/>
        </w:rPr>
      </w:pPr>
    </w:p>
    <w:p w14:paraId="79B61CD1" w14:textId="196AA1A4" w:rsidR="00F63B13" w:rsidRPr="00F63B13" w:rsidRDefault="00F63B13" w:rsidP="00F63B13">
      <w:pPr>
        <w:pStyle w:val="Kop3"/>
        <w:spacing w:before="0" w:beforeAutospacing="0" w:after="0" w:afterAutospacing="0"/>
        <w:contextualSpacing/>
        <w:rPr>
          <w:szCs w:val="20"/>
        </w:rPr>
      </w:pPr>
      <w:bookmarkStart w:id="41" w:name="_Toc72576291"/>
      <w:r w:rsidRPr="00F63B13">
        <w:rPr>
          <w:szCs w:val="20"/>
        </w:rPr>
        <w:t>3.1.3. Bewijsvermoeden</w:t>
      </w:r>
      <w:bookmarkEnd w:id="41"/>
    </w:p>
    <w:p w14:paraId="567DFECA" w14:textId="77777777" w:rsidR="00F63B13" w:rsidRPr="00F63B13" w:rsidRDefault="00F63B13" w:rsidP="00F63B13">
      <w:pPr>
        <w:pStyle w:val="Geenafstand"/>
        <w:rPr>
          <w:rFonts w:ascii="Verdana" w:hAnsi="Verdana"/>
          <w:sz w:val="20"/>
          <w:szCs w:val="20"/>
        </w:rPr>
      </w:pPr>
      <w:r w:rsidRPr="00F63B13">
        <w:rPr>
          <w:rFonts w:ascii="Verdana" w:hAnsi="Verdana"/>
          <w:sz w:val="20"/>
          <w:szCs w:val="20"/>
        </w:rPr>
        <w:t>In beginsel draagt de koper bij non-conformiteit de bewijslast.</w:t>
      </w:r>
      <w:r w:rsidRPr="00F63B13">
        <w:rPr>
          <w:rStyle w:val="Voetnootmarkering"/>
          <w:rFonts w:ascii="Verdana" w:hAnsi="Verdana"/>
          <w:sz w:val="20"/>
          <w:szCs w:val="20"/>
        </w:rPr>
        <w:footnoteReference w:id="63"/>
      </w:r>
      <w:r w:rsidRPr="00F63B13">
        <w:rPr>
          <w:rFonts w:ascii="Verdana" w:hAnsi="Verdana"/>
          <w:sz w:val="20"/>
          <w:szCs w:val="20"/>
        </w:rPr>
        <w:t xml:space="preserve"> Het is dan aan de koper om te bewijzen dat het product al bij aankoop gebrekkig was. Bij consumentenkoop geniet de consument wel een bijzondere bescherming. Als het gebrek binnen zes maanden na aankoop ontstaat, treedt namelijk het bewijsvermoeden in.</w:t>
      </w:r>
      <w:r w:rsidRPr="00F63B13">
        <w:rPr>
          <w:rStyle w:val="Voetnootmarkering"/>
          <w:rFonts w:ascii="Verdana" w:hAnsi="Verdana"/>
          <w:sz w:val="20"/>
          <w:szCs w:val="20"/>
        </w:rPr>
        <w:footnoteReference w:id="64"/>
      </w:r>
      <w:r w:rsidRPr="00F63B13">
        <w:rPr>
          <w:rFonts w:ascii="Verdana" w:hAnsi="Verdana"/>
          <w:sz w:val="20"/>
          <w:szCs w:val="20"/>
        </w:rPr>
        <w:t xml:space="preserve"> Het is dan aan de verkoper om aan te tonen dat het gebrek pas na aflevering van de zaak is ontstaan.</w:t>
      </w:r>
      <w:r w:rsidRPr="00F63B13">
        <w:rPr>
          <w:rStyle w:val="Voetnootmarkering"/>
          <w:rFonts w:ascii="Verdana" w:hAnsi="Verdana"/>
          <w:sz w:val="20"/>
          <w:szCs w:val="20"/>
        </w:rPr>
        <w:footnoteReference w:id="65"/>
      </w:r>
      <w:r w:rsidRPr="00F63B13">
        <w:rPr>
          <w:rFonts w:ascii="Verdana" w:hAnsi="Verdana"/>
          <w:sz w:val="20"/>
          <w:szCs w:val="20"/>
        </w:rPr>
        <w:t xml:space="preserve"> De consument hoeft enkel het bestaan van het gebrek te bewijzen (‘De wasmachine werkt niet meer, want hij gaat niet meer aan’).</w:t>
      </w:r>
      <w:r w:rsidRPr="00F63B13">
        <w:rPr>
          <w:rStyle w:val="Voetnootmarkering"/>
          <w:rFonts w:ascii="Verdana" w:hAnsi="Verdana"/>
          <w:sz w:val="20"/>
          <w:szCs w:val="20"/>
        </w:rPr>
        <w:footnoteReference w:id="66"/>
      </w:r>
      <w:r w:rsidRPr="00F63B13">
        <w:rPr>
          <w:rFonts w:ascii="Verdana" w:hAnsi="Verdana"/>
          <w:sz w:val="20"/>
          <w:szCs w:val="20"/>
        </w:rPr>
        <w:t xml:space="preserve"> De verkoper zal dan moeten aantonen dat het apparaat niet meer werkt door het handelen of nalaten van de consument.</w:t>
      </w:r>
    </w:p>
    <w:p w14:paraId="1E13AA9F" w14:textId="77777777" w:rsidR="00CB6B20" w:rsidRDefault="00CB6B20" w:rsidP="00F63B13">
      <w:pPr>
        <w:pStyle w:val="Geenafstand"/>
        <w:rPr>
          <w:rFonts w:ascii="Verdana" w:hAnsi="Verdana"/>
          <w:sz w:val="20"/>
          <w:szCs w:val="20"/>
        </w:rPr>
      </w:pPr>
    </w:p>
    <w:p w14:paraId="4CCB3100" w14:textId="7159D37F" w:rsidR="00F63B13" w:rsidRDefault="00F63B13" w:rsidP="00F63B13">
      <w:pPr>
        <w:pStyle w:val="Geenafstand"/>
        <w:rPr>
          <w:rFonts w:ascii="Verdana" w:hAnsi="Verdana"/>
          <w:sz w:val="20"/>
          <w:szCs w:val="20"/>
        </w:rPr>
      </w:pPr>
      <w:r w:rsidRPr="00F63B13">
        <w:rPr>
          <w:rFonts w:ascii="Verdana" w:hAnsi="Verdana"/>
          <w:sz w:val="20"/>
          <w:szCs w:val="20"/>
        </w:rPr>
        <w:t>Er gelden uitzonderingen op het bewijsvermoeden.</w:t>
      </w:r>
      <w:r w:rsidRPr="00F63B13">
        <w:rPr>
          <w:rStyle w:val="Voetnootmarkering"/>
          <w:rFonts w:ascii="Verdana" w:hAnsi="Verdana"/>
          <w:sz w:val="20"/>
          <w:szCs w:val="20"/>
        </w:rPr>
        <w:footnoteReference w:id="67"/>
      </w:r>
      <w:r w:rsidRPr="00F63B13">
        <w:rPr>
          <w:rFonts w:ascii="Verdana" w:hAnsi="Verdana"/>
          <w:sz w:val="20"/>
          <w:szCs w:val="20"/>
        </w:rPr>
        <w:t xml:space="preserve"> Het bewijsvermoeden geldt niet als de aard van de zaak of de aard van de afwijking zich daartegen verzet. Bij de aard van de zaak gaat het om bederfelijke waar. Bij de aard van de afwijking zal het vaak gaan om val- en stootschade.</w:t>
      </w:r>
      <w:r w:rsidRPr="00F63B13">
        <w:rPr>
          <w:rStyle w:val="Voetnootmarkering"/>
          <w:rFonts w:ascii="Verdana" w:hAnsi="Verdana"/>
          <w:sz w:val="20"/>
          <w:szCs w:val="20"/>
        </w:rPr>
        <w:footnoteReference w:id="68"/>
      </w:r>
      <w:r w:rsidRPr="00F63B13">
        <w:rPr>
          <w:rFonts w:ascii="Verdana" w:hAnsi="Verdana"/>
          <w:sz w:val="20"/>
          <w:szCs w:val="20"/>
        </w:rPr>
        <w:t xml:space="preserve"> In deze gevallen geldt de hoofdregel in het bewijsrecht: wie stelt, bewijst.</w:t>
      </w:r>
      <w:r w:rsidRPr="00F63B13">
        <w:rPr>
          <w:rStyle w:val="Voetnootmarkering"/>
          <w:rFonts w:ascii="Verdana" w:hAnsi="Verdana"/>
          <w:sz w:val="20"/>
          <w:szCs w:val="20"/>
        </w:rPr>
        <w:footnoteReference w:id="69"/>
      </w:r>
    </w:p>
    <w:p w14:paraId="3EB9227E" w14:textId="77777777" w:rsidR="00F63B13" w:rsidRPr="00F63B13" w:rsidRDefault="00F63B13" w:rsidP="00F63B13">
      <w:pPr>
        <w:pStyle w:val="Geenafstand"/>
        <w:rPr>
          <w:rFonts w:ascii="Verdana" w:hAnsi="Verdana"/>
          <w:sz w:val="20"/>
          <w:szCs w:val="20"/>
        </w:rPr>
      </w:pPr>
    </w:p>
    <w:p w14:paraId="02AAC1A3" w14:textId="3AC8EFAD" w:rsidR="00F63B13" w:rsidRDefault="00F63B13" w:rsidP="00F63B13">
      <w:pPr>
        <w:pStyle w:val="Kop2"/>
        <w:spacing w:before="0"/>
        <w:contextualSpacing/>
      </w:pPr>
      <w:bookmarkStart w:id="42" w:name="_Toc72576292"/>
      <w:r>
        <w:t>3.2. Conformiteit volgens Richtlijn 2019/771</w:t>
      </w:r>
      <w:bookmarkEnd w:id="42"/>
    </w:p>
    <w:p w14:paraId="36BFDB84" w14:textId="1F3C1117" w:rsidR="00F63B13" w:rsidRDefault="00F63B13" w:rsidP="00F63B13">
      <w:pPr>
        <w:pStyle w:val="Geenafstand"/>
        <w:rPr>
          <w:rFonts w:ascii="Verdana" w:hAnsi="Verdana"/>
          <w:sz w:val="20"/>
          <w:szCs w:val="20"/>
        </w:rPr>
      </w:pPr>
      <w:r w:rsidRPr="00F63B13">
        <w:rPr>
          <w:rFonts w:ascii="Verdana" w:hAnsi="Verdana"/>
          <w:sz w:val="20"/>
          <w:szCs w:val="20"/>
        </w:rPr>
        <w:t>De essentie van de conformiteitsbepalingen blijft hetzelfde: de verkoper dient een zaak te leveren die aan de overeenkomst beantwoordt. In de Richtlijn worden de conformiteitsbepalingen – ten opzichte van het huidige Nederlandse recht – met negen bepalingen over zowel de vaststelling als gevolgen van non-conformiteit uitgebreid.</w:t>
      </w:r>
      <w:r w:rsidRPr="00F63B13">
        <w:rPr>
          <w:rStyle w:val="Voetnootmarkering"/>
          <w:rFonts w:ascii="Verdana" w:hAnsi="Verdana"/>
          <w:sz w:val="20"/>
          <w:szCs w:val="20"/>
        </w:rPr>
        <w:footnoteReference w:id="70"/>
      </w:r>
      <w:r w:rsidRPr="00F63B13">
        <w:rPr>
          <w:rFonts w:ascii="Verdana" w:hAnsi="Verdana"/>
          <w:sz w:val="20"/>
          <w:szCs w:val="20"/>
        </w:rPr>
        <w:t xml:space="preserve"> De belangrijkste veranderingen voor de vaststelling van non-conformiteit worden hieronder besproken.</w:t>
      </w:r>
      <w:r>
        <w:rPr>
          <w:rFonts w:ascii="Verdana" w:hAnsi="Verdana"/>
          <w:sz w:val="20"/>
          <w:szCs w:val="20"/>
        </w:rPr>
        <w:br/>
      </w:r>
    </w:p>
    <w:p w14:paraId="424F6EAF" w14:textId="34B0361B" w:rsidR="00F63B13" w:rsidRDefault="00F63B13" w:rsidP="00F63B13">
      <w:pPr>
        <w:pStyle w:val="Kop3"/>
        <w:spacing w:before="0" w:beforeAutospacing="0" w:after="0" w:afterAutospacing="0"/>
      </w:pPr>
      <w:bookmarkStart w:id="43" w:name="_Toc72576293"/>
      <w:r>
        <w:t>3.2.1. Objectieve en subjectieve conformiteit</w:t>
      </w:r>
      <w:bookmarkEnd w:id="43"/>
    </w:p>
    <w:p w14:paraId="02D0449A" w14:textId="212FA5C2" w:rsidR="00F63B13" w:rsidRDefault="00F63B13" w:rsidP="00F63B13">
      <w:pPr>
        <w:pStyle w:val="Geenafstand"/>
        <w:rPr>
          <w:rFonts w:ascii="Verdana" w:hAnsi="Verdana"/>
          <w:sz w:val="20"/>
          <w:szCs w:val="20"/>
        </w:rPr>
      </w:pPr>
      <w:r w:rsidRPr="00F63B13">
        <w:rPr>
          <w:rFonts w:ascii="Verdana" w:hAnsi="Verdana"/>
          <w:sz w:val="20"/>
          <w:szCs w:val="20"/>
        </w:rPr>
        <w:t>Nieuw is dat de Richtlijn onderscheid maakt tussen objectieve en subjectieve conformiteit.</w:t>
      </w:r>
      <w:r w:rsidRPr="00F63B13">
        <w:rPr>
          <w:rStyle w:val="Voetnootmarkering"/>
          <w:rFonts w:ascii="Verdana" w:hAnsi="Verdana"/>
          <w:sz w:val="20"/>
          <w:szCs w:val="20"/>
        </w:rPr>
        <w:footnoteReference w:id="71"/>
      </w:r>
      <w:r w:rsidRPr="00F63B13">
        <w:rPr>
          <w:rFonts w:ascii="Verdana" w:hAnsi="Verdana"/>
          <w:sz w:val="20"/>
          <w:szCs w:val="20"/>
        </w:rPr>
        <w:t xml:space="preserve"> Bij subjectieve conformiteit gaat het om wat partijen met elkaar zijn overeengekomen (‘partijen komen overeen dat er een blauwe fiets wordt geleverd’). De objectieve conformiteit gaat over wat normale eigenschappen zijn van soortgelijke producten (‘met een fiets kun je fietsen’).</w:t>
      </w:r>
    </w:p>
    <w:p w14:paraId="3BF6D839" w14:textId="07D1C6E5" w:rsidR="00355846" w:rsidRDefault="00355846" w:rsidP="00F63B13">
      <w:pPr>
        <w:pStyle w:val="Geenafstand"/>
        <w:rPr>
          <w:rFonts w:ascii="Verdana" w:hAnsi="Verdana"/>
          <w:sz w:val="20"/>
          <w:szCs w:val="20"/>
        </w:rPr>
      </w:pPr>
    </w:p>
    <w:p w14:paraId="15C7FDE9" w14:textId="77777777" w:rsidR="00355846" w:rsidRDefault="00355846" w:rsidP="00F63B13">
      <w:pPr>
        <w:pStyle w:val="Geenafstand"/>
        <w:rPr>
          <w:rFonts w:ascii="Verdana" w:hAnsi="Verdana"/>
          <w:sz w:val="20"/>
          <w:szCs w:val="20"/>
        </w:rPr>
      </w:pPr>
    </w:p>
    <w:p w14:paraId="11437A1F" w14:textId="77777777" w:rsidR="004B7E5F" w:rsidRPr="00F63B13" w:rsidRDefault="004B7E5F" w:rsidP="00F63B13">
      <w:pPr>
        <w:pStyle w:val="Geenafstand"/>
        <w:rPr>
          <w:rFonts w:ascii="Verdana" w:hAnsi="Verdana"/>
          <w:sz w:val="20"/>
          <w:szCs w:val="20"/>
        </w:rPr>
      </w:pPr>
    </w:p>
    <w:p w14:paraId="23E5C78B" w14:textId="3F8FEBAB" w:rsidR="00FA352C" w:rsidRDefault="00F63B13" w:rsidP="00F63B13">
      <w:pPr>
        <w:pStyle w:val="Geenafstand"/>
        <w:rPr>
          <w:rFonts w:ascii="Verdana" w:hAnsi="Verdana"/>
          <w:sz w:val="20"/>
          <w:szCs w:val="20"/>
        </w:rPr>
      </w:pPr>
      <w:r w:rsidRPr="00F63B13">
        <w:rPr>
          <w:rFonts w:ascii="Verdana" w:hAnsi="Verdana"/>
          <w:sz w:val="20"/>
          <w:szCs w:val="20"/>
        </w:rPr>
        <w:lastRenderedPageBreak/>
        <w:t>De subjectieve conformiteitsvereisten worden straks in het eerste lid van artikel 7:18 BW opgenomen.</w:t>
      </w:r>
      <w:r w:rsidRPr="00F63B13">
        <w:rPr>
          <w:rStyle w:val="Voetnootmarkering"/>
          <w:rFonts w:ascii="Verdana" w:hAnsi="Verdana"/>
          <w:sz w:val="20"/>
          <w:szCs w:val="20"/>
        </w:rPr>
        <w:footnoteReference w:id="72"/>
      </w:r>
      <w:r w:rsidRPr="00F63B13">
        <w:rPr>
          <w:rFonts w:ascii="Verdana" w:hAnsi="Verdana"/>
          <w:sz w:val="20"/>
          <w:szCs w:val="20"/>
        </w:rPr>
        <w:t xml:space="preserve"> De subjectieve eis specificeert – in tegenstelling tot het huidige recht – welke aspecten van de zaak in overeenstemming met de koopovereenkomst behoren te zijn. </w:t>
      </w:r>
    </w:p>
    <w:p w14:paraId="0F50D9F0" w14:textId="77777777" w:rsidR="00FA352C" w:rsidRDefault="00FA352C" w:rsidP="00F63B13">
      <w:pPr>
        <w:pStyle w:val="Geenafstand"/>
        <w:rPr>
          <w:rFonts w:ascii="Verdana" w:hAnsi="Verdana"/>
          <w:sz w:val="20"/>
          <w:szCs w:val="20"/>
        </w:rPr>
      </w:pPr>
    </w:p>
    <w:p w14:paraId="6F9EFDFC" w14:textId="25C293E3" w:rsidR="00F63B13" w:rsidRPr="00FA352C" w:rsidRDefault="00F63B13" w:rsidP="00F63B13">
      <w:pPr>
        <w:pStyle w:val="Geenafstand"/>
        <w:rPr>
          <w:rFonts w:ascii="Verdana" w:hAnsi="Verdana"/>
          <w:sz w:val="20"/>
          <w:szCs w:val="20"/>
        </w:rPr>
      </w:pPr>
      <w:r w:rsidRPr="00F63B13">
        <w:rPr>
          <w:rFonts w:ascii="Verdana" w:hAnsi="Verdana"/>
          <w:sz w:val="20"/>
          <w:szCs w:val="20"/>
        </w:rPr>
        <w:t xml:space="preserve">Een zaak dient het juiste type, hoeveelheid en kwaliteit, functionaliteit, comptabiliteit, en </w:t>
      </w:r>
      <w:r w:rsidRPr="00F63B13">
        <w:rPr>
          <w:rFonts w:ascii="Verdana" w:hAnsi="Verdana"/>
          <w:color w:val="000000" w:themeColor="text1"/>
          <w:sz w:val="20"/>
          <w:szCs w:val="20"/>
        </w:rPr>
        <w:t>interoperabiliteit</w:t>
      </w:r>
      <w:r w:rsidRPr="00F63B13">
        <w:rPr>
          <w:rFonts w:ascii="Verdana" w:hAnsi="Verdana"/>
          <w:sz w:val="20"/>
          <w:szCs w:val="20"/>
        </w:rPr>
        <w:t xml:space="preserve"> te hebben om aan de overeenkomst te voldoen.</w:t>
      </w:r>
      <w:r w:rsidRPr="00F63B13">
        <w:rPr>
          <w:rStyle w:val="Voetnootmarkering"/>
          <w:rFonts w:ascii="Verdana" w:hAnsi="Verdana"/>
          <w:sz w:val="20"/>
          <w:szCs w:val="20"/>
        </w:rPr>
        <w:footnoteReference w:id="73"/>
      </w:r>
      <w:r w:rsidR="00FA352C">
        <w:rPr>
          <w:rFonts w:ascii="Verdana" w:hAnsi="Verdana"/>
          <w:sz w:val="20"/>
          <w:szCs w:val="20"/>
        </w:rPr>
        <w:t xml:space="preserve"> </w:t>
      </w:r>
      <w:r w:rsidRPr="00F63B13">
        <w:rPr>
          <w:rFonts w:ascii="Verdana" w:hAnsi="Verdana"/>
          <w:sz w:val="20"/>
          <w:szCs w:val="20"/>
        </w:rPr>
        <w:t xml:space="preserve">Dat betekent dat een zaak dient </w:t>
      </w:r>
      <w:r w:rsidRPr="00F63B13">
        <w:rPr>
          <w:rFonts w:ascii="Verdana" w:hAnsi="Verdana"/>
          <w:bCs/>
          <w:sz w:val="20"/>
          <w:szCs w:val="20"/>
        </w:rPr>
        <w:t>te beschikken over eigenschappen die nodig zijn om te functioneren (functionaliteit</w:t>
      </w:r>
      <w:r w:rsidRPr="00F63B13">
        <w:rPr>
          <w:rStyle w:val="Voetnootmarkering"/>
          <w:rFonts w:ascii="Verdana" w:hAnsi="Verdana"/>
          <w:bCs/>
          <w:sz w:val="20"/>
          <w:szCs w:val="20"/>
        </w:rPr>
        <w:footnoteReference w:id="74"/>
      </w:r>
      <w:r w:rsidRPr="00F63B13">
        <w:rPr>
          <w:rFonts w:ascii="Verdana" w:hAnsi="Verdana"/>
          <w:bCs/>
          <w:sz w:val="20"/>
          <w:szCs w:val="20"/>
        </w:rPr>
        <w:t>) en hetzelfde vermogen als eenzelfde soort zaak te hebben (interoperabiliteit</w:t>
      </w:r>
      <w:r w:rsidRPr="00F63B13">
        <w:rPr>
          <w:rStyle w:val="Voetnootmarkering"/>
          <w:rFonts w:ascii="Verdana" w:hAnsi="Verdana"/>
          <w:bCs/>
          <w:sz w:val="20"/>
          <w:szCs w:val="20"/>
        </w:rPr>
        <w:footnoteReference w:id="75"/>
      </w:r>
      <w:r w:rsidRPr="00F63B13">
        <w:rPr>
          <w:rFonts w:ascii="Verdana" w:hAnsi="Verdana"/>
          <w:bCs/>
          <w:sz w:val="20"/>
          <w:szCs w:val="20"/>
        </w:rPr>
        <w:t>), zonder dat er iets moet worden omgezet of veranderd (compatibiliteit</w:t>
      </w:r>
      <w:r w:rsidRPr="00F63B13">
        <w:rPr>
          <w:rStyle w:val="Voetnootmarkering"/>
          <w:rFonts w:ascii="Verdana" w:hAnsi="Verdana"/>
          <w:bCs/>
          <w:sz w:val="20"/>
          <w:szCs w:val="20"/>
        </w:rPr>
        <w:footnoteReference w:id="76"/>
      </w:r>
      <w:r w:rsidRPr="00F63B13">
        <w:rPr>
          <w:rFonts w:ascii="Verdana" w:hAnsi="Verdana"/>
          <w:bCs/>
          <w:sz w:val="20"/>
          <w:szCs w:val="20"/>
        </w:rPr>
        <w:t>). Daarnaast dient de zaak ook de eigenschappen te bezitten die voor het sluiten van de overeenkomst zijn afgesproken.</w:t>
      </w:r>
      <w:r w:rsidRPr="00F63B13">
        <w:rPr>
          <w:rStyle w:val="Voetnootmarkering"/>
          <w:rFonts w:ascii="Verdana" w:hAnsi="Verdana"/>
          <w:bCs/>
          <w:sz w:val="20"/>
          <w:szCs w:val="20"/>
        </w:rPr>
        <w:footnoteReference w:id="77"/>
      </w:r>
    </w:p>
    <w:p w14:paraId="2524B915" w14:textId="77777777" w:rsidR="00F63B13" w:rsidRPr="00F63B13" w:rsidRDefault="00F63B13" w:rsidP="00F63B13">
      <w:pPr>
        <w:pStyle w:val="Geenafstand"/>
        <w:rPr>
          <w:rFonts w:ascii="Verdana" w:hAnsi="Verdana"/>
          <w:bCs/>
          <w:sz w:val="20"/>
          <w:szCs w:val="20"/>
        </w:rPr>
      </w:pPr>
    </w:p>
    <w:p w14:paraId="41828F14" w14:textId="0CDD2064" w:rsidR="00F63B13" w:rsidRDefault="00F63B13" w:rsidP="00F63B13">
      <w:pPr>
        <w:pStyle w:val="Geenafstand"/>
        <w:rPr>
          <w:rFonts w:ascii="Verdana" w:hAnsi="Verdana"/>
          <w:bCs/>
          <w:sz w:val="20"/>
          <w:szCs w:val="20"/>
        </w:rPr>
      </w:pPr>
      <w:r w:rsidRPr="00F63B13">
        <w:rPr>
          <w:rFonts w:ascii="Verdana" w:hAnsi="Verdana"/>
          <w:bCs/>
          <w:sz w:val="20"/>
          <w:szCs w:val="20"/>
        </w:rPr>
        <w:t>Zowel de subjectieve als objectieve conformiteitseis is van toepassing op zaken waarin digitale inhoud of een digitale dienst is verwerkt.</w:t>
      </w:r>
      <w:r w:rsidRPr="00F63B13">
        <w:rPr>
          <w:rStyle w:val="Voetnootmarkering"/>
          <w:rFonts w:ascii="Verdana" w:hAnsi="Verdana"/>
          <w:bCs/>
          <w:sz w:val="20"/>
          <w:szCs w:val="20"/>
        </w:rPr>
        <w:footnoteReference w:id="78"/>
      </w:r>
      <w:r w:rsidRPr="00F63B13">
        <w:rPr>
          <w:rFonts w:ascii="Verdana" w:hAnsi="Verdana"/>
          <w:bCs/>
          <w:sz w:val="20"/>
          <w:szCs w:val="20"/>
        </w:rPr>
        <w:t xml:space="preserve"> Bij de toepassing van het subjectieve conformiteitsvereiste heeft dat tot gevolg dat een consument mag verwachten dat vooraf geïnstalleerde apps functioneren.</w:t>
      </w:r>
      <w:r w:rsidRPr="00F63B13">
        <w:rPr>
          <w:rStyle w:val="Voetnootmarkering"/>
          <w:rFonts w:ascii="Verdana" w:hAnsi="Verdana"/>
          <w:bCs/>
          <w:sz w:val="20"/>
          <w:szCs w:val="20"/>
        </w:rPr>
        <w:footnoteReference w:id="79"/>
      </w:r>
      <w:r w:rsidRPr="00F63B13">
        <w:rPr>
          <w:rFonts w:ascii="Verdana" w:hAnsi="Verdana"/>
          <w:bCs/>
          <w:sz w:val="20"/>
          <w:szCs w:val="20"/>
        </w:rPr>
        <w:t xml:space="preserve"> Als een consument een smart-televisie met een standaard app aanschaft – zoals Netflix – dan dient de app naar behoren te functioneren. Als de app niet functioneert, is er – ondanks dat de televisie wel naar behoren werkt – sprake van non-conformiteit. </w:t>
      </w:r>
    </w:p>
    <w:p w14:paraId="1A3053ED" w14:textId="77777777" w:rsidR="00F63B13" w:rsidRPr="00F63B13" w:rsidRDefault="00F63B13" w:rsidP="00F63B13">
      <w:pPr>
        <w:pStyle w:val="Geenafstand"/>
        <w:rPr>
          <w:rFonts w:ascii="Verdana" w:hAnsi="Verdana"/>
          <w:bCs/>
          <w:sz w:val="20"/>
          <w:szCs w:val="20"/>
        </w:rPr>
      </w:pPr>
    </w:p>
    <w:p w14:paraId="48B7C6B6" w14:textId="693DED6C" w:rsidR="00F63B13" w:rsidRDefault="00F63B13" w:rsidP="00F63B13">
      <w:pPr>
        <w:pStyle w:val="Geenafstand"/>
        <w:rPr>
          <w:rFonts w:ascii="Verdana" w:hAnsi="Verdana"/>
          <w:sz w:val="20"/>
          <w:szCs w:val="20"/>
        </w:rPr>
      </w:pPr>
      <w:r w:rsidRPr="00F63B13">
        <w:rPr>
          <w:rFonts w:ascii="Verdana" w:hAnsi="Verdana"/>
          <w:sz w:val="20"/>
          <w:szCs w:val="20"/>
        </w:rPr>
        <w:t>Tot slot dient de verkoper – volgens de subjectieve eis – een zaak te leveren met alle van belang zijnde toebehoren en installatie- instructies</w:t>
      </w:r>
      <w:r w:rsidR="00165157">
        <w:rPr>
          <w:rFonts w:ascii="Verdana" w:hAnsi="Verdana"/>
          <w:sz w:val="20"/>
          <w:szCs w:val="20"/>
        </w:rPr>
        <w:t>.</w:t>
      </w:r>
      <w:r w:rsidRPr="00F63B13">
        <w:rPr>
          <w:rStyle w:val="Voetnootmarkering"/>
          <w:rFonts w:ascii="Verdana" w:hAnsi="Verdana"/>
          <w:sz w:val="20"/>
          <w:szCs w:val="20"/>
        </w:rPr>
        <w:footnoteReference w:id="80"/>
      </w:r>
      <w:r w:rsidRPr="00F63B13">
        <w:rPr>
          <w:rFonts w:ascii="Verdana" w:hAnsi="Verdana"/>
          <w:sz w:val="20"/>
          <w:szCs w:val="20"/>
        </w:rPr>
        <w:t xml:space="preserve"> De zaak dient tevens van de tussen partijen overeengekomen updates te zijn voorzien.</w:t>
      </w:r>
      <w:r w:rsidRPr="00F63B13">
        <w:rPr>
          <w:rStyle w:val="Voetnootmarkering"/>
          <w:rFonts w:ascii="Verdana" w:hAnsi="Verdana"/>
          <w:sz w:val="20"/>
          <w:szCs w:val="20"/>
        </w:rPr>
        <w:footnoteReference w:id="81"/>
      </w:r>
      <w:r w:rsidRPr="00F63B13">
        <w:rPr>
          <w:rFonts w:ascii="Verdana" w:hAnsi="Verdana"/>
          <w:sz w:val="20"/>
          <w:szCs w:val="20"/>
        </w:rPr>
        <w:t xml:space="preserve"> </w:t>
      </w:r>
    </w:p>
    <w:p w14:paraId="52810B9A" w14:textId="77777777" w:rsidR="00F63B13" w:rsidRPr="00F63B13" w:rsidRDefault="00F63B13" w:rsidP="00F63B13">
      <w:pPr>
        <w:pStyle w:val="Geenafstand"/>
        <w:rPr>
          <w:rFonts w:ascii="Verdana" w:hAnsi="Verdana"/>
          <w:sz w:val="20"/>
          <w:szCs w:val="20"/>
        </w:rPr>
      </w:pPr>
    </w:p>
    <w:p w14:paraId="4D4F02CB" w14:textId="3BA6F5C7" w:rsidR="00F63B13" w:rsidRDefault="00F63B13" w:rsidP="00F63B13">
      <w:pPr>
        <w:pStyle w:val="Geenafstand"/>
        <w:rPr>
          <w:rFonts w:ascii="Verdana" w:hAnsi="Verdana"/>
          <w:bCs/>
          <w:sz w:val="20"/>
          <w:szCs w:val="20"/>
        </w:rPr>
      </w:pPr>
      <w:r w:rsidRPr="00F63B13">
        <w:rPr>
          <w:rFonts w:ascii="Verdana" w:hAnsi="Verdana"/>
          <w:bCs/>
          <w:sz w:val="20"/>
          <w:szCs w:val="20"/>
        </w:rPr>
        <w:t>De objectieve conformiteitseisen worden in de leden twee tot en met vijf van artikel 7:18 BW opgenomen</w:t>
      </w:r>
      <w:r w:rsidRPr="00F63B13">
        <w:rPr>
          <w:rStyle w:val="Voetnootmarkering"/>
          <w:rFonts w:ascii="Verdana" w:hAnsi="Verdana"/>
          <w:bCs/>
          <w:sz w:val="20"/>
          <w:szCs w:val="20"/>
        </w:rPr>
        <w:footnoteReference w:id="82"/>
      </w:r>
      <w:r w:rsidRPr="00F63B13">
        <w:rPr>
          <w:rFonts w:ascii="Verdana" w:hAnsi="Verdana"/>
          <w:bCs/>
          <w:sz w:val="20"/>
          <w:szCs w:val="20"/>
        </w:rPr>
        <w:t xml:space="preserve">. Het grootste gedeelte van de objectieve conformiteitseisen is al in overeenstemming met de Richtlijn. Ook bij de objectieve conformiteitseis dient de zaak te voldoen aan de kwantiteit- en identiteitsvereisten. </w:t>
      </w:r>
    </w:p>
    <w:p w14:paraId="0F2F9D2D" w14:textId="77777777" w:rsidR="00F63B13" w:rsidRPr="00F63B13" w:rsidRDefault="00F63B13" w:rsidP="00F63B13">
      <w:pPr>
        <w:pStyle w:val="Geenafstand"/>
        <w:rPr>
          <w:rFonts w:ascii="Verdana" w:hAnsi="Verdana"/>
          <w:bCs/>
          <w:sz w:val="20"/>
          <w:szCs w:val="20"/>
        </w:rPr>
      </w:pPr>
    </w:p>
    <w:p w14:paraId="733625CB" w14:textId="34648865" w:rsidR="00165157" w:rsidRDefault="00F63B13" w:rsidP="00F63B13">
      <w:pPr>
        <w:pStyle w:val="Geenafstand"/>
        <w:rPr>
          <w:rFonts w:ascii="Verdana" w:hAnsi="Verdana"/>
          <w:bCs/>
          <w:sz w:val="20"/>
          <w:szCs w:val="20"/>
        </w:rPr>
      </w:pPr>
      <w:r w:rsidRPr="00F63B13">
        <w:rPr>
          <w:rFonts w:ascii="Verdana" w:hAnsi="Verdana"/>
          <w:bCs/>
          <w:sz w:val="20"/>
          <w:szCs w:val="20"/>
        </w:rPr>
        <w:t>Bij de objectieve conformiteitseisen staan de eigenschappen van zaken van hetzelfde type centraal. Een voorbeeld ter verduidelijking:</w:t>
      </w:r>
      <w:r w:rsidRPr="00F63B13">
        <w:rPr>
          <w:rFonts w:ascii="Verdana" w:hAnsi="Verdana"/>
          <w:bCs/>
          <w:sz w:val="20"/>
          <w:szCs w:val="20"/>
        </w:rPr>
        <w:br/>
      </w:r>
      <w:r w:rsidRPr="00F63B13">
        <w:rPr>
          <w:rFonts w:ascii="Verdana" w:hAnsi="Verdana"/>
          <w:bCs/>
          <w:sz w:val="20"/>
          <w:szCs w:val="20"/>
        </w:rPr>
        <w:br/>
      </w:r>
      <w:r w:rsidRPr="00F63B13">
        <w:rPr>
          <w:rFonts w:ascii="Verdana" w:hAnsi="Verdana"/>
          <w:bCs/>
          <w:i/>
          <w:iCs/>
          <w:sz w:val="20"/>
          <w:szCs w:val="20"/>
        </w:rPr>
        <w:t>‘Een consument koopt een scootmobiel. De scootmobiel haalt een maximale snelheid van acht kilometer per uur. De consument is niet tevreden met de maximale haalbare snelheid van de scootmobiel. In de praktijk blijkt dat een soortgelijke scootmobiel – hetzelfde soort en type – een snelheid van vijftien kilometer per uur haalt.’</w:t>
      </w:r>
      <w:r w:rsidRPr="00F63B13">
        <w:rPr>
          <w:rFonts w:ascii="Verdana" w:hAnsi="Verdana"/>
          <w:bCs/>
          <w:i/>
          <w:iCs/>
          <w:sz w:val="20"/>
          <w:szCs w:val="20"/>
        </w:rPr>
        <w:br/>
      </w:r>
      <w:r w:rsidRPr="00F63B13">
        <w:rPr>
          <w:rFonts w:ascii="Verdana" w:hAnsi="Verdana"/>
          <w:bCs/>
          <w:i/>
          <w:iCs/>
          <w:sz w:val="20"/>
          <w:szCs w:val="20"/>
        </w:rPr>
        <w:br/>
      </w:r>
      <w:r w:rsidRPr="00F63B13">
        <w:rPr>
          <w:rFonts w:ascii="Verdana" w:hAnsi="Verdana"/>
          <w:bCs/>
          <w:sz w:val="20"/>
          <w:szCs w:val="20"/>
        </w:rPr>
        <w:t>Volgens het huidige recht zou de scootmobiel voldoen aan de conformiteitsvereisten. Er is namelijk niets mis met het functioneren van de scootmobiel. Als we kijken naar de objectieve conformiteitsvereisten uit de Richtlijn, dient er worden gekeken naar de eigenschappen van soortgelijke scootmobielen.</w:t>
      </w:r>
      <w:r w:rsidRPr="00F63B13">
        <w:rPr>
          <w:rStyle w:val="Voetnootmarkering"/>
          <w:rFonts w:ascii="Verdana" w:hAnsi="Verdana"/>
          <w:bCs/>
          <w:sz w:val="20"/>
          <w:szCs w:val="20"/>
        </w:rPr>
        <w:footnoteReference w:id="83"/>
      </w:r>
      <w:r w:rsidRPr="00F63B13">
        <w:rPr>
          <w:rFonts w:ascii="Verdana" w:hAnsi="Verdana"/>
          <w:bCs/>
          <w:sz w:val="20"/>
          <w:szCs w:val="20"/>
        </w:rPr>
        <w:t xml:space="preserve"> In het geval deze eigenschappen dusdanig afwijken, is er sprake van objectieve non-conformiteit. Dat betekent dat in bovengenoemd voorbeeld sprake is van non-conformiteit: de scootmobiel haalt niet de snelheid, welke de consument op basis van het functioneren van soortgelijke scootmobielen mag verwachten.</w:t>
      </w:r>
      <w:r w:rsidRPr="00F63B13">
        <w:rPr>
          <w:rFonts w:ascii="Verdana" w:hAnsi="Verdana"/>
          <w:bCs/>
          <w:sz w:val="20"/>
          <w:szCs w:val="20"/>
        </w:rPr>
        <w:br/>
      </w:r>
      <w:r w:rsidRPr="00F63B13">
        <w:rPr>
          <w:rFonts w:ascii="Verdana" w:hAnsi="Verdana"/>
          <w:bCs/>
          <w:sz w:val="20"/>
          <w:szCs w:val="20"/>
        </w:rPr>
        <w:lastRenderedPageBreak/>
        <w:br/>
        <w:t>Ook valt onder de objectieve conformiteitseis de verplichting van de verkoper om een zaak te leveren die duurzaam is en voorzien is van de nodige software updates</w:t>
      </w:r>
      <w:r w:rsidRPr="00F63B13">
        <w:rPr>
          <w:rStyle w:val="Voetnootmarkering"/>
          <w:rFonts w:ascii="Verdana" w:hAnsi="Verdana"/>
          <w:bCs/>
          <w:sz w:val="20"/>
          <w:szCs w:val="20"/>
        </w:rPr>
        <w:footnoteReference w:id="84"/>
      </w:r>
      <w:r w:rsidRPr="00F63B13">
        <w:rPr>
          <w:rFonts w:ascii="Verdana" w:hAnsi="Verdana"/>
          <w:bCs/>
          <w:sz w:val="20"/>
          <w:szCs w:val="20"/>
        </w:rPr>
        <w:t>. Een zaak dient de juiste functies en prestaties bij normaal gebruikt te behouden; duurzaamheid.</w:t>
      </w:r>
      <w:r w:rsidRPr="00F63B13">
        <w:rPr>
          <w:rStyle w:val="Voetnootmarkering"/>
          <w:rFonts w:ascii="Verdana" w:hAnsi="Verdana"/>
          <w:bCs/>
          <w:sz w:val="20"/>
          <w:szCs w:val="20"/>
        </w:rPr>
        <w:footnoteReference w:id="85"/>
      </w:r>
      <w:r w:rsidRPr="00F63B13">
        <w:rPr>
          <w:rFonts w:ascii="Verdana" w:hAnsi="Verdana"/>
          <w:bCs/>
          <w:sz w:val="20"/>
          <w:szCs w:val="20"/>
        </w:rPr>
        <w:t xml:space="preserve"> De mate van duurzaamheid van een zaak hangt af van de prijs, intensiteit en/of frequentie van het gebruik. </w:t>
      </w:r>
    </w:p>
    <w:p w14:paraId="0FD15FBD" w14:textId="77777777" w:rsidR="00355846" w:rsidRDefault="00355846" w:rsidP="00F63B13">
      <w:pPr>
        <w:pStyle w:val="Geenafstand"/>
        <w:rPr>
          <w:rFonts w:ascii="Verdana" w:hAnsi="Verdana"/>
          <w:bCs/>
          <w:sz w:val="20"/>
          <w:szCs w:val="20"/>
        </w:rPr>
      </w:pPr>
    </w:p>
    <w:p w14:paraId="6B2AF4F1" w14:textId="689EFBAC" w:rsidR="00F63B13" w:rsidRDefault="00F63B13" w:rsidP="00F63B13">
      <w:pPr>
        <w:pStyle w:val="Geenafstand"/>
        <w:rPr>
          <w:rFonts w:ascii="Verdana" w:hAnsi="Verdana"/>
          <w:bCs/>
          <w:sz w:val="20"/>
          <w:szCs w:val="20"/>
        </w:rPr>
      </w:pPr>
      <w:r w:rsidRPr="00F63B13">
        <w:rPr>
          <w:rFonts w:ascii="Verdana" w:hAnsi="Verdana"/>
          <w:bCs/>
          <w:sz w:val="20"/>
          <w:szCs w:val="20"/>
        </w:rPr>
        <w:t>Als de beeldkwaliteit van een televisie na één jaar verslechtert, dan wordt ervanuit gegaan dat de televisie – gelet op de normale levensduur van televisies in bepaalde prijscategorieën – al bij aankoop niet in orde was</w:t>
      </w:r>
      <w:r w:rsidR="008C27A1">
        <w:rPr>
          <w:rFonts w:ascii="Verdana" w:hAnsi="Verdana"/>
          <w:bCs/>
          <w:sz w:val="20"/>
          <w:szCs w:val="20"/>
        </w:rPr>
        <w:t>.</w:t>
      </w:r>
      <w:r w:rsidRPr="00F63B13">
        <w:rPr>
          <w:rStyle w:val="Voetnootmarkering"/>
          <w:rFonts w:ascii="Verdana" w:hAnsi="Verdana"/>
          <w:bCs/>
          <w:sz w:val="20"/>
          <w:szCs w:val="20"/>
        </w:rPr>
        <w:footnoteReference w:id="86"/>
      </w:r>
      <w:r w:rsidRPr="00F63B13">
        <w:rPr>
          <w:rFonts w:ascii="Verdana" w:hAnsi="Verdana"/>
          <w:bCs/>
          <w:sz w:val="20"/>
          <w:szCs w:val="20"/>
        </w:rPr>
        <w:t xml:space="preserve"> Met deze bepaling wordt tegemoetgekomen aan het huidige recht om bij het vaststellen van non-conformiteit de gemiddelde levensduur van apparaten mee te wegen. </w:t>
      </w:r>
    </w:p>
    <w:p w14:paraId="7ACDEFFB" w14:textId="77777777" w:rsidR="008A2EC0" w:rsidRPr="00F63B13" w:rsidRDefault="008A2EC0" w:rsidP="00F63B13">
      <w:pPr>
        <w:pStyle w:val="Geenafstand"/>
        <w:rPr>
          <w:rFonts w:ascii="Verdana" w:hAnsi="Verdana"/>
          <w:bCs/>
          <w:sz w:val="20"/>
          <w:szCs w:val="20"/>
        </w:rPr>
      </w:pPr>
    </w:p>
    <w:p w14:paraId="0CE7852E" w14:textId="0D7ADEFB" w:rsidR="00FA352C" w:rsidRDefault="00F63B13" w:rsidP="00FA352C">
      <w:pPr>
        <w:pStyle w:val="Geenafstand"/>
        <w:rPr>
          <w:rFonts w:ascii="Verdana" w:hAnsi="Verdana"/>
          <w:bCs/>
          <w:sz w:val="20"/>
          <w:szCs w:val="20"/>
        </w:rPr>
      </w:pPr>
      <w:r w:rsidRPr="00F63B13">
        <w:rPr>
          <w:rFonts w:ascii="Verdana" w:hAnsi="Verdana"/>
          <w:bCs/>
          <w:sz w:val="20"/>
          <w:szCs w:val="20"/>
        </w:rPr>
        <w:t>De verplichting van de verkoper om software-updates te leveren is nieuw binnen het consumentenrecht</w:t>
      </w:r>
      <w:r w:rsidR="00165157">
        <w:rPr>
          <w:rFonts w:ascii="Verdana" w:hAnsi="Verdana"/>
          <w:bCs/>
          <w:sz w:val="20"/>
          <w:szCs w:val="20"/>
        </w:rPr>
        <w:t>.</w:t>
      </w:r>
      <w:r w:rsidRPr="00F63B13">
        <w:rPr>
          <w:rStyle w:val="Voetnootmarkering"/>
          <w:rFonts w:ascii="Verdana" w:hAnsi="Verdana"/>
          <w:bCs/>
          <w:sz w:val="20"/>
          <w:szCs w:val="20"/>
        </w:rPr>
        <w:footnoteReference w:id="87"/>
      </w:r>
      <w:r w:rsidRPr="00F63B13">
        <w:rPr>
          <w:rFonts w:ascii="Verdana" w:hAnsi="Verdana"/>
          <w:bCs/>
          <w:sz w:val="20"/>
          <w:szCs w:val="20"/>
        </w:rPr>
        <w:t xml:space="preserve"> Volgens het huidige recht heeft de verkoper namelijk een eenmalige leveringsverplichting.</w:t>
      </w:r>
      <w:r w:rsidRPr="00F63B13">
        <w:rPr>
          <w:rStyle w:val="Voetnootmarkering"/>
          <w:rFonts w:ascii="Verdana" w:hAnsi="Verdana"/>
          <w:bCs/>
          <w:sz w:val="20"/>
          <w:szCs w:val="20"/>
        </w:rPr>
        <w:footnoteReference w:id="88"/>
      </w:r>
      <w:r w:rsidRPr="00F63B13">
        <w:rPr>
          <w:rFonts w:ascii="Verdana" w:hAnsi="Verdana"/>
          <w:bCs/>
          <w:sz w:val="20"/>
          <w:szCs w:val="20"/>
        </w:rPr>
        <w:t xml:space="preserve"> De Richtlijn vereist dat de verkoper gedurende een periode de benodigde updates aan de consument levert, zodat de zaak hetzelfde functioneert als ten tijde van de aankoop. Het gaat hier met name om het voorzien van de nodige beveiligingsupdates. Updates om de zaak te voorzien van een beter besturingssysteem vallen hier niet onder.</w:t>
      </w:r>
      <w:r w:rsidRPr="00F63B13">
        <w:rPr>
          <w:rStyle w:val="Voetnootmarkering"/>
          <w:rFonts w:ascii="Verdana" w:hAnsi="Verdana"/>
          <w:bCs/>
          <w:sz w:val="20"/>
          <w:szCs w:val="20"/>
        </w:rPr>
        <w:footnoteReference w:id="89"/>
      </w:r>
      <w:r w:rsidRPr="00F63B13">
        <w:rPr>
          <w:rFonts w:ascii="Verdana" w:hAnsi="Verdana"/>
          <w:bCs/>
          <w:sz w:val="20"/>
          <w:szCs w:val="20"/>
        </w:rPr>
        <w:br/>
      </w:r>
      <w:r w:rsidRPr="00F63B13">
        <w:rPr>
          <w:rFonts w:ascii="Verdana" w:hAnsi="Verdana"/>
          <w:bCs/>
          <w:sz w:val="20"/>
          <w:szCs w:val="20"/>
        </w:rPr>
        <w:br/>
        <w:t>Als de verkoper niet de benodigde updates dan wel gebrekkige en/of onvolledige updates levert, wordt dit beschouwd als conformiteitsgebrek.</w:t>
      </w:r>
      <w:r w:rsidRPr="00F63B13">
        <w:rPr>
          <w:rStyle w:val="Voetnootmarkering"/>
          <w:rFonts w:ascii="Verdana" w:hAnsi="Verdana"/>
          <w:bCs/>
          <w:sz w:val="20"/>
          <w:szCs w:val="20"/>
        </w:rPr>
        <w:footnoteReference w:id="90"/>
      </w:r>
      <w:r w:rsidRPr="00F63B13">
        <w:rPr>
          <w:rFonts w:ascii="Verdana" w:hAnsi="Verdana"/>
          <w:bCs/>
          <w:sz w:val="20"/>
          <w:szCs w:val="20"/>
        </w:rPr>
        <w:t xml:space="preserve"> In het geval de consument niet overgaat tot het installeren van de update en/of de update verkeerd installeert door het onjuist toepassen van de installatie-instructies, is de verkoper niet aansprakelijk.</w:t>
      </w:r>
      <w:r w:rsidRPr="00F63B13">
        <w:rPr>
          <w:rStyle w:val="Voetnootmarkering"/>
          <w:rFonts w:ascii="Verdana" w:hAnsi="Verdana"/>
          <w:bCs/>
          <w:sz w:val="20"/>
          <w:szCs w:val="20"/>
        </w:rPr>
        <w:footnoteReference w:id="91"/>
      </w:r>
      <w:r w:rsidRPr="00F63B13">
        <w:rPr>
          <w:rFonts w:ascii="Verdana" w:hAnsi="Verdana"/>
          <w:bCs/>
          <w:sz w:val="20"/>
          <w:szCs w:val="20"/>
        </w:rPr>
        <w:t xml:space="preserve"> De duur van de leveringsperiode is een open norm en dient nog nader door Europese Hof van Justitie worden ingevuld.</w:t>
      </w:r>
      <w:r w:rsidRPr="00F63B13">
        <w:rPr>
          <w:rStyle w:val="Voetnootmarkering"/>
          <w:rFonts w:ascii="Verdana" w:hAnsi="Verdana"/>
          <w:bCs/>
          <w:sz w:val="20"/>
          <w:szCs w:val="20"/>
        </w:rPr>
        <w:footnoteReference w:id="92"/>
      </w:r>
      <w:r w:rsidRPr="00F63B13">
        <w:rPr>
          <w:rFonts w:ascii="Verdana" w:hAnsi="Verdana"/>
          <w:bCs/>
          <w:sz w:val="20"/>
          <w:szCs w:val="20"/>
        </w:rPr>
        <w:t xml:space="preserve"> </w:t>
      </w:r>
    </w:p>
    <w:p w14:paraId="4D144EF2" w14:textId="1F25794D" w:rsidR="00FA352C" w:rsidRDefault="00FA352C" w:rsidP="00FA352C">
      <w:pPr>
        <w:pStyle w:val="Geenafstand"/>
        <w:rPr>
          <w:rFonts w:ascii="Verdana" w:hAnsi="Verdana"/>
          <w:bCs/>
          <w:sz w:val="20"/>
          <w:szCs w:val="20"/>
        </w:rPr>
      </w:pPr>
    </w:p>
    <w:p w14:paraId="7BAB3B36" w14:textId="4DF936DE" w:rsidR="00FA352C" w:rsidRDefault="00FA352C" w:rsidP="00FA352C">
      <w:pPr>
        <w:pStyle w:val="Kop3"/>
        <w:spacing w:before="0" w:beforeAutospacing="0" w:after="0" w:afterAutospacing="0"/>
        <w:jc w:val="left"/>
      </w:pPr>
      <w:bookmarkStart w:id="44" w:name="_Toc72576294"/>
      <w:r>
        <w:t xml:space="preserve">3.2.2. </w:t>
      </w:r>
      <w:r w:rsidRPr="00FA352C">
        <w:t>Verkeerde installatie van een zaak</w:t>
      </w:r>
      <w:bookmarkEnd w:id="44"/>
    </w:p>
    <w:p w14:paraId="55FD2381" w14:textId="67D79B19" w:rsidR="00FA352C" w:rsidRPr="00D71B51" w:rsidRDefault="00FA352C" w:rsidP="00FA352C">
      <w:pPr>
        <w:pStyle w:val="Geenafstand"/>
        <w:rPr>
          <w:rFonts w:ascii="Verdana" w:hAnsi="Verdana"/>
          <w:sz w:val="20"/>
          <w:szCs w:val="20"/>
        </w:rPr>
      </w:pPr>
      <w:r w:rsidRPr="00D71B51">
        <w:rPr>
          <w:rFonts w:ascii="Verdana" w:hAnsi="Verdana"/>
          <w:sz w:val="20"/>
          <w:szCs w:val="20"/>
        </w:rPr>
        <w:t>In de Richtlijn wordt de verkeerde installatie van een zaak gelijkgesteld met een conformiteitsgebrek.</w:t>
      </w:r>
      <w:r w:rsidRPr="00D71B51">
        <w:rPr>
          <w:rStyle w:val="Voetnootmarkering"/>
          <w:rFonts w:ascii="Verdana" w:hAnsi="Verdana"/>
          <w:bCs/>
          <w:sz w:val="20"/>
          <w:szCs w:val="20"/>
        </w:rPr>
        <w:footnoteReference w:id="93"/>
      </w:r>
      <w:r w:rsidRPr="00D71B51">
        <w:rPr>
          <w:rFonts w:ascii="Verdana" w:hAnsi="Verdana"/>
          <w:sz w:val="20"/>
          <w:szCs w:val="20"/>
        </w:rPr>
        <w:t xml:space="preserve"> De regeling hierover wordt opgenomen in een nieuw artikel, namelijk artikel 7:18a BW.</w:t>
      </w:r>
      <w:r w:rsidRPr="00D71B51">
        <w:rPr>
          <w:rStyle w:val="Voetnootmarkering"/>
          <w:rFonts w:ascii="Verdana" w:hAnsi="Verdana"/>
          <w:bCs/>
          <w:sz w:val="20"/>
          <w:szCs w:val="20"/>
        </w:rPr>
        <w:footnoteReference w:id="94"/>
      </w:r>
      <w:r w:rsidRPr="00D71B51">
        <w:rPr>
          <w:rFonts w:ascii="Verdana" w:hAnsi="Verdana"/>
          <w:sz w:val="20"/>
          <w:szCs w:val="20"/>
        </w:rPr>
        <w:t xml:space="preserve">  Deze regeling lijkt sterk op de huidige regeling uit het derde lid van artikel 7:18 BW. De Richtlijn voorziet in twee nieuwe bepalingen over de </w:t>
      </w:r>
      <w:r w:rsidR="00165157" w:rsidRPr="00D71B51">
        <w:rPr>
          <w:rFonts w:ascii="Verdana" w:hAnsi="Verdana"/>
          <w:sz w:val="20"/>
          <w:szCs w:val="20"/>
        </w:rPr>
        <w:t xml:space="preserve">huidige </w:t>
      </w:r>
      <w:r w:rsidRPr="00D71B51">
        <w:rPr>
          <w:rFonts w:ascii="Verdana" w:hAnsi="Verdana"/>
          <w:sz w:val="20"/>
          <w:szCs w:val="20"/>
        </w:rPr>
        <w:t>verplichting van de verkoper om tot deugdelijke installatie van een zaak over te gaan.</w:t>
      </w:r>
    </w:p>
    <w:p w14:paraId="1BB8B4E1" w14:textId="77777777" w:rsidR="00FA352C" w:rsidRPr="00D71B51" w:rsidRDefault="00FA352C" w:rsidP="00FA352C">
      <w:pPr>
        <w:pStyle w:val="Geenafstand"/>
        <w:rPr>
          <w:rFonts w:ascii="Verdana" w:hAnsi="Verdana"/>
          <w:sz w:val="20"/>
          <w:szCs w:val="20"/>
        </w:rPr>
      </w:pPr>
    </w:p>
    <w:p w14:paraId="14D673A8" w14:textId="7F488239" w:rsidR="00FA352C" w:rsidRPr="00D71B51" w:rsidRDefault="00FA352C" w:rsidP="00FA352C">
      <w:pPr>
        <w:pStyle w:val="Geenafstand"/>
        <w:rPr>
          <w:rFonts w:ascii="Verdana" w:hAnsi="Verdana"/>
          <w:sz w:val="20"/>
          <w:szCs w:val="20"/>
        </w:rPr>
      </w:pPr>
      <w:r w:rsidRPr="00D71B51">
        <w:rPr>
          <w:rFonts w:ascii="Verdana" w:hAnsi="Verdana"/>
          <w:sz w:val="20"/>
          <w:szCs w:val="20"/>
        </w:rPr>
        <w:t>Net als in het huidige recht heeft de verkoper alleen de verplichting om een zaak te installeren als dat expliciet tussen partijen is overeengekomen.</w:t>
      </w:r>
      <w:r w:rsidRPr="00D71B51">
        <w:rPr>
          <w:rStyle w:val="Voetnootmarkering"/>
          <w:rFonts w:ascii="Verdana" w:hAnsi="Verdana"/>
          <w:bCs/>
          <w:sz w:val="20"/>
          <w:szCs w:val="20"/>
        </w:rPr>
        <w:footnoteReference w:id="95"/>
      </w:r>
      <w:r w:rsidRPr="00D71B51">
        <w:rPr>
          <w:rFonts w:ascii="Verdana" w:hAnsi="Verdana"/>
          <w:sz w:val="20"/>
          <w:szCs w:val="20"/>
        </w:rPr>
        <w:t xml:space="preserve"> Als partijen overeenkomen dat de verkoper – of een ander door de verkoper aangewezen persoon – tot installatie overgaat, dan is er bij een ondeugdelijke installatie van de zaak sprake van non-conformiteit. </w:t>
      </w:r>
      <w:r w:rsidRPr="00D71B51">
        <w:rPr>
          <w:rFonts w:ascii="Verdana" w:hAnsi="Verdana"/>
          <w:sz w:val="20"/>
          <w:szCs w:val="20"/>
        </w:rPr>
        <w:br/>
      </w:r>
      <w:r w:rsidRPr="00D71B51">
        <w:rPr>
          <w:rFonts w:ascii="Verdana" w:hAnsi="Verdana"/>
          <w:sz w:val="20"/>
          <w:szCs w:val="20"/>
        </w:rPr>
        <w:br/>
        <w:t>Ook is er sprake van non-conformiteit als de verkoper ondeugdelijke installatie-instructies verstrekt aan de koper en de koper de zaak hierdoor onjuist installeert. Bij installatie-instructies kan worden gedacht aan handleidingen bij doe-het-zelf-pakketten.</w:t>
      </w:r>
      <w:r w:rsidRPr="00D71B51">
        <w:rPr>
          <w:rStyle w:val="Voetnootmarkering"/>
          <w:rFonts w:ascii="Verdana" w:hAnsi="Verdana"/>
          <w:bCs/>
          <w:sz w:val="20"/>
          <w:szCs w:val="20"/>
        </w:rPr>
        <w:footnoteReference w:id="96"/>
      </w:r>
      <w:r w:rsidRPr="00D71B51">
        <w:rPr>
          <w:rFonts w:ascii="Verdana" w:hAnsi="Verdana"/>
          <w:sz w:val="20"/>
          <w:szCs w:val="20"/>
        </w:rPr>
        <w:t xml:space="preserve"> </w:t>
      </w:r>
    </w:p>
    <w:p w14:paraId="446D58A7" w14:textId="77777777" w:rsidR="00165157" w:rsidRPr="00D71B51" w:rsidRDefault="00165157" w:rsidP="00FA352C">
      <w:pPr>
        <w:pStyle w:val="Geenafstand"/>
        <w:rPr>
          <w:rFonts w:ascii="Verdana" w:hAnsi="Verdana"/>
          <w:sz w:val="20"/>
          <w:szCs w:val="20"/>
        </w:rPr>
      </w:pPr>
    </w:p>
    <w:p w14:paraId="5DBAD95A" w14:textId="5565FB7A" w:rsidR="00FA352C" w:rsidRPr="00D71B51" w:rsidRDefault="00FA352C" w:rsidP="00FA352C">
      <w:pPr>
        <w:pStyle w:val="Geenafstand"/>
        <w:rPr>
          <w:rFonts w:ascii="Verdana" w:hAnsi="Verdana"/>
          <w:sz w:val="20"/>
          <w:szCs w:val="20"/>
        </w:rPr>
      </w:pPr>
      <w:r w:rsidRPr="00D71B51">
        <w:rPr>
          <w:rFonts w:ascii="Verdana" w:hAnsi="Verdana"/>
          <w:sz w:val="20"/>
          <w:szCs w:val="20"/>
        </w:rPr>
        <w:t>Nieuw is dat de Richtlijn als aanvulling geeft dat de installatie van een goed of digitale dienst ook onder het toepassingsbereik van artikel 7:18a BW valt.</w:t>
      </w:r>
      <w:r w:rsidRPr="00D71B51">
        <w:rPr>
          <w:rStyle w:val="Voetnootmarkering"/>
          <w:rFonts w:ascii="Verdana" w:hAnsi="Verdana"/>
          <w:bCs/>
          <w:sz w:val="20"/>
          <w:szCs w:val="20"/>
        </w:rPr>
        <w:footnoteReference w:id="97"/>
      </w:r>
      <w:r w:rsidRPr="00D71B51">
        <w:rPr>
          <w:rFonts w:ascii="Verdana" w:hAnsi="Verdana"/>
          <w:sz w:val="20"/>
          <w:szCs w:val="20"/>
        </w:rPr>
        <w:t xml:space="preserve"> Dat betekent dat een verkoper bijvoorbeeld tot deugdelijke installatie van apps op een smart-televisie dient over te gaan. </w:t>
      </w:r>
    </w:p>
    <w:p w14:paraId="62AD380D" w14:textId="77777777" w:rsidR="00FA352C" w:rsidRPr="00FA352C" w:rsidRDefault="00FA352C" w:rsidP="00FA352C">
      <w:pPr>
        <w:pStyle w:val="Geenafstand"/>
        <w:rPr>
          <w:rFonts w:ascii="Verdana" w:hAnsi="Verdana"/>
          <w:sz w:val="20"/>
          <w:szCs w:val="20"/>
        </w:rPr>
      </w:pPr>
    </w:p>
    <w:p w14:paraId="6CBABD3C" w14:textId="2A0C1560" w:rsidR="00FA352C" w:rsidRDefault="00FA352C" w:rsidP="00FA352C">
      <w:pPr>
        <w:pStyle w:val="Geenafstand"/>
        <w:rPr>
          <w:rFonts w:ascii="Verdana" w:hAnsi="Verdana"/>
          <w:sz w:val="20"/>
          <w:szCs w:val="20"/>
        </w:rPr>
      </w:pPr>
      <w:r w:rsidRPr="00FA352C">
        <w:rPr>
          <w:rFonts w:ascii="Verdana" w:hAnsi="Verdana"/>
          <w:sz w:val="20"/>
          <w:szCs w:val="20"/>
        </w:rPr>
        <w:t xml:space="preserve">Tot slot wordt er in het tweede lid van artikel 7:18a BW een bewijsvermoeden opgenomen. Als een zaak met een digitaal element (‘denk aan een smart-televisie’) binnen één jaar een afwijking vertoont, dan wordt vermoed dat de zaak al bij aflevering niet in orde was. </w:t>
      </w:r>
      <w:r w:rsidRPr="00FA352C">
        <w:rPr>
          <w:rStyle w:val="Voetnootmarkering"/>
          <w:rFonts w:ascii="Verdana" w:hAnsi="Verdana"/>
          <w:bCs/>
          <w:sz w:val="20"/>
          <w:szCs w:val="20"/>
        </w:rPr>
        <w:footnoteReference w:id="98"/>
      </w:r>
      <w:r w:rsidRPr="00FA352C">
        <w:rPr>
          <w:rFonts w:ascii="Verdana" w:hAnsi="Verdana"/>
          <w:sz w:val="20"/>
          <w:szCs w:val="20"/>
        </w:rPr>
        <w:t xml:space="preserve"> Het is dan aan de verkoper om aan te tonen dat de afwijking ontstaan is door het handelen van de consument</w:t>
      </w:r>
      <w:r>
        <w:rPr>
          <w:rFonts w:ascii="Verdana" w:hAnsi="Verdana"/>
          <w:sz w:val="20"/>
          <w:szCs w:val="20"/>
        </w:rPr>
        <w:t>.</w:t>
      </w:r>
    </w:p>
    <w:p w14:paraId="2C9CC67D" w14:textId="15776F3F" w:rsidR="00FA352C" w:rsidRDefault="00FA352C" w:rsidP="00FA352C">
      <w:pPr>
        <w:pStyle w:val="Geenafstand"/>
        <w:rPr>
          <w:rFonts w:ascii="Verdana" w:hAnsi="Verdana"/>
          <w:sz w:val="20"/>
          <w:szCs w:val="20"/>
        </w:rPr>
      </w:pPr>
    </w:p>
    <w:p w14:paraId="21F38274" w14:textId="35450988" w:rsidR="00FA352C" w:rsidRPr="00FA352C" w:rsidRDefault="00FA352C" w:rsidP="00FA352C">
      <w:pPr>
        <w:pStyle w:val="Kop3"/>
        <w:spacing w:before="0" w:beforeAutospacing="0" w:after="0" w:afterAutospacing="0"/>
        <w:rPr>
          <w:szCs w:val="20"/>
        </w:rPr>
      </w:pPr>
      <w:bookmarkStart w:id="45" w:name="_Toc72576295"/>
      <w:r w:rsidRPr="00FA352C">
        <w:rPr>
          <w:szCs w:val="20"/>
        </w:rPr>
        <w:t>3.2.3. Bewijsvermoeden</w:t>
      </w:r>
      <w:bookmarkEnd w:id="45"/>
    </w:p>
    <w:p w14:paraId="348B686B" w14:textId="467E46BC" w:rsidR="00FA352C" w:rsidRDefault="00FA352C" w:rsidP="00FA352C">
      <w:pPr>
        <w:pStyle w:val="Geenafstand"/>
        <w:rPr>
          <w:rFonts w:ascii="Verdana" w:hAnsi="Verdana"/>
          <w:sz w:val="20"/>
          <w:szCs w:val="20"/>
        </w:rPr>
      </w:pPr>
      <w:r w:rsidRPr="00FA352C">
        <w:rPr>
          <w:rFonts w:ascii="Verdana" w:hAnsi="Verdana"/>
          <w:sz w:val="20"/>
          <w:szCs w:val="20"/>
        </w:rPr>
        <w:t>Waar in het huidige recht de bewijslast in de eerste zes maanden na aankoop van een zaak bij de verkoper ligt, voorziet de Richtlijn in een verlenging van deze termijn</w:t>
      </w:r>
      <w:r w:rsidRPr="00FA352C">
        <w:rPr>
          <w:rStyle w:val="Voetnootmarkering"/>
          <w:rFonts w:ascii="Verdana" w:hAnsi="Verdana"/>
          <w:bCs/>
          <w:sz w:val="20"/>
          <w:szCs w:val="20"/>
        </w:rPr>
        <w:footnoteReference w:id="99"/>
      </w:r>
      <w:r w:rsidRPr="00FA352C">
        <w:rPr>
          <w:rFonts w:ascii="Verdana" w:hAnsi="Verdana"/>
          <w:sz w:val="20"/>
          <w:szCs w:val="20"/>
        </w:rPr>
        <w:t xml:space="preserve"> De bewijslast ligt – na implementatie van de Richtlijn – gedurende twaalf maanden na aankoop van een zaak bij de verkoper. Het is lidstaten toegestaan om de termijn te verlengen naar vierentwintig maanden, maar in Nederland wordt er geen gebruik gemaakt van deze mogelijkheid.</w:t>
      </w:r>
      <w:r w:rsidRPr="00FA352C">
        <w:rPr>
          <w:rStyle w:val="Voetnootmarkering"/>
          <w:rFonts w:ascii="Verdana" w:hAnsi="Verdana"/>
          <w:bCs/>
          <w:sz w:val="20"/>
          <w:szCs w:val="20"/>
        </w:rPr>
        <w:footnoteReference w:id="100"/>
      </w:r>
    </w:p>
    <w:p w14:paraId="1B54A7D0" w14:textId="77777777" w:rsidR="00FA352C" w:rsidRPr="00FA352C" w:rsidRDefault="00FA352C" w:rsidP="00FA352C">
      <w:pPr>
        <w:pStyle w:val="Geenafstand"/>
        <w:rPr>
          <w:rFonts w:ascii="Verdana" w:hAnsi="Verdana"/>
          <w:sz w:val="20"/>
          <w:szCs w:val="20"/>
        </w:rPr>
      </w:pPr>
    </w:p>
    <w:p w14:paraId="6423F674" w14:textId="2223FC7B" w:rsidR="00FA352C" w:rsidRPr="00FA352C" w:rsidRDefault="00FA352C" w:rsidP="00FA352C">
      <w:pPr>
        <w:pStyle w:val="Kop3"/>
        <w:spacing w:before="0" w:beforeAutospacing="0" w:after="0" w:afterAutospacing="0"/>
        <w:rPr>
          <w:szCs w:val="20"/>
        </w:rPr>
      </w:pPr>
      <w:bookmarkStart w:id="46" w:name="_Toc72576296"/>
      <w:r w:rsidRPr="00FA352C">
        <w:rPr>
          <w:szCs w:val="20"/>
        </w:rPr>
        <w:t>3.2.4. Mededelings-, onderzoeks- en klachtplicht</w:t>
      </w:r>
      <w:bookmarkEnd w:id="46"/>
    </w:p>
    <w:p w14:paraId="73C1A265" w14:textId="77777777" w:rsidR="00FA352C" w:rsidRPr="00FA352C" w:rsidRDefault="00FA352C" w:rsidP="00FA352C">
      <w:pPr>
        <w:pStyle w:val="Geenafstand"/>
        <w:rPr>
          <w:rFonts w:ascii="Verdana" w:hAnsi="Verdana" w:cs="Times New Roman"/>
          <w:sz w:val="20"/>
          <w:szCs w:val="20"/>
          <w:lang w:eastAsia="nl-NL"/>
        </w:rPr>
      </w:pPr>
      <w:r w:rsidRPr="00FA352C">
        <w:rPr>
          <w:rFonts w:ascii="Verdana" w:hAnsi="Verdana"/>
          <w:sz w:val="20"/>
          <w:szCs w:val="20"/>
        </w:rPr>
        <w:t>De mededelingsplicht van de verkoper en de klachtplicht van de consument blijft na implementatie van de Richtlijn hetzelfde. De onderzoeksplicht bij consumentenkoop zal geschrapt worden.</w:t>
      </w:r>
      <w:r w:rsidRPr="00FA352C">
        <w:rPr>
          <w:rStyle w:val="Voetnootmarkering"/>
          <w:rFonts w:ascii="Verdana" w:hAnsi="Verdana"/>
          <w:sz w:val="20"/>
          <w:szCs w:val="20"/>
        </w:rPr>
        <w:footnoteReference w:id="101"/>
      </w:r>
      <w:r w:rsidRPr="00FA352C">
        <w:rPr>
          <w:rFonts w:ascii="Verdana" w:hAnsi="Verdana"/>
          <w:sz w:val="20"/>
          <w:szCs w:val="20"/>
        </w:rPr>
        <w:t xml:space="preserve"> Een verkoper is – na implementatie van de Richtlijn - alleen niet aansprakelijk voor een gebrek als de consument – voor sluiting van de koopovereenkomst – op de hoogte was van het gebrek en het gebrek uitdrukkelijk en afzonderlijk heeft aanvaard.</w:t>
      </w:r>
      <w:r w:rsidRPr="00FA352C">
        <w:rPr>
          <w:rStyle w:val="Voetnootmarkering"/>
          <w:rFonts w:ascii="Verdana" w:hAnsi="Verdana"/>
          <w:sz w:val="20"/>
          <w:szCs w:val="20"/>
        </w:rPr>
        <w:footnoteReference w:id="102"/>
      </w:r>
      <w:r w:rsidRPr="00FA352C">
        <w:rPr>
          <w:rFonts w:ascii="Verdana" w:hAnsi="Verdana"/>
          <w:sz w:val="20"/>
          <w:szCs w:val="20"/>
        </w:rPr>
        <w:t xml:space="preserve"> Ook als de consument een gebrek aan de zaak had kunnen ontdekken, had de verkoper dit aan de consument moeten melden.</w:t>
      </w:r>
      <w:r w:rsidRPr="00FA352C">
        <w:rPr>
          <w:rFonts w:ascii="Verdana" w:hAnsi="Verdana" w:cs="Times New Roman"/>
          <w:sz w:val="20"/>
          <w:szCs w:val="20"/>
          <w:lang w:eastAsia="nl-NL"/>
        </w:rPr>
        <w:t xml:space="preserve"> </w:t>
      </w:r>
      <w:r w:rsidRPr="00FA352C">
        <w:rPr>
          <w:rStyle w:val="Voetnootmarkering"/>
          <w:rFonts w:ascii="Verdana" w:hAnsi="Verdana" w:cs="Times New Roman"/>
          <w:sz w:val="20"/>
          <w:szCs w:val="20"/>
          <w:lang w:eastAsia="nl-NL"/>
        </w:rPr>
        <w:footnoteReference w:id="103"/>
      </w:r>
    </w:p>
    <w:p w14:paraId="755B3146" w14:textId="77777777" w:rsidR="00FA352C" w:rsidRDefault="00FA352C" w:rsidP="00FA352C">
      <w:pPr>
        <w:pStyle w:val="Geenafstand"/>
        <w:rPr>
          <w:rFonts w:ascii="Verdana" w:hAnsi="Verdana" w:cs="Times New Roman"/>
          <w:sz w:val="20"/>
          <w:szCs w:val="20"/>
          <w:lang w:eastAsia="nl-NL"/>
        </w:rPr>
      </w:pPr>
    </w:p>
    <w:p w14:paraId="3F3F6043" w14:textId="1E525719" w:rsidR="00FA352C" w:rsidRDefault="00FA352C" w:rsidP="00FA352C">
      <w:pPr>
        <w:pStyle w:val="Geenafstand"/>
        <w:rPr>
          <w:rFonts w:ascii="Verdana" w:hAnsi="Verdana"/>
          <w:sz w:val="20"/>
          <w:szCs w:val="20"/>
        </w:rPr>
      </w:pPr>
      <w:r w:rsidRPr="00FA352C">
        <w:rPr>
          <w:rFonts w:ascii="Verdana" w:hAnsi="Verdana" w:cs="Times New Roman"/>
          <w:sz w:val="20"/>
          <w:szCs w:val="20"/>
          <w:lang w:eastAsia="nl-NL"/>
        </w:rPr>
        <w:t>Het is met het schrappen van de onderzoeksplicht nog wel mogelijk om af te wijken van de objectieve conformiteitsvereisten. Dat betekent dat partijen alsnog kunnen overeenkomen dat er een auto wordt geleverd die niet hetzelfde functioneert als soortgelijke auto’s. Voorwaarden zijn dan wel dat de consument uitdrukkelijk in kennis van het gebrek wordt gesteld en het gebrek door middel van een actieve en ondubbelzinnige handeling aanvaardt.</w:t>
      </w:r>
      <w:r w:rsidRPr="00FA352C">
        <w:rPr>
          <w:rStyle w:val="Voetnootmarkering"/>
          <w:rFonts w:ascii="Verdana" w:hAnsi="Verdana"/>
          <w:sz w:val="20"/>
          <w:szCs w:val="20"/>
        </w:rPr>
        <w:t xml:space="preserve"> </w:t>
      </w:r>
      <w:r w:rsidRPr="00FA352C">
        <w:rPr>
          <w:rStyle w:val="Voetnootmarkering"/>
          <w:rFonts w:ascii="Verdana" w:hAnsi="Verdana"/>
          <w:sz w:val="20"/>
          <w:szCs w:val="20"/>
        </w:rPr>
        <w:footnoteReference w:id="104"/>
      </w:r>
      <w:r w:rsidRPr="00FA352C">
        <w:rPr>
          <w:rFonts w:ascii="Verdana" w:hAnsi="Verdana" w:cs="Times New Roman"/>
          <w:sz w:val="20"/>
          <w:szCs w:val="20"/>
          <w:lang w:eastAsia="nl-NL"/>
        </w:rPr>
        <w:t xml:space="preserve"> De aanvaarding kan bijvoorbeeld gebeuren door de consument een instemmingsformulier te laten invullen.</w:t>
      </w:r>
      <w:r w:rsidRPr="00FA352C">
        <w:rPr>
          <w:rStyle w:val="Voetnootmarkering"/>
          <w:rFonts w:ascii="Verdana" w:hAnsi="Verdana"/>
          <w:sz w:val="20"/>
          <w:szCs w:val="20"/>
        </w:rPr>
        <w:t xml:space="preserve"> </w:t>
      </w:r>
      <w:r w:rsidRPr="00FA352C">
        <w:rPr>
          <w:rStyle w:val="Voetnootmarkering"/>
          <w:rFonts w:ascii="Verdana" w:hAnsi="Verdana"/>
          <w:sz w:val="20"/>
          <w:szCs w:val="20"/>
        </w:rPr>
        <w:footnoteReference w:id="105"/>
      </w:r>
    </w:p>
    <w:p w14:paraId="57E419D8" w14:textId="64C06369" w:rsidR="00FA352C" w:rsidRDefault="00FA352C" w:rsidP="00FA352C">
      <w:pPr>
        <w:pStyle w:val="Geenafstand"/>
        <w:rPr>
          <w:rFonts w:ascii="Verdana" w:hAnsi="Verdana"/>
          <w:sz w:val="20"/>
          <w:szCs w:val="20"/>
        </w:rPr>
      </w:pPr>
    </w:p>
    <w:p w14:paraId="43B29B38" w14:textId="751A749D" w:rsidR="00FA352C" w:rsidRDefault="00FA352C" w:rsidP="00FA352C">
      <w:pPr>
        <w:pStyle w:val="Kop2"/>
        <w:spacing w:before="0"/>
      </w:pPr>
      <w:bookmarkStart w:id="47" w:name="_Toc72576297"/>
      <w:r>
        <w:t>3.3. Voorlopig conclusie</w:t>
      </w:r>
      <w:bookmarkEnd w:id="47"/>
    </w:p>
    <w:p w14:paraId="087D9E3E" w14:textId="6E528F5A" w:rsidR="00FA352C" w:rsidRDefault="00FA352C" w:rsidP="00FA352C">
      <w:pPr>
        <w:jc w:val="left"/>
        <w:rPr>
          <w:szCs w:val="20"/>
        </w:rPr>
      </w:pPr>
      <w:r w:rsidRPr="00394F71">
        <w:rPr>
          <w:szCs w:val="20"/>
        </w:rPr>
        <w:t>Volgens het huidige recht dient een verkoper een zaak te leveren die aan de overeenkomst beantwoordt. Of een zaak aan de overeenkomst beantwoordt hangt</w:t>
      </w:r>
      <w:r>
        <w:rPr>
          <w:szCs w:val="20"/>
        </w:rPr>
        <w:t xml:space="preserve"> af</w:t>
      </w:r>
      <w:r w:rsidRPr="00394F71">
        <w:rPr>
          <w:szCs w:val="20"/>
        </w:rPr>
        <w:t xml:space="preserve"> van drie aspecten: kwantiteit, identiteit en kwaliteit.</w:t>
      </w:r>
      <w:r>
        <w:rPr>
          <w:szCs w:val="20"/>
        </w:rPr>
        <w:t xml:space="preserve"> In de Richtlijn worden de conformiteitsbepalingen met negen bepalingen over zowel de vaststelling als gevolgen van non-conformiteit uitgebreid. Een zaak dient zowel subjectief als objectief aan de overeenkomst te beantwoorden. Ook wordt de installatie van goederen en het verplicht leveren van software updates onderdeel van de conformiteitseis.</w:t>
      </w:r>
    </w:p>
    <w:p w14:paraId="70526AA6" w14:textId="77777777" w:rsidR="00355846" w:rsidRDefault="00355846" w:rsidP="00FA352C">
      <w:pPr>
        <w:jc w:val="left"/>
        <w:rPr>
          <w:szCs w:val="20"/>
        </w:rPr>
      </w:pPr>
    </w:p>
    <w:p w14:paraId="3EFB03CB" w14:textId="24D2655B" w:rsidR="00086425" w:rsidRDefault="00FA352C" w:rsidP="00FA352C">
      <w:pPr>
        <w:jc w:val="left"/>
        <w:rPr>
          <w:szCs w:val="20"/>
        </w:rPr>
      </w:pPr>
      <w:r>
        <w:rPr>
          <w:szCs w:val="20"/>
        </w:rPr>
        <w:lastRenderedPageBreak/>
        <w:t xml:space="preserve">De onderzoeksplicht van de consument zal na implementatie van de Richtlijn worden geschrapt. Een verkoper is alleen niet aansprakelijk voor een gebrek als de consument op de hoogte was van het gebrek en het gebrek uitdrukkelijk en afzonderlijk heeft aanvaard. </w:t>
      </w:r>
    </w:p>
    <w:p w14:paraId="7F8F4AF8" w14:textId="320F81D2" w:rsidR="00FA352C" w:rsidRDefault="00FA352C" w:rsidP="00FA352C">
      <w:pPr>
        <w:jc w:val="left"/>
        <w:rPr>
          <w:szCs w:val="20"/>
        </w:rPr>
      </w:pPr>
      <w:r>
        <w:rPr>
          <w:szCs w:val="20"/>
        </w:rPr>
        <w:t>Tot slot wijzigt na implementatie van de Richtlijn de termijn van het bewijsvermoeden. Een verkoper draagt – in tegenstelling tot de termijn van zes maanden uit het huidige recht – in de eerste twaalf maanden de bewijslast om aan te tonen dat het gebrek pas na aflevering van de zaak is ontstaan.</w:t>
      </w:r>
      <w:r w:rsidR="00B4644E">
        <w:rPr>
          <w:szCs w:val="20"/>
        </w:rPr>
        <w:br/>
      </w:r>
    </w:p>
    <w:p w14:paraId="17F425D7" w14:textId="0C5C66B3" w:rsidR="00B4644E" w:rsidRDefault="00B4644E" w:rsidP="00FA352C">
      <w:pPr>
        <w:jc w:val="left"/>
        <w:rPr>
          <w:szCs w:val="20"/>
        </w:rPr>
      </w:pPr>
    </w:p>
    <w:p w14:paraId="4FDCA057" w14:textId="34ED6A28" w:rsidR="00B4644E" w:rsidRDefault="00B4644E" w:rsidP="00FA352C">
      <w:pPr>
        <w:jc w:val="left"/>
        <w:rPr>
          <w:szCs w:val="20"/>
        </w:rPr>
      </w:pPr>
    </w:p>
    <w:p w14:paraId="130E5F52" w14:textId="3608E4D7" w:rsidR="00B4644E" w:rsidRDefault="00B4644E" w:rsidP="00FA352C">
      <w:pPr>
        <w:jc w:val="left"/>
        <w:rPr>
          <w:szCs w:val="20"/>
        </w:rPr>
      </w:pPr>
    </w:p>
    <w:p w14:paraId="0E3FD59D" w14:textId="188B7D20" w:rsidR="00B4644E" w:rsidRDefault="00B4644E" w:rsidP="00FA352C">
      <w:pPr>
        <w:jc w:val="left"/>
        <w:rPr>
          <w:szCs w:val="20"/>
        </w:rPr>
      </w:pPr>
    </w:p>
    <w:p w14:paraId="3A4C00D4" w14:textId="0CCA7706" w:rsidR="00B4644E" w:rsidRDefault="00B4644E" w:rsidP="00FA352C">
      <w:pPr>
        <w:jc w:val="left"/>
        <w:rPr>
          <w:szCs w:val="20"/>
        </w:rPr>
      </w:pPr>
    </w:p>
    <w:p w14:paraId="4E44E1D8" w14:textId="0E97C692" w:rsidR="00B4644E" w:rsidRDefault="00B4644E" w:rsidP="00FA352C">
      <w:pPr>
        <w:jc w:val="left"/>
        <w:rPr>
          <w:szCs w:val="20"/>
        </w:rPr>
      </w:pPr>
    </w:p>
    <w:p w14:paraId="6FA994CB" w14:textId="5A021965" w:rsidR="00B4644E" w:rsidRDefault="00B4644E" w:rsidP="00FA352C">
      <w:pPr>
        <w:jc w:val="left"/>
        <w:rPr>
          <w:szCs w:val="20"/>
        </w:rPr>
      </w:pPr>
    </w:p>
    <w:p w14:paraId="1D951248" w14:textId="53DBF55C" w:rsidR="00B4644E" w:rsidRDefault="00B4644E" w:rsidP="00FA352C">
      <w:pPr>
        <w:jc w:val="left"/>
        <w:rPr>
          <w:szCs w:val="20"/>
        </w:rPr>
      </w:pPr>
    </w:p>
    <w:p w14:paraId="3860A04A" w14:textId="48D12E29" w:rsidR="00B4644E" w:rsidRDefault="00B4644E" w:rsidP="00FA352C">
      <w:pPr>
        <w:jc w:val="left"/>
        <w:rPr>
          <w:szCs w:val="20"/>
        </w:rPr>
      </w:pPr>
    </w:p>
    <w:p w14:paraId="1BE4C7EB" w14:textId="221BD72F" w:rsidR="00B4644E" w:rsidRDefault="00B4644E" w:rsidP="00FA352C">
      <w:pPr>
        <w:jc w:val="left"/>
        <w:rPr>
          <w:szCs w:val="20"/>
        </w:rPr>
      </w:pPr>
    </w:p>
    <w:p w14:paraId="211ADEA6" w14:textId="4125F124" w:rsidR="00B4644E" w:rsidRDefault="00B4644E" w:rsidP="00FA352C">
      <w:pPr>
        <w:jc w:val="left"/>
        <w:rPr>
          <w:szCs w:val="20"/>
        </w:rPr>
      </w:pPr>
    </w:p>
    <w:p w14:paraId="67A0DAE7" w14:textId="6461742D" w:rsidR="00B4644E" w:rsidRDefault="00B4644E" w:rsidP="00FA352C">
      <w:pPr>
        <w:jc w:val="left"/>
        <w:rPr>
          <w:szCs w:val="20"/>
        </w:rPr>
      </w:pPr>
    </w:p>
    <w:p w14:paraId="09B2C69B" w14:textId="4FAFF4B9" w:rsidR="00B4644E" w:rsidRDefault="00B4644E" w:rsidP="00FA352C">
      <w:pPr>
        <w:jc w:val="left"/>
        <w:rPr>
          <w:szCs w:val="20"/>
        </w:rPr>
      </w:pPr>
    </w:p>
    <w:p w14:paraId="2C4C322D" w14:textId="572F51A8" w:rsidR="00B4644E" w:rsidRDefault="00B4644E" w:rsidP="00FA352C">
      <w:pPr>
        <w:jc w:val="left"/>
        <w:rPr>
          <w:szCs w:val="20"/>
        </w:rPr>
      </w:pPr>
    </w:p>
    <w:p w14:paraId="4D5C7B83" w14:textId="58B6ABB6" w:rsidR="00B4644E" w:rsidRDefault="00B4644E" w:rsidP="00FA352C">
      <w:pPr>
        <w:jc w:val="left"/>
        <w:rPr>
          <w:szCs w:val="20"/>
        </w:rPr>
      </w:pPr>
    </w:p>
    <w:p w14:paraId="72E65043" w14:textId="4FAA1D18" w:rsidR="00B4644E" w:rsidRDefault="00B4644E" w:rsidP="00FA352C">
      <w:pPr>
        <w:jc w:val="left"/>
        <w:rPr>
          <w:szCs w:val="20"/>
        </w:rPr>
      </w:pPr>
    </w:p>
    <w:p w14:paraId="4C2B07D8" w14:textId="0F4C3EA6" w:rsidR="00B4644E" w:rsidRDefault="00B4644E" w:rsidP="00FA352C">
      <w:pPr>
        <w:jc w:val="left"/>
        <w:rPr>
          <w:szCs w:val="20"/>
        </w:rPr>
      </w:pPr>
    </w:p>
    <w:p w14:paraId="7B0C2FF5" w14:textId="21A87845" w:rsidR="00B4644E" w:rsidRDefault="00B4644E" w:rsidP="00FA352C">
      <w:pPr>
        <w:jc w:val="left"/>
        <w:rPr>
          <w:szCs w:val="20"/>
        </w:rPr>
      </w:pPr>
    </w:p>
    <w:p w14:paraId="571AABFB" w14:textId="74CF79DC" w:rsidR="00B4644E" w:rsidRDefault="00B4644E" w:rsidP="00FA352C">
      <w:pPr>
        <w:jc w:val="left"/>
        <w:rPr>
          <w:szCs w:val="20"/>
        </w:rPr>
      </w:pPr>
    </w:p>
    <w:p w14:paraId="4B855F79" w14:textId="2FFEE226" w:rsidR="00B4644E" w:rsidRDefault="00B4644E" w:rsidP="00FA352C">
      <w:pPr>
        <w:jc w:val="left"/>
        <w:rPr>
          <w:szCs w:val="20"/>
        </w:rPr>
      </w:pPr>
    </w:p>
    <w:p w14:paraId="60369E73" w14:textId="2A698908" w:rsidR="00B4644E" w:rsidRDefault="00B4644E" w:rsidP="00FA352C">
      <w:pPr>
        <w:jc w:val="left"/>
        <w:rPr>
          <w:szCs w:val="20"/>
        </w:rPr>
      </w:pPr>
    </w:p>
    <w:p w14:paraId="2DBAB6EC" w14:textId="666563D0" w:rsidR="00B4644E" w:rsidRDefault="00B4644E" w:rsidP="00FA352C">
      <w:pPr>
        <w:jc w:val="left"/>
        <w:rPr>
          <w:szCs w:val="20"/>
        </w:rPr>
      </w:pPr>
    </w:p>
    <w:p w14:paraId="5AB31666" w14:textId="463257F9" w:rsidR="00B4644E" w:rsidRDefault="00B4644E" w:rsidP="00FA352C">
      <w:pPr>
        <w:jc w:val="left"/>
        <w:rPr>
          <w:szCs w:val="20"/>
        </w:rPr>
      </w:pPr>
    </w:p>
    <w:p w14:paraId="1465BCE8" w14:textId="7A8E5F5F" w:rsidR="00B4644E" w:rsidRDefault="00B4644E" w:rsidP="00FA352C">
      <w:pPr>
        <w:jc w:val="left"/>
        <w:rPr>
          <w:szCs w:val="20"/>
        </w:rPr>
      </w:pPr>
    </w:p>
    <w:p w14:paraId="42EDBC6B" w14:textId="57969324" w:rsidR="00B4644E" w:rsidRDefault="00B4644E" w:rsidP="00FA352C">
      <w:pPr>
        <w:jc w:val="left"/>
        <w:rPr>
          <w:szCs w:val="20"/>
        </w:rPr>
      </w:pPr>
    </w:p>
    <w:p w14:paraId="48FBBE69" w14:textId="77777777" w:rsidR="00B4644E" w:rsidRDefault="00B4644E" w:rsidP="00FA352C">
      <w:pPr>
        <w:jc w:val="left"/>
        <w:rPr>
          <w:szCs w:val="20"/>
        </w:rPr>
      </w:pPr>
    </w:p>
    <w:p w14:paraId="3D77FCE1" w14:textId="433EFACD" w:rsidR="00DC5B36" w:rsidRDefault="00E405B4" w:rsidP="00E405B4">
      <w:pPr>
        <w:pStyle w:val="Kop1"/>
        <w:rPr>
          <w:bCs/>
          <w:sz w:val="20"/>
          <w:szCs w:val="20"/>
        </w:rPr>
      </w:pPr>
      <w:bookmarkStart w:id="48" w:name="_Toc72576298"/>
      <w:r>
        <w:lastRenderedPageBreak/>
        <w:t xml:space="preserve">Hoofstuk 4: </w:t>
      </w:r>
      <w:r>
        <w:rPr>
          <w:bCs/>
          <w:sz w:val="20"/>
          <w:szCs w:val="20"/>
        </w:rPr>
        <w:t>Remedies bij non-conformiteit: het heden en de toekomst</w:t>
      </w:r>
      <w:bookmarkEnd w:id="48"/>
    </w:p>
    <w:p w14:paraId="62286CA1" w14:textId="6B30F331" w:rsidR="00E405B4" w:rsidRPr="00B4644E" w:rsidRDefault="00E405B4" w:rsidP="00B4644E">
      <w:pPr>
        <w:pStyle w:val="Geenafstand"/>
        <w:rPr>
          <w:rFonts w:ascii="Verdana" w:hAnsi="Verdana"/>
          <w:sz w:val="20"/>
          <w:szCs w:val="20"/>
        </w:rPr>
      </w:pPr>
      <w:r w:rsidRPr="00B4644E">
        <w:rPr>
          <w:rFonts w:ascii="Verdana" w:hAnsi="Verdana"/>
          <w:sz w:val="20"/>
          <w:szCs w:val="20"/>
        </w:rPr>
        <w:t xml:space="preserve">Dit hoofdstuk geeft antwoord op de derde deelvraag: ‘Over welke remedies beschikt de consument in het geval van non-conformiteit na implementatie van Richtlijn 2019/771 in vergelijking met de huidige titel 1 van boek 7 van het Burgerlijk Wetboek?’. Met beantwoording van deze deelvraag wordt duidelijk welke remedies de consument bij non-conformiteit – na implementatie van de Richtlijn – kan inzetten. Ook wordt hiermee duidelijk in hoeverre de advisering bij </w:t>
      </w:r>
      <w:r w:rsidR="00DC68A1" w:rsidRPr="000C446C">
        <w:rPr>
          <w:rFonts w:ascii="Verdana" w:hAnsi="Verdana"/>
          <w:b/>
          <w:bCs/>
          <w:sz w:val="24"/>
          <w:szCs w:val="24"/>
        </w:rPr>
        <w:t>XXX</w:t>
      </w:r>
      <w:r w:rsidR="00DC68A1" w:rsidRPr="00B4644E">
        <w:rPr>
          <w:rFonts w:ascii="Verdana" w:hAnsi="Verdana"/>
          <w:sz w:val="20"/>
          <w:szCs w:val="20"/>
        </w:rPr>
        <w:t xml:space="preserve"> </w:t>
      </w:r>
      <w:r w:rsidRPr="00B4644E">
        <w:rPr>
          <w:rFonts w:ascii="Verdana" w:hAnsi="Verdana"/>
          <w:sz w:val="20"/>
          <w:szCs w:val="20"/>
        </w:rPr>
        <w:t xml:space="preserve">wijzigt. In paragraaf </w:t>
      </w:r>
      <w:r w:rsidR="00B4644E">
        <w:rPr>
          <w:rFonts w:ascii="Verdana" w:hAnsi="Verdana"/>
          <w:sz w:val="20"/>
          <w:szCs w:val="20"/>
        </w:rPr>
        <w:t>4</w:t>
      </w:r>
      <w:r w:rsidRPr="00B4644E">
        <w:rPr>
          <w:rFonts w:ascii="Verdana" w:hAnsi="Verdana"/>
          <w:sz w:val="20"/>
          <w:szCs w:val="20"/>
        </w:rPr>
        <w:t xml:space="preserve">.1. leest u de remedies die de consument volgens het huidige recht kan inzetten. Paragraaf </w:t>
      </w:r>
      <w:r w:rsidR="00B4644E">
        <w:rPr>
          <w:rFonts w:ascii="Verdana" w:hAnsi="Verdana"/>
          <w:sz w:val="20"/>
          <w:szCs w:val="20"/>
        </w:rPr>
        <w:t>4</w:t>
      </w:r>
      <w:r w:rsidRPr="00B4644E">
        <w:rPr>
          <w:rFonts w:ascii="Verdana" w:hAnsi="Verdana"/>
          <w:sz w:val="20"/>
          <w:szCs w:val="20"/>
        </w:rPr>
        <w:t xml:space="preserve">.2. beschrijft de veranderingen in het inzetten van de remedies volgens de Richtlijn. Het hoofdstuk eindigt in paragraaf </w:t>
      </w:r>
      <w:r w:rsidR="00B4644E">
        <w:rPr>
          <w:rFonts w:ascii="Verdana" w:hAnsi="Verdana"/>
          <w:sz w:val="20"/>
          <w:szCs w:val="20"/>
        </w:rPr>
        <w:t>4</w:t>
      </w:r>
      <w:r w:rsidRPr="00B4644E">
        <w:rPr>
          <w:rFonts w:ascii="Verdana" w:hAnsi="Verdana"/>
          <w:sz w:val="20"/>
          <w:szCs w:val="20"/>
        </w:rPr>
        <w:t xml:space="preserve">.3. met een voorlopige conclusie. </w:t>
      </w:r>
      <w:r w:rsidR="00B4644E">
        <w:rPr>
          <w:rFonts w:ascii="Verdana" w:hAnsi="Verdana"/>
          <w:sz w:val="20"/>
          <w:szCs w:val="20"/>
        </w:rPr>
        <w:br/>
      </w:r>
      <w:r w:rsidRPr="00B4644E">
        <w:rPr>
          <w:rFonts w:ascii="Verdana" w:hAnsi="Verdana"/>
          <w:sz w:val="20"/>
          <w:szCs w:val="20"/>
        </w:rPr>
        <w:t xml:space="preserve"> </w:t>
      </w:r>
    </w:p>
    <w:p w14:paraId="573FF20D" w14:textId="5D4E64FE" w:rsidR="00E405B4" w:rsidRDefault="00E405B4" w:rsidP="00B4644E">
      <w:pPr>
        <w:pStyle w:val="Kop2"/>
      </w:pPr>
      <w:bookmarkStart w:id="49" w:name="_Toc72576299"/>
      <w:r>
        <w:t>4.1 Remedies volgens het huidige recht</w:t>
      </w:r>
      <w:bookmarkEnd w:id="49"/>
    </w:p>
    <w:p w14:paraId="77D4D149" w14:textId="556B4837" w:rsidR="004233CE" w:rsidRDefault="004233CE" w:rsidP="00B4644E">
      <w:pPr>
        <w:pStyle w:val="Geenafstand"/>
        <w:rPr>
          <w:rFonts w:ascii="Verdana" w:hAnsi="Verdana"/>
          <w:sz w:val="20"/>
          <w:szCs w:val="20"/>
        </w:rPr>
      </w:pPr>
      <w:r w:rsidRPr="00B4644E">
        <w:rPr>
          <w:rFonts w:ascii="Verdana" w:hAnsi="Verdana"/>
          <w:sz w:val="20"/>
          <w:szCs w:val="20"/>
        </w:rPr>
        <w:t>Als eenmaal vaststaat dat er sprake is van non-conformiteit dan rest nog de vraag welke nakomingsmogelijkheden de koper tegen de verkoper kan inroepen. Volgens artikel 7:21 BW heeft een koper recht op aflevering van het ontbrekende, herstel of vervanging van de zaak</w:t>
      </w:r>
      <w:r w:rsidRPr="00B4644E">
        <w:rPr>
          <w:rStyle w:val="Voetnootmarkering"/>
          <w:rFonts w:ascii="Verdana" w:hAnsi="Verdana"/>
          <w:sz w:val="20"/>
          <w:szCs w:val="18"/>
        </w:rPr>
        <w:footnoteReference w:id="106"/>
      </w:r>
      <w:r w:rsidRPr="00B4644E">
        <w:rPr>
          <w:rFonts w:ascii="Verdana" w:hAnsi="Verdana"/>
          <w:sz w:val="20"/>
          <w:szCs w:val="20"/>
        </w:rPr>
        <w:t xml:space="preserve">. </w:t>
      </w:r>
    </w:p>
    <w:p w14:paraId="0FBE461E" w14:textId="77777777" w:rsidR="00B4644E" w:rsidRPr="00B4644E" w:rsidRDefault="00B4644E" w:rsidP="00B4644E">
      <w:pPr>
        <w:pStyle w:val="Geenafstand"/>
        <w:rPr>
          <w:rFonts w:ascii="Verdana" w:hAnsi="Verdana"/>
          <w:sz w:val="20"/>
          <w:szCs w:val="20"/>
        </w:rPr>
      </w:pPr>
    </w:p>
    <w:p w14:paraId="3A6DC54C" w14:textId="1194A21A" w:rsidR="004233CE" w:rsidRDefault="004233CE" w:rsidP="00B4644E">
      <w:pPr>
        <w:pStyle w:val="Geenafstand"/>
        <w:rPr>
          <w:rFonts w:ascii="Verdana" w:hAnsi="Verdana"/>
          <w:sz w:val="20"/>
          <w:szCs w:val="20"/>
        </w:rPr>
      </w:pPr>
      <w:r w:rsidRPr="00B4644E">
        <w:rPr>
          <w:rFonts w:ascii="Verdana" w:hAnsi="Verdana"/>
          <w:sz w:val="20"/>
          <w:szCs w:val="20"/>
        </w:rPr>
        <w:t>Aflevering van het ontbrekende kan worden gevorderd als de zaak niet in de juiste maat, getal of gewicht wordt geleverd.</w:t>
      </w:r>
      <w:r w:rsidRPr="00B4644E">
        <w:rPr>
          <w:rStyle w:val="Voetnootmarkering"/>
          <w:rFonts w:ascii="Verdana" w:hAnsi="Verdana"/>
          <w:sz w:val="20"/>
          <w:szCs w:val="18"/>
        </w:rPr>
        <w:footnoteReference w:id="107"/>
      </w:r>
      <w:r w:rsidRPr="00B4644E">
        <w:rPr>
          <w:rFonts w:ascii="Verdana" w:hAnsi="Verdana"/>
          <w:sz w:val="20"/>
          <w:szCs w:val="20"/>
        </w:rPr>
        <w:t xml:space="preserve"> Herstel en vervanging kan worden gevorderd als de zaak niet aan de kwaliteitseisen uit de artikelen 7:17 en 7:18 BW voldoet. </w:t>
      </w:r>
    </w:p>
    <w:p w14:paraId="0E1B7193" w14:textId="77777777" w:rsidR="00B4644E" w:rsidRPr="00B4644E" w:rsidRDefault="00B4644E" w:rsidP="00B4644E">
      <w:pPr>
        <w:pStyle w:val="Geenafstand"/>
        <w:rPr>
          <w:rFonts w:ascii="Verdana" w:hAnsi="Verdana"/>
          <w:sz w:val="20"/>
          <w:szCs w:val="20"/>
        </w:rPr>
      </w:pPr>
    </w:p>
    <w:p w14:paraId="2036BE1E" w14:textId="4DE0DBBC" w:rsidR="004233CE" w:rsidRDefault="004233CE" w:rsidP="00B4644E">
      <w:pPr>
        <w:pStyle w:val="Geenafstand"/>
        <w:rPr>
          <w:rFonts w:ascii="Verdana" w:hAnsi="Verdana"/>
          <w:sz w:val="20"/>
          <w:szCs w:val="20"/>
        </w:rPr>
      </w:pPr>
      <w:r w:rsidRPr="00B4644E">
        <w:rPr>
          <w:rFonts w:ascii="Verdana" w:hAnsi="Verdana"/>
          <w:sz w:val="20"/>
          <w:szCs w:val="20"/>
        </w:rPr>
        <w:t>In het geval van non-conformiteit bij consumentenkoop heeft de consument eveneens het recht om tot ontbinding van de overeenkomst of prijsvermindering over te gaan.</w:t>
      </w:r>
      <w:r w:rsidRPr="00B4644E">
        <w:rPr>
          <w:rStyle w:val="Voetnootmarkering"/>
          <w:rFonts w:ascii="Verdana" w:hAnsi="Verdana"/>
          <w:sz w:val="20"/>
          <w:szCs w:val="18"/>
        </w:rPr>
        <w:t xml:space="preserve"> </w:t>
      </w:r>
      <w:r w:rsidRPr="00B4644E">
        <w:rPr>
          <w:rStyle w:val="Voetnootmarkering"/>
          <w:rFonts w:ascii="Verdana" w:hAnsi="Verdana"/>
          <w:sz w:val="20"/>
          <w:szCs w:val="18"/>
        </w:rPr>
        <w:footnoteReference w:id="108"/>
      </w:r>
      <w:r w:rsidRPr="00B4644E">
        <w:rPr>
          <w:rFonts w:ascii="Verdana" w:hAnsi="Verdana"/>
          <w:sz w:val="20"/>
          <w:szCs w:val="20"/>
        </w:rPr>
        <w:t xml:space="preserve">  De consument mag pas tot ontbinding van de overeenkomst of prijsvermindering overgaan als herstel of vervanging onmogelijk is.</w:t>
      </w:r>
      <w:r w:rsidRPr="00B4644E">
        <w:rPr>
          <w:rStyle w:val="Voetnootmarkering"/>
          <w:rFonts w:ascii="Verdana" w:hAnsi="Verdana"/>
          <w:sz w:val="20"/>
          <w:szCs w:val="18"/>
        </w:rPr>
        <w:t xml:space="preserve"> </w:t>
      </w:r>
      <w:r w:rsidRPr="00B4644E">
        <w:rPr>
          <w:rStyle w:val="Voetnootmarkering"/>
          <w:rFonts w:ascii="Verdana" w:hAnsi="Verdana"/>
          <w:sz w:val="20"/>
          <w:szCs w:val="18"/>
        </w:rPr>
        <w:footnoteReference w:id="109"/>
      </w:r>
      <w:r w:rsidRPr="00B4644E">
        <w:rPr>
          <w:rFonts w:ascii="Verdana" w:hAnsi="Verdana"/>
          <w:sz w:val="20"/>
          <w:szCs w:val="20"/>
        </w:rPr>
        <w:t xml:space="preserve">  Dit wordt ook wel het getrapte stelsel genoemd. </w:t>
      </w:r>
    </w:p>
    <w:p w14:paraId="465A9224" w14:textId="77777777" w:rsidR="00B4644E" w:rsidRPr="00B4644E" w:rsidRDefault="00B4644E" w:rsidP="00B4644E">
      <w:pPr>
        <w:pStyle w:val="Geenafstand"/>
        <w:rPr>
          <w:rFonts w:ascii="Verdana" w:hAnsi="Verdana"/>
          <w:sz w:val="20"/>
          <w:szCs w:val="20"/>
        </w:rPr>
      </w:pPr>
    </w:p>
    <w:p w14:paraId="6F283FA4" w14:textId="1BA53690" w:rsidR="004233CE" w:rsidRDefault="004233CE" w:rsidP="00B4644E">
      <w:pPr>
        <w:pStyle w:val="Geenafstand"/>
        <w:rPr>
          <w:rFonts w:ascii="Verdana" w:hAnsi="Verdana"/>
          <w:sz w:val="20"/>
          <w:szCs w:val="20"/>
        </w:rPr>
      </w:pPr>
      <w:r w:rsidRPr="00B4644E">
        <w:rPr>
          <w:rFonts w:ascii="Verdana" w:hAnsi="Verdana"/>
          <w:sz w:val="20"/>
          <w:szCs w:val="20"/>
        </w:rPr>
        <w:t>Herstel of vervanging kan niet worden gevorderd als herstel of vervanging onmogelijk is of niet van de verkoper gevergd kan worden.</w:t>
      </w:r>
      <w:r w:rsidRPr="00B4644E">
        <w:rPr>
          <w:rStyle w:val="Voetnootmarkering"/>
          <w:rFonts w:ascii="Verdana" w:hAnsi="Verdana"/>
          <w:sz w:val="20"/>
          <w:szCs w:val="18"/>
        </w:rPr>
        <w:footnoteReference w:id="110"/>
      </w:r>
      <w:r w:rsidRPr="00B4644E">
        <w:rPr>
          <w:rFonts w:ascii="Verdana" w:hAnsi="Verdana"/>
          <w:sz w:val="20"/>
          <w:szCs w:val="20"/>
        </w:rPr>
        <w:t xml:space="preserve"> Dit is het geval als de kosten van herstel of vervanging niet in verhouding staan tot het gebrek.</w:t>
      </w:r>
      <w:r w:rsidRPr="00B4644E">
        <w:rPr>
          <w:rStyle w:val="Voetnootmarkering"/>
          <w:rFonts w:ascii="Verdana" w:hAnsi="Verdana"/>
          <w:sz w:val="20"/>
          <w:szCs w:val="18"/>
        </w:rPr>
        <w:footnoteReference w:id="111"/>
      </w:r>
      <w:r w:rsidRPr="00B4644E">
        <w:rPr>
          <w:rFonts w:ascii="Verdana" w:hAnsi="Verdana"/>
          <w:sz w:val="20"/>
          <w:szCs w:val="20"/>
        </w:rPr>
        <w:t xml:space="preserve"> Een koper heeft ook geen recht op vervanging als hij onzorgvuldig met de zaak is omgegaan.</w:t>
      </w:r>
      <w:r w:rsidRPr="00B4644E">
        <w:rPr>
          <w:rStyle w:val="Voetnootmarkering"/>
          <w:rFonts w:ascii="Verdana" w:hAnsi="Verdana"/>
          <w:sz w:val="20"/>
          <w:szCs w:val="18"/>
        </w:rPr>
        <w:footnoteReference w:id="112"/>
      </w:r>
    </w:p>
    <w:p w14:paraId="2C2AF0BB" w14:textId="77777777" w:rsidR="00B4644E" w:rsidRPr="00B4644E" w:rsidRDefault="00B4644E" w:rsidP="00B4644E">
      <w:pPr>
        <w:pStyle w:val="Geenafstand"/>
        <w:rPr>
          <w:rFonts w:ascii="Verdana" w:hAnsi="Verdana"/>
          <w:sz w:val="20"/>
          <w:szCs w:val="20"/>
        </w:rPr>
      </w:pPr>
    </w:p>
    <w:p w14:paraId="23853BA4" w14:textId="3D4B89E1" w:rsidR="00E405B4" w:rsidRPr="00B4644E" w:rsidRDefault="004233CE" w:rsidP="00B4644E">
      <w:pPr>
        <w:pStyle w:val="Geenafstand"/>
        <w:rPr>
          <w:rFonts w:ascii="Verdana" w:hAnsi="Verdana"/>
          <w:sz w:val="20"/>
          <w:szCs w:val="20"/>
        </w:rPr>
      </w:pPr>
      <w:r w:rsidRPr="00B4644E">
        <w:rPr>
          <w:rFonts w:ascii="Verdana" w:hAnsi="Verdana"/>
          <w:sz w:val="20"/>
          <w:szCs w:val="20"/>
        </w:rPr>
        <w:t>De verkoper dient binnen een ‘redelijke termijn’ en kosteloos tot herstel over te gaan.</w:t>
      </w:r>
      <w:r w:rsidRPr="00B4644E">
        <w:rPr>
          <w:rStyle w:val="Voetnootmarkering"/>
          <w:rFonts w:ascii="Verdana" w:hAnsi="Verdana"/>
          <w:sz w:val="20"/>
          <w:szCs w:val="18"/>
        </w:rPr>
        <w:footnoteReference w:id="113"/>
      </w:r>
      <w:r w:rsidRPr="00B4644E">
        <w:rPr>
          <w:rFonts w:ascii="Verdana" w:hAnsi="Verdana"/>
          <w:sz w:val="20"/>
          <w:szCs w:val="20"/>
        </w:rPr>
        <w:t xml:space="preserve"> De termijn hangt af van diverse omstandigheden, waarbij de mate van de afwijking en het bijzondere gebruik belangrijke factoren zijn.</w:t>
      </w:r>
      <w:r w:rsidRPr="00B4644E">
        <w:rPr>
          <w:rStyle w:val="Voetnootmarkering"/>
          <w:rFonts w:ascii="Verdana" w:hAnsi="Verdana"/>
          <w:sz w:val="20"/>
          <w:szCs w:val="18"/>
        </w:rPr>
        <w:footnoteReference w:id="114"/>
      </w:r>
      <w:r w:rsidRPr="00B4644E">
        <w:rPr>
          <w:rFonts w:ascii="Verdana" w:hAnsi="Verdana"/>
          <w:sz w:val="20"/>
          <w:szCs w:val="20"/>
        </w:rPr>
        <w:t xml:space="preserve"> Zo zal een bruidsjurk binnen een korte termijn moeten worden hersteld of vervangen.</w:t>
      </w:r>
      <w:r w:rsidRPr="00B4644E">
        <w:rPr>
          <w:rStyle w:val="Voetnootmarkering"/>
          <w:rFonts w:ascii="Verdana" w:hAnsi="Verdana"/>
          <w:sz w:val="20"/>
          <w:szCs w:val="18"/>
        </w:rPr>
        <w:footnoteReference w:id="115"/>
      </w:r>
      <w:r w:rsidRPr="00B4644E">
        <w:rPr>
          <w:rFonts w:ascii="Verdana" w:hAnsi="Verdana"/>
          <w:sz w:val="20"/>
          <w:szCs w:val="20"/>
        </w:rPr>
        <w:t xml:space="preserve"> Als de verkoper niet binnen een redelijke termijn tot herstel overgaat, heeft de consument het recht om het herstel door een derde te laten plaatsvinden.</w:t>
      </w:r>
      <w:r w:rsidRPr="00B4644E">
        <w:rPr>
          <w:rStyle w:val="Voetnootmarkering"/>
          <w:rFonts w:ascii="Verdana" w:hAnsi="Verdana"/>
          <w:sz w:val="20"/>
          <w:szCs w:val="18"/>
        </w:rPr>
        <w:footnoteReference w:id="116"/>
      </w:r>
    </w:p>
    <w:p w14:paraId="15F5548F" w14:textId="3910E1A6" w:rsidR="007D18C1" w:rsidRPr="00B4644E" w:rsidRDefault="007D18C1" w:rsidP="00B4644E">
      <w:pPr>
        <w:pStyle w:val="Geenafstand"/>
        <w:rPr>
          <w:rFonts w:ascii="Verdana" w:hAnsi="Verdana"/>
          <w:sz w:val="20"/>
          <w:szCs w:val="20"/>
        </w:rPr>
      </w:pPr>
    </w:p>
    <w:p w14:paraId="57AD7DE3" w14:textId="77777777" w:rsidR="00637A4D" w:rsidRPr="00B4644E" w:rsidRDefault="00637A4D" w:rsidP="00B4644E">
      <w:pPr>
        <w:pStyle w:val="Geenafstand"/>
        <w:rPr>
          <w:rFonts w:ascii="Verdana" w:hAnsi="Verdana"/>
          <w:sz w:val="20"/>
          <w:szCs w:val="20"/>
        </w:rPr>
      </w:pPr>
    </w:p>
    <w:p w14:paraId="0F5FA008" w14:textId="0661F52D" w:rsidR="007D18C1" w:rsidRDefault="007D18C1" w:rsidP="007D18C1">
      <w:pPr>
        <w:rPr>
          <w:szCs w:val="20"/>
        </w:rPr>
      </w:pPr>
    </w:p>
    <w:p w14:paraId="77077E82" w14:textId="77777777" w:rsidR="00B4644E" w:rsidRDefault="00B4644E" w:rsidP="007D18C1">
      <w:pPr>
        <w:rPr>
          <w:szCs w:val="20"/>
        </w:rPr>
      </w:pPr>
    </w:p>
    <w:p w14:paraId="498A4B0D" w14:textId="49FCB157" w:rsidR="007D18C1" w:rsidRDefault="007D18C1" w:rsidP="007D18C1">
      <w:pPr>
        <w:pStyle w:val="Kop2"/>
      </w:pPr>
      <w:bookmarkStart w:id="51" w:name="_Toc72576300"/>
      <w:r>
        <w:lastRenderedPageBreak/>
        <w:t>4.2. Remedies volgens Richtlijn 2019/771</w:t>
      </w:r>
      <w:bookmarkEnd w:id="51"/>
    </w:p>
    <w:p w14:paraId="50E0C9EC" w14:textId="435B3C97" w:rsidR="007D18C1" w:rsidRDefault="007D18C1" w:rsidP="007D18C1">
      <w:pPr>
        <w:pStyle w:val="Geenafstand"/>
        <w:rPr>
          <w:rFonts w:ascii="Verdana" w:hAnsi="Verdana"/>
          <w:sz w:val="20"/>
          <w:szCs w:val="20"/>
        </w:rPr>
      </w:pPr>
      <w:r w:rsidRPr="007D18C1">
        <w:rPr>
          <w:rFonts w:ascii="Verdana" w:hAnsi="Verdana"/>
          <w:sz w:val="20"/>
          <w:szCs w:val="20"/>
        </w:rPr>
        <w:t>De nakomingsmogelijkheden bij non-conformiteit blijven hetzelfde.</w:t>
      </w:r>
      <w:r w:rsidRPr="007D18C1">
        <w:rPr>
          <w:rStyle w:val="Voetnootmarkering"/>
          <w:rFonts w:ascii="Verdana" w:hAnsi="Verdana"/>
          <w:sz w:val="20"/>
          <w:szCs w:val="20"/>
        </w:rPr>
        <w:footnoteReference w:id="117"/>
      </w:r>
      <w:r w:rsidRPr="007D18C1">
        <w:rPr>
          <w:rFonts w:ascii="Verdana" w:hAnsi="Verdana"/>
          <w:sz w:val="20"/>
          <w:szCs w:val="20"/>
        </w:rPr>
        <w:t xml:space="preserve"> De Richtlijn voorziet wel in nieuwe omstandigheden waarin de consument tot ontbinding van de overeenkomst of prijsvermindering over kan gaan. Ook wordt het verbod op het in rekening brengen van een gebruikersvergoeding in de Richtlijn opgenomen. De wijzigingen worden hieronder besproken. </w:t>
      </w:r>
    </w:p>
    <w:p w14:paraId="1E30481F" w14:textId="77777777" w:rsidR="007D18C1" w:rsidRPr="007D18C1" w:rsidRDefault="007D18C1" w:rsidP="007D18C1">
      <w:pPr>
        <w:pStyle w:val="Geenafstand"/>
        <w:rPr>
          <w:rFonts w:ascii="Verdana" w:hAnsi="Verdana"/>
          <w:sz w:val="20"/>
          <w:szCs w:val="20"/>
        </w:rPr>
      </w:pPr>
    </w:p>
    <w:p w14:paraId="5AAF4C62" w14:textId="628B172A" w:rsidR="007D18C1" w:rsidRDefault="007D18C1" w:rsidP="007D18C1">
      <w:pPr>
        <w:pStyle w:val="Geenafstand"/>
        <w:rPr>
          <w:rFonts w:ascii="Verdana" w:hAnsi="Verdana"/>
          <w:sz w:val="20"/>
          <w:szCs w:val="20"/>
        </w:rPr>
      </w:pPr>
      <w:r w:rsidRPr="007D18C1">
        <w:rPr>
          <w:rFonts w:ascii="Verdana" w:hAnsi="Verdana"/>
          <w:sz w:val="20"/>
          <w:szCs w:val="20"/>
          <w:u w:val="single"/>
        </w:rPr>
        <w:t>Wijziging 1: Getrapt stelsel</w:t>
      </w:r>
      <w:r w:rsidRPr="007D18C1">
        <w:rPr>
          <w:rFonts w:ascii="Verdana" w:hAnsi="Verdana"/>
          <w:sz w:val="20"/>
          <w:szCs w:val="20"/>
          <w:u w:val="single"/>
        </w:rPr>
        <w:br/>
      </w:r>
      <w:r w:rsidRPr="007D18C1">
        <w:rPr>
          <w:rFonts w:ascii="Verdana" w:hAnsi="Verdana"/>
          <w:sz w:val="20"/>
          <w:szCs w:val="20"/>
        </w:rPr>
        <w:t xml:space="preserve">Volgens het huidige recht geldt bij het getrapte stelsel dat de consument enkel tot ontbinding of prijsvermindering mag overgegaan als herstel of vervanging onmogelijk is. Zo krijgt de verkoper de mogelijkheid om alsnog correct na te komen en de overeenkomst in stand te houden. </w:t>
      </w:r>
      <w:r w:rsidRPr="007D18C1">
        <w:rPr>
          <w:rStyle w:val="Voetnootmarkering"/>
          <w:rFonts w:ascii="Verdana" w:hAnsi="Verdana"/>
          <w:sz w:val="20"/>
          <w:szCs w:val="20"/>
        </w:rPr>
        <w:footnoteReference w:id="118"/>
      </w:r>
      <w:r w:rsidRPr="007D18C1">
        <w:rPr>
          <w:rFonts w:ascii="Verdana" w:hAnsi="Verdana"/>
          <w:sz w:val="20"/>
          <w:szCs w:val="20"/>
        </w:rPr>
        <w:t xml:space="preserve"> </w:t>
      </w:r>
    </w:p>
    <w:p w14:paraId="0D04924F" w14:textId="77777777" w:rsidR="007D18C1" w:rsidRPr="007D18C1" w:rsidRDefault="007D18C1" w:rsidP="007D18C1">
      <w:pPr>
        <w:pStyle w:val="Geenafstand"/>
        <w:rPr>
          <w:rFonts w:ascii="Verdana" w:hAnsi="Verdana"/>
          <w:sz w:val="20"/>
          <w:szCs w:val="20"/>
        </w:rPr>
      </w:pPr>
    </w:p>
    <w:p w14:paraId="121229CA" w14:textId="500D2AB7" w:rsidR="007D18C1" w:rsidRDefault="007D18C1" w:rsidP="007D18C1">
      <w:pPr>
        <w:pStyle w:val="Geenafstand"/>
        <w:rPr>
          <w:rFonts w:ascii="Verdana" w:hAnsi="Verdana"/>
          <w:sz w:val="20"/>
          <w:szCs w:val="20"/>
        </w:rPr>
      </w:pPr>
      <w:r w:rsidRPr="007D18C1">
        <w:rPr>
          <w:rFonts w:ascii="Verdana" w:hAnsi="Verdana"/>
          <w:sz w:val="20"/>
          <w:szCs w:val="20"/>
        </w:rPr>
        <w:t>De Richtlijn voorziet in vier nieuwe omstandigheden die de consument het recht geeft om tot prijsvermindering of ontbinding van de overeenkomst over te gaan. Het gaat hier om de volgende omstandigheden:</w:t>
      </w:r>
      <w:r>
        <w:rPr>
          <w:rFonts w:ascii="Verdana" w:hAnsi="Verdana"/>
          <w:sz w:val="20"/>
          <w:szCs w:val="20"/>
        </w:rPr>
        <w:br/>
      </w:r>
    </w:p>
    <w:p w14:paraId="266F98B1" w14:textId="77777777" w:rsidR="007D18C1" w:rsidRDefault="007D18C1" w:rsidP="007D18C1">
      <w:pPr>
        <w:pStyle w:val="Geenafstand"/>
        <w:numPr>
          <w:ilvl w:val="0"/>
          <w:numId w:val="20"/>
        </w:numPr>
        <w:rPr>
          <w:rFonts w:ascii="Verdana" w:hAnsi="Verdana"/>
          <w:sz w:val="20"/>
          <w:szCs w:val="20"/>
        </w:rPr>
      </w:pPr>
      <w:r w:rsidRPr="007D18C1">
        <w:rPr>
          <w:rFonts w:ascii="Verdana" w:hAnsi="Verdana"/>
          <w:sz w:val="20"/>
          <w:szCs w:val="20"/>
        </w:rPr>
        <w:t>de verkoper heeft het herstel of de vervanging niet voltooid of geweigerd</w:t>
      </w:r>
      <w:r w:rsidRPr="007D18C1">
        <w:rPr>
          <w:rStyle w:val="Voetnootmarkering"/>
          <w:rFonts w:ascii="Verdana" w:hAnsi="Verdana"/>
          <w:sz w:val="20"/>
          <w:szCs w:val="20"/>
        </w:rPr>
        <w:footnoteReference w:id="119"/>
      </w:r>
      <w:r w:rsidRPr="007D18C1">
        <w:rPr>
          <w:rFonts w:ascii="Verdana" w:hAnsi="Verdana"/>
          <w:sz w:val="20"/>
          <w:szCs w:val="20"/>
        </w:rPr>
        <w:t xml:space="preserve">; </w:t>
      </w:r>
    </w:p>
    <w:p w14:paraId="17C895FB" w14:textId="77777777" w:rsidR="007D18C1" w:rsidRDefault="007D18C1" w:rsidP="007D18C1">
      <w:pPr>
        <w:pStyle w:val="Geenafstand"/>
        <w:numPr>
          <w:ilvl w:val="0"/>
          <w:numId w:val="20"/>
        </w:numPr>
        <w:rPr>
          <w:rFonts w:ascii="Verdana" w:hAnsi="Verdana"/>
          <w:sz w:val="20"/>
          <w:szCs w:val="20"/>
        </w:rPr>
      </w:pPr>
      <w:r w:rsidRPr="007D18C1">
        <w:rPr>
          <w:rFonts w:ascii="Verdana" w:hAnsi="Verdana"/>
          <w:sz w:val="20"/>
          <w:szCs w:val="20"/>
        </w:rPr>
        <w:t>de verkoper heeft de zaak al eens getracht te herstellen</w:t>
      </w:r>
      <w:r w:rsidRPr="007D18C1">
        <w:rPr>
          <w:rStyle w:val="Voetnootmarkering"/>
          <w:rFonts w:ascii="Verdana" w:hAnsi="Verdana"/>
          <w:sz w:val="20"/>
          <w:szCs w:val="20"/>
        </w:rPr>
        <w:footnoteReference w:id="120"/>
      </w:r>
      <w:r w:rsidRPr="007D18C1">
        <w:rPr>
          <w:rFonts w:ascii="Verdana" w:hAnsi="Verdana"/>
          <w:sz w:val="20"/>
          <w:szCs w:val="20"/>
        </w:rPr>
        <w:t>;</w:t>
      </w:r>
    </w:p>
    <w:p w14:paraId="71A48848" w14:textId="77777777" w:rsidR="007D18C1" w:rsidRDefault="007D18C1" w:rsidP="007D18C1">
      <w:pPr>
        <w:pStyle w:val="Geenafstand"/>
        <w:numPr>
          <w:ilvl w:val="0"/>
          <w:numId w:val="20"/>
        </w:numPr>
        <w:rPr>
          <w:rFonts w:ascii="Verdana" w:hAnsi="Verdana"/>
          <w:sz w:val="20"/>
          <w:szCs w:val="20"/>
        </w:rPr>
      </w:pPr>
      <w:r w:rsidRPr="007D18C1">
        <w:rPr>
          <w:rFonts w:ascii="Verdana" w:hAnsi="Verdana"/>
          <w:sz w:val="20"/>
          <w:szCs w:val="20"/>
        </w:rPr>
        <w:t>de non-conformiteit is zo ernstig dat onmiddellijke prijsverlaging of ontbinding van de overeenkomst gerechtvaardigd is</w:t>
      </w:r>
      <w:r w:rsidRPr="007D18C1">
        <w:rPr>
          <w:rStyle w:val="Voetnootmarkering"/>
          <w:rFonts w:ascii="Verdana" w:hAnsi="Verdana"/>
          <w:sz w:val="20"/>
          <w:szCs w:val="20"/>
        </w:rPr>
        <w:footnoteReference w:id="121"/>
      </w:r>
      <w:r w:rsidRPr="007D18C1">
        <w:rPr>
          <w:rFonts w:ascii="Verdana" w:hAnsi="Verdana"/>
          <w:sz w:val="20"/>
          <w:szCs w:val="20"/>
        </w:rPr>
        <w:t>;</w:t>
      </w:r>
    </w:p>
    <w:p w14:paraId="2D46225B" w14:textId="242C925D" w:rsidR="007D18C1" w:rsidRDefault="007D18C1" w:rsidP="007D18C1">
      <w:pPr>
        <w:pStyle w:val="Geenafstand"/>
        <w:numPr>
          <w:ilvl w:val="0"/>
          <w:numId w:val="20"/>
        </w:numPr>
        <w:rPr>
          <w:rFonts w:ascii="Verdana" w:hAnsi="Verdana"/>
          <w:sz w:val="20"/>
          <w:szCs w:val="20"/>
        </w:rPr>
      </w:pPr>
      <w:r w:rsidRPr="007D18C1">
        <w:rPr>
          <w:rFonts w:ascii="Verdana" w:hAnsi="Verdana"/>
          <w:sz w:val="20"/>
          <w:szCs w:val="20"/>
        </w:rPr>
        <w:t>verklaring of omstandigheid vanuit de koper waaruit blijkt dat herstel of vervanging niet binnen een redelijke termijn tot conformiteit leidt.</w:t>
      </w:r>
      <w:r w:rsidRPr="007D18C1">
        <w:rPr>
          <w:rStyle w:val="Voetnootmarkering"/>
          <w:rFonts w:ascii="Verdana" w:hAnsi="Verdana"/>
          <w:sz w:val="20"/>
          <w:szCs w:val="20"/>
        </w:rPr>
        <w:footnoteReference w:id="122"/>
      </w:r>
    </w:p>
    <w:p w14:paraId="5CF7B221" w14:textId="77777777" w:rsidR="007D18C1" w:rsidRPr="007D18C1" w:rsidRDefault="007D18C1" w:rsidP="0093066E">
      <w:pPr>
        <w:pStyle w:val="Geenafstand"/>
        <w:ind w:left="720"/>
        <w:rPr>
          <w:rFonts w:ascii="Verdana" w:hAnsi="Verdana"/>
          <w:sz w:val="20"/>
          <w:szCs w:val="20"/>
        </w:rPr>
      </w:pPr>
    </w:p>
    <w:p w14:paraId="76A0C330" w14:textId="25798C9C" w:rsidR="007D18C1" w:rsidRDefault="007D18C1" w:rsidP="007D18C1">
      <w:pPr>
        <w:pStyle w:val="Geenafstand"/>
        <w:rPr>
          <w:rFonts w:ascii="Verdana" w:hAnsi="Verdana"/>
          <w:sz w:val="20"/>
          <w:szCs w:val="20"/>
        </w:rPr>
      </w:pPr>
      <w:r w:rsidRPr="007D18C1">
        <w:rPr>
          <w:rFonts w:ascii="Verdana" w:hAnsi="Verdana"/>
          <w:sz w:val="20"/>
          <w:szCs w:val="20"/>
        </w:rPr>
        <w:t>Als één van bovengenoemde omstandigheden zich voordoet heeft de consument direct het recht om tot prijsvermindering of ontbinding van de overeenkomst over te gaan. De consument hoeft de verkoper niet nogmaals in de gelegenheid te stellen om tot herstel of vervanging over te gaan.</w:t>
      </w:r>
      <w:r w:rsidRPr="007D18C1">
        <w:rPr>
          <w:rStyle w:val="Voetnootmarkering"/>
          <w:rFonts w:ascii="Verdana" w:hAnsi="Verdana"/>
          <w:sz w:val="20"/>
          <w:szCs w:val="20"/>
        </w:rPr>
        <w:footnoteReference w:id="123"/>
      </w:r>
      <w:r w:rsidRPr="007D18C1">
        <w:rPr>
          <w:rFonts w:ascii="Verdana" w:hAnsi="Verdana"/>
          <w:sz w:val="20"/>
          <w:szCs w:val="20"/>
        </w:rPr>
        <w:t xml:space="preserve">  </w:t>
      </w:r>
    </w:p>
    <w:p w14:paraId="4313F05F" w14:textId="77777777" w:rsidR="007D18C1" w:rsidRPr="007D18C1" w:rsidRDefault="007D18C1" w:rsidP="007D18C1">
      <w:pPr>
        <w:pStyle w:val="Geenafstand"/>
        <w:rPr>
          <w:rFonts w:ascii="Verdana" w:hAnsi="Verdana"/>
          <w:sz w:val="20"/>
          <w:szCs w:val="20"/>
        </w:rPr>
      </w:pPr>
    </w:p>
    <w:p w14:paraId="106D093E" w14:textId="6EF95316" w:rsidR="007D18C1" w:rsidRDefault="007D18C1" w:rsidP="007D18C1">
      <w:pPr>
        <w:pStyle w:val="Geenafstand"/>
        <w:rPr>
          <w:rFonts w:ascii="Verdana" w:hAnsi="Verdana"/>
          <w:sz w:val="20"/>
          <w:szCs w:val="20"/>
        </w:rPr>
      </w:pPr>
      <w:r w:rsidRPr="007D18C1">
        <w:rPr>
          <w:rFonts w:ascii="Verdana" w:hAnsi="Verdana"/>
          <w:sz w:val="20"/>
          <w:szCs w:val="20"/>
        </w:rPr>
        <w:t>Het opnemen van de eenmalige herstelmogelijkheid van de verkoper lijkt op het eerste oog simpel: de verkoper herstelt de zaak niet in één keer en de consument mag vervolgens tot ontbinding van de overeenkomst overgaan. Uit overweging 52 van de Richtlijn blijkt dit niet de bedoeling te zijn en dient objectief te worden bepaald of de consument dient in te stemmen met verdere pogingen van de verkoper tot het herstellen van de zaak. Zo zal het bij een dure zaak gerechtvaardigd zijn dat de verkoper meerdere mogelijkheden krijgt om de zaak te herstellen.</w:t>
      </w:r>
      <w:r w:rsidRPr="007D18C1">
        <w:rPr>
          <w:rStyle w:val="Voetnootmarkering"/>
          <w:rFonts w:ascii="Verdana" w:hAnsi="Verdana"/>
          <w:sz w:val="20"/>
          <w:szCs w:val="20"/>
        </w:rPr>
        <w:footnoteReference w:id="124"/>
      </w:r>
      <w:r w:rsidRPr="007D18C1">
        <w:rPr>
          <w:rFonts w:ascii="Verdana" w:hAnsi="Verdana"/>
          <w:sz w:val="20"/>
          <w:szCs w:val="20"/>
        </w:rPr>
        <w:t xml:space="preserve"> </w:t>
      </w:r>
    </w:p>
    <w:p w14:paraId="6DF56661" w14:textId="77777777" w:rsidR="007D18C1" w:rsidRPr="007D18C1" w:rsidRDefault="007D18C1" w:rsidP="007D18C1">
      <w:pPr>
        <w:pStyle w:val="Geenafstand"/>
        <w:rPr>
          <w:rFonts w:ascii="Verdana" w:hAnsi="Verdana"/>
          <w:sz w:val="20"/>
          <w:szCs w:val="20"/>
        </w:rPr>
      </w:pPr>
    </w:p>
    <w:p w14:paraId="42084C4A" w14:textId="3C9FF5EC" w:rsidR="007D18C1" w:rsidRDefault="007D18C1" w:rsidP="007D18C1">
      <w:pPr>
        <w:pStyle w:val="Geenafstand"/>
        <w:rPr>
          <w:rFonts w:ascii="Verdana" w:hAnsi="Verdana"/>
          <w:sz w:val="20"/>
          <w:szCs w:val="20"/>
        </w:rPr>
      </w:pPr>
      <w:r w:rsidRPr="007D18C1">
        <w:rPr>
          <w:rFonts w:ascii="Verdana" w:hAnsi="Verdana"/>
          <w:sz w:val="20"/>
          <w:szCs w:val="20"/>
        </w:rPr>
        <w:t xml:space="preserve">Op dit punt zorgt de Richtlijn voor de nodige verwarring, want het wekt de indruk dat de consument de verkoper slechts eenmaal in de gelegenheid tot herstel dient te stellen. Bij het praktijkonderzoek binnen </w:t>
      </w:r>
      <w:r w:rsidR="00DC68A1" w:rsidRPr="000C446C">
        <w:rPr>
          <w:rFonts w:ascii="Verdana" w:hAnsi="Verdana"/>
          <w:b/>
          <w:bCs/>
          <w:sz w:val="24"/>
          <w:szCs w:val="24"/>
        </w:rPr>
        <w:t>XXX</w:t>
      </w:r>
      <w:r w:rsidR="00DC68A1" w:rsidRPr="007D18C1">
        <w:rPr>
          <w:rFonts w:ascii="Verdana" w:hAnsi="Verdana"/>
          <w:sz w:val="20"/>
          <w:szCs w:val="20"/>
        </w:rPr>
        <w:t xml:space="preserve"> </w:t>
      </w:r>
      <w:r w:rsidRPr="007D18C1">
        <w:rPr>
          <w:rFonts w:ascii="Verdana" w:hAnsi="Verdana"/>
          <w:sz w:val="20"/>
          <w:szCs w:val="20"/>
        </w:rPr>
        <w:t xml:space="preserve">is ook gebleken dat op dit vlak onduidelijkheid heerst, zowel bij de jurist als de consument. </w:t>
      </w:r>
      <w:r w:rsidRPr="007D18C1">
        <w:rPr>
          <w:rStyle w:val="Voetnootmarkering"/>
          <w:rFonts w:ascii="Verdana" w:hAnsi="Verdana"/>
          <w:sz w:val="20"/>
          <w:szCs w:val="20"/>
        </w:rPr>
        <w:footnoteReference w:id="125"/>
      </w:r>
      <w:r w:rsidRPr="007D18C1">
        <w:rPr>
          <w:rFonts w:ascii="Verdana" w:hAnsi="Verdana"/>
          <w:sz w:val="20"/>
          <w:szCs w:val="20"/>
        </w:rPr>
        <w:t xml:space="preserve"> De consument heeft vaak – na meerdere herstelpogingen van de verkoper – geen vertrouwen meer in de verkoper en wenst de overeenkomst te ontbinden. Er is vooraf niet goed in te schatten hoeveel herstelpogingen ontbinding van de overeenkomst of prijsvermindering rechtvaardigt. Ook laat de Richtlijn zich hier verder niet over uit. </w:t>
      </w:r>
    </w:p>
    <w:p w14:paraId="24DD2DE8" w14:textId="283F4991" w:rsidR="007D18C1" w:rsidRDefault="007D18C1" w:rsidP="007D18C1">
      <w:pPr>
        <w:pStyle w:val="Geenafstand"/>
        <w:rPr>
          <w:rFonts w:ascii="Verdana" w:hAnsi="Verdana"/>
          <w:sz w:val="20"/>
          <w:szCs w:val="20"/>
        </w:rPr>
      </w:pPr>
    </w:p>
    <w:p w14:paraId="1EF60BF5" w14:textId="60356608" w:rsidR="0093066E" w:rsidRDefault="0093066E" w:rsidP="007D18C1">
      <w:pPr>
        <w:pStyle w:val="Geenafstand"/>
        <w:rPr>
          <w:rFonts w:ascii="Verdana" w:hAnsi="Verdana"/>
          <w:sz w:val="20"/>
          <w:szCs w:val="20"/>
        </w:rPr>
      </w:pPr>
    </w:p>
    <w:p w14:paraId="7B982B4D" w14:textId="77777777" w:rsidR="0093066E" w:rsidRPr="007D18C1" w:rsidRDefault="0093066E" w:rsidP="007D18C1">
      <w:pPr>
        <w:pStyle w:val="Geenafstand"/>
        <w:rPr>
          <w:rFonts w:ascii="Verdana" w:hAnsi="Verdana"/>
          <w:sz w:val="20"/>
          <w:szCs w:val="20"/>
        </w:rPr>
      </w:pPr>
    </w:p>
    <w:p w14:paraId="536398A2" w14:textId="5436D8D9" w:rsidR="007D18C1" w:rsidRDefault="007D18C1" w:rsidP="007D18C1">
      <w:pPr>
        <w:pStyle w:val="Geenafstand"/>
        <w:rPr>
          <w:rFonts w:ascii="Verdana" w:hAnsi="Verdana"/>
          <w:sz w:val="20"/>
          <w:szCs w:val="20"/>
        </w:rPr>
      </w:pPr>
      <w:r w:rsidRPr="007D18C1">
        <w:rPr>
          <w:rFonts w:ascii="Verdana" w:hAnsi="Verdana"/>
          <w:sz w:val="20"/>
          <w:szCs w:val="20"/>
        </w:rPr>
        <w:lastRenderedPageBreak/>
        <w:t xml:space="preserve">Er zal dus – net als in het huidige recht – aansluiting gezocht dienen te worden in de rechtspraak. Uit de rechtspraak volgt dat: </w:t>
      </w:r>
    </w:p>
    <w:p w14:paraId="5729E62E" w14:textId="7D705B62" w:rsidR="007D18C1" w:rsidRDefault="007D18C1" w:rsidP="007D18C1">
      <w:pPr>
        <w:pStyle w:val="Geenafstand"/>
        <w:rPr>
          <w:rFonts w:ascii="Verdana" w:hAnsi="Verdana"/>
          <w:sz w:val="20"/>
          <w:szCs w:val="20"/>
        </w:rPr>
      </w:pPr>
    </w:p>
    <w:p w14:paraId="7BBEF04D" w14:textId="77777777" w:rsidR="007D18C1" w:rsidRDefault="007D18C1" w:rsidP="007D18C1">
      <w:pPr>
        <w:pStyle w:val="Geenafstand"/>
        <w:numPr>
          <w:ilvl w:val="0"/>
          <w:numId w:val="20"/>
        </w:numPr>
        <w:rPr>
          <w:rFonts w:ascii="Verdana" w:hAnsi="Verdana"/>
          <w:sz w:val="20"/>
          <w:szCs w:val="20"/>
        </w:rPr>
      </w:pPr>
      <w:r w:rsidRPr="007D18C1">
        <w:rPr>
          <w:rFonts w:ascii="Verdana" w:hAnsi="Verdana"/>
          <w:sz w:val="20"/>
          <w:szCs w:val="20"/>
        </w:rPr>
        <w:t>het onvoldoende is om tot ontbinding van de overeenkomst over te gaan als de verkoper slecht eenmalig in de gelegenheid is gesteld om tot herstel over te gaan.</w:t>
      </w:r>
      <w:r w:rsidRPr="007D18C1">
        <w:rPr>
          <w:rStyle w:val="Voetnootmarkering"/>
          <w:rFonts w:ascii="Verdana" w:hAnsi="Verdana"/>
          <w:sz w:val="20"/>
          <w:szCs w:val="20"/>
        </w:rPr>
        <w:footnoteReference w:id="126"/>
      </w:r>
      <w:r w:rsidRPr="007D18C1">
        <w:rPr>
          <w:rFonts w:ascii="Verdana" w:hAnsi="Verdana"/>
          <w:sz w:val="20"/>
          <w:szCs w:val="20"/>
        </w:rPr>
        <w:t>;</w:t>
      </w:r>
    </w:p>
    <w:p w14:paraId="1A9A513F" w14:textId="77777777" w:rsidR="007D18C1" w:rsidRDefault="007D18C1" w:rsidP="007D18C1">
      <w:pPr>
        <w:pStyle w:val="Geenafstand"/>
        <w:numPr>
          <w:ilvl w:val="0"/>
          <w:numId w:val="20"/>
        </w:numPr>
        <w:rPr>
          <w:rFonts w:ascii="Verdana" w:hAnsi="Verdana"/>
          <w:sz w:val="20"/>
          <w:szCs w:val="20"/>
        </w:rPr>
      </w:pPr>
      <w:r w:rsidRPr="007D18C1">
        <w:rPr>
          <w:rFonts w:ascii="Verdana" w:hAnsi="Verdana"/>
          <w:sz w:val="20"/>
          <w:szCs w:val="20"/>
        </w:rPr>
        <w:t>bij een derde herstelpoging in de meeste gevallen ontbinding van de overeenkomst gerechtvaardigd wordt geacht</w:t>
      </w:r>
      <w:r w:rsidRPr="007D18C1">
        <w:rPr>
          <w:rStyle w:val="Voetnootmarkering"/>
          <w:rFonts w:ascii="Verdana" w:hAnsi="Verdana"/>
          <w:sz w:val="20"/>
          <w:szCs w:val="20"/>
        </w:rPr>
        <w:footnoteReference w:id="127"/>
      </w:r>
      <w:r w:rsidRPr="007D18C1">
        <w:rPr>
          <w:rFonts w:ascii="Verdana" w:hAnsi="Verdana"/>
          <w:sz w:val="20"/>
          <w:szCs w:val="20"/>
        </w:rPr>
        <w:t>;</w:t>
      </w:r>
    </w:p>
    <w:p w14:paraId="04E9F5AC" w14:textId="77777777" w:rsidR="007D18C1" w:rsidRDefault="007D18C1" w:rsidP="007D18C1">
      <w:pPr>
        <w:pStyle w:val="Geenafstand"/>
        <w:numPr>
          <w:ilvl w:val="0"/>
          <w:numId w:val="20"/>
        </w:numPr>
        <w:rPr>
          <w:rFonts w:ascii="Verdana" w:hAnsi="Verdana"/>
          <w:sz w:val="20"/>
          <w:szCs w:val="20"/>
        </w:rPr>
      </w:pPr>
      <w:r w:rsidRPr="007D18C1">
        <w:rPr>
          <w:rFonts w:ascii="Verdana" w:hAnsi="Verdana"/>
          <w:sz w:val="20"/>
          <w:szCs w:val="20"/>
        </w:rPr>
        <w:t>in bijzondere gevallen – zoals technische gebreken – het redelijk kan zijn om de verkoper een vierde herstelpoging te bieden</w:t>
      </w:r>
      <w:r w:rsidRPr="007D18C1">
        <w:rPr>
          <w:rStyle w:val="Voetnootmarkering"/>
          <w:rFonts w:ascii="Verdana" w:hAnsi="Verdana"/>
          <w:sz w:val="20"/>
          <w:szCs w:val="20"/>
        </w:rPr>
        <w:footnoteReference w:id="128"/>
      </w:r>
      <w:r w:rsidRPr="007D18C1">
        <w:rPr>
          <w:rFonts w:ascii="Verdana" w:hAnsi="Verdana"/>
          <w:sz w:val="20"/>
          <w:szCs w:val="20"/>
        </w:rPr>
        <w:t>;</w:t>
      </w:r>
    </w:p>
    <w:p w14:paraId="2BBE6468" w14:textId="3E595A4C" w:rsidR="007D18C1" w:rsidRPr="007D18C1" w:rsidRDefault="007D18C1" w:rsidP="007D18C1">
      <w:pPr>
        <w:pStyle w:val="Geenafstand"/>
        <w:numPr>
          <w:ilvl w:val="0"/>
          <w:numId w:val="20"/>
        </w:numPr>
        <w:rPr>
          <w:rFonts w:ascii="Verdana" w:hAnsi="Verdana"/>
          <w:sz w:val="20"/>
          <w:szCs w:val="20"/>
        </w:rPr>
      </w:pPr>
      <w:r w:rsidRPr="007D18C1">
        <w:rPr>
          <w:rFonts w:ascii="Verdana" w:hAnsi="Verdana"/>
          <w:sz w:val="20"/>
          <w:szCs w:val="20"/>
        </w:rPr>
        <w:t xml:space="preserve">als een verkoper op de hoogte is gesteld van het gebrek en vervolgens niet reageert de consument tot ontbinding van de overeenkomst overgaan. </w:t>
      </w:r>
      <w:r w:rsidRPr="007D18C1">
        <w:rPr>
          <w:rStyle w:val="Voetnootmarkering"/>
          <w:rFonts w:ascii="Verdana" w:hAnsi="Verdana"/>
          <w:sz w:val="20"/>
          <w:szCs w:val="20"/>
        </w:rPr>
        <w:footnoteReference w:id="129"/>
      </w:r>
    </w:p>
    <w:p w14:paraId="421EA68C" w14:textId="0DEACA18" w:rsidR="007D18C1" w:rsidRPr="00D71B51" w:rsidRDefault="007D18C1" w:rsidP="007D18C1">
      <w:pPr>
        <w:pStyle w:val="Geenafstand"/>
        <w:rPr>
          <w:rFonts w:ascii="Verdana" w:hAnsi="Verdana"/>
          <w:sz w:val="20"/>
          <w:szCs w:val="20"/>
        </w:rPr>
      </w:pPr>
      <w:r w:rsidRPr="00D71B51">
        <w:rPr>
          <w:rFonts w:ascii="Verdana" w:hAnsi="Verdana"/>
          <w:sz w:val="20"/>
          <w:szCs w:val="20"/>
        </w:rPr>
        <w:br/>
        <w:t xml:space="preserve">Het zal in de toekomst moeten blijken of de eenmalige herstelmogelijkheid tot rigoureuze veranderingen leidt binnen het consumentenrecht. Het is afwachten hoe de rechtspraak zich hier de komende jaren in ontwikkelt. </w:t>
      </w:r>
      <w:r w:rsidRPr="00D71B51">
        <w:rPr>
          <w:rFonts w:ascii="Verdana" w:hAnsi="Verdana"/>
          <w:sz w:val="20"/>
          <w:szCs w:val="20"/>
        </w:rPr>
        <w:br/>
      </w:r>
    </w:p>
    <w:p w14:paraId="2CE82E9D" w14:textId="6F254CC8" w:rsidR="007D18C1" w:rsidRPr="007D18C1" w:rsidRDefault="007D18C1" w:rsidP="007D18C1">
      <w:pPr>
        <w:pStyle w:val="Geenafstand"/>
        <w:rPr>
          <w:rFonts w:ascii="Verdana" w:hAnsi="Verdana"/>
          <w:sz w:val="20"/>
          <w:szCs w:val="20"/>
        </w:rPr>
      </w:pPr>
      <w:r w:rsidRPr="00D71B51">
        <w:rPr>
          <w:rFonts w:ascii="Verdana" w:hAnsi="Verdana"/>
          <w:sz w:val="20"/>
          <w:szCs w:val="20"/>
        </w:rPr>
        <w:t xml:space="preserve">Tot slot is het nog van belang om te vermelden dat een consument – net als in het huidige recht – enkel de bevoegdheid heeft om tot ontbinding van de </w:t>
      </w:r>
      <w:r w:rsidR="00D71B51" w:rsidRPr="00D71B51">
        <w:rPr>
          <w:rFonts w:ascii="Verdana" w:hAnsi="Verdana"/>
          <w:sz w:val="20"/>
          <w:szCs w:val="20"/>
        </w:rPr>
        <w:t>koop</w:t>
      </w:r>
      <w:r w:rsidRPr="00D71B51">
        <w:rPr>
          <w:rFonts w:ascii="Verdana" w:hAnsi="Verdana"/>
          <w:sz w:val="20"/>
          <w:szCs w:val="20"/>
        </w:rPr>
        <w:t>overeenkomst over te gaan als het gebrek niet van geringe betekenis is.</w:t>
      </w:r>
      <w:r w:rsidRPr="00D71B51">
        <w:rPr>
          <w:rStyle w:val="Voetnootmarkering"/>
          <w:rFonts w:ascii="Verdana" w:hAnsi="Verdana"/>
          <w:sz w:val="20"/>
          <w:szCs w:val="20"/>
        </w:rPr>
        <w:footnoteReference w:id="130"/>
      </w:r>
      <w:r w:rsidRPr="00D71B51">
        <w:rPr>
          <w:rFonts w:ascii="Verdana" w:hAnsi="Verdana"/>
          <w:sz w:val="20"/>
          <w:szCs w:val="20"/>
        </w:rPr>
        <w:t xml:space="preserve"> Het is bijvoorbeeld niet redelijk dat een kapotte fietsbel leidt tot ontbinding van de overeenkomst van de gehele fiets. De Richtlijn voegt hier nog aan toe dat het aan de verkoper </w:t>
      </w:r>
      <w:r w:rsidR="00D71B51" w:rsidRPr="00D71B51">
        <w:rPr>
          <w:rFonts w:ascii="Verdana" w:hAnsi="Verdana"/>
          <w:sz w:val="20"/>
          <w:szCs w:val="20"/>
        </w:rPr>
        <w:t xml:space="preserve">is </w:t>
      </w:r>
      <w:r w:rsidRPr="00D71B51">
        <w:rPr>
          <w:rFonts w:ascii="Verdana" w:hAnsi="Verdana"/>
          <w:sz w:val="20"/>
          <w:szCs w:val="20"/>
        </w:rPr>
        <w:t xml:space="preserve">om te bewijzen dat het gebrek van geringe betekenis is.  </w:t>
      </w:r>
      <w:r>
        <w:rPr>
          <w:rFonts w:ascii="Verdana" w:hAnsi="Verdana"/>
          <w:sz w:val="20"/>
          <w:szCs w:val="20"/>
        </w:rPr>
        <w:br/>
      </w:r>
    </w:p>
    <w:p w14:paraId="62510A22" w14:textId="5E31F841" w:rsidR="007D18C1" w:rsidRPr="00D71B51" w:rsidRDefault="007D18C1" w:rsidP="007D18C1">
      <w:pPr>
        <w:pStyle w:val="Geenafstand"/>
        <w:rPr>
          <w:rFonts w:ascii="Verdana" w:hAnsi="Verdana"/>
          <w:sz w:val="20"/>
          <w:szCs w:val="20"/>
        </w:rPr>
      </w:pPr>
      <w:r w:rsidRPr="007D18C1">
        <w:rPr>
          <w:rFonts w:ascii="Verdana" w:hAnsi="Verdana"/>
          <w:sz w:val="20"/>
          <w:szCs w:val="20"/>
          <w:u w:val="single"/>
        </w:rPr>
        <w:t xml:space="preserve">Wijziging 2: Gebruikersvergoeding </w:t>
      </w:r>
      <w:r w:rsidRPr="007D18C1">
        <w:rPr>
          <w:rFonts w:ascii="Verdana" w:hAnsi="Verdana"/>
          <w:sz w:val="20"/>
          <w:szCs w:val="20"/>
          <w:u w:val="single"/>
        </w:rPr>
        <w:br/>
      </w:r>
      <w:r w:rsidRPr="00D71B51">
        <w:rPr>
          <w:rFonts w:ascii="Verdana" w:hAnsi="Verdana"/>
          <w:sz w:val="20"/>
          <w:szCs w:val="20"/>
        </w:rPr>
        <w:t>Een verkoper mag – volgens het huidige recht – geen kosten in rekening brengen voor het herstellen, vervangen of afleveren van het ontbrekende van de zaak.</w:t>
      </w:r>
      <w:r w:rsidRPr="00D71B51">
        <w:rPr>
          <w:rStyle w:val="Voetnootmarkering"/>
          <w:rFonts w:ascii="Verdana" w:hAnsi="Verdana"/>
          <w:sz w:val="20"/>
          <w:szCs w:val="20"/>
        </w:rPr>
        <w:footnoteReference w:id="131"/>
      </w:r>
      <w:r w:rsidRPr="00D71B51">
        <w:rPr>
          <w:rFonts w:ascii="Verdana" w:hAnsi="Verdana"/>
          <w:sz w:val="20"/>
          <w:szCs w:val="20"/>
        </w:rPr>
        <w:t xml:space="preserve"> Deze bepaling lijkt voldoende afgebakend, maar uit de rechtspraak blijkt dat er onduidelijk heerst over het wel of niet in rekening brengen van een gebruikersvergoeding. In het Quelle-arrest heeft het Hof van Justitie </w:t>
      </w:r>
      <w:r w:rsidR="00D71B51" w:rsidRPr="00D71B51">
        <w:rPr>
          <w:rFonts w:ascii="Verdana" w:hAnsi="Verdana"/>
          <w:sz w:val="20"/>
          <w:szCs w:val="20"/>
        </w:rPr>
        <w:t xml:space="preserve">van de EU </w:t>
      </w:r>
      <w:r w:rsidRPr="00D71B51">
        <w:rPr>
          <w:rFonts w:ascii="Verdana" w:hAnsi="Verdana"/>
          <w:sz w:val="20"/>
          <w:szCs w:val="20"/>
        </w:rPr>
        <w:t>zich uitgelaten over het in rekening brengen van een gebruikersvergoeding.</w:t>
      </w:r>
      <w:r w:rsidRPr="00D71B51">
        <w:rPr>
          <w:rStyle w:val="Voetnootmarkering"/>
          <w:rFonts w:ascii="Verdana" w:hAnsi="Verdana"/>
          <w:sz w:val="20"/>
          <w:szCs w:val="20"/>
        </w:rPr>
        <w:t xml:space="preserve"> </w:t>
      </w:r>
      <w:r w:rsidRPr="00D71B51">
        <w:rPr>
          <w:rStyle w:val="Voetnootmarkering"/>
          <w:rFonts w:ascii="Verdana" w:hAnsi="Verdana"/>
          <w:sz w:val="20"/>
          <w:szCs w:val="20"/>
        </w:rPr>
        <w:footnoteReference w:id="132"/>
      </w:r>
      <w:r w:rsidRPr="00D71B51">
        <w:rPr>
          <w:rFonts w:ascii="Verdana" w:hAnsi="Verdana"/>
          <w:sz w:val="20"/>
          <w:szCs w:val="20"/>
        </w:rPr>
        <w:t xml:space="preserve"> De zaak ging over het volgende:</w:t>
      </w:r>
    </w:p>
    <w:p w14:paraId="2218C7B5" w14:textId="77777777" w:rsidR="007D18C1" w:rsidRPr="00D71B51" w:rsidRDefault="007D18C1" w:rsidP="007D18C1">
      <w:pPr>
        <w:pStyle w:val="Geenafstand"/>
        <w:rPr>
          <w:rFonts w:ascii="Verdana" w:hAnsi="Verdana"/>
          <w:sz w:val="20"/>
          <w:szCs w:val="20"/>
        </w:rPr>
      </w:pPr>
    </w:p>
    <w:p w14:paraId="59FEB708" w14:textId="2BB2274C" w:rsidR="007D18C1" w:rsidRPr="00D71B51" w:rsidRDefault="007D18C1" w:rsidP="007D18C1">
      <w:pPr>
        <w:pStyle w:val="Geenafstand"/>
        <w:rPr>
          <w:rFonts w:ascii="Verdana" w:hAnsi="Verdana"/>
          <w:i/>
          <w:sz w:val="20"/>
          <w:szCs w:val="20"/>
        </w:rPr>
      </w:pPr>
      <w:r w:rsidRPr="00D71B51">
        <w:rPr>
          <w:rFonts w:ascii="Verdana" w:hAnsi="Verdana"/>
          <w:i/>
          <w:sz w:val="20"/>
          <w:szCs w:val="20"/>
        </w:rPr>
        <w:t>‘Een consument heeft een fornuis aangeschaft, welke na twee jaar een gebrek vertoonde. Omdat het fornuis niet meer hersteld kon worden, heeft de consument het fornuis teruggestuurd aan de verkoper. De verkoper heeft vervolgens een nieuw fornuis aan de consument geleverd. Voor het gebruik van het eerste fornuis heeft de verkoper een bedrag van € 69,97 bij de consument in rekening gebracht. De consument is het niet eens met het in rekening brengen van een vergoeding.’</w:t>
      </w:r>
    </w:p>
    <w:p w14:paraId="6C9A5F74" w14:textId="77777777" w:rsidR="007D18C1" w:rsidRPr="00D71B51" w:rsidRDefault="007D18C1" w:rsidP="007D18C1">
      <w:pPr>
        <w:pStyle w:val="Geenafstand"/>
        <w:rPr>
          <w:rFonts w:ascii="Verdana" w:hAnsi="Verdana"/>
          <w:i/>
          <w:sz w:val="20"/>
          <w:szCs w:val="20"/>
        </w:rPr>
      </w:pPr>
    </w:p>
    <w:p w14:paraId="1BC09157" w14:textId="32CA611D" w:rsidR="007D18C1" w:rsidRPr="00D71B51" w:rsidRDefault="007D18C1" w:rsidP="007D18C1">
      <w:pPr>
        <w:pStyle w:val="Geenafstand"/>
        <w:rPr>
          <w:rFonts w:ascii="Verdana" w:hAnsi="Verdana"/>
          <w:sz w:val="20"/>
          <w:szCs w:val="20"/>
        </w:rPr>
      </w:pPr>
      <w:r w:rsidRPr="00D71B51">
        <w:rPr>
          <w:rFonts w:ascii="Verdana" w:hAnsi="Verdana"/>
          <w:sz w:val="20"/>
          <w:szCs w:val="20"/>
        </w:rPr>
        <w:t xml:space="preserve">Het Hof van Justitie </w:t>
      </w:r>
      <w:r w:rsidR="00D71B51" w:rsidRPr="00D71B51">
        <w:rPr>
          <w:rFonts w:ascii="Verdana" w:hAnsi="Verdana"/>
          <w:sz w:val="20"/>
          <w:szCs w:val="20"/>
        </w:rPr>
        <w:t xml:space="preserve">van de EU </w:t>
      </w:r>
      <w:r w:rsidRPr="00D71B51">
        <w:rPr>
          <w:rFonts w:ascii="Verdana" w:hAnsi="Verdana"/>
          <w:sz w:val="20"/>
          <w:szCs w:val="20"/>
        </w:rPr>
        <w:t xml:space="preserve">heeft zich vervolgens over de kwestie uitgelaten en geoordeeld dat de verkoper geen gebruikersvergoeding mag vragen aan de consument voor het normale gebruik van de zaak. Het uitgangspunt blijft dan ook dat een consument bij non-conformiteit recht heeft op kosteloos herstel of vervanging. </w:t>
      </w:r>
    </w:p>
    <w:p w14:paraId="2EB5215A" w14:textId="78074C9A" w:rsidR="00F06922" w:rsidRPr="00D71B51" w:rsidRDefault="007D18C1" w:rsidP="007D18C1">
      <w:pPr>
        <w:pStyle w:val="Geenafstand"/>
        <w:rPr>
          <w:rFonts w:ascii="Verdana" w:hAnsi="Verdana"/>
          <w:sz w:val="20"/>
          <w:szCs w:val="20"/>
        </w:rPr>
      </w:pPr>
      <w:r w:rsidRPr="00D71B51">
        <w:rPr>
          <w:rFonts w:ascii="Verdana" w:hAnsi="Verdana"/>
          <w:sz w:val="20"/>
          <w:szCs w:val="20"/>
        </w:rPr>
        <w:br/>
        <w:t xml:space="preserve">De Richtlijn heeft – ter verduidelijking – de rechtsregel uit het Quelle-arrest opgenomen. </w:t>
      </w:r>
      <w:r w:rsidRPr="00D71B51">
        <w:rPr>
          <w:rStyle w:val="Voetnootmarkering"/>
          <w:rFonts w:ascii="Verdana" w:hAnsi="Verdana"/>
          <w:sz w:val="20"/>
          <w:szCs w:val="20"/>
        </w:rPr>
        <w:footnoteReference w:id="133"/>
      </w:r>
      <w:r w:rsidRPr="00D71B51">
        <w:rPr>
          <w:rFonts w:ascii="Verdana" w:hAnsi="Verdana"/>
          <w:sz w:val="20"/>
          <w:szCs w:val="20"/>
        </w:rPr>
        <w:t xml:space="preserve"> Het brengt geen grote veranderingen met zich mee, maar zal in de praktijk voor vergemakkelijking zorgen. Een jurist bij </w:t>
      </w:r>
      <w:r w:rsidR="00677551" w:rsidRPr="000C446C">
        <w:rPr>
          <w:rFonts w:ascii="Verdana" w:hAnsi="Verdana"/>
          <w:b/>
          <w:bCs/>
          <w:sz w:val="24"/>
          <w:szCs w:val="24"/>
        </w:rPr>
        <w:t>XXX</w:t>
      </w:r>
      <w:r w:rsidR="00677551" w:rsidRPr="00D71B51">
        <w:rPr>
          <w:rFonts w:ascii="Verdana" w:hAnsi="Verdana"/>
          <w:sz w:val="20"/>
          <w:szCs w:val="20"/>
        </w:rPr>
        <w:t xml:space="preserve"> </w:t>
      </w:r>
      <w:r w:rsidRPr="00D71B51">
        <w:rPr>
          <w:rFonts w:ascii="Verdana" w:hAnsi="Verdana"/>
          <w:sz w:val="20"/>
          <w:szCs w:val="20"/>
        </w:rPr>
        <w:t xml:space="preserve">kan zich – bij een discussie over het in rekening brengen van een gebruikersvergoeding – baseren op een wettelijke grondslag in plaats van het Quelle-arrest. </w:t>
      </w:r>
      <w:r w:rsidR="009149DC" w:rsidRPr="00D71B51">
        <w:rPr>
          <w:rFonts w:ascii="Verdana" w:hAnsi="Verdana"/>
          <w:sz w:val="20"/>
          <w:szCs w:val="20"/>
        </w:rPr>
        <w:t xml:space="preserve">Het verbod op het in rekening brengen van een gebruikersvergoeding wordt in het zevende lid van artikel 7:21 BW opgenomen. </w:t>
      </w:r>
    </w:p>
    <w:p w14:paraId="7E2C438C" w14:textId="3BE967D8" w:rsidR="007D18C1" w:rsidRDefault="007D18C1" w:rsidP="007D18C1">
      <w:pPr>
        <w:pStyle w:val="Kop2"/>
        <w:rPr>
          <w:bCs/>
          <w:szCs w:val="20"/>
        </w:rPr>
      </w:pPr>
      <w:bookmarkStart w:id="54" w:name="_Toc72576301"/>
      <w:r>
        <w:lastRenderedPageBreak/>
        <w:t xml:space="preserve">4.3. </w:t>
      </w:r>
      <w:r>
        <w:rPr>
          <w:bCs/>
          <w:szCs w:val="20"/>
        </w:rPr>
        <w:t>Minimumharmonisatie in Richtlijn 2019/771</w:t>
      </w:r>
      <w:bookmarkEnd w:id="54"/>
    </w:p>
    <w:p w14:paraId="5EEF75DB" w14:textId="448BBCDA" w:rsidR="007D18C1" w:rsidRDefault="007D18C1" w:rsidP="007D18C1">
      <w:pPr>
        <w:pStyle w:val="Geenafstand"/>
        <w:rPr>
          <w:rFonts w:ascii="Verdana" w:hAnsi="Verdana"/>
          <w:sz w:val="20"/>
          <w:szCs w:val="20"/>
        </w:rPr>
      </w:pPr>
      <w:r w:rsidRPr="007D18C1">
        <w:rPr>
          <w:rFonts w:ascii="Verdana" w:hAnsi="Verdana"/>
          <w:sz w:val="20"/>
          <w:szCs w:val="20"/>
        </w:rPr>
        <w:t>De Richtlijn heeft bij twee bepalingen de vrijheid aan de lidstaten overgelaten om in nationaal recht in een eigen regeling te voorzien. Allereerst hebben de lidstaten de vrijheid om zelf te bepalen in hoeverre een bijdrage van een consument aan het ontstaan van non-conformiteit zijn recht op het inzetten van de remedies aantast.</w:t>
      </w:r>
      <w:r w:rsidRPr="007D18C1">
        <w:rPr>
          <w:rStyle w:val="Voetnootmarkering"/>
          <w:rFonts w:ascii="Verdana" w:hAnsi="Verdana"/>
          <w:sz w:val="20"/>
          <w:szCs w:val="18"/>
        </w:rPr>
        <w:footnoteReference w:id="134"/>
      </w:r>
      <w:r w:rsidRPr="007D18C1">
        <w:rPr>
          <w:rFonts w:ascii="Verdana" w:hAnsi="Verdana"/>
          <w:sz w:val="20"/>
          <w:szCs w:val="20"/>
        </w:rPr>
        <w:t xml:space="preserve"> In Nederland bestaat er al een regeling over de eigen schuld van de consument bij het ontstaan van non-conformiteit. Uit artikel 6:101 BW volgt namelijk dat de schadevergoedingsplicht van de verkoper wordt verminderd als de schade mede is ontstaan door het handelen van de consument. Dat betekent dat als de consument onvoorzichtig met een zaak om is gegaan, de schadevergoedingsplicht van de verkoper kan worden beperkt of worden uitgesloten. Het is aan de verkoper om te bewijzen dat er sprake is van eigen schuld.</w:t>
      </w:r>
      <w:r w:rsidRPr="007D18C1">
        <w:rPr>
          <w:rStyle w:val="Voetnootmarkering"/>
          <w:rFonts w:ascii="Verdana" w:hAnsi="Verdana"/>
          <w:sz w:val="20"/>
          <w:szCs w:val="18"/>
        </w:rPr>
        <w:footnoteReference w:id="135"/>
      </w:r>
      <w:r w:rsidRPr="007D18C1">
        <w:rPr>
          <w:rFonts w:ascii="Verdana" w:hAnsi="Verdana"/>
          <w:sz w:val="20"/>
          <w:szCs w:val="20"/>
        </w:rPr>
        <w:t xml:space="preserve"> </w:t>
      </w:r>
      <w:r w:rsidRPr="007D18C1">
        <w:rPr>
          <w:rFonts w:ascii="Verdana" w:hAnsi="Verdana"/>
          <w:sz w:val="20"/>
          <w:szCs w:val="20"/>
        </w:rPr>
        <w:br/>
        <w:t>Uit de MvT blijkt dat er geen nieuwe bepaling over de eigen schuld wordt opgenomen en de huidige regeling blijft gelden.</w:t>
      </w:r>
      <w:r w:rsidRPr="007D18C1">
        <w:rPr>
          <w:rStyle w:val="Voetnootmarkering"/>
          <w:rFonts w:ascii="Verdana" w:hAnsi="Verdana"/>
          <w:sz w:val="20"/>
          <w:szCs w:val="18"/>
        </w:rPr>
        <w:footnoteReference w:id="136"/>
      </w:r>
    </w:p>
    <w:p w14:paraId="3FD8C353" w14:textId="77777777" w:rsidR="007D18C1" w:rsidRPr="007D18C1" w:rsidRDefault="007D18C1" w:rsidP="007D18C1">
      <w:pPr>
        <w:pStyle w:val="Geenafstand"/>
        <w:rPr>
          <w:rFonts w:ascii="Verdana" w:hAnsi="Verdana"/>
          <w:sz w:val="20"/>
          <w:szCs w:val="20"/>
        </w:rPr>
      </w:pPr>
    </w:p>
    <w:p w14:paraId="57C59FF3" w14:textId="0F0DC6A2" w:rsidR="007D18C1" w:rsidRDefault="007D18C1" w:rsidP="007D18C1">
      <w:pPr>
        <w:pStyle w:val="Geenafstand"/>
        <w:rPr>
          <w:rFonts w:ascii="Verdana" w:hAnsi="Verdana"/>
          <w:sz w:val="20"/>
          <w:szCs w:val="20"/>
        </w:rPr>
      </w:pPr>
      <w:r w:rsidRPr="007D18C1">
        <w:rPr>
          <w:rFonts w:ascii="Verdana" w:hAnsi="Verdana"/>
          <w:sz w:val="20"/>
          <w:szCs w:val="20"/>
        </w:rPr>
        <w:t>Daarnaast hebben de lidstaten de vrijheid om te bepalen op welke wijze terugzending en terugbetaling van de zaak dient plaats te vinden.</w:t>
      </w:r>
      <w:r w:rsidRPr="007D18C1">
        <w:rPr>
          <w:rStyle w:val="Voetnootmarkering"/>
          <w:rFonts w:ascii="Verdana" w:hAnsi="Verdana"/>
          <w:sz w:val="20"/>
          <w:szCs w:val="18"/>
        </w:rPr>
        <w:footnoteReference w:id="137"/>
      </w:r>
      <w:r w:rsidRPr="007D18C1">
        <w:rPr>
          <w:rFonts w:ascii="Verdana" w:hAnsi="Verdana"/>
          <w:sz w:val="20"/>
          <w:szCs w:val="20"/>
        </w:rPr>
        <w:t xml:space="preserve"> Uit de MvT blijkt dat er geen bepaling in het Nederlandse recht hierover wordt opgenomen en het aan de markt wordt overgelaten. </w:t>
      </w:r>
      <w:r w:rsidRPr="007D18C1">
        <w:rPr>
          <w:rStyle w:val="Voetnootmarkering"/>
          <w:rFonts w:ascii="Verdana" w:hAnsi="Verdana"/>
          <w:sz w:val="20"/>
          <w:szCs w:val="18"/>
        </w:rPr>
        <w:footnoteReference w:id="138"/>
      </w:r>
      <w:r w:rsidRPr="007D18C1">
        <w:rPr>
          <w:rFonts w:ascii="Verdana" w:hAnsi="Verdana"/>
          <w:sz w:val="20"/>
          <w:szCs w:val="20"/>
        </w:rPr>
        <w:t xml:space="preserve"> Dat betekent dat winkeliers zelf kunnen vaststellen op welke wijze terugzending en terugbetaling van de zaak plaatsvindt. </w:t>
      </w:r>
      <w:r>
        <w:rPr>
          <w:rFonts w:ascii="Verdana" w:hAnsi="Verdana"/>
          <w:sz w:val="20"/>
          <w:szCs w:val="20"/>
        </w:rPr>
        <w:br/>
      </w:r>
    </w:p>
    <w:p w14:paraId="3333453F" w14:textId="1F4C3C8C" w:rsidR="007D18C1" w:rsidRDefault="007D18C1" w:rsidP="007D18C1">
      <w:pPr>
        <w:pStyle w:val="Kop2"/>
      </w:pPr>
      <w:bookmarkStart w:id="57" w:name="_Toc72576302"/>
      <w:r>
        <w:t>4.4. Voorlopige conclusie</w:t>
      </w:r>
      <w:bookmarkEnd w:id="57"/>
    </w:p>
    <w:p w14:paraId="35443988" w14:textId="77777777" w:rsidR="007D18C1" w:rsidRPr="007D18C1" w:rsidRDefault="007D18C1" w:rsidP="007D18C1">
      <w:pPr>
        <w:pStyle w:val="Geenafstand"/>
        <w:rPr>
          <w:rFonts w:ascii="Verdana" w:hAnsi="Verdana"/>
          <w:sz w:val="20"/>
          <w:szCs w:val="20"/>
        </w:rPr>
      </w:pPr>
      <w:r w:rsidRPr="007D18C1">
        <w:rPr>
          <w:rFonts w:ascii="Verdana" w:hAnsi="Verdana"/>
          <w:sz w:val="20"/>
          <w:szCs w:val="20"/>
        </w:rPr>
        <w:t>Volgens het huidige recht heeft een koper bij non-conformiteit recht op aflevering van het ontbrekende, herstel of vervanging. Bij consumentenkoop heeft de consument eveneens het recht om tot ontbinding van de overeenkomst over te gaan dan wel tot prijsvermindering. In het huidige recht geldt een getrapt stelstel, hetgeen betekent dat de consument enkel tot ontbinding van de overeenkomst of prijsvermindering kan overgaan als herstel en/of vervanging onmogelijk is.</w:t>
      </w:r>
    </w:p>
    <w:p w14:paraId="155FE2C3" w14:textId="77777777" w:rsidR="007D18C1" w:rsidRPr="007D18C1" w:rsidRDefault="007D18C1" w:rsidP="007D18C1">
      <w:pPr>
        <w:pStyle w:val="Geenafstand"/>
        <w:rPr>
          <w:rFonts w:ascii="Verdana" w:hAnsi="Verdana"/>
          <w:sz w:val="20"/>
          <w:szCs w:val="20"/>
        </w:rPr>
      </w:pPr>
    </w:p>
    <w:p w14:paraId="1A8B09D7" w14:textId="27E2588B" w:rsidR="007D18C1" w:rsidRPr="007D18C1" w:rsidRDefault="007D18C1" w:rsidP="007D18C1">
      <w:pPr>
        <w:pStyle w:val="Geenafstand"/>
        <w:rPr>
          <w:rFonts w:ascii="Verdana" w:hAnsi="Verdana"/>
          <w:sz w:val="20"/>
          <w:szCs w:val="20"/>
        </w:rPr>
      </w:pPr>
      <w:r w:rsidRPr="007D18C1">
        <w:rPr>
          <w:rFonts w:ascii="Verdana" w:hAnsi="Verdana"/>
          <w:sz w:val="20"/>
          <w:szCs w:val="20"/>
        </w:rPr>
        <w:t xml:space="preserve">Uit de bepalingen over de gevolgen van non-conformiteit uit de Richtlijn volgt dat deze niet afwijken van het huidige Nederlandse recht. De Richtlijn voorziet wel in nieuwe omstandigheden die ontbinding van de overeenkomst of prijsvermindering rechtvaardigt. Er worden namelijk vier nieuwe omstandigheden toegevoegd waarin de consument tot ontbinding van de overeenkomst of prijsvermindering kan overgaan. Met het opnemen van deze nieuwe omstandigheden wijzigt het getrapte stelsel en geldt niet meer dat de consument enkel tot ontbinding van de overeenkomst of prijsvermindering kan overgaan als herstel of vervanging onmogelijk is. Voor de adviespraktijk van </w:t>
      </w:r>
      <w:r w:rsidR="00677551" w:rsidRPr="000C446C">
        <w:rPr>
          <w:rFonts w:ascii="Verdana" w:hAnsi="Verdana"/>
          <w:b/>
          <w:bCs/>
          <w:sz w:val="24"/>
          <w:szCs w:val="24"/>
        </w:rPr>
        <w:t>XXX</w:t>
      </w:r>
      <w:r w:rsidR="00677551" w:rsidRPr="007D18C1">
        <w:rPr>
          <w:rFonts w:ascii="Verdana" w:hAnsi="Verdana"/>
          <w:sz w:val="20"/>
          <w:szCs w:val="20"/>
        </w:rPr>
        <w:t xml:space="preserve"> </w:t>
      </w:r>
      <w:r w:rsidRPr="007D18C1">
        <w:rPr>
          <w:rFonts w:ascii="Verdana" w:hAnsi="Verdana"/>
          <w:sz w:val="20"/>
          <w:szCs w:val="20"/>
        </w:rPr>
        <w:t xml:space="preserve">betekent dit dat zij over nieuwe mogelijkheden beschikt om – namens de consument – de overeenkomst te ontbinden of tot prijsvermindering over te gaan. </w:t>
      </w:r>
    </w:p>
    <w:p w14:paraId="63053D04" w14:textId="77777777" w:rsidR="007D18C1" w:rsidRPr="007D18C1" w:rsidRDefault="007D18C1" w:rsidP="007D18C1">
      <w:pPr>
        <w:pStyle w:val="Geenafstand"/>
        <w:rPr>
          <w:rFonts w:ascii="Verdana" w:hAnsi="Verdana"/>
          <w:sz w:val="20"/>
          <w:szCs w:val="20"/>
        </w:rPr>
      </w:pPr>
    </w:p>
    <w:p w14:paraId="5B02C055" w14:textId="456071A3" w:rsidR="007D18C1" w:rsidRDefault="007D18C1" w:rsidP="007D18C1">
      <w:pPr>
        <w:pStyle w:val="Geenafstand"/>
        <w:rPr>
          <w:rFonts w:ascii="Verdana" w:hAnsi="Verdana"/>
          <w:sz w:val="20"/>
          <w:szCs w:val="20"/>
        </w:rPr>
      </w:pPr>
      <w:r w:rsidRPr="007D18C1">
        <w:rPr>
          <w:rFonts w:ascii="Verdana" w:hAnsi="Verdana"/>
          <w:sz w:val="20"/>
          <w:szCs w:val="20"/>
        </w:rPr>
        <w:t xml:space="preserve">Daarnaast voorziet de Richtlijn in een regeling omtrent het in rekening brengen van een gebruikersvergoeding. De Richtlijn heeft namelijk de rechtsregel uit het Quelle-arrest opgenomen, waaruit volgt dat het de verkoper niet is toegestaan om bij herstel of vervanging een vergoeding aan de consument te vragen voor het normale gebruik van de zaak. Voor de adviespraktijk van </w:t>
      </w:r>
      <w:r w:rsidR="00677551" w:rsidRPr="000C446C">
        <w:rPr>
          <w:rFonts w:ascii="Verdana" w:hAnsi="Verdana"/>
          <w:b/>
          <w:bCs/>
          <w:sz w:val="24"/>
          <w:szCs w:val="24"/>
        </w:rPr>
        <w:t>XXX</w:t>
      </w:r>
      <w:r w:rsidR="00677551" w:rsidRPr="007D18C1">
        <w:rPr>
          <w:rFonts w:ascii="Verdana" w:hAnsi="Verdana"/>
          <w:sz w:val="20"/>
          <w:szCs w:val="20"/>
        </w:rPr>
        <w:t xml:space="preserve"> </w:t>
      </w:r>
      <w:r w:rsidRPr="007D18C1">
        <w:rPr>
          <w:rFonts w:ascii="Verdana" w:hAnsi="Verdana"/>
          <w:sz w:val="20"/>
          <w:szCs w:val="20"/>
        </w:rPr>
        <w:t xml:space="preserve">betekent dit dat zij – bij een discussie over het in rekening brengen van de gebruikersvergoeding – kan baseren op een wettelijke grondslag in plaats van het Quelle-arrest. </w:t>
      </w:r>
    </w:p>
    <w:p w14:paraId="3510DD77" w14:textId="77777777" w:rsidR="00637A4D" w:rsidRPr="007D18C1" w:rsidRDefault="00637A4D" w:rsidP="007D18C1">
      <w:pPr>
        <w:pStyle w:val="Geenafstand"/>
        <w:rPr>
          <w:rFonts w:ascii="Verdana" w:hAnsi="Verdana"/>
          <w:sz w:val="20"/>
          <w:szCs w:val="20"/>
        </w:rPr>
      </w:pPr>
    </w:p>
    <w:p w14:paraId="5F453218" w14:textId="189D9884" w:rsidR="00A91C48" w:rsidRDefault="007D18C1" w:rsidP="00A949E2">
      <w:pPr>
        <w:pStyle w:val="Geenafstand"/>
        <w:rPr>
          <w:rFonts w:ascii="Verdana" w:hAnsi="Verdana"/>
          <w:sz w:val="20"/>
          <w:szCs w:val="20"/>
        </w:rPr>
      </w:pPr>
      <w:r w:rsidRPr="007D18C1">
        <w:rPr>
          <w:rFonts w:ascii="Verdana" w:hAnsi="Verdana"/>
          <w:sz w:val="20"/>
          <w:szCs w:val="20"/>
        </w:rPr>
        <w:t xml:space="preserve">Tot slot zijn de bepalingen uit de Richtlijn over de eigen schuld van de consument, de wijze van terugbetaling en terugzending van een zaak aan de lidstaten overgelaten om in een eigen regeling te voorzien. Uit de MvT volgt dat de huidige bepaling over de eigen schuld van de consument in stand blijft. De wijze waarop terugbetaling en terugzending van de zaak dient plaats te vinden is aan de markt is overgelaten. </w:t>
      </w:r>
    </w:p>
    <w:p w14:paraId="70F0CACE" w14:textId="103C193B" w:rsidR="00A949E2" w:rsidRDefault="00A949E2" w:rsidP="00A949E2">
      <w:pPr>
        <w:pStyle w:val="Kop1"/>
      </w:pPr>
      <w:bookmarkStart w:id="58" w:name="_Toc72576303"/>
      <w:r>
        <w:lastRenderedPageBreak/>
        <w:t xml:space="preserve">Hoofdstuk 5: De huidige adviespraktijk van </w:t>
      </w:r>
      <w:bookmarkEnd w:id="58"/>
      <w:r w:rsidR="00677551" w:rsidRPr="000C446C">
        <w:rPr>
          <w:bCs/>
          <w:sz w:val="24"/>
          <w:szCs w:val="24"/>
        </w:rPr>
        <w:t>XXX</w:t>
      </w:r>
    </w:p>
    <w:p w14:paraId="10395121" w14:textId="2D03D807" w:rsidR="00A949E2" w:rsidRPr="00D71B51" w:rsidRDefault="00A949E2" w:rsidP="001314FE">
      <w:pPr>
        <w:pStyle w:val="Geenafstand"/>
        <w:rPr>
          <w:rFonts w:ascii="Verdana" w:hAnsi="Verdana"/>
          <w:sz w:val="20"/>
          <w:szCs w:val="20"/>
        </w:rPr>
      </w:pPr>
      <w:r w:rsidRPr="00D71B51">
        <w:rPr>
          <w:rFonts w:ascii="Verdana" w:hAnsi="Verdana"/>
          <w:sz w:val="20"/>
          <w:szCs w:val="20"/>
        </w:rPr>
        <w:t xml:space="preserve">In eerdere hoofdstukken werd ingegaan op de huidig geldende wetgeving bij non-conformiteit en welke wijzigingen de implementatie van de Richtlijn met zich meebrengt. In dit hoofdstuk wordt de vierde deelvraag beantwoord: ‘Wat is de huidige werkwijze van </w:t>
      </w:r>
      <w:r w:rsidR="00677551" w:rsidRPr="000C446C">
        <w:rPr>
          <w:rFonts w:ascii="Verdana" w:hAnsi="Verdana"/>
          <w:b/>
          <w:bCs/>
          <w:sz w:val="24"/>
          <w:szCs w:val="24"/>
        </w:rPr>
        <w:t>XXX</w:t>
      </w:r>
      <w:r w:rsidR="00677551" w:rsidRPr="00D71B51">
        <w:rPr>
          <w:rFonts w:ascii="Verdana" w:hAnsi="Verdana"/>
          <w:sz w:val="20"/>
          <w:szCs w:val="20"/>
        </w:rPr>
        <w:t xml:space="preserve"> </w:t>
      </w:r>
      <w:r w:rsidRPr="00D71B51">
        <w:rPr>
          <w:rFonts w:ascii="Verdana" w:hAnsi="Verdana"/>
          <w:sz w:val="20"/>
          <w:szCs w:val="20"/>
        </w:rPr>
        <w:t xml:space="preserve">in een consumentenzaak over non-conformiteit vanaf het moment van aanmelding van de zaak tot en met het eerste advies?’. Door het uiteenzetten van de huidige werkwijze bij een consumentenzaak over non-conformiteit kan er in hoofdstuk 6 een conclusie worden getrokken over de veranderingen die de implementatie van de Richtlijn met zich meebrengt voor de adviespraktijk van </w:t>
      </w:r>
      <w:r w:rsidR="00677551" w:rsidRPr="000C446C">
        <w:rPr>
          <w:rFonts w:ascii="Verdana" w:hAnsi="Verdana"/>
          <w:b/>
          <w:bCs/>
          <w:sz w:val="24"/>
          <w:szCs w:val="24"/>
        </w:rPr>
        <w:t>XXX</w:t>
      </w:r>
      <w:r w:rsidRPr="00D71B51">
        <w:rPr>
          <w:rFonts w:ascii="Verdana" w:hAnsi="Verdana"/>
          <w:sz w:val="20"/>
          <w:szCs w:val="20"/>
        </w:rPr>
        <w:t xml:space="preserve">. </w:t>
      </w:r>
      <w:r w:rsidR="00D71B51">
        <w:rPr>
          <w:rFonts w:ascii="Verdana" w:hAnsi="Verdana"/>
          <w:sz w:val="20"/>
          <w:szCs w:val="20"/>
        </w:rPr>
        <w:t xml:space="preserve">De huidige werkwijze is uiteengezet door het voeren van twee interviews met juristen van de afdeling contractueel bij </w:t>
      </w:r>
      <w:r w:rsidR="00677551" w:rsidRPr="000C446C">
        <w:rPr>
          <w:rFonts w:ascii="Verdana" w:hAnsi="Verdana"/>
          <w:b/>
          <w:bCs/>
          <w:sz w:val="24"/>
          <w:szCs w:val="24"/>
        </w:rPr>
        <w:t>XXX</w:t>
      </w:r>
      <w:r w:rsidR="00677551">
        <w:rPr>
          <w:rFonts w:ascii="Verdana" w:hAnsi="Verdana"/>
          <w:sz w:val="20"/>
          <w:szCs w:val="20"/>
        </w:rPr>
        <w:t xml:space="preserve"> </w:t>
      </w:r>
      <w:r w:rsidR="00D71B51">
        <w:rPr>
          <w:rFonts w:ascii="Verdana" w:hAnsi="Verdana"/>
          <w:sz w:val="20"/>
          <w:szCs w:val="20"/>
        </w:rPr>
        <w:t xml:space="preserve">– mevrouw </w:t>
      </w:r>
      <w:r w:rsidR="008657F2" w:rsidRPr="000C446C">
        <w:rPr>
          <w:rFonts w:ascii="Verdana" w:hAnsi="Verdana"/>
          <w:b/>
          <w:bCs/>
          <w:sz w:val="20"/>
          <w:szCs w:val="20"/>
        </w:rPr>
        <w:t xml:space="preserve">XXX </w:t>
      </w:r>
      <w:r w:rsidR="00D71B51" w:rsidRPr="00D71B51">
        <w:rPr>
          <w:rStyle w:val="Voetnootmarkering"/>
          <w:rFonts w:ascii="Verdana" w:hAnsi="Verdana"/>
          <w:sz w:val="20"/>
          <w:szCs w:val="20"/>
        </w:rPr>
        <w:footnoteReference w:id="139"/>
      </w:r>
      <w:r w:rsidR="00D71B51" w:rsidRPr="00D71B51">
        <w:rPr>
          <w:rFonts w:ascii="Verdana" w:hAnsi="Verdana"/>
          <w:sz w:val="20"/>
          <w:szCs w:val="20"/>
        </w:rPr>
        <w:t xml:space="preserve"> </w:t>
      </w:r>
      <w:r w:rsidR="00D71B51">
        <w:rPr>
          <w:rFonts w:ascii="Verdana" w:hAnsi="Verdana"/>
          <w:sz w:val="20"/>
          <w:szCs w:val="20"/>
        </w:rPr>
        <w:t xml:space="preserve">(hierna: jurist X) en mevrouw </w:t>
      </w:r>
      <w:r w:rsidR="008657F2" w:rsidRPr="000C446C">
        <w:rPr>
          <w:rFonts w:ascii="Verdana" w:hAnsi="Verdana"/>
          <w:b/>
          <w:bCs/>
          <w:sz w:val="20"/>
          <w:szCs w:val="20"/>
        </w:rPr>
        <w:t xml:space="preserve">XXX </w:t>
      </w:r>
      <w:r w:rsidR="00D71B51" w:rsidRPr="00D71B51">
        <w:rPr>
          <w:rStyle w:val="Voetnootmarkering"/>
          <w:rFonts w:ascii="Verdana" w:hAnsi="Verdana"/>
          <w:sz w:val="20"/>
          <w:szCs w:val="20"/>
        </w:rPr>
        <w:footnoteReference w:id="140"/>
      </w:r>
      <w:r w:rsidR="00D71B51">
        <w:rPr>
          <w:rFonts w:ascii="Verdana" w:hAnsi="Verdana"/>
          <w:sz w:val="20"/>
          <w:szCs w:val="20"/>
        </w:rPr>
        <w:t xml:space="preserve"> (hierna: jurist Y). Ook is er een document- en dossieronderzoek verricht. </w:t>
      </w:r>
      <w:r w:rsidRPr="00D71B51">
        <w:rPr>
          <w:rFonts w:ascii="Verdana" w:hAnsi="Verdana"/>
          <w:sz w:val="20"/>
          <w:szCs w:val="20"/>
        </w:rPr>
        <w:t xml:space="preserve">In paragraaf 5.1 wordt de procedure bij de aanmelding van een nieuwe zaak uiteengezet. Paragraaf 5.2. en 5.3. beschrijven de behandelwijze van dossiers over non-conformiteit. Paragraaf 5.4. gaat in op de veel voorkomende discussies over non-conformiteit. Het hoofdstuk eindigt in paragraaf 5.5. met een voorlopige conclusie. </w:t>
      </w:r>
      <w:r w:rsidR="001314FE" w:rsidRPr="00D71B51">
        <w:rPr>
          <w:rFonts w:ascii="Verdana" w:eastAsiaTheme="majorEastAsia" w:hAnsi="Verdana" w:cstheme="majorBidi"/>
          <w:b/>
          <w:sz w:val="20"/>
          <w:szCs w:val="26"/>
        </w:rPr>
        <w:br/>
      </w:r>
    </w:p>
    <w:p w14:paraId="451BE7BC" w14:textId="64A74BB3" w:rsidR="00A949E2" w:rsidRDefault="00A949E2" w:rsidP="00A949E2">
      <w:pPr>
        <w:pStyle w:val="Kop2"/>
      </w:pPr>
      <w:bookmarkStart w:id="59" w:name="_Toc72576304"/>
      <w:r>
        <w:t>5.1. Aanmelding van de zaak</w:t>
      </w:r>
      <w:bookmarkEnd w:id="59"/>
    </w:p>
    <w:p w14:paraId="2B3DDACB" w14:textId="5BD8AED5" w:rsidR="00A949E2" w:rsidRPr="001314FE" w:rsidRDefault="00A949E2" w:rsidP="001314FE">
      <w:pPr>
        <w:pStyle w:val="Geenafstand"/>
        <w:rPr>
          <w:rFonts w:ascii="Verdana" w:hAnsi="Verdana"/>
          <w:sz w:val="20"/>
          <w:szCs w:val="20"/>
        </w:rPr>
      </w:pPr>
      <w:r w:rsidRPr="001314FE">
        <w:rPr>
          <w:rFonts w:ascii="Verdana" w:hAnsi="Verdana"/>
          <w:sz w:val="20"/>
          <w:szCs w:val="20"/>
        </w:rPr>
        <w:t xml:space="preserve">Zowel verzekerden als niet-verzekerden kunnen gebruik maken van de dienstverlening van </w:t>
      </w:r>
      <w:r w:rsidR="00677551" w:rsidRPr="000C446C">
        <w:rPr>
          <w:rFonts w:ascii="Verdana" w:hAnsi="Verdana"/>
          <w:b/>
          <w:bCs/>
          <w:sz w:val="24"/>
          <w:szCs w:val="24"/>
        </w:rPr>
        <w:t>XXX</w:t>
      </w:r>
      <w:r w:rsidRPr="001314FE">
        <w:rPr>
          <w:rFonts w:ascii="Verdana" w:hAnsi="Verdana"/>
          <w:sz w:val="20"/>
          <w:szCs w:val="20"/>
        </w:rPr>
        <w:t xml:space="preserve">. Niet-verzekerden kunnen gebruik maken van de Rechtshulp On Demand, waarbij er éénmalig een bedrag voor juridische bijstand is verschuldigd. Een verzekerde kan zijn geschil aanmelden via de website van </w:t>
      </w:r>
      <w:r w:rsidR="00677551" w:rsidRPr="000C446C">
        <w:rPr>
          <w:rFonts w:ascii="Verdana" w:hAnsi="Verdana"/>
          <w:b/>
          <w:bCs/>
          <w:sz w:val="24"/>
          <w:szCs w:val="24"/>
        </w:rPr>
        <w:t>XXX</w:t>
      </w:r>
      <w:r w:rsidRPr="001314FE">
        <w:rPr>
          <w:rFonts w:ascii="Verdana" w:hAnsi="Verdana"/>
          <w:sz w:val="20"/>
          <w:szCs w:val="20"/>
        </w:rPr>
        <w:t xml:space="preserve">, waarna de verzekerde een </w:t>
      </w:r>
      <w:r w:rsidR="00677551" w:rsidRPr="000C446C">
        <w:rPr>
          <w:rFonts w:ascii="Verdana" w:hAnsi="Verdana"/>
          <w:b/>
          <w:bCs/>
          <w:sz w:val="24"/>
          <w:szCs w:val="24"/>
        </w:rPr>
        <w:t>XXX</w:t>
      </w:r>
      <w:r w:rsidR="00677551" w:rsidRPr="001314FE">
        <w:rPr>
          <w:rFonts w:ascii="Verdana" w:hAnsi="Verdana"/>
          <w:sz w:val="20"/>
          <w:szCs w:val="20"/>
        </w:rPr>
        <w:t xml:space="preserve"> </w:t>
      </w:r>
      <w:r w:rsidRPr="001314FE">
        <w:rPr>
          <w:rFonts w:ascii="Verdana" w:hAnsi="Verdana"/>
          <w:sz w:val="20"/>
          <w:szCs w:val="20"/>
        </w:rPr>
        <w:t xml:space="preserve">-account ontvangt. Met dit account kan de verzekerde de voortgang van de zaak volgen en corresponderen met de jurist. Na het aanmelden van de zaak wordt bekeken of het geschil onder de dekking van de polisvoorwaarden valt. </w:t>
      </w:r>
      <w:r w:rsidR="00677551" w:rsidRPr="000C446C">
        <w:rPr>
          <w:rFonts w:ascii="Verdana" w:hAnsi="Verdana"/>
          <w:b/>
          <w:bCs/>
          <w:sz w:val="24"/>
          <w:szCs w:val="24"/>
        </w:rPr>
        <w:t>XXX</w:t>
      </w:r>
      <w:r w:rsidR="00677551" w:rsidRPr="001314FE">
        <w:rPr>
          <w:rFonts w:ascii="Verdana" w:hAnsi="Verdana"/>
          <w:sz w:val="20"/>
          <w:szCs w:val="20"/>
        </w:rPr>
        <w:t xml:space="preserve"> </w:t>
      </w:r>
      <w:r w:rsidRPr="001314FE">
        <w:rPr>
          <w:rFonts w:ascii="Verdana" w:hAnsi="Verdana"/>
          <w:sz w:val="20"/>
          <w:szCs w:val="20"/>
        </w:rPr>
        <w:t xml:space="preserve">biedt zelf een </w:t>
      </w:r>
      <w:bookmarkStart w:id="60" w:name="_GoBack"/>
      <w:r w:rsidRPr="001314FE">
        <w:rPr>
          <w:rFonts w:ascii="Verdana" w:hAnsi="Verdana"/>
          <w:sz w:val="20"/>
          <w:szCs w:val="20"/>
        </w:rPr>
        <w:t>rechtsbijst</w:t>
      </w:r>
      <w:bookmarkEnd w:id="60"/>
      <w:r w:rsidRPr="001314FE">
        <w:rPr>
          <w:rFonts w:ascii="Verdana" w:hAnsi="Verdana"/>
          <w:sz w:val="20"/>
          <w:szCs w:val="20"/>
        </w:rPr>
        <w:t>andverzekering aan, maar daarnaast bieden ook andere verzekeringskantoren de rechtsbijstandsverzeke</w:t>
      </w:r>
      <w:r w:rsidRPr="001314FE">
        <w:rPr>
          <w:rFonts w:ascii="Verdana" w:hAnsi="Verdana"/>
          <w:sz w:val="20"/>
          <w:szCs w:val="20"/>
        </w:rPr>
        <w:softHyphen/>
        <w:t xml:space="preserve">ring van </w:t>
      </w:r>
      <w:r w:rsidR="00677551" w:rsidRPr="000C446C">
        <w:rPr>
          <w:rFonts w:ascii="Verdana" w:hAnsi="Verdana"/>
          <w:b/>
          <w:bCs/>
          <w:sz w:val="24"/>
          <w:szCs w:val="24"/>
        </w:rPr>
        <w:t>XXX</w:t>
      </w:r>
      <w:r w:rsidR="00677551" w:rsidRPr="001314FE">
        <w:rPr>
          <w:rFonts w:ascii="Verdana" w:hAnsi="Verdana"/>
          <w:sz w:val="20"/>
          <w:szCs w:val="20"/>
        </w:rPr>
        <w:t xml:space="preserve"> </w:t>
      </w:r>
      <w:r w:rsidRPr="001314FE">
        <w:rPr>
          <w:rFonts w:ascii="Verdana" w:hAnsi="Verdana"/>
          <w:sz w:val="20"/>
          <w:szCs w:val="20"/>
        </w:rPr>
        <w:t>aan. Er gelden hierdoor steeds verschillende polisvoorwaarden.</w:t>
      </w:r>
      <w:r w:rsidR="001314FE">
        <w:rPr>
          <w:rFonts w:ascii="Verdana" w:hAnsi="Verdana"/>
          <w:sz w:val="20"/>
          <w:szCs w:val="20"/>
        </w:rPr>
        <w:br/>
      </w:r>
    </w:p>
    <w:p w14:paraId="6573BD21" w14:textId="2021EBEB" w:rsidR="00A949E2" w:rsidRDefault="00A949E2" w:rsidP="00A949E2">
      <w:pPr>
        <w:pStyle w:val="Kop3"/>
        <w:spacing w:before="0" w:beforeAutospacing="0" w:after="0" w:afterAutospacing="0"/>
      </w:pPr>
      <w:bookmarkStart w:id="61" w:name="_Toc72576305"/>
      <w:r>
        <w:t>5.1.1. Beoordeling dekking</w:t>
      </w:r>
      <w:bookmarkEnd w:id="61"/>
    </w:p>
    <w:p w14:paraId="4046C049" w14:textId="0FD826D2" w:rsidR="00A949E2" w:rsidRDefault="00677551" w:rsidP="001314FE">
      <w:pPr>
        <w:pStyle w:val="Geenafstand"/>
        <w:rPr>
          <w:rFonts w:ascii="Verdana" w:hAnsi="Verdana"/>
          <w:sz w:val="20"/>
          <w:szCs w:val="20"/>
        </w:rPr>
      </w:pPr>
      <w:r w:rsidRPr="000C446C">
        <w:rPr>
          <w:rFonts w:ascii="Verdana" w:hAnsi="Verdana"/>
          <w:b/>
          <w:bCs/>
          <w:sz w:val="24"/>
          <w:szCs w:val="24"/>
        </w:rPr>
        <w:t>XXX</w:t>
      </w:r>
      <w:r w:rsidRPr="001314FE">
        <w:rPr>
          <w:rFonts w:ascii="Verdana" w:hAnsi="Verdana"/>
          <w:sz w:val="20"/>
          <w:szCs w:val="20"/>
        </w:rPr>
        <w:t xml:space="preserve"> </w:t>
      </w:r>
      <w:r w:rsidR="00A949E2" w:rsidRPr="001314FE">
        <w:rPr>
          <w:rFonts w:ascii="Verdana" w:hAnsi="Verdana"/>
          <w:sz w:val="20"/>
          <w:szCs w:val="20"/>
        </w:rPr>
        <w:t xml:space="preserve">biedt één soort particulieren rechtsbijstandverzekering aan: </w:t>
      </w:r>
      <w:r w:rsidRPr="000C446C">
        <w:rPr>
          <w:rFonts w:ascii="Verdana" w:hAnsi="Verdana"/>
          <w:b/>
          <w:bCs/>
          <w:sz w:val="24"/>
          <w:szCs w:val="24"/>
        </w:rPr>
        <w:t>XXX</w:t>
      </w:r>
      <w:r w:rsidRPr="001314FE">
        <w:rPr>
          <w:rFonts w:ascii="Verdana" w:hAnsi="Verdana"/>
          <w:sz w:val="20"/>
          <w:szCs w:val="20"/>
        </w:rPr>
        <w:t xml:space="preserve"> </w:t>
      </w:r>
      <w:r w:rsidR="00A949E2" w:rsidRPr="001314FE">
        <w:rPr>
          <w:rFonts w:ascii="Verdana" w:hAnsi="Verdana"/>
          <w:sz w:val="20"/>
          <w:szCs w:val="20"/>
        </w:rPr>
        <w:t>Voor Particulieren Totaal (hierna: Totaalpakket).</w:t>
      </w:r>
      <w:r w:rsidR="00A949E2" w:rsidRPr="001314FE">
        <w:rPr>
          <w:rStyle w:val="Voetnootmarkering"/>
          <w:rFonts w:ascii="Verdana" w:hAnsi="Verdana"/>
          <w:sz w:val="20"/>
          <w:szCs w:val="20"/>
        </w:rPr>
        <w:footnoteReference w:id="141"/>
      </w:r>
      <w:r w:rsidR="00A949E2" w:rsidRPr="001314FE">
        <w:rPr>
          <w:rFonts w:ascii="Verdana" w:hAnsi="Verdana"/>
          <w:sz w:val="20"/>
          <w:szCs w:val="20"/>
        </w:rPr>
        <w:t xml:space="preserve"> Een klant kan de verzekering zelf samenstellen door te kiezen uit verschillende modules. Zo kan een klant bijvoorbeeld het onderdeel Werk uitsluiten en kiezen voor een lager of hoger eigen risico. Bij een particulieren verzekering is de klant alleen verzekerd als privépersoon.</w:t>
      </w:r>
      <w:r w:rsidR="00A949E2" w:rsidRPr="001314FE">
        <w:rPr>
          <w:rStyle w:val="Voetnootmarkering"/>
          <w:rFonts w:ascii="Verdana" w:hAnsi="Verdana"/>
          <w:sz w:val="20"/>
          <w:szCs w:val="20"/>
        </w:rPr>
        <w:footnoteReference w:id="142"/>
      </w:r>
      <w:r w:rsidR="00A949E2" w:rsidRPr="001314FE">
        <w:rPr>
          <w:rFonts w:ascii="Verdana" w:hAnsi="Verdana"/>
          <w:sz w:val="20"/>
          <w:szCs w:val="20"/>
        </w:rPr>
        <w:t xml:space="preserve"> Dat betekent dat een geschil over een zakelijke aankoop niet onder de dekking valt. De basisverzekering van het Totaalpakket biedt dekking bij consumentenkoop.</w:t>
      </w:r>
      <w:r w:rsidR="00A949E2" w:rsidRPr="001314FE">
        <w:rPr>
          <w:rStyle w:val="Voetnootmarkering"/>
          <w:rFonts w:ascii="Verdana" w:hAnsi="Verdana"/>
          <w:sz w:val="20"/>
          <w:szCs w:val="20"/>
        </w:rPr>
        <w:footnoteReference w:id="143"/>
      </w:r>
      <w:r w:rsidR="00A949E2" w:rsidRPr="001314FE">
        <w:rPr>
          <w:rFonts w:ascii="Verdana" w:hAnsi="Verdana"/>
          <w:sz w:val="20"/>
          <w:szCs w:val="20"/>
        </w:rPr>
        <w:t xml:space="preserve"> Er geldt hierbij wel een minimaal belang van           € 175,00.</w:t>
      </w:r>
      <w:r w:rsidR="00A949E2" w:rsidRPr="001314FE">
        <w:rPr>
          <w:rStyle w:val="Voetnootmarkering"/>
          <w:rFonts w:ascii="Verdana" w:hAnsi="Verdana"/>
          <w:sz w:val="20"/>
          <w:szCs w:val="20"/>
        </w:rPr>
        <w:footnoteReference w:id="144"/>
      </w:r>
      <w:r w:rsidR="00A949E2" w:rsidRPr="001314FE">
        <w:rPr>
          <w:rFonts w:ascii="Verdana" w:hAnsi="Verdana"/>
          <w:sz w:val="20"/>
          <w:szCs w:val="20"/>
        </w:rPr>
        <w:t xml:space="preserve"> Ook is er een kostenmaximum van € 60.000,- van toepassing. Hieronder vallen externe kosten, zoals het inschakelen van een deskundige, het uitbesteden van de zaak aan een advocaat en proceskosten.</w:t>
      </w:r>
    </w:p>
    <w:p w14:paraId="3E159CEC" w14:textId="77777777" w:rsidR="00F84ED1" w:rsidRPr="001314FE" w:rsidRDefault="00F84ED1" w:rsidP="001314FE">
      <w:pPr>
        <w:pStyle w:val="Geenafstand"/>
        <w:rPr>
          <w:rFonts w:ascii="Verdana" w:hAnsi="Verdana"/>
          <w:sz w:val="20"/>
          <w:szCs w:val="20"/>
        </w:rPr>
      </w:pPr>
    </w:p>
    <w:p w14:paraId="754B809D" w14:textId="2074E20D" w:rsidR="00A949E2" w:rsidRDefault="00A949E2" w:rsidP="001314FE">
      <w:pPr>
        <w:pStyle w:val="Geenafstand"/>
        <w:rPr>
          <w:rFonts w:ascii="Verdana" w:hAnsi="Verdana"/>
          <w:sz w:val="20"/>
          <w:szCs w:val="20"/>
        </w:rPr>
      </w:pPr>
      <w:r w:rsidRPr="001314FE">
        <w:rPr>
          <w:rFonts w:ascii="Verdana" w:hAnsi="Verdana"/>
          <w:sz w:val="20"/>
          <w:szCs w:val="20"/>
        </w:rPr>
        <w:t>Uit een interview met jurist X en een analyse van vijf dossiers uit de periode januari 2021 tot en met maart 2021 blijkt dat in de meeste gevallen een zaak niet onder de dekking valt om de volgende redenen:</w:t>
      </w:r>
      <w:r w:rsidR="00F84ED1">
        <w:rPr>
          <w:rFonts w:ascii="Verdana" w:hAnsi="Verdana"/>
          <w:sz w:val="20"/>
          <w:szCs w:val="20"/>
        </w:rPr>
        <w:br/>
      </w:r>
    </w:p>
    <w:p w14:paraId="044D319C" w14:textId="77777777" w:rsidR="00F84ED1" w:rsidRDefault="00A949E2" w:rsidP="001314FE">
      <w:pPr>
        <w:pStyle w:val="Geenafstand"/>
        <w:numPr>
          <w:ilvl w:val="0"/>
          <w:numId w:val="20"/>
        </w:numPr>
        <w:rPr>
          <w:rFonts w:ascii="Verdana" w:hAnsi="Verdana"/>
          <w:sz w:val="20"/>
          <w:szCs w:val="20"/>
        </w:rPr>
      </w:pPr>
      <w:r w:rsidRPr="00F84ED1">
        <w:rPr>
          <w:rFonts w:ascii="Verdana" w:hAnsi="Verdana"/>
          <w:sz w:val="20"/>
          <w:szCs w:val="20"/>
        </w:rPr>
        <w:t>conflict is vóór ingang van de verzekeringsdatum ontstaan;</w:t>
      </w:r>
      <w:r w:rsidRPr="001314FE">
        <w:rPr>
          <w:rStyle w:val="Voetnootmarkering"/>
          <w:rFonts w:ascii="Verdana" w:hAnsi="Verdana"/>
          <w:sz w:val="20"/>
          <w:szCs w:val="20"/>
        </w:rPr>
        <w:footnoteReference w:id="145"/>
      </w:r>
    </w:p>
    <w:p w14:paraId="00795867" w14:textId="3581699B" w:rsidR="00F84ED1" w:rsidRPr="00F84ED1" w:rsidRDefault="00A949E2" w:rsidP="00F84ED1">
      <w:pPr>
        <w:pStyle w:val="Geenafstand"/>
        <w:numPr>
          <w:ilvl w:val="0"/>
          <w:numId w:val="20"/>
        </w:numPr>
        <w:rPr>
          <w:rFonts w:ascii="Verdana" w:hAnsi="Verdana"/>
          <w:sz w:val="20"/>
          <w:szCs w:val="20"/>
        </w:rPr>
      </w:pPr>
      <w:r w:rsidRPr="00F84ED1">
        <w:rPr>
          <w:rFonts w:ascii="Verdana" w:hAnsi="Verdana"/>
          <w:sz w:val="20"/>
          <w:szCs w:val="20"/>
        </w:rPr>
        <w:t>verzekerde is niet verzekerd voor de juiste module</w:t>
      </w:r>
      <w:r w:rsidR="00F123CC">
        <w:rPr>
          <w:rFonts w:ascii="Verdana" w:hAnsi="Verdana"/>
          <w:sz w:val="20"/>
          <w:szCs w:val="20"/>
        </w:rPr>
        <w:t>;</w:t>
      </w:r>
    </w:p>
    <w:p w14:paraId="243EB6C8" w14:textId="77777777" w:rsidR="00F84ED1" w:rsidRDefault="00A949E2" w:rsidP="001314FE">
      <w:pPr>
        <w:pStyle w:val="Geenafstand"/>
        <w:numPr>
          <w:ilvl w:val="0"/>
          <w:numId w:val="20"/>
        </w:numPr>
        <w:rPr>
          <w:rFonts w:ascii="Verdana" w:hAnsi="Verdana"/>
          <w:sz w:val="20"/>
          <w:szCs w:val="20"/>
        </w:rPr>
      </w:pPr>
      <w:r w:rsidRPr="00F84ED1">
        <w:rPr>
          <w:rFonts w:ascii="Verdana" w:hAnsi="Verdana"/>
          <w:sz w:val="20"/>
          <w:szCs w:val="20"/>
        </w:rPr>
        <w:lastRenderedPageBreak/>
        <w:t>het belang is onder het minimumbelang, welke conform de polisvoorwaarden geldt;</w:t>
      </w:r>
      <w:r w:rsidRPr="001314FE">
        <w:rPr>
          <w:rStyle w:val="Voetnootmarkering"/>
          <w:rFonts w:ascii="Verdana" w:hAnsi="Verdana"/>
          <w:sz w:val="20"/>
          <w:szCs w:val="20"/>
        </w:rPr>
        <w:footnoteReference w:id="146"/>
      </w:r>
    </w:p>
    <w:p w14:paraId="0380C9B6" w14:textId="7CCECA95" w:rsidR="00A949E2" w:rsidRPr="00F84ED1" w:rsidRDefault="00A949E2" w:rsidP="001314FE">
      <w:pPr>
        <w:pStyle w:val="Geenafstand"/>
        <w:numPr>
          <w:ilvl w:val="0"/>
          <w:numId w:val="20"/>
        </w:numPr>
        <w:rPr>
          <w:rFonts w:ascii="Verdana" w:hAnsi="Verdana"/>
          <w:sz w:val="20"/>
          <w:szCs w:val="20"/>
        </w:rPr>
      </w:pPr>
      <w:r w:rsidRPr="00F84ED1">
        <w:rPr>
          <w:rFonts w:ascii="Verdana" w:hAnsi="Verdana"/>
          <w:sz w:val="20"/>
          <w:szCs w:val="20"/>
        </w:rPr>
        <w:t>aanschaf van een tweedehands motorvoertuig zonder garantie.</w:t>
      </w:r>
      <w:r w:rsidRPr="001314FE">
        <w:rPr>
          <w:rStyle w:val="Voetnootmarkering"/>
          <w:rFonts w:ascii="Verdana" w:hAnsi="Verdana"/>
          <w:sz w:val="20"/>
          <w:szCs w:val="20"/>
        </w:rPr>
        <w:footnoteReference w:id="147"/>
      </w:r>
    </w:p>
    <w:p w14:paraId="506448CC" w14:textId="5FC2D1D3" w:rsidR="00A949E2" w:rsidRPr="001314FE" w:rsidRDefault="00F84ED1" w:rsidP="001314FE">
      <w:pPr>
        <w:pStyle w:val="Geenafstand"/>
        <w:rPr>
          <w:rFonts w:ascii="Verdana" w:hAnsi="Verdana"/>
          <w:sz w:val="20"/>
          <w:szCs w:val="20"/>
        </w:rPr>
      </w:pPr>
      <w:r>
        <w:rPr>
          <w:rFonts w:ascii="Verdana" w:hAnsi="Verdana"/>
          <w:sz w:val="20"/>
          <w:szCs w:val="20"/>
        </w:rPr>
        <w:br/>
      </w:r>
      <w:r w:rsidR="00A949E2" w:rsidRPr="001314FE">
        <w:rPr>
          <w:rFonts w:ascii="Verdana" w:hAnsi="Verdana"/>
          <w:sz w:val="20"/>
          <w:szCs w:val="20"/>
        </w:rPr>
        <w:t xml:space="preserve">Als een dossier niet onder de dekking valt, dan zal de jurist in de meeste gevallen niet tot inhoudelijke behandeling van het dossier overgaan. In sommige dossiers geeft een jurist – uit coulance – een advies over de juridische (on)mogelijkheden. Jurist X heeft – zo blijkt uit een analyse van haar dossierbestand – enkele dossiers in behandeling uit coulance, waarbij éénmalig een brief aan de wederpartij is verstuurd. Bij een afwijzende reactie gaat jurist X alsnog over tot sluiting van het dossier. </w:t>
      </w:r>
      <w:r>
        <w:rPr>
          <w:rFonts w:ascii="Verdana" w:hAnsi="Verdana"/>
          <w:sz w:val="20"/>
          <w:szCs w:val="20"/>
        </w:rPr>
        <w:br/>
      </w:r>
    </w:p>
    <w:p w14:paraId="08273E02" w14:textId="23DE6C23" w:rsidR="00A949E2" w:rsidRDefault="00A949E2" w:rsidP="00A949E2">
      <w:pPr>
        <w:pStyle w:val="Kop2"/>
      </w:pPr>
      <w:bookmarkStart w:id="62" w:name="_Toc72576306"/>
      <w:r>
        <w:t xml:space="preserve">5.2. Dossiers bij </w:t>
      </w:r>
      <w:r w:rsidR="00DC68A1" w:rsidRPr="000C446C">
        <w:rPr>
          <w:bCs/>
          <w:sz w:val="24"/>
          <w:szCs w:val="24"/>
        </w:rPr>
        <w:t>XXX</w:t>
      </w:r>
      <w:r w:rsidR="00DC68A1">
        <w:t xml:space="preserve"> </w:t>
      </w:r>
      <w:r>
        <w:t>over non-conformiteit</w:t>
      </w:r>
      <w:bookmarkEnd w:id="62"/>
    </w:p>
    <w:p w14:paraId="7EF0F226" w14:textId="374FD04A" w:rsidR="00A949E2" w:rsidRPr="00F84ED1" w:rsidRDefault="00A949E2" w:rsidP="00F84ED1">
      <w:pPr>
        <w:pStyle w:val="Geenafstand"/>
        <w:rPr>
          <w:rFonts w:ascii="Verdana" w:hAnsi="Verdana"/>
          <w:sz w:val="20"/>
          <w:szCs w:val="20"/>
        </w:rPr>
      </w:pPr>
      <w:r w:rsidRPr="00F84ED1">
        <w:rPr>
          <w:rFonts w:ascii="Verdana" w:hAnsi="Verdana"/>
          <w:sz w:val="20"/>
          <w:szCs w:val="20"/>
        </w:rPr>
        <w:t xml:space="preserve">Iedere week ontvangt </w:t>
      </w:r>
      <w:r w:rsidR="00DC68A1" w:rsidRPr="000C446C">
        <w:rPr>
          <w:rFonts w:ascii="Verdana" w:hAnsi="Verdana"/>
          <w:b/>
          <w:bCs/>
          <w:sz w:val="24"/>
          <w:szCs w:val="24"/>
        </w:rPr>
        <w:t>XXX</w:t>
      </w:r>
      <w:r w:rsidR="00DC68A1" w:rsidRPr="00F84ED1">
        <w:rPr>
          <w:rFonts w:ascii="Verdana" w:hAnsi="Verdana"/>
          <w:sz w:val="20"/>
          <w:szCs w:val="20"/>
        </w:rPr>
        <w:t xml:space="preserve"> </w:t>
      </w:r>
      <w:r w:rsidRPr="00F84ED1">
        <w:rPr>
          <w:rFonts w:ascii="Verdana" w:hAnsi="Verdana"/>
          <w:sz w:val="20"/>
          <w:szCs w:val="20"/>
        </w:rPr>
        <w:t xml:space="preserve">zaken over non-conformiteit bij consumentenkoop. De contractuele zaken – én dus de zaken over non-conformiteit – worden verdeeld over de zeven vestigingen van </w:t>
      </w:r>
      <w:r w:rsidR="00DC68A1" w:rsidRPr="000C446C">
        <w:rPr>
          <w:rFonts w:ascii="Verdana" w:hAnsi="Verdana"/>
          <w:b/>
          <w:bCs/>
          <w:sz w:val="24"/>
          <w:szCs w:val="24"/>
        </w:rPr>
        <w:t>XXX</w:t>
      </w:r>
      <w:r w:rsidRPr="00F84ED1">
        <w:rPr>
          <w:rFonts w:ascii="Verdana" w:hAnsi="Verdana"/>
          <w:sz w:val="20"/>
          <w:szCs w:val="20"/>
        </w:rPr>
        <w:t>. Het uitgangspunt bij de verdeling van zaken is dat er rekening wordt gehouden met de woonplaats van verzekerde en het specialisme van een jurist. Jurist Y ontvangt wekelijks ongeveer zes nieuwe zaken, waarvan ongeveer zestig procent over non-conformiteit bij consumentenkoop gaat. Het gaat hier met name om de aankoop van een gebrekkige keuken, badkamer of meubilair. Uit een analyse van de lopende dossiers van zowel Jurist X als Y blijkt dat er geen zaken gaan over de non-conformiteit van een product waarin digitale inhoud of een dienst is verwerkt.</w:t>
      </w:r>
    </w:p>
    <w:p w14:paraId="0B14B983" w14:textId="77777777" w:rsidR="00F84ED1" w:rsidRPr="00F84ED1" w:rsidRDefault="00F84ED1" w:rsidP="00F84ED1">
      <w:pPr>
        <w:pStyle w:val="Geenafstand"/>
        <w:rPr>
          <w:rFonts w:ascii="Verdana" w:hAnsi="Verdana"/>
          <w:sz w:val="20"/>
          <w:szCs w:val="20"/>
        </w:rPr>
      </w:pPr>
    </w:p>
    <w:p w14:paraId="43037C4F" w14:textId="404BC3C2" w:rsidR="00A949E2" w:rsidRPr="00F84ED1" w:rsidRDefault="00A949E2" w:rsidP="00F84ED1">
      <w:pPr>
        <w:pStyle w:val="Geenafstand"/>
        <w:rPr>
          <w:rFonts w:ascii="Verdana" w:hAnsi="Verdana"/>
          <w:sz w:val="20"/>
          <w:szCs w:val="20"/>
        </w:rPr>
      </w:pPr>
      <w:r w:rsidRPr="00F84ED1">
        <w:rPr>
          <w:rFonts w:ascii="Verdana" w:hAnsi="Verdana"/>
          <w:sz w:val="20"/>
          <w:szCs w:val="20"/>
        </w:rPr>
        <w:t xml:space="preserve">Uit de aanmelding van twintig nieuwe zaken in de periode van 1 januari 2021 tot 1 april 2021 blijkt dat de consument in alle gevallen al eens de verkoper heeft aangeschreven om tot een oplossing te komen. De verkoper reageert vaak niet of stelt zich op het standpunt dat er geen sprake is van een gebrekkig product. Omdat de consument er niet samen met de verkoper uitkomt, meldt de consument de zaak aan bij </w:t>
      </w:r>
      <w:r w:rsidR="00DC68A1" w:rsidRPr="000C446C">
        <w:rPr>
          <w:rFonts w:ascii="Verdana" w:hAnsi="Verdana"/>
          <w:b/>
          <w:bCs/>
          <w:sz w:val="24"/>
          <w:szCs w:val="24"/>
        </w:rPr>
        <w:t>XXX</w:t>
      </w:r>
      <w:r w:rsidRPr="00F84ED1">
        <w:rPr>
          <w:rFonts w:ascii="Verdana" w:hAnsi="Verdana"/>
          <w:sz w:val="20"/>
          <w:szCs w:val="20"/>
        </w:rPr>
        <w:t>.</w:t>
      </w:r>
      <w:r w:rsidR="00F84ED1">
        <w:rPr>
          <w:rFonts w:ascii="Verdana" w:hAnsi="Verdana"/>
          <w:sz w:val="20"/>
          <w:szCs w:val="20"/>
        </w:rPr>
        <w:br/>
      </w:r>
    </w:p>
    <w:p w14:paraId="5F781744" w14:textId="028FD102" w:rsidR="00A949E2" w:rsidRDefault="00A949E2" w:rsidP="00A949E2">
      <w:pPr>
        <w:pStyle w:val="Kop2"/>
        <w:rPr>
          <w:bCs/>
          <w:szCs w:val="20"/>
        </w:rPr>
      </w:pPr>
      <w:bookmarkStart w:id="63" w:name="_Toc72576307"/>
      <w:r>
        <w:t xml:space="preserve">5.3. </w:t>
      </w:r>
      <w:r>
        <w:rPr>
          <w:bCs/>
          <w:szCs w:val="20"/>
        </w:rPr>
        <w:t>Werkwijze bij dossiers over non-conformiteit</w:t>
      </w:r>
      <w:bookmarkEnd w:id="63"/>
    </w:p>
    <w:p w14:paraId="6251DB98" w14:textId="2F1D3798" w:rsidR="00A949E2" w:rsidRPr="00F84ED1" w:rsidRDefault="00A949E2" w:rsidP="00F84ED1">
      <w:pPr>
        <w:pStyle w:val="Geenafstand"/>
        <w:rPr>
          <w:rFonts w:ascii="Verdana" w:hAnsi="Verdana"/>
          <w:sz w:val="20"/>
          <w:szCs w:val="20"/>
        </w:rPr>
      </w:pPr>
      <w:r w:rsidRPr="00F84ED1">
        <w:rPr>
          <w:rFonts w:ascii="Verdana" w:hAnsi="Verdana"/>
          <w:sz w:val="20"/>
          <w:szCs w:val="20"/>
        </w:rPr>
        <w:t>De werkwijze bij ieder dossier over non-conformiteit is nagenoeg hetzelfde. De jurist stelt een plan van aanpak op met daarin de juridische (on)mogelijkheden en een advies over de mogelijke vervolgstappen. De vervolgstappen in een dossier over non-conformiteit hangen af van een aantal factoren, zo blijkt uit een interview met Jurist X en Jurist Y en een analyse van vijftien dossiers in de periode van 1 januari 2021 tot 1 april 2021. De factoren worden in de volgende subparagrafen uiteengezet.</w:t>
      </w:r>
      <w:r w:rsidR="00F84ED1">
        <w:rPr>
          <w:rFonts w:ascii="Verdana" w:hAnsi="Verdana"/>
          <w:sz w:val="20"/>
          <w:szCs w:val="20"/>
        </w:rPr>
        <w:br/>
      </w:r>
    </w:p>
    <w:p w14:paraId="6A83205F" w14:textId="57E672A4" w:rsidR="00A949E2" w:rsidRPr="00DA788A" w:rsidRDefault="00A949E2" w:rsidP="00A949E2">
      <w:pPr>
        <w:pStyle w:val="Kop3"/>
        <w:spacing w:before="0" w:beforeAutospacing="0" w:after="0" w:afterAutospacing="0"/>
        <w:rPr>
          <w:szCs w:val="20"/>
        </w:rPr>
      </w:pPr>
      <w:bookmarkStart w:id="64" w:name="_Toc72576308"/>
      <w:r>
        <w:t xml:space="preserve">5.3.1. </w:t>
      </w:r>
      <w:r w:rsidRPr="00DA788A">
        <w:rPr>
          <w:szCs w:val="20"/>
        </w:rPr>
        <w:t>Vaststellen van non-conformiteit</w:t>
      </w:r>
      <w:bookmarkEnd w:id="64"/>
    </w:p>
    <w:p w14:paraId="02A7A4E0" w14:textId="0974D5E2" w:rsidR="00A949E2" w:rsidRDefault="00A949E2" w:rsidP="00F84ED1">
      <w:pPr>
        <w:pStyle w:val="Geenafstand"/>
        <w:rPr>
          <w:rFonts w:ascii="Verdana" w:hAnsi="Verdana"/>
          <w:sz w:val="20"/>
          <w:szCs w:val="20"/>
        </w:rPr>
      </w:pPr>
      <w:r w:rsidRPr="00F84ED1">
        <w:rPr>
          <w:rFonts w:ascii="Verdana" w:hAnsi="Verdana"/>
          <w:sz w:val="20"/>
          <w:szCs w:val="20"/>
        </w:rPr>
        <w:t>Een belangrijk onderdeel bij het bepalen van de vervolgstappen is het vaststellen van non-conformiteit. Aan de hand van de door de consument overgelegde stukken, wetsartikelen en jurisprudentie beoordeelt de jurist of er sprake is van non-conformiteit. Een belangrijk onderdeel bij het vaststellen van non-conformiteit is het bewijsvermoeden uit artikel 7:18 BW. Gedurende de eerste zes maanden ligt de bewijslast bij de verkoper en hoeft de consument in principe enkel het bestaan van het gebrek aan te tonen. Bij deze dossiers legt de jurist meestal de bal bij de verkoper om aan te tonen dat er geen sprake is van non-conformiteit. Op basis van de reactie van de verkoper, kan de jurist vervolgens de haalbaarheid van een dossier bepalen.</w:t>
      </w:r>
    </w:p>
    <w:p w14:paraId="623DFB44" w14:textId="77777777" w:rsidR="00F84ED1" w:rsidRPr="00F84ED1" w:rsidRDefault="00F84ED1" w:rsidP="00F84ED1">
      <w:pPr>
        <w:pStyle w:val="Geenafstand"/>
        <w:rPr>
          <w:rFonts w:ascii="Verdana" w:hAnsi="Verdana"/>
          <w:sz w:val="20"/>
          <w:szCs w:val="20"/>
        </w:rPr>
      </w:pPr>
    </w:p>
    <w:p w14:paraId="4F9A9937" w14:textId="77777777" w:rsidR="00086425" w:rsidRDefault="00A949E2" w:rsidP="00F84ED1">
      <w:pPr>
        <w:pStyle w:val="Geenafstand"/>
        <w:rPr>
          <w:rFonts w:ascii="Verdana" w:hAnsi="Verdana"/>
          <w:sz w:val="20"/>
          <w:szCs w:val="20"/>
        </w:rPr>
      </w:pPr>
      <w:r w:rsidRPr="00F84ED1">
        <w:rPr>
          <w:rFonts w:ascii="Verdana" w:hAnsi="Verdana"/>
          <w:sz w:val="20"/>
          <w:szCs w:val="20"/>
        </w:rPr>
        <w:t xml:space="preserve">Als de termijn van zes maanden is verstreken, dan is het aan de consument om bewijs te overleggen waaruit non-conformiteit blijkt. De jurist beoordeelt de stukken en maakt een inschatting van de haalbaarheid van een zaak. De haalbaarheid van een zaak hangt af van allerlei omstandigheden. Zo spelen de aankoopdatum, de aankoopprijs en door de </w:t>
      </w:r>
      <w:r w:rsidRPr="00F84ED1">
        <w:rPr>
          <w:rFonts w:ascii="Verdana" w:hAnsi="Verdana"/>
          <w:sz w:val="20"/>
          <w:szCs w:val="20"/>
        </w:rPr>
        <w:lastRenderedPageBreak/>
        <w:t xml:space="preserve">consument overgelegde bewijsstukken een belangrijke rol bij het inschatten van de haalbaarheid van de zaak. </w:t>
      </w:r>
    </w:p>
    <w:p w14:paraId="746CE8BC" w14:textId="4391E8BE" w:rsidR="00A949E2" w:rsidRDefault="00A949E2" w:rsidP="00F84ED1">
      <w:pPr>
        <w:pStyle w:val="Geenafstand"/>
        <w:rPr>
          <w:rFonts w:ascii="Verdana" w:hAnsi="Verdana"/>
          <w:sz w:val="20"/>
          <w:szCs w:val="20"/>
        </w:rPr>
      </w:pPr>
      <w:r w:rsidRPr="00F84ED1">
        <w:rPr>
          <w:rFonts w:ascii="Verdana" w:hAnsi="Verdana"/>
          <w:sz w:val="20"/>
          <w:szCs w:val="20"/>
        </w:rPr>
        <w:t xml:space="preserve">Als een consument pas na twee jaar na aankoop van het product klachten ervaart met het product, zal het lastig aantoonbaar zijn dat er al bij de aankoop van het product sprake was van non-conformiteit.  </w:t>
      </w:r>
    </w:p>
    <w:p w14:paraId="0CE34266" w14:textId="77777777" w:rsidR="00F84ED1" w:rsidRPr="00F84ED1" w:rsidRDefault="00F84ED1" w:rsidP="00F84ED1">
      <w:pPr>
        <w:pStyle w:val="Geenafstand"/>
        <w:rPr>
          <w:rFonts w:ascii="Verdana" w:hAnsi="Verdana"/>
          <w:sz w:val="20"/>
          <w:szCs w:val="20"/>
        </w:rPr>
      </w:pPr>
    </w:p>
    <w:p w14:paraId="400CB571" w14:textId="465DDBC4" w:rsidR="00A949E2" w:rsidRPr="00F84ED1" w:rsidRDefault="00A949E2" w:rsidP="00F84ED1">
      <w:pPr>
        <w:pStyle w:val="Geenafstand"/>
        <w:rPr>
          <w:rFonts w:ascii="Verdana" w:hAnsi="Verdana"/>
          <w:sz w:val="20"/>
          <w:szCs w:val="20"/>
        </w:rPr>
      </w:pPr>
      <w:r w:rsidRPr="00F84ED1">
        <w:rPr>
          <w:rFonts w:ascii="Verdana" w:hAnsi="Verdana"/>
          <w:sz w:val="20"/>
          <w:szCs w:val="20"/>
        </w:rPr>
        <w:t>Een jurist kan nooit met zekerheid vaststellen of er sprake is van non-conformiteit. Er kunnen zich namelijk allerlei omstandigheden voordoen, waardoor er geen sprake is van non-conformiteit. Te denken valt aan onjuist gebruik van het product, onjuiste informatie vanuit de consument of normale slijtage aan een product. Het zal dan ook niet vaak voorkomen dat een jurist geen enkel voorbehoud maakt in een dossier over non-conformiteit.</w:t>
      </w:r>
      <w:r w:rsidR="00F84ED1">
        <w:rPr>
          <w:rFonts w:ascii="Verdana" w:hAnsi="Verdana"/>
          <w:sz w:val="20"/>
          <w:szCs w:val="20"/>
        </w:rPr>
        <w:br/>
      </w:r>
    </w:p>
    <w:p w14:paraId="27C5083A" w14:textId="512EE555" w:rsidR="00A949E2" w:rsidRDefault="00593DE8" w:rsidP="00593DE8">
      <w:pPr>
        <w:pStyle w:val="Kop3"/>
        <w:spacing w:before="0" w:beforeAutospacing="0" w:after="0" w:afterAutospacing="0"/>
        <w:rPr>
          <w:i/>
          <w:iCs/>
          <w:szCs w:val="20"/>
        </w:rPr>
      </w:pPr>
      <w:bookmarkStart w:id="65" w:name="_Toc72576309"/>
      <w:r>
        <w:rPr>
          <w:i/>
          <w:iCs/>
          <w:szCs w:val="20"/>
        </w:rPr>
        <w:t xml:space="preserve">5.3.2. </w:t>
      </w:r>
      <w:r w:rsidRPr="00DA788A">
        <w:rPr>
          <w:szCs w:val="20"/>
        </w:rPr>
        <w:t>Er is geen ingebrekestelling verstuurd</w:t>
      </w:r>
      <w:bookmarkEnd w:id="65"/>
    </w:p>
    <w:p w14:paraId="7351677D" w14:textId="000EF310" w:rsidR="00593DE8" w:rsidRPr="00F84ED1" w:rsidRDefault="00593DE8" w:rsidP="00F84ED1">
      <w:pPr>
        <w:pStyle w:val="Geenafstand"/>
        <w:rPr>
          <w:rFonts w:ascii="Verdana" w:hAnsi="Verdana"/>
          <w:sz w:val="20"/>
          <w:szCs w:val="20"/>
        </w:rPr>
      </w:pPr>
      <w:r w:rsidRPr="00F84ED1">
        <w:rPr>
          <w:rFonts w:ascii="Verdana" w:hAnsi="Verdana"/>
          <w:sz w:val="20"/>
          <w:szCs w:val="20"/>
        </w:rPr>
        <w:t xml:space="preserve">Als de consument een ingebrekestelling heeft verstuurd en deze voldoet aan de eisen die de wet daaraan stelt, dan beoordeelt de jurist de mogelijke vervolgstappen. Uit het dossieronderzoek blijkt dat de jurist in de meeste gevallen de consument adviseert om de verkoper nogmaals een redelijke mogelijkheid tot nakoming te gunnen. Zowel jurist X als Y geven aan dat zij een verkoper meerdere malen in de gelegenheid stellen om tot herstel en/of vervanging over te gaan om hiermee te voorkomen dat de rechter oordeelt dat de verkoper onvoldoende herstel- of vervangmogelijkheid is geboden en de vordering wordt afgewezen. </w:t>
      </w:r>
      <w:r w:rsidR="00F84ED1">
        <w:rPr>
          <w:rFonts w:ascii="Verdana" w:hAnsi="Verdana"/>
          <w:sz w:val="20"/>
          <w:szCs w:val="20"/>
        </w:rPr>
        <w:br/>
      </w:r>
    </w:p>
    <w:p w14:paraId="14FC171B" w14:textId="77777777" w:rsidR="00593DE8" w:rsidRPr="00F84ED1" w:rsidRDefault="00593DE8" w:rsidP="00F84ED1">
      <w:pPr>
        <w:pStyle w:val="Geenafstand"/>
        <w:rPr>
          <w:rFonts w:ascii="Verdana" w:hAnsi="Verdana"/>
          <w:sz w:val="20"/>
          <w:szCs w:val="20"/>
        </w:rPr>
      </w:pPr>
      <w:r w:rsidRPr="00F84ED1">
        <w:rPr>
          <w:rFonts w:ascii="Verdana" w:hAnsi="Verdana"/>
          <w:sz w:val="20"/>
          <w:szCs w:val="20"/>
        </w:rPr>
        <w:t xml:space="preserve">Jurist X stuurt gemiddeld twee tot drie keer een sommatiebrief aan de verkoper, voordat zij tot ontbinding van de overeenkomst overgaat. Het gebeurt nauwelijks dat een jurist – namens de consument – prijsvermindering vordert, omdat een consument vaak van de koop af wilt en het aankoopbedrag terug wenst te ontvangen. In de meeste gevallen wordt dan ook de overeenkomst ontbonden of een vervangende schadevergoeding gevorderd. De vervangende schadevergoeding ziet toe op de kosten van herstel door een derde. </w:t>
      </w:r>
    </w:p>
    <w:p w14:paraId="260F217B" w14:textId="588F5AD1" w:rsidR="00593DE8" w:rsidRPr="00F84ED1" w:rsidRDefault="00593DE8" w:rsidP="00F84ED1">
      <w:pPr>
        <w:pStyle w:val="Geenafstand"/>
        <w:rPr>
          <w:rFonts w:ascii="Verdana" w:hAnsi="Verdana"/>
          <w:sz w:val="20"/>
          <w:szCs w:val="20"/>
        </w:rPr>
      </w:pPr>
      <w:r w:rsidRPr="00F84ED1">
        <w:rPr>
          <w:rFonts w:ascii="Verdana" w:hAnsi="Verdana"/>
          <w:sz w:val="20"/>
          <w:szCs w:val="20"/>
        </w:rPr>
        <w:br/>
        <w:t xml:space="preserve">Bij het uitblijven van een reactie of nakoming vanuit de verkoper start de jurist in de meeste gevallen een procedure. Er gelden uitzonderingen, waarover u in de volgende subparagrafen meer leest. </w:t>
      </w:r>
      <w:r w:rsidR="00F84ED1">
        <w:rPr>
          <w:rFonts w:ascii="Verdana" w:hAnsi="Verdana"/>
          <w:sz w:val="20"/>
          <w:szCs w:val="20"/>
        </w:rPr>
        <w:br/>
      </w:r>
    </w:p>
    <w:p w14:paraId="0F20DA9A" w14:textId="2B41366E" w:rsidR="00593DE8" w:rsidRPr="00DA788A" w:rsidRDefault="00593DE8" w:rsidP="00593DE8">
      <w:pPr>
        <w:pStyle w:val="Kop3"/>
        <w:spacing w:before="0" w:beforeAutospacing="0" w:after="0" w:afterAutospacing="0"/>
      </w:pPr>
      <w:bookmarkStart w:id="66" w:name="_Toc72576310"/>
      <w:r>
        <w:t>5.3.</w:t>
      </w:r>
      <w:r w:rsidR="00F84ED1">
        <w:t>3</w:t>
      </w:r>
      <w:r>
        <w:t xml:space="preserve">. </w:t>
      </w:r>
      <w:r w:rsidRPr="00DA788A">
        <w:t>Uitzondering: Zaak is niet haalbaar</w:t>
      </w:r>
      <w:bookmarkEnd w:id="66"/>
    </w:p>
    <w:p w14:paraId="0EE9D6B2" w14:textId="77777777" w:rsidR="00593DE8" w:rsidRDefault="00593DE8" w:rsidP="00593DE8">
      <w:pPr>
        <w:pStyle w:val="Geenafstand"/>
        <w:rPr>
          <w:rFonts w:ascii="Verdana" w:hAnsi="Verdana"/>
          <w:sz w:val="20"/>
        </w:rPr>
      </w:pPr>
      <w:r w:rsidRPr="00E248D9">
        <w:rPr>
          <w:rFonts w:ascii="Verdana" w:hAnsi="Verdana"/>
          <w:sz w:val="20"/>
        </w:rPr>
        <w:t xml:space="preserve">In sommige gevallen staakt de </w:t>
      </w:r>
      <w:r>
        <w:rPr>
          <w:rFonts w:ascii="Verdana" w:hAnsi="Verdana"/>
          <w:sz w:val="20"/>
        </w:rPr>
        <w:t xml:space="preserve">jurist de </w:t>
      </w:r>
      <w:r w:rsidRPr="00E248D9">
        <w:rPr>
          <w:rFonts w:ascii="Verdana" w:hAnsi="Verdana"/>
          <w:sz w:val="20"/>
        </w:rPr>
        <w:t>dossierbehandeling</w:t>
      </w:r>
      <w:r>
        <w:rPr>
          <w:rFonts w:ascii="Verdana" w:hAnsi="Verdana"/>
          <w:sz w:val="20"/>
        </w:rPr>
        <w:t>,</w:t>
      </w:r>
      <w:r w:rsidRPr="00E248D9">
        <w:rPr>
          <w:rFonts w:ascii="Verdana" w:hAnsi="Verdana"/>
          <w:sz w:val="20"/>
        </w:rPr>
        <w:t xml:space="preserve"> omdat de </w:t>
      </w:r>
      <w:r>
        <w:rPr>
          <w:rFonts w:ascii="Verdana" w:hAnsi="Verdana"/>
          <w:sz w:val="20"/>
        </w:rPr>
        <w:t>zaak</w:t>
      </w:r>
      <w:r w:rsidRPr="00E248D9">
        <w:rPr>
          <w:rFonts w:ascii="Verdana" w:hAnsi="Verdana"/>
          <w:sz w:val="20"/>
        </w:rPr>
        <w:t xml:space="preserve"> niet haalbaar is. </w:t>
      </w:r>
      <w:r>
        <w:rPr>
          <w:rFonts w:ascii="Verdana" w:hAnsi="Verdana"/>
          <w:sz w:val="20"/>
        </w:rPr>
        <w:t>De bevoegdheid om de dossierbehandeling te staken volgt uit de uitsluitingen die zijn opgenomen in de polisvoorwaarden.</w:t>
      </w:r>
      <w:r>
        <w:rPr>
          <w:rStyle w:val="Voetnootmarkering"/>
          <w:rFonts w:ascii="Verdana" w:hAnsi="Verdana"/>
          <w:sz w:val="20"/>
        </w:rPr>
        <w:footnoteReference w:id="148"/>
      </w:r>
      <w:r>
        <w:rPr>
          <w:rFonts w:ascii="Verdana" w:hAnsi="Verdana"/>
          <w:sz w:val="20"/>
        </w:rPr>
        <w:t xml:space="preserve"> De meest voorkomende redenen dat een zaak over non-conformiteit niet haalbaar is, zijn als volgt:</w:t>
      </w:r>
    </w:p>
    <w:p w14:paraId="3BDE3225" w14:textId="77777777" w:rsidR="00593DE8" w:rsidRDefault="00593DE8" w:rsidP="00593DE8">
      <w:pPr>
        <w:pStyle w:val="Geenafstand"/>
        <w:rPr>
          <w:rFonts w:ascii="Verdana" w:hAnsi="Verdana"/>
          <w:sz w:val="20"/>
        </w:rPr>
      </w:pPr>
      <w:r>
        <w:rPr>
          <w:rFonts w:ascii="Verdana" w:hAnsi="Verdana"/>
          <w:sz w:val="20"/>
        </w:rPr>
        <w:tab/>
      </w:r>
    </w:p>
    <w:p w14:paraId="56369A38" w14:textId="77777777" w:rsidR="00593DE8" w:rsidRDefault="00593DE8" w:rsidP="00593DE8">
      <w:pPr>
        <w:pStyle w:val="Geenafstand"/>
        <w:rPr>
          <w:rFonts w:ascii="Verdana" w:hAnsi="Verdana"/>
          <w:sz w:val="20"/>
        </w:rPr>
      </w:pPr>
      <w:r>
        <w:rPr>
          <w:rFonts w:ascii="Verdana" w:hAnsi="Verdana"/>
          <w:sz w:val="20"/>
        </w:rPr>
        <w:tab/>
        <w:t>- nakoming is juridisch niet afdwingbaar;</w:t>
      </w:r>
    </w:p>
    <w:p w14:paraId="07C73BF3" w14:textId="77777777" w:rsidR="00593DE8" w:rsidRDefault="00593DE8" w:rsidP="00593DE8">
      <w:pPr>
        <w:pStyle w:val="Geenafstand"/>
        <w:rPr>
          <w:rFonts w:ascii="Verdana" w:hAnsi="Verdana"/>
          <w:sz w:val="20"/>
        </w:rPr>
      </w:pPr>
      <w:r>
        <w:rPr>
          <w:rFonts w:ascii="Verdana" w:hAnsi="Verdana"/>
          <w:sz w:val="20"/>
        </w:rPr>
        <w:tab/>
        <w:t>- gebrek aan bewijs;</w:t>
      </w:r>
    </w:p>
    <w:p w14:paraId="01539872" w14:textId="77777777" w:rsidR="00593DE8" w:rsidRDefault="00593DE8" w:rsidP="00593DE8">
      <w:pPr>
        <w:pStyle w:val="Geenafstand"/>
        <w:ind w:left="851" w:hanging="143"/>
        <w:rPr>
          <w:rFonts w:ascii="Verdana" w:hAnsi="Verdana"/>
          <w:sz w:val="20"/>
        </w:rPr>
      </w:pPr>
      <w:r>
        <w:rPr>
          <w:rFonts w:ascii="Verdana" w:hAnsi="Verdana"/>
          <w:sz w:val="20"/>
        </w:rPr>
        <w:t>- consument stelt de jurist niet in de mogelijkheid het conflict zonder juridische procedure op te lossen.</w:t>
      </w:r>
    </w:p>
    <w:p w14:paraId="7F0C059B" w14:textId="77777777" w:rsidR="00593DE8" w:rsidRDefault="00593DE8" w:rsidP="00593DE8">
      <w:pPr>
        <w:pStyle w:val="Geenafstand"/>
        <w:rPr>
          <w:rFonts w:ascii="Verdana" w:hAnsi="Verdana"/>
          <w:sz w:val="20"/>
        </w:rPr>
      </w:pPr>
    </w:p>
    <w:p w14:paraId="2B7C15F8" w14:textId="6E353A8A" w:rsidR="00086425" w:rsidRDefault="00593DE8" w:rsidP="00593DE8">
      <w:pPr>
        <w:pStyle w:val="Geenafstand"/>
        <w:rPr>
          <w:rFonts w:ascii="Verdana" w:hAnsi="Verdana"/>
          <w:sz w:val="20"/>
        </w:rPr>
      </w:pPr>
      <w:r>
        <w:rPr>
          <w:rFonts w:ascii="Verdana" w:hAnsi="Verdana"/>
          <w:sz w:val="20"/>
        </w:rPr>
        <w:t xml:space="preserve">Omdat de Richtlijn mogelijk verandering brengt in de haalbaarheid van de </w:t>
      </w:r>
      <w:r w:rsidR="00116AE9">
        <w:rPr>
          <w:rFonts w:ascii="Verdana" w:hAnsi="Verdana"/>
          <w:sz w:val="20"/>
        </w:rPr>
        <w:t>dossiers</w:t>
      </w:r>
      <w:r>
        <w:rPr>
          <w:rFonts w:ascii="Verdana" w:hAnsi="Verdana"/>
          <w:sz w:val="20"/>
        </w:rPr>
        <w:t xml:space="preserve">, zal ik hieronder aan de hand van praktijkvoorbeelden uit de dossiers van </w:t>
      </w:r>
      <w:r w:rsidR="00227096">
        <w:rPr>
          <w:rFonts w:ascii="Verdana" w:hAnsi="Verdana"/>
          <w:sz w:val="20"/>
        </w:rPr>
        <w:t>j</w:t>
      </w:r>
      <w:r>
        <w:rPr>
          <w:rFonts w:ascii="Verdana" w:hAnsi="Verdana"/>
          <w:sz w:val="20"/>
        </w:rPr>
        <w:t xml:space="preserve">urist X </w:t>
      </w:r>
      <w:r w:rsidR="00227096">
        <w:rPr>
          <w:rFonts w:ascii="Verdana" w:hAnsi="Verdana"/>
          <w:sz w:val="20"/>
        </w:rPr>
        <w:t xml:space="preserve">en jurist Y </w:t>
      </w:r>
      <w:r>
        <w:rPr>
          <w:rFonts w:ascii="Verdana" w:hAnsi="Verdana"/>
          <w:sz w:val="20"/>
        </w:rPr>
        <w:t>uiteenzetten welke situaties onder de uitsluitingen vallen.</w:t>
      </w:r>
    </w:p>
    <w:p w14:paraId="3459AE9E" w14:textId="77777777" w:rsidR="00593DE8" w:rsidRPr="003D751D" w:rsidRDefault="00593DE8" w:rsidP="00593DE8">
      <w:pPr>
        <w:pStyle w:val="Geenafstand"/>
        <w:rPr>
          <w:rFonts w:ascii="Verdana" w:hAnsi="Verdana"/>
          <w:sz w:val="20"/>
        </w:rPr>
      </w:pPr>
    </w:p>
    <w:p w14:paraId="6F8CA8C8" w14:textId="77777777" w:rsidR="00593DE8" w:rsidRPr="004F1118" w:rsidRDefault="00593DE8" w:rsidP="00593DE8">
      <w:pPr>
        <w:pStyle w:val="Geenafstand"/>
        <w:ind w:left="426" w:hanging="426"/>
        <w:rPr>
          <w:rFonts w:ascii="Verdana" w:hAnsi="Verdana"/>
          <w:sz w:val="20"/>
          <w:u w:val="single"/>
        </w:rPr>
      </w:pPr>
      <w:r>
        <w:rPr>
          <w:rFonts w:ascii="Verdana" w:hAnsi="Verdana"/>
          <w:sz w:val="20"/>
          <w:u w:val="single"/>
        </w:rPr>
        <w:t xml:space="preserve">Voorbeeld A: </w:t>
      </w:r>
      <w:r w:rsidRPr="004F1118">
        <w:rPr>
          <w:rFonts w:ascii="Verdana" w:hAnsi="Verdana"/>
          <w:sz w:val="20"/>
          <w:u w:val="single"/>
        </w:rPr>
        <w:t>Nakoming is juridisch niet afdwingbaar</w:t>
      </w:r>
    </w:p>
    <w:p w14:paraId="31327060" w14:textId="2ACAC2A4" w:rsidR="00086425" w:rsidRDefault="00593DE8" w:rsidP="00593DE8">
      <w:pPr>
        <w:pStyle w:val="Geenafstand"/>
        <w:rPr>
          <w:rFonts w:ascii="Verdana" w:hAnsi="Verdana"/>
          <w:sz w:val="20"/>
        </w:rPr>
      </w:pPr>
      <w:r>
        <w:rPr>
          <w:rFonts w:ascii="Verdana" w:hAnsi="Verdana"/>
          <w:sz w:val="20"/>
        </w:rPr>
        <w:t xml:space="preserve">Er zijn meerdere dossiers binnen </w:t>
      </w:r>
      <w:r w:rsidR="00DC68A1" w:rsidRPr="000C446C">
        <w:rPr>
          <w:rFonts w:ascii="Verdana" w:hAnsi="Verdana"/>
          <w:b/>
          <w:bCs/>
          <w:sz w:val="24"/>
          <w:szCs w:val="24"/>
        </w:rPr>
        <w:t>XXX</w:t>
      </w:r>
      <w:r w:rsidR="00DC68A1">
        <w:rPr>
          <w:rFonts w:ascii="Verdana" w:hAnsi="Verdana"/>
          <w:sz w:val="20"/>
        </w:rPr>
        <w:t xml:space="preserve"> </w:t>
      </w:r>
      <w:r>
        <w:rPr>
          <w:rFonts w:ascii="Verdana" w:hAnsi="Verdana"/>
          <w:sz w:val="20"/>
        </w:rPr>
        <w:t xml:space="preserve">waarin de rechtsbijstand is gestaakt, omdat nakoming juridisch niet meer afdwingbaar is. Zo blijkt uit meerdere dossiers van jurist X dat de consument – voor het aanmelden van de zaak – onjuiste stappen richting de verkoper heeft genomen. Het is hierdoor vaak niet meer mogelijk om nakoming van de verkoper te vorderen. </w:t>
      </w:r>
    </w:p>
    <w:p w14:paraId="0478C022" w14:textId="77777777" w:rsidR="00086425" w:rsidRDefault="00086425" w:rsidP="00593DE8">
      <w:pPr>
        <w:pStyle w:val="Geenafstand"/>
        <w:rPr>
          <w:rFonts w:ascii="Verdana" w:hAnsi="Verdana"/>
          <w:sz w:val="20"/>
        </w:rPr>
      </w:pPr>
    </w:p>
    <w:p w14:paraId="6BFFBCFF" w14:textId="77777777" w:rsidR="00086425" w:rsidRDefault="00086425" w:rsidP="00593DE8">
      <w:pPr>
        <w:pStyle w:val="Geenafstand"/>
        <w:rPr>
          <w:rFonts w:ascii="Verdana" w:hAnsi="Verdana"/>
          <w:sz w:val="20"/>
        </w:rPr>
      </w:pPr>
    </w:p>
    <w:p w14:paraId="691204E4" w14:textId="7F53BEAA" w:rsidR="00086425" w:rsidRDefault="00593DE8" w:rsidP="00593DE8">
      <w:pPr>
        <w:pStyle w:val="Geenafstand"/>
        <w:rPr>
          <w:rFonts w:ascii="Verdana" w:hAnsi="Verdana"/>
          <w:sz w:val="20"/>
        </w:rPr>
      </w:pPr>
      <w:r>
        <w:rPr>
          <w:rFonts w:ascii="Verdana" w:hAnsi="Verdana"/>
          <w:sz w:val="20"/>
        </w:rPr>
        <w:t>Hieronder een voorbeeld ter verduidelijking:</w:t>
      </w:r>
    </w:p>
    <w:p w14:paraId="4AC67ADD" w14:textId="77777777" w:rsidR="00086425" w:rsidRDefault="00086425" w:rsidP="00593DE8">
      <w:pPr>
        <w:pStyle w:val="Geenafstand"/>
        <w:rPr>
          <w:rFonts w:ascii="Verdana" w:hAnsi="Verdana"/>
          <w:sz w:val="20"/>
        </w:rPr>
      </w:pPr>
    </w:p>
    <w:p w14:paraId="0233E224" w14:textId="73529E5A" w:rsidR="00593DE8" w:rsidRDefault="00593DE8" w:rsidP="00593DE8">
      <w:pPr>
        <w:pStyle w:val="Geenafstand"/>
        <w:rPr>
          <w:rFonts w:ascii="Verdana" w:hAnsi="Verdana"/>
          <w:i/>
          <w:iCs/>
          <w:sz w:val="20"/>
        </w:rPr>
      </w:pPr>
      <w:r>
        <w:rPr>
          <w:rFonts w:ascii="Verdana" w:hAnsi="Verdana"/>
          <w:sz w:val="20"/>
        </w:rPr>
        <w:t>´</w:t>
      </w:r>
      <w:r>
        <w:rPr>
          <w:rFonts w:ascii="Verdana" w:hAnsi="Verdana"/>
          <w:i/>
          <w:iCs/>
          <w:sz w:val="20"/>
        </w:rPr>
        <w:t>Een consument koopt autobanden en velgen bij een verkoper, welke ook door de verkoper worden gemonteerd. Vervolgens ondervindt consument allerlei problemen met de banden en velgen. De consument heeft zich vervolgens laten adviseren door een autospecialist en heeft – op advies van de autospecialist – nieuwe banden en velgen laten monteren. De consument wenst de kosten te verhalen op de verkoper.’</w:t>
      </w:r>
      <w:r>
        <w:rPr>
          <w:rFonts w:ascii="Verdana" w:hAnsi="Verdana"/>
          <w:i/>
          <w:iCs/>
          <w:sz w:val="20"/>
        </w:rPr>
        <w:br/>
      </w:r>
    </w:p>
    <w:p w14:paraId="1B773EB2" w14:textId="77777777" w:rsidR="00593DE8" w:rsidRDefault="00593DE8" w:rsidP="00593DE8">
      <w:pPr>
        <w:pStyle w:val="Geenafstand"/>
        <w:rPr>
          <w:rFonts w:ascii="Verdana" w:hAnsi="Verdana"/>
          <w:sz w:val="20"/>
        </w:rPr>
      </w:pPr>
      <w:r>
        <w:rPr>
          <w:rFonts w:ascii="Verdana" w:hAnsi="Verdana"/>
          <w:sz w:val="20"/>
        </w:rPr>
        <w:t>In bovengenoemd voorbeeld heeft de consument de verkoper niet in gebreke gesteld en geen redelijke mogelijkheid geboden om tot herstel of vervanging over te gaan. Er is hierdoor geen verzuim ingetreden, hetgeen essentieel is om een vervangende schadevergoeding te vorderen. Jurist X heeft in dit dossier dan ook de rechtsbijstand gestaakt, omdat het niet haalbaar is om nakoming van de verkoper te vorderen.</w:t>
      </w:r>
    </w:p>
    <w:p w14:paraId="48ACEE4F" w14:textId="77777777" w:rsidR="00593DE8" w:rsidRDefault="00593DE8" w:rsidP="00593DE8">
      <w:pPr>
        <w:pStyle w:val="Geenafstand"/>
        <w:rPr>
          <w:rFonts w:ascii="Verdana" w:hAnsi="Verdana"/>
          <w:sz w:val="20"/>
        </w:rPr>
      </w:pPr>
    </w:p>
    <w:p w14:paraId="2D3F2DA8" w14:textId="77777777" w:rsidR="00593DE8" w:rsidRPr="00D836F5" w:rsidRDefault="00593DE8" w:rsidP="00593DE8">
      <w:pPr>
        <w:pStyle w:val="Geenafstand"/>
        <w:rPr>
          <w:rFonts w:ascii="Verdana" w:hAnsi="Verdana"/>
          <w:sz w:val="20"/>
        </w:rPr>
      </w:pPr>
      <w:r>
        <w:rPr>
          <w:rFonts w:ascii="Verdana" w:hAnsi="Verdana"/>
          <w:sz w:val="20"/>
        </w:rPr>
        <w:t xml:space="preserve">Een ander voorbeeld over een niet haalbare zaak is verjaring. Een vordering bij non-conformiteit verloopt na twee jaar vanaf het moment dat er geklaagd is. Een consument kan na het verstrijken van de verjaringstermijn geen nakoming meer van de verkoper vorderen. De jurist zal ook bij dit soort dossiers de rechtsbijstand staken. </w:t>
      </w:r>
    </w:p>
    <w:p w14:paraId="6BC76184" w14:textId="77777777" w:rsidR="00593DE8" w:rsidRPr="00ED6B4C" w:rsidRDefault="00593DE8" w:rsidP="00593DE8">
      <w:pPr>
        <w:pStyle w:val="Geenafstand"/>
        <w:rPr>
          <w:rFonts w:ascii="Verdana" w:hAnsi="Verdana"/>
          <w:sz w:val="20"/>
          <w:u w:val="single"/>
        </w:rPr>
      </w:pPr>
    </w:p>
    <w:p w14:paraId="5AF4FCD6" w14:textId="77777777" w:rsidR="00593DE8" w:rsidRPr="00ED6B4C" w:rsidRDefault="00593DE8" w:rsidP="00593DE8">
      <w:pPr>
        <w:pStyle w:val="Geenafstand"/>
        <w:rPr>
          <w:rFonts w:ascii="Verdana" w:hAnsi="Verdana"/>
          <w:sz w:val="20"/>
          <w:u w:val="single"/>
        </w:rPr>
      </w:pPr>
      <w:r>
        <w:rPr>
          <w:rFonts w:ascii="Verdana" w:hAnsi="Verdana"/>
          <w:sz w:val="20"/>
          <w:u w:val="single"/>
        </w:rPr>
        <w:t>Voorbeeld B:</w:t>
      </w:r>
      <w:r w:rsidRPr="00ED6B4C">
        <w:rPr>
          <w:rFonts w:ascii="Verdana" w:hAnsi="Verdana"/>
          <w:sz w:val="20"/>
          <w:u w:val="single"/>
        </w:rPr>
        <w:t xml:space="preserve"> Gebrek aan bewijs</w:t>
      </w:r>
    </w:p>
    <w:p w14:paraId="03948F90" w14:textId="61585DB3" w:rsidR="00593DE8" w:rsidRDefault="00593DE8" w:rsidP="00593DE8">
      <w:pPr>
        <w:pStyle w:val="Geenafstand"/>
        <w:rPr>
          <w:rFonts w:ascii="Verdana" w:hAnsi="Verdana"/>
          <w:sz w:val="20"/>
        </w:rPr>
      </w:pPr>
      <w:r>
        <w:rPr>
          <w:rFonts w:ascii="Verdana" w:hAnsi="Verdana"/>
          <w:sz w:val="20"/>
        </w:rPr>
        <w:t>Een consument dient – conform de polsvoorwaarden – het geschil aannemelijk te maken. Dat betekent dat een consument voldoende stukken dient te overle</w:t>
      </w:r>
      <w:r w:rsidRPr="00940527">
        <w:rPr>
          <w:rFonts w:ascii="Verdana" w:hAnsi="Verdana"/>
          <w:sz w:val="20"/>
        </w:rPr>
        <w:t xml:space="preserve">ggen waaruit blijkt </w:t>
      </w:r>
      <w:r>
        <w:rPr>
          <w:rFonts w:ascii="Verdana" w:hAnsi="Verdana"/>
          <w:sz w:val="20"/>
        </w:rPr>
        <w:t>dat er sprake is van non-conformiteit en de verkoper hiervoor aansprakelijk is. Zo zal een procedure</w:t>
      </w:r>
      <w:r w:rsidR="00116AE9">
        <w:rPr>
          <w:rFonts w:ascii="Verdana" w:hAnsi="Verdana"/>
          <w:sz w:val="20"/>
        </w:rPr>
        <w:t xml:space="preserve"> </w:t>
      </w:r>
      <w:r>
        <w:rPr>
          <w:rFonts w:ascii="Verdana" w:hAnsi="Verdana"/>
          <w:sz w:val="20"/>
        </w:rPr>
        <w:t>zonder het overleggen van een koopovereenkomst lastig haalbaar zijn, omdat de verkoper het bestaan van de koopovereenkomst kan ontkennen. Als een jurist oordeelt dat er onvoldoende bewijsstukken voorhanden zijn om een eventuele procedure te starten, kan zij op basis van de polisvoorwaarden de rechtsbijstand staken.</w:t>
      </w:r>
      <w:r>
        <w:rPr>
          <w:rFonts w:ascii="Verdana" w:hAnsi="Verdana"/>
          <w:sz w:val="20"/>
        </w:rPr>
        <w:br/>
      </w:r>
    </w:p>
    <w:p w14:paraId="7554376A" w14:textId="5446A337" w:rsidR="00593DE8" w:rsidRDefault="00593DE8" w:rsidP="00593DE8">
      <w:pPr>
        <w:pStyle w:val="Geenafstand"/>
        <w:rPr>
          <w:rFonts w:ascii="Verdana" w:hAnsi="Verdana"/>
          <w:sz w:val="20"/>
        </w:rPr>
      </w:pPr>
      <w:r>
        <w:rPr>
          <w:rFonts w:ascii="Verdana" w:hAnsi="Verdana"/>
          <w:sz w:val="20"/>
        </w:rPr>
        <w:t xml:space="preserve">Zowel jurist X als Y schakelen in de meeste gevallen een externe deskundige in om de klachten van consument te beoordelen. De kosten van het inschakelen van een externe deskundige komen in beginsel voor rekening van </w:t>
      </w:r>
      <w:r w:rsidR="00DC68A1" w:rsidRPr="000C446C">
        <w:rPr>
          <w:rFonts w:ascii="Verdana" w:hAnsi="Verdana"/>
          <w:b/>
          <w:bCs/>
          <w:sz w:val="24"/>
          <w:szCs w:val="24"/>
        </w:rPr>
        <w:t>XXX</w:t>
      </w:r>
      <w:r>
        <w:rPr>
          <w:rFonts w:ascii="Verdana" w:hAnsi="Verdana"/>
          <w:sz w:val="20"/>
        </w:rPr>
        <w:t>. De expert beoordeelt de klachten van de consument en de verkoper heeft de mogelijkheid om bij de expertise aanwezig te zijn. Na de expertise stelt de deskundige een rapport op, waarin hij aangeeft wat de mogelijke oorzaak is van de klachten. Een voorbeeld ter verduidelijking:</w:t>
      </w:r>
    </w:p>
    <w:p w14:paraId="3ADECEE0" w14:textId="77777777" w:rsidR="00593DE8" w:rsidRDefault="00593DE8" w:rsidP="00593DE8">
      <w:pPr>
        <w:pStyle w:val="Geenafstand"/>
        <w:rPr>
          <w:rFonts w:ascii="Verdana" w:hAnsi="Verdana"/>
          <w:sz w:val="20"/>
        </w:rPr>
      </w:pPr>
      <w:r>
        <w:rPr>
          <w:rFonts w:ascii="Verdana" w:hAnsi="Verdana"/>
          <w:sz w:val="20"/>
        </w:rPr>
        <w:br/>
      </w:r>
      <w:r w:rsidRPr="00373F80">
        <w:rPr>
          <w:rFonts w:ascii="Verdana" w:hAnsi="Verdana"/>
          <w:i/>
          <w:iCs/>
          <w:sz w:val="20"/>
        </w:rPr>
        <w:t>´</w:t>
      </w:r>
      <w:r>
        <w:rPr>
          <w:rFonts w:ascii="Verdana" w:hAnsi="Verdana"/>
          <w:i/>
          <w:iCs/>
          <w:sz w:val="20"/>
        </w:rPr>
        <w:t>Een c</w:t>
      </w:r>
      <w:r w:rsidRPr="00373F80">
        <w:rPr>
          <w:rFonts w:ascii="Verdana" w:hAnsi="Verdana"/>
          <w:i/>
          <w:iCs/>
          <w:sz w:val="20"/>
        </w:rPr>
        <w:t>onsument heeft een laminaatvloer gekocht bij een verkoper. Na enige tijd zitten er allerlei krassen op de vloer. De consument wenst dat de verkoper tot herstel en/of vervanging overgaat. De verkoper stelt zich op het standpunt dat het hier gaat om de normale gebruikersschade. Er wordt vervolgens een expert ingeschakeld, welke de vloer uitvoerig heeft onderzocht en hiervan een expertiserapport heeft opgesteld. Uit het expertiserapport volgt dat er sprake is van ‘normale gebruikersschade’.</w:t>
      </w:r>
      <w:r w:rsidRPr="00373F80">
        <w:rPr>
          <w:rFonts w:ascii="Verdana" w:hAnsi="Verdana"/>
          <w:i/>
          <w:iCs/>
          <w:sz w:val="20"/>
        </w:rPr>
        <w:br/>
      </w:r>
      <w:r w:rsidRPr="00373F80">
        <w:rPr>
          <w:rFonts w:ascii="Verdana" w:hAnsi="Verdana"/>
          <w:i/>
          <w:iCs/>
          <w:sz w:val="20"/>
        </w:rPr>
        <w:br/>
      </w:r>
      <w:r>
        <w:rPr>
          <w:rFonts w:ascii="Verdana" w:hAnsi="Verdana"/>
          <w:sz w:val="20"/>
        </w:rPr>
        <w:t>In bovengenoemd geval heeft de expert geoordeeld dat er sprake is van normale gebruikersschade, hetgeen geen non-conformiteit oplevert. Omdat het expertiserapport niet in het voordeel is van de consument en er geen andere bewijstukken voorhanden zijn, heeft jurist X de rechtsbijstand gestaakt.</w:t>
      </w:r>
    </w:p>
    <w:p w14:paraId="10B33A79" w14:textId="77777777" w:rsidR="00593DE8" w:rsidRDefault="00593DE8" w:rsidP="00593DE8">
      <w:pPr>
        <w:pStyle w:val="Geenafstand"/>
        <w:rPr>
          <w:rFonts w:ascii="Verdana" w:hAnsi="Verdana"/>
          <w:sz w:val="20"/>
        </w:rPr>
      </w:pPr>
    </w:p>
    <w:p w14:paraId="46D6F84B" w14:textId="54ED6F57" w:rsidR="00593DE8" w:rsidRDefault="00593DE8" w:rsidP="00593DE8">
      <w:pPr>
        <w:pStyle w:val="Geenafstand"/>
        <w:rPr>
          <w:rFonts w:ascii="Verdana" w:hAnsi="Verdana"/>
          <w:sz w:val="20"/>
        </w:rPr>
      </w:pPr>
      <w:r>
        <w:rPr>
          <w:rFonts w:ascii="Verdana" w:hAnsi="Verdana"/>
          <w:sz w:val="20"/>
        </w:rPr>
        <w:t xml:space="preserve">Een ander voorbeeld is schending van de onderzoeksplicht. Als een consument onvoldoende onderzoek doet naar de eigenschappen van de zaak, kan hij zich niet meer beroepen op non-conformiteit. Zo heeft jurist Y weleens een zaak over de koop van een gebrekkig paard behandeld, waarbij de consument geen onderzoek heeft gedaan naar de eigenschappen van het paard. Een belangrijk onderdeel bij de aankoop van een paard is dat er een medische keuring wordt gedaan. Als een consument geen onderzoek doet naar de medische staat van het paard en er blijkt uiteindelijk van alles mis met het paard, dan wordt het lastig voor de consument om te bewijzen dat het paard al bij </w:t>
      </w:r>
      <w:r>
        <w:rPr>
          <w:rFonts w:ascii="Verdana" w:hAnsi="Verdana"/>
          <w:sz w:val="20"/>
        </w:rPr>
        <w:lastRenderedPageBreak/>
        <w:t xml:space="preserve">aankoop niet in orde was. Het had in dit geval aan de consument geweest om vooraf voldoende onderzoek te doen naar de eigenschappen van het paard. </w:t>
      </w:r>
    </w:p>
    <w:p w14:paraId="00F1CA38" w14:textId="77777777" w:rsidR="00593DE8" w:rsidRPr="0058532C" w:rsidRDefault="00593DE8" w:rsidP="00593DE8">
      <w:pPr>
        <w:pStyle w:val="Geenafstand"/>
        <w:rPr>
          <w:rFonts w:ascii="Verdana" w:hAnsi="Verdana"/>
          <w:sz w:val="20"/>
        </w:rPr>
      </w:pPr>
    </w:p>
    <w:p w14:paraId="400021E6" w14:textId="77777777" w:rsidR="00593DE8" w:rsidRDefault="00593DE8" w:rsidP="00593DE8">
      <w:pPr>
        <w:pStyle w:val="Geenafstand"/>
        <w:rPr>
          <w:rFonts w:ascii="Verdana" w:hAnsi="Verdana"/>
          <w:sz w:val="20"/>
          <w:u w:val="single"/>
        </w:rPr>
      </w:pPr>
    </w:p>
    <w:p w14:paraId="6021476C" w14:textId="77777777" w:rsidR="00593DE8" w:rsidRDefault="00593DE8" w:rsidP="00593DE8">
      <w:pPr>
        <w:pStyle w:val="Geenafstand"/>
        <w:rPr>
          <w:rFonts w:ascii="Verdana" w:hAnsi="Verdana"/>
          <w:sz w:val="20"/>
          <w:u w:val="single"/>
        </w:rPr>
      </w:pPr>
      <w:r>
        <w:rPr>
          <w:rFonts w:ascii="Verdana" w:hAnsi="Verdana"/>
          <w:sz w:val="20"/>
          <w:u w:val="single"/>
        </w:rPr>
        <w:t>Voorbeeld C:</w:t>
      </w:r>
      <w:r w:rsidRPr="0066308F">
        <w:rPr>
          <w:u w:val="single"/>
        </w:rPr>
        <w:t xml:space="preserve"> </w:t>
      </w:r>
      <w:r>
        <w:rPr>
          <w:rFonts w:ascii="Verdana" w:hAnsi="Verdana"/>
          <w:sz w:val="20"/>
          <w:u w:val="single"/>
        </w:rPr>
        <w:t>Geen mogelijkheid bieden om het conflict zonder juridische procedure op te lossen</w:t>
      </w:r>
    </w:p>
    <w:p w14:paraId="77BDF663" w14:textId="77777777" w:rsidR="00593DE8" w:rsidRPr="00685274" w:rsidRDefault="00593DE8" w:rsidP="00593DE8">
      <w:pPr>
        <w:pStyle w:val="Geenafstand"/>
        <w:rPr>
          <w:rFonts w:ascii="Verdana" w:hAnsi="Verdana"/>
          <w:sz w:val="20"/>
          <w:u w:val="single"/>
        </w:rPr>
      </w:pPr>
      <w:r>
        <w:rPr>
          <w:rFonts w:ascii="Verdana" w:hAnsi="Verdana"/>
          <w:sz w:val="20"/>
        </w:rPr>
        <w:t xml:space="preserve">Jurist X geeft aan dat het met regelmaat gebeurt dat een consument geen vertrouwen meer heeft in de verkoper dat hij gaat nakomen. De consument wenst dan vaak direct tot ontbinding van de overeenkomst over te gaan, terwijl deze bevoegdheid pas – volgens het huidige recht – bestaat als herstel en/of vervanging onmogelijk is. </w:t>
      </w:r>
    </w:p>
    <w:p w14:paraId="4DA23358" w14:textId="77777777" w:rsidR="00593DE8" w:rsidRDefault="00593DE8" w:rsidP="00593DE8">
      <w:pPr>
        <w:pStyle w:val="Geenafstand"/>
        <w:ind w:hanging="284"/>
        <w:rPr>
          <w:rFonts w:ascii="Verdana" w:hAnsi="Verdana"/>
          <w:sz w:val="20"/>
        </w:rPr>
      </w:pPr>
    </w:p>
    <w:p w14:paraId="0D4C5571" w14:textId="6889B59F" w:rsidR="00593DE8" w:rsidRDefault="00593DE8" w:rsidP="00593DE8">
      <w:pPr>
        <w:pStyle w:val="Geenafstand"/>
        <w:rPr>
          <w:rFonts w:ascii="Verdana" w:hAnsi="Verdana"/>
          <w:sz w:val="20"/>
        </w:rPr>
      </w:pPr>
      <w:r>
        <w:rPr>
          <w:rFonts w:ascii="Verdana" w:hAnsi="Verdana"/>
          <w:sz w:val="20"/>
        </w:rPr>
        <w:t xml:space="preserve">In deze gevallen heeft jurist X de bevoegdheid om de rechtsbijstand te staken, omdat de consument in strijd met de polisvoorwaarden handelt. Een consument dient volgens de polisvoorwaarden de jurist voldoende mogelijkheid te bieden om het conflict zonder procedure op te lossen. Als jurist X direct overgaat tot ontbinden van een overeenkomst, dan is de kans op een succesvolle procedure nihil. In deze gevallen wijst jurist X de consument op de risico’s en geeft meestal aan dat er bij een afwijzende reactie van de wederpartij geen procedure wordt gestart. Als een consument alsnog wenst om tot ontbinding over te gaan, stuurt jurist X een brief aan de wederpartij. In deze brief ontbindt jurist X – namens de consument – de overeenkomst en vordert zij terugbetaling van het aankoopbedrag. Als er vervolgens een afwijzende reactie volgt, wordt de rechtsbijstand gestaakt. </w:t>
      </w:r>
    </w:p>
    <w:p w14:paraId="141B697E" w14:textId="7AAAB7EC" w:rsidR="00593DE8" w:rsidRDefault="00593DE8" w:rsidP="00593DE8">
      <w:pPr>
        <w:pStyle w:val="Geenafstand"/>
        <w:rPr>
          <w:rFonts w:ascii="Verdana" w:hAnsi="Verdana"/>
          <w:sz w:val="20"/>
        </w:rPr>
      </w:pPr>
    </w:p>
    <w:p w14:paraId="665BE609" w14:textId="379D3BA8" w:rsidR="00593DE8" w:rsidRDefault="00593DE8" w:rsidP="00593DE8">
      <w:pPr>
        <w:pStyle w:val="Kop3"/>
        <w:spacing w:before="0" w:beforeAutospacing="0" w:after="0" w:afterAutospacing="0"/>
        <w:rPr>
          <w:i/>
          <w:iCs/>
          <w:szCs w:val="20"/>
        </w:rPr>
      </w:pPr>
      <w:bookmarkStart w:id="67" w:name="_Toc72576311"/>
      <w:r>
        <w:t>5.3.</w:t>
      </w:r>
      <w:r w:rsidR="00F84ED1">
        <w:t>4</w:t>
      </w:r>
      <w:r>
        <w:t xml:space="preserve">. </w:t>
      </w:r>
      <w:r w:rsidRPr="00DA788A">
        <w:rPr>
          <w:szCs w:val="20"/>
        </w:rPr>
        <w:t>Uitzondering: Afkoop van de zaak</w:t>
      </w:r>
      <w:bookmarkEnd w:id="67"/>
    </w:p>
    <w:p w14:paraId="2808BD10" w14:textId="7C6E5F9B" w:rsidR="00593DE8" w:rsidRDefault="00593DE8" w:rsidP="00F84ED1">
      <w:pPr>
        <w:pStyle w:val="Geenafstand"/>
        <w:rPr>
          <w:rFonts w:ascii="Verdana" w:hAnsi="Verdana"/>
          <w:sz w:val="20"/>
          <w:szCs w:val="20"/>
        </w:rPr>
      </w:pPr>
      <w:r w:rsidRPr="00F84ED1">
        <w:rPr>
          <w:rFonts w:ascii="Verdana" w:hAnsi="Verdana"/>
          <w:sz w:val="20"/>
          <w:szCs w:val="20"/>
        </w:rPr>
        <w:t xml:space="preserve">In sommige gevallen besluit de jurist om de zaak af te kopen. Dat betekent dat de consument (een gedeelte van) het belang van </w:t>
      </w:r>
      <w:r w:rsidR="00DC68A1" w:rsidRPr="000C446C">
        <w:rPr>
          <w:rFonts w:ascii="Verdana" w:hAnsi="Verdana"/>
          <w:b/>
          <w:bCs/>
          <w:sz w:val="24"/>
          <w:szCs w:val="24"/>
        </w:rPr>
        <w:t>XXX</w:t>
      </w:r>
      <w:r w:rsidR="00DC68A1" w:rsidRPr="00F84ED1">
        <w:rPr>
          <w:rFonts w:ascii="Verdana" w:hAnsi="Verdana"/>
          <w:sz w:val="20"/>
          <w:szCs w:val="20"/>
        </w:rPr>
        <w:t xml:space="preserve"> </w:t>
      </w:r>
      <w:r w:rsidRPr="00F84ED1">
        <w:rPr>
          <w:rFonts w:ascii="Verdana" w:hAnsi="Verdana"/>
          <w:sz w:val="20"/>
          <w:szCs w:val="20"/>
        </w:rPr>
        <w:t>vergoed krijgt. De jurist komt dan niet meer aan inhoudelijke behandeling van de zaak toe. Een zaak wordt niet altijd direct bij aanmelding afgekocht, maar kan ook tijdens het behandelen van het dossier gebeuren. Jurist X geeft aan dat als het belang van de consument lager is dan de kosten van een procedure een reden is om tot afkoop van de zaak te gaan. Ook een beroepsfout en klachten in een dossier zijn redenen om de zaak uiteindelijk af te kopen.</w:t>
      </w:r>
    </w:p>
    <w:p w14:paraId="0F9FA499" w14:textId="77777777" w:rsidR="00F84ED1" w:rsidRPr="00F84ED1" w:rsidRDefault="00F84ED1" w:rsidP="00F84ED1">
      <w:pPr>
        <w:pStyle w:val="Geenafstand"/>
        <w:rPr>
          <w:rFonts w:ascii="Verdana" w:hAnsi="Verdana"/>
          <w:sz w:val="20"/>
          <w:szCs w:val="20"/>
        </w:rPr>
      </w:pPr>
    </w:p>
    <w:p w14:paraId="5B3E8E2A" w14:textId="7F35B3A7" w:rsidR="00593DE8" w:rsidRDefault="00593DE8" w:rsidP="00593DE8">
      <w:pPr>
        <w:pStyle w:val="Kop2"/>
      </w:pPr>
      <w:bookmarkStart w:id="68" w:name="_Toc72576312"/>
      <w:r>
        <w:t>5.4. Discussies over non-conformiteit</w:t>
      </w:r>
      <w:bookmarkEnd w:id="68"/>
    </w:p>
    <w:p w14:paraId="3F6BDA3C" w14:textId="0FB23125" w:rsidR="00593DE8" w:rsidRPr="00DA788A" w:rsidRDefault="00593DE8" w:rsidP="00F84ED1">
      <w:pPr>
        <w:pStyle w:val="Geenafstand"/>
        <w:rPr>
          <w:rFonts w:ascii="Verdana" w:hAnsi="Verdana"/>
          <w:sz w:val="20"/>
          <w:szCs w:val="20"/>
        </w:rPr>
      </w:pPr>
      <w:r w:rsidRPr="00DA788A">
        <w:rPr>
          <w:rFonts w:ascii="Verdana" w:hAnsi="Verdana"/>
          <w:sz w:val="20"/>
          <w:szCs w:val="20"/>
        </w:rPr>
        <w:t xml:space="preserve">In eerdere paragrafen is ingegaan op de behandelwijze van een dossier over non-conformiteit. De Richtlijn zal – zo zagen we in eerdere hoofdstukken – verandering brengen in het vaststellen van non-conformiteit. Op veel punten voorziet de Richtlijn in een specifieke uitwerking van de eisen waaraan een product dient te voldoen. Het voordeel van het specificeren van de conformiteitseis is dat zowel een consument als verkoper op de hoogte is van de eisen </w:t>
      </w:r>
      <w:r w:rsidR="00DA788A" w:rsidRPr="00DA788A">
        <w:rPr>
          <w:rFonts w:ascii="Verdana" w:hAnsi="Verdana"/>
          <w:sz w:val="20"/>
          <w:szCs w:val="20"/>
        </w:rPr>
        <w:t>die je volgens de wet aan een product mag stellen</w:t>
      </w:r>
      <w:r w:rsidRPr="00DA788A">
        <w:rPr>
          <w:rFonts w:ascii="Verdana" w:hAnsi="Verdana"/>
          <w:sz w:val="20"/>
          <w:szCs w:val="20"/>
        </w:rPr>
        <w:t xml:space="preserve">. Uit diverse dossiers blijkt namelijk dat een verkoper vaak niet goed op de hoogte is van de geldende wet- en regelgeving en zich hierdoor vaak op een onjuist juridisch standpunt stelt. Uiteraard gebeurt het ook met regelmaat dat een verkoper bewust in strijd met de geldende wet- en regelgeving handelt.  </w:t>
      </w:r>
    </w:p>
    <w:p w14:paraId="4E01D469" w14:textId="77777777" w:rsidR="00F84ED1" w:rsidRPr="00DA788A" w:rsidRDefault="00F84ED1" w:rsidP="00F84ED1">
      <w:pPr>
        <w:pStyle w:val="Geenafstand"/>
        <w:rPr>
          <w:rFonts w:ascii="Verdana" w:hAnsi="Verdana"/>
          <w:sz w:val="20"/>
          <w:szCs w:val="20"/>
        </w:rPr>
      </w:pPr>
    </w:p>
    <w:p w14:paraId="27A00751" w14:textId="373EB136" w:rsidR="00593DE8" w:rsidRPr="00DA788A" w:rsidRDefault="00593DE8" w:rsidP="00F84ED1">
      <w:pPr>
        <w:pStyle w:val="Geenafstand"/>
        <w:rPr>
          <w:rFonts w:ascii="Verdana" w:hAnsi="Verdana"/>
          <w:sz w:val="20"/>
          <w:szCs w:val="20"/>
        </w:rPr>
      </w:pPr>
      <w:r w:rsidRPr="00DA788A">
        <w:rPr>
          <w:rFonts w:ascii="Verdana" w:hAnsi="Verdana"/>
          <w:sz w:val="20"/>
          <w:szCs w:val="20"/>
        </w:rPr>
        <w:t xml:space="preserve">Zo stelt een verkoper vaak dat de garantie is verlopen, terwijl er ook recht op nakoming bestaat na het verstrijken van de garantietermijn. Ook het standpunt dat de consument een leverancier moet aanspreken is volgens het huidige recht onjuist. Een verkoper is namelijk aansprakelijk voor het leveren van een gebrekkige zaak en een leverancier voor de gevolgschade. In deze gevallen kan een jurist zich baseren op een wetsartikel waaruit de verplichting voortvloeit. </w:t>
      </w:r>
    </w:p>
    <w:p w14:paraId="7B214220" w14:textId="77777777" w:rsidR="00F84ED1" w:rsidRPr="00F84ED1" w:rsidRDefault="00F84ED1" w:rsidP="00F84ED1">
      <w:pPr>
        <w:pStyle w:val="Geenafstand"/>
        <w:rPr>
          <w:rFonts w:ascii="Verdana" w:hAnsi="Verdana"/>
          <w:sz w:val="20"/>
          <w:szCs w:val="20"/>
        </w:rPr>
      </w:pPr>
    </w:p>
    <w:p w14:paraId="317DFB47" w14:textId="3B645AE9" w:rsidR="002714A7" w:rsidRDefault="00593DE8" w:rsidP="00F84ED1">
      <w:pPr>
        <w:pStyle w:val="Geenafstand"/>
        <w:rPr>
          <w:rFonts w:ascii="Verdana" w:hAnsi="Verdana"/>
          <w:sz w:val="20"/>
          <w:szCs w:val="20"/>
        </w:rPr>
      </w:pPr>
      <w:r w:rsidRPr="00F84ED1">
        <w:rPr>
          <w:rFonts w:ascii="Verdana" w:hAnsi="Verdana"/>
          <w:sz w:val="20"/>
          <w:szCs w:val="20"/>
        </w:rPr>
        <w:t xml:space="preserve">Bij een discussie over het vaststellen van non-conformiteit is het vaak lastiger voor de jurist om aan te tonen dat er sprake is van non-conformiteit. De wet laat zich namelijk enkel in algemene bewoording uit over non-conformiteit. Zo is de eis uit het eerste lid van artikel 7:17 BW  “aan de overeenkomst beantwoorden” een norm die altijd afhankelijk is van de omstandigheden van het geval. In de meeste gevallen zal een jurist dan ook – ter zekerheid – bij een afwijzend standpunt een externe deskundige inschakelen om de klachten te laten beoordelen. </w:t>
      </w:r>
    </w:p>
    <w:p w14:paraId="14006255" w14:textId="6DC90781" w:rsidR="00086425" w:rsidRDefault="00086425" w:rsidP="00F84ED1">
      <w:pPr>
        <w:pStyle w:val="Geenafstand"/>
        <w:rPr>
          <w:rFonts w:ascii="Verdana" w:hAnsi="Verdana"/>
          <w:sz w:val="20"/>
          <w:szCs w:val="20"/>
        </w:rPr>
      </w:pPr>
    </w:p>
    <w:p w14:paraId="5431DBA5" w14:textId="77777777" w:rsidR="00086425" w:rsidRDefault="00086425" w:rsidP="00F84ED1">
      <w:pPr>
        <w:pStyle w:val="Geenafstand"/>
        <w:rPr>
          <w:rFonts w:ascii="Verdana" w:hAnsi="Verdana"/>
          <w:sz w:val="20"/>
          <w:szCs w:val="20"/>
        </w:rPr>
      </w:pPr>
    </w:p>
    <w:p w14:paraId="4A3A1CDB" w14:textId="29FEAF63" w:rsidR="00593DE8" w:rsidRPr="000A2B89" w:rsidRDefault="00593DE8" w:rsidP="000A2B89">
      <w:pPr>
        <w:pStyle w:val="Geenafstand"/>
        <w:rPr>
          <w:rFonts w:ascii="Verdana" w:hAnsi="Verdana"/>
          <w:color w:val="70AD47" w:themeColor="accent6"/>
          <w:sz w:val="20"/>
          <w:szCs w:val="20"/>
        </w:rPr>
      </w:pPr>
      <w:r w:rsidRPr="00DA788A">
        <w:rPr>
          <w:rFonts w:ascii="Verdana" w:hAnsi="Verdana"/>
          <w:sz w:val="20"/>
          <w:szCs w:val="20"/>
        </w:rPr>
        <w:t>Het nader specificeren van de conformiteitseis kan de dossierbehandeling bevorderen, omdat zowel een verkoper als consument op de hoogte kunnen zijn van de geldende verplichtingen bij het leveren van een product. Ook kan een jurist bij het voeren van een eventueel verweer tegen een verkoper zich baseren op de specifieke conformiteitseisen bij consumentenkoop.</w:t>
      </w:r>
      <w:r w:rsidR="000A2B89">
        <w:rPr>
          <w:rFonts w:ascii="Verdana" w:hAnsi="Verdana"/>
          <w:color w:val="70AD47" w:themeColor="accent6"/>
          <w:sz w:val="20"/>
          <w:szCs w:val="20"/>
        </w:rPr>
        <w:br/>
      </w:r>
    </w:p>
    <w:p w14:paraId="3F007ACF" w14:textId="4D202704" w:rsidR="00593DE8" w:rsidRDefault="00593DE8" w:rsidP="00593DE8">
      <w:pPr>
        <w:pStyle w:val="Kop2"/>
      </w:pPr>
      <w:bookmarkStart w:id="69" w:name="_Toc72576313"/>
      <w:r>
        <w:t>5.5. Voorlopige conclusie</w:t>
      </w:r>
      <w:bookmarkEnd w:id="69"/>
      <w:r>
        <w:t xml:space="preserve"> </w:t>
      </w:r>
    </w:p>
    <w:p w14:paraId="1BA4F1A3" w14:textId="4965306B" w:rsidR="00593DE8" w:rsidRDefault="00593DE8" w:rsidP="00F84ED1">
      <w:pPr>
        <w:pStyle w:val="Geenafstand"/>
        <w:rPr>
          <w:rFonts w:ascii="Verdana" w:hAnsi="Verdana"/>
          <w:sz w:val="20"/>
          <w:szCs w:val="20"/>
        </w:rPr>
      </w:pPr>
      <w:r w:rsidRPr="00F84ED1">
        <w:rPr>
          <w:rFonts w:ascii="Verdana" w:hAnsi="Verdana"/>
          <w:sz w:val="20"/>
          <w:szCs w:val="20"/>
        </w:rPr>
        <w:t xml:space="preserve">Zowel verzekerden als niet-verzekerden kunnen gebruik maken van de dienstverlening van </w:t>
      </w:r>
      <w:r w:rsidR="00DC68A1" w:rsidRPr="000C446C">
        <w:rPr>
          <w:rFonts w:ascii="Verdana" w:hAnsi="Verdana"/>
          <w:b/>
          <w:bCs/>
          <w:sz w:val="24"/>
          <w:szCs w:val="24"/>
        </w:rPr>
        <w:t>XXX</w:t>
      </w:r>
      <w:r w:rsidRPr="00F84ED1">
        <w:rPr>
          <w:rFonts w:ascii="Verdana" w:hAnsi="Verdana"/>
          <w:sz w:val="20"/>
          <w:szCs w:val="20"/>
        </w:rPr>
        <w:t xml:space="preserve">. </w:t>
      </w:r>
      <w:r w:rsidR="00DC68A1" w:rsidRPr="000C446C">
        <w:rPr>
          <w:rFonts w:ascii="Verdana" w:hAnsi="Verdana"/>
          <w:b/>
          <w:bCs/>
          <w:sz w:val="24"/>
          <w:szCs w:val="24"/>
        </w:rPr>
        <w:t>XXX</w:t>
      </w:r>
      <w:r w:rsidR="00DC68A1" w:rsidRPr="00F84ED1">
        <w:rPr>
          <w:rFonts w:ascii="Verdana" w:hAnsi="Verdana"/>
          <w:sz w:val="20"/>
          <w:szCs w:val="20"/>
        </w:rPr>
        <w:t xml:space="preserve"> </w:t>
      </w:r>
      <w:r w:rsidRPr="00F84ED1">
        <w:rPr>
          <w:rFonts w:ascii="Verdana" w:hAnsi="Verdana"/>
          <w:sz w:val="20"/>
          <w:szCs w:val="20"/>
        </w:rPr>
        <w:t xml:space="preserve">biedt een eigen rechtsbijstandsverzekering aan, maar ook andere verzekeringskantoren bieden de rechtsbijstandsverzekering van </w:t>
      </w:r>
      <w:r w:rsidR="00DC68A1" w:rsidRPr="000C446C">
        <w:rPr>
          <w:rFonts w:ascii="Verdana" w:hAnsi="Verdana"/>
          <w:b/>
          <w:bCs/>
          <w:sz w:val="24"/>
          <w:szCs w:val="24"/>
        </w:rPr>
        <w:t>XXX</w:t>
      </w:r>
      <w:r w:rsidR="00DC68A1" w:rsidRPr="00F84ED1">
        <w:rPr>
          <w:rFonts w:ascii="Verdana" w:hAnsi="Verdana"/>
          <w:sz w:val="20"/>
          <w:szCs w:val="20"/>
        </w:rPr>
        <w:t xml:space="preserve"> </w:t>
      </w:r>
      <w:r w:rsidRPr="00F84ED1">
        <w:rPr>
          <w:rFonts w:ascii="Verdana" w:hAnsi="Verdana"/>
          <w:sz w:val="20"/>
          <w:szCs w:val="20"/>
        </w:rPr>
        <w:t xml:space="preserve">aan. Er gelden hierdoor steeds andere polisvoorwaarden. </w:t>
      </w:r>
    </w:p>
    <w:p w14:paraId="712F8067" w14:textId="77777777" w:rsidR="00F84ED1" w:rsidRPr="00F84ED1" w:rsidRDefault="00F84ED1" w:rsidP="00F84ED1">
      <w:pPr>
        <w:pStyle w:val="Geenafstand"/>
        <w:rPr>
          <w:rFonts w:ascii="Verdana" w:hAnsi="Verdana"/>
          <w:sz w:val="20"/>
          <w:szCs w:val="20"/>
        </w:rPr>
      </w:pPr>
    </w:p>
    <w:p w14:paraId="6463124D" w14:textId="3F4E29D3" w:rsidR="000A2B89" w:rsidRDefault="00593DE8" w:rsidP="00F84ED1">
      <w:pPr>
        <w:pStyle w:val="Geenafstand"/>
        <w:rPr>
          <w:rFonts w:ascii="Verdana" w:hAnsi="Verdana"/>
          <w:sz w:val="20"/>
          <w:szCs w:val="20"/>
        </w:rPr>
      </w:pPr>
      <w:r w:rsidRPr="00F84ED1">
        <w:rPr>
          <w:rFonts w:ascii="Verdana" w:hAnsi="Verdana"/>
          <w:sz w:val="20"/>
          <w:szCs w:val="20"/>
        </w:rPr>
        <w:t xml:space="preserve">Iedere week ontvangt </w:t>
      </w:r>
      <w:r w:rsidR="00DC68A1" w:rsidRPr="000C446C">
        <w:rPr>
          <w:rFonts w:ascii="Verdana" w:hAnsi="Verdana"/>
          <w:b/>
          <w:bCs/>
          <w:sz w:val="24"/>
          <w:szCs w:val="24"/>
        </w:rPr>
        <w:t>XXX</w:t>
      </w:r>
      <w:r w:rsidR="00DC68A1" w:rsidRPr="00F84ED1">
        <w:rPr>
          <w:rFonts w:ascii="Verdana" w:hAnsi="Verdana"/>
          <w:sz w:val="20"/>
          <w:szCs w:val="20"/>
        </w:rPr>
        <w:t xml:space="preserve"> </w:t>
      </w:r>
      <w:r w:rsidRPr="00F84ED1">
        <w:rPr>
          <w:rFonts w:ascii="Verdana" w:hAnsi="Verdana"/>
          <w:sz w:val="20"/>
          <w:szCs w:val="20"/>
        </w:rPr>
        <w:t xml:space="preserve">consumentzaken, welke vervolgens over de zeven vestigingen van </w:t>
      </w:r>
      <w:r w:rsidR="00DC68A1" w:rsidRPr="000C446C">
        <w:rPr>
          <w:rFonts w:ascii="Verdana" w:hAnsi="Verdana"/>
          <w:b/>
          <w:bCs/>
          <w:sz w:val="24"/>
          <w:szCs w:val="24"/>
        </w:rPr>
        <w:t>XXX</w:t>
      </w:r>
      <w:r w:rsidR="00DC68A1" w:rsidRPr="00F84ED1">
        <w:rPr>
          <w:rFonts w:ascii="Verdana" w:hAnsi="Verdana"/>
          <w:sz w:val="20"/>
          <w:szCs w:val="20"/>
        </w:rPr>
        <w:t xml:space="preserve"> </w:t>
      </w:r>
      <w:r w:rsidRPr="00F84ED1">
        <w:rPr>
          <w:rFonts w:ascii="Verdana" w:hAnsi="Verdana"/>
          <w:sz w:val="20"/>
          <w:szCs w:val="20"/>
        </w:rPr>
        <w:t>worden verdeeld.</w:t>
      </w:r>
      <w:r w:rsidRPr="00F84ED1">
        <w:rPr>
          <w:rFonts w:ascii="Verdana" w:hAnsi="Verdana"/>
          <w:color w:val="FF0000"/>
          <w:sz w:val="20"/>
          <w:szCs w:val="20"/>
        </w:rPr>
        <w:t xml:space="preserve"> </w:t>
      </w:r>
      <w:r w:rsidRPr="00F84ED1">
        <w:rPr>
          <w:rFonts w:ascii="Verdana" w:hAnsi="Verdana"/>
          <w:sz w:val="20"/>
          <w:szCs w:val="20"/>
        </w:rPr>
        <w:t>Jurist X ontvangt wekelijks zes nieuwe zaken, waarvan 60% consumentenzaken zijn. Bij de ontvangst van een nieuwe zaak over non-conformiteit zal de jurist allereest de dekking van de zaak beoordelen. Na het beoordelen van de dekking gaat de jurist over tot het beoordelen van de mogelijke vervolgstappen in een dossier.</w:t>
      </w:r>
      <w:r w:rsidR="000A2B89">
        <w:rPr>
          <w:rFonts w:ascii="Verdana" w:hAnsi="Verdana"/>
          <w:sz w:val="20"/>
          <w:szCs w:val="20"/>
        </w:rPr>
        <w:t xml:space="preserve"> </w:t>
      </w:r>
      <w:r w:rsidRPr="00F84ED1">
        <w:rPr>
          <w:rFonts w:ascii="Verdana" w:hAnsi="Verdana"/>
          <w:sz w:val="20"/>
          <w:szCs w:val="20"/>
        </w:rPr>
        <w:t>De mogelijke vervolgstappen in een dossier hangen af van allerlei factoren. Zo is het allereerst van belang dat de jurist vaststelt of er sprake is van non-conformiteit. De jurist beoordeelt de non-conformiteit van een product aan de hand van door de consument aangeleverde stukken, wetsartikelen en jurisprudentie. Nadat de jurist de non-conformiteit heeft beoordeeld, wordt bekeken of de consument de juiste stappen heeft ondernomen.</w:t>
      </w:r>
    </w:p>
    <w:p w14:paraId="78ACF520" w14:textId="77777777" w:rsidR="000A2B89" w:rsidRDefault="000A2B89" w:rsidP="00F84ED1">
      <w:pPr>
        <w:pStyle w:val="Geenafstand"/>
        <w:rPr>
          <w:rFonts w:ascii="Verdana" w:hAnsi="Verdana"/>
          <w:sz w:val="20"/>
          <w:szCs w:val="20"/>
        </w:rPr>
      </w:pPr>
    </w:p>
    <w:p w14:paraId="21D6B364" w14:textId="1E44B933" w:rsidR="00593DE8" w:rsidRPr="00F84ED1" w:rsidRDefault="00593DE8" w:rsidP="00F84ED1">
      <w:pPr>
        <w:pStyle w:val="Geenafstand"/>
        <w:rPr>
          <w:rFonts w:ascii="Verdana" w:hAnsi="Verdana"/>
          <w:sz w:val="20"/>
          <w:szCs w:val="20"/>
        </w:rPr>
      </w:pPr>
      <w:r w:rsidRPr="00F84ED1">
        <w:rPr>
          <w:rFonts w:ascii="Verdana" w:hAnsi="Verdana"/>
          <w:sz w:val="20"/>
          <w:szCs w:val="20"/>
        </w:rPr>
        <w:t>Een belangrijke stap is het versturen van de ingebrekestelling aan de verkoper. Als een consument geen ingebrekestelling aan de verkoper heeft gestuurd, dan zal de jurist eerst – namens de consument – de verkoper in gebreke stellen. Als er wel door de consument een ingebrekestelling aan de verkoper is verstuurd, dan zal de jurist de verkoper nogmaals een mogelijkheid tot nakoming bieden. Jurist X en Y willen hiermee voorkomen dat de rechter oordeelt dat er onvoldoende herstel- of vervangmogelijkheid aan de verkoper is geboden en de vordering wordt afgewezen.</w:t>
      </w:r>
      <w:r w:rsidRPr="00F84ED1">
        <w:rPr>
          <w:rFonts w:ascii="Verdana" w:hAnsi="Verdana"/>
          <w:sz w:val="20"/>
          <w:szCs w:val="20"/>
        </w:rPr>
        <w:br/>
      </w:r>
      <w:r w:rsidRPr="00F84ED1">
        <w:rPr>
          <w:rFonts w:ascii="Verdana" w:hAnsi="Verdana"/>
          <w:sz w:val="20"/>
          <w:szCs w:val="20"/>
        </w:rPr>
        <w:br/>
        <w:t xml:space="preserve">Het komt ook voor dat er geen vervolgstappen in een dossier worden genomen, omdat er sprake is van één van de genoemde uitsluitingen in de polisvoorwaarden. In deze gevallen wordt de rechtsbijstand gestaakt en wordt het dossier gesloten. Ook als een zaak wordt afgekocht zal er geen verdere rechtsbijstand worden verleend. </w:t>
      </w:r>
    </w:p>
    <w:p w14:paraId="44ACBE26" w14:textId="77777777" w:rsidR="00593DE8" w:rsidRPr="00F84ED1" w:rsidRDefault="00593DE8" w:rsidP="00F84ED1">
      <w:pPr>
        <w:pStyle w:val="Geenafstand"/>
        <w:rPr>
          <w:rFonts w:ascii="Verdana" w:hAnsi="Verdana"/>
          <w:sz w:val="20"/>
          <w:szCs w:val="20"/>
        </w:rPr>
      </w:pPr>
    </w:p>
    <w:p w14:paraId="320781D6" w14:textId="39441367" w:rsidR="00593DE8" w:rsidRDefault="00593DE8" w:rsidP="00F84ED1">
      <w:pPr>
        <w:pStyle w:val="Geenafstand"/>
        <w:rPr>
          <w:rFonts w:ascii="Verdana" w:hAnsi="Verdana"/>
          <w:sz w:val="20"/>
          <w:szCs w:val="20"/>
        </w:rPr>
      </w:pPr>
      <w:r w:rsidRPr="00F84ED1">
        <w:rPr>
          <w:rFonts w:ascii="Verdana" w:hAnsi="Verdana"/>
          <w:sz w:val="20"/>
          <w:szCs w:val="20"/>
        </w:rPr>
        <w:t xml:space="preserve">Bij dossiers waarin er rechtsbijstand wordt verleend, valt het op dat een verkoper vaak niet op de hoogte is van de geldende wet- en regelgeving. Het gebeurt met regelmatig dat een verkoper zich op een onjuist juridisch standpunt stelt en hierdoor niet direct tot herstel en/of vervanging overgaat. Bij deze dossiers kan de jurist vaak het standpunt van de wederpartij weerleggen met een wetsartikel waaruit blijkt dat standpunt juridisch onjuist is. Als er een discussie bestaat over het vaststellen van non-conformiteit dan zal de jurist vaak een externe deskundige inschakelen om de klachten van de consument te beoordelen. Het opnemen van de specifieke conformiteitseisen uit de Richtlijn in het BW kan de dossierbehandeling bevorderen, omdat zowel de consument als de verkoper op de hoogte zijn van de geldende verplichtingen bij het leveren van een product. </w:t>
      </w:r>
    </w:p>
    <w:p w14:paraId="03A91E21" w14:textId="09F584F3" w:rsidR="009149DC" w:rsidRDefault="009149DC" w:rsidP="00F84ED1">
      <w:pPr>
        <w:pStyle w:val="Geenafstand"/>
        <w:rPr>
          <w:rFonts w:ascii="Verdana" w:hAnsi="Verdana"/>
          <w:sz w:val="20"/>
          <w:szCs w:val="20"/>
        </w:rPr>
      </w:pPr>
    </w:p>
    <w:p w14:paraId="2AFA1128" w14:textId="5670EBD2" w:rsidR="009149DC" w:rsidRDefault="009149DC" w:rsidP="00F84ED1">
      <w:pPr>
        <w:pStyle w:val="Geenafstand"/>
        <w:rPr>
          <w:rFonts w:ascii="Verdana" w:hAnsi="Verdana"/>
          <w:sz w:val="20"/>
          <w:szCs w:val="20"/>
        </w:rPr>
      </w:pPr>
    </w:p>
    <w:p w14:paraId="4513AB49" w14:textId="1E9EDAC0" w:rsidR="009149DC" w:rsidRDefault="009149DC" w:rsidP="00F84ED1">
      <w:pPr>
        <w:pStyle w:val="Geenafstand"/>
        <w:rPr>
          <w:rFonts w:ascii="Verdana" w:hAnsi="Verdana"/>
          <w:sz w:val="20"/>
          <w:szCs w:val="20"/>
        </w:rPr>
      </w:pPr>
    </w:p>
    <w:p w14:paraId="4F3AB950" w14:textId="1AE4096E" w:rsidR="009149DC" w:rsidRDefault="009149DC" w:rsidP="00F84ED1">
      <w:pPr>
        <w:pStyle w:val="Geenafstand"/>
        <w:rPr>
          <w:rFonts w:ascii="Verdana" w:hAnsi="Verdana"/>
          <w:sz w:val="20"/>
          <w:szCs w:val="20"/>
        </w:rPr>
      </w:pPr>
    </w:p>
    <w:p w14:paraId="394A92DC" w14:textId="7CF0C9DA" w:rsidR="009149DC" w:rsidRDefault="009149DC" w:rsidP="00F84ED1">
      <w:pPr>
        <w:pStyle w:val="Geenafstand"/>
        <w:rPr>
          <w:rFonts w:ascii="Verdana" w:hAnsi="Verdana"/>
          <w:sz w:val="20"/>
          <w:szCs w:val="20"/>
        </w:rPr>
      </w:pPr>
    </w:p>
    <w:p w14:paraId="3C7C986C" w14:textId="12F03430" w:rsidR="009149DC" w:rsidRDefault="009149DC" w:rsidP="00F84ED1">
      <w:pPr>
        <w:pStyle w:val="Geenafstand"/>
        <w:rPr>
          <w:rFonts w:ascii="Verdana" w:hAnsi="Verdana"/>
          <w:sz w:val="20"/>
          <w:szCs w:val="20"/>
        </w:rPr>
      </w:pPr>
    </w:p>
    <w:p w14:paraId="240EDDD2" w14:textId="69608698" w:rsidR="009149DC" w:rsidRDefault="009149DC" w:rsidP="00F84ED1">
      <w:pPr>
        <w:pStyle w:val="Geenafstand"/>
        <w:rPr>
          <w:rFonts w:ascii="Verdana" w:hAnsi="Verdana"/>
          <w:sz w:val="20"/>
          <w:szCs w:val="20"/>
        </w:rPr>
      </w:pPr>
    </w:p>
    <w:p w14:paraId="29CECDDD" w14:textId="53D0DCCF" w:rsidR="009149DC" w:rsidRDefault="009149DC" w:rsidP="009149DC">
      <w:pPr>
        <w:pStyle w:val="Geenafstand"/>
        <w:rPr>
          <w:rFonts w:ascii="Verdana" w:hAnsi="Verdana"/>
          <w:sz w:val="20"/>
          <w:szCs w:val="20"/>
        </w:rPr>
      </w:pPr>
    </w:p>
    <w:p w14:paraId="2A366775" w14:textId="5F69676D" w:rsidR="009149DC" w:rsidRPr="00DA788A" w:rsidRDefault="009149DC" w:rsidP="009149DC">
      <w:pPr>
        <w:pStyle w:val="Kop1"/>
      </w:pPr>
      <w:bookmarkStart w:id="70" w:name="_Toc72576314"/>
      <w:r w:rsidRPr="00DA788A">
        <w:lastRenderedPageBreak/>
        <w:t>Hoofdstuk 6: Eindconclusie</w:t>
      </w:r>
      <w:bookmarkEnd w:id="70"/>
      <w:r w:rsidRPr="00DA788A">
        <w:t xml:space="preserve"> </w:t>
      </w:r>
    </w:p>
    <w:p w14:paraId="611F0296" w14:textId="1CC2C003" w:rsidR="00FE579B" w:rsidRPr="00DA788A" w:rsidRDefault="00FE579B" w:rsidP="00FE579B">
      <w:pPr>
        <w:pStyle w:val="Geenafstand"/>
        <w:rPr>
          <w:rFonts w:ascii="Verdana" w:hAnsi="Verdana"/>
          <w:sz w:val="20"/>
          <w:szCs w:val="20"/>
        </w:rPr>
      </w:pPr>
      <w:r w:rsidRPr="00DA788A">
        <w:rPr>
          <w:rFonts w:ascii="Verdana" w:hAnsi="Verdana"/>
          <w:sz w:val="20"/>
          <w:szCs w:val="20"/>
        </w:rPr>
        <w:t>In deze scriptie is praktijkgericht onderzoek gedaan om de</w:t>
      </w:r>
      <w:r w:rsidR="00DA788A">
        <w:rPr>
          <w:rFonts w:ascii="Verdana" w:hAnsi="Verdana"/>
          <w:sz w:val="20"/>
          <w:szCs w:val="20"/>
        </w:rPr>
        <w:t xml:space="preserve"> volgende</w:t>
      </w:r>
      <w:r w:rsidRPr="00DA788A">
        <w:rPr>
          <w:rFonts w:ascii="Verdana" w:hAnsi="Verdana"/>
          <w:sz w:val="20"/>
          <w:szCs w:val="20"/>
        </w:rPr>
        <w:t xml:space="preserve"> centrale vraag te beantwoorden: </w:t>
      </w:r>
    </w:p>
    <w:p w14:paraId="1F608C01" w14:textId="77777777" w:rsidR="00FE579B" w:rsidRPr="00DA788A" w:rsidRDefault="00FE579B" w:rsidP="00FE579B">
      <w:pPr>
        <w:pStyle w:val="Geenafstand"/>
        <w:rPr>
          <w:rFonts w:ascii="Verdana" w:hAnsi="Verdana" w:cs="Times New Roman (Hoofdtekst CS)"/>
          <w:dstrike/>
          <w:sz w:val="20"/>
          <w:szCs w:val="20"/>
        </w:rPr>
      </w:pPr>
    </w:p>
    <w:p w14:paraId="7DB3197E" w14:textId="12A35902" w:rsidR="00FE579B" w:rsidRPr="00DA788A" w:rsidRDefault="00FE579B" w:rsidP="00FE579B">
      <w:pPr>
        <w:pStyle w:val="Geenafstand"/>
        <w:rPr>
          <w:rFonts w:ascii="Verdana" w:hAnsi="Verdana"/>
          <w:i/>
          <w:iCs/>
          <w:sz w:val="20"/>
          <w:szCs w:val="20"/>
        </w:rPr>
      </w:pPr>
      <w:r w:rsidRPr="00DA788A">
        <w:rPr>
          <w:rFonts w:ascii="Verdana" w:hAnsi="Verdana"/>
          <w:i/>
          <w:iCs/>
          <w:sz w:val="20"/>
          <w:szCs w:val="20"/>
        </w:rPr>
        <w:t xml:space="preserve">‘In hoeverre heeft de implementatie van de conformiteitsbepalingen uit de Europese Richtlijn 2019/771 invloed op de huidige adviespraktijk van </w:t>
      </w:r>
      <w:r w:rsidR="00DC68A1" w:rsidRPr="000C446C">
        <w:rPr>
          <w:rFonts w:ascii="Verdana" w:hAnsi="Verdana"/>
          <w:b/>
          <w:bCs/>
          <w:sz w:val="24"/>
          <w:szCs w:val="24"/>
        </w:rPr>
        <w:t>XXX</w:t>
      </w:r>
      <w:r w:rsidR="00DC68A1" w:rsidRPr="00DA788A">
        <w:rPr>
          <w:rFonts w:ascii="Verdana" w:hAnsi="Verdana"/>
          <w:i/>
          <w:iCs/>
          <w:sz w:val="20"/>
          <w:szCs w:val="20"/>
        </w:rPr>
        <w:t xml:space="preserve"> </w:t>
      </w:r>
      <w:r w:rsidRPr="00DA788A">
        <w:rPr>
          <w:rFonts w:ascii="Verdana" w:hAnsi="Verdana"/>
          <w:i/>
          <w:iCs/>
          <w:sz w:val="20"/>
          <w:szCs w:val="20"/>
        </w:rPr>
        <w:t>Rechtsbijstand bij zaken over non-conformiteit bij consumentenkoop?´</w:t>
      </w:r>
    </w:p>
    <w:p w14:paraId="36379F45" w14:textId="77777777" w:rsidR="00FE579B" w:rsidRPr="00DA788A" w:rsidRDefault="00FE579B" w:rsidP="00FE579B">
      <w:pPr>
        <w:pStyle w:val="Geenafstand"/>
        <w:rPr>
          <w:rFonts w:ascii="Verdana" w:hAnsi="Verdana"/>
          <w:i/>
          <w:iCs/>
          <w:sz w:val="20"/>
          <w:szCs w:val="20"/>
        </w:rPr>
      </w:pPr>
    </w:p>
    <w:p w14:paraId="5AE5F148" w14:textId="181DC481" w:rsidR="00FE579B" w:rsidRPr="00DA788A" w:rsidRDefault="00FE579B" w:rsidP="00FE579B">
      <w:pPr>
        <w:pStyle w:val="Geenafstand"/>
        <w:rPr>
          <w:rFonts w:ascii="Verdana" w:hAnsi="Verdana"/>
          <w:sz w:val="20"/>
          <w:szCs w:val="20"/>
        </w:rPr>
      </w:pPr>
      <w:r w:rsidRPr="00DA788A">
        <w:rPr>
          <w:rFonts w:ascii="Verdana" w:hAnsi="Verdana"/>
          <w:sz w:val="20"/>
          <w:szCs w:val="20"/>
        </w:rPr>
        <w:t xml:space="preserve">Om tot beantwoording van de centrale vraag te komen is er zowel </w:t>
      </w:r>
      <w:r w:rsidR="00DA788A">
        <w:rPr>
          <w:rFonts w:ascii="Verdana" w:hAnsi="Verdana"/>
          <w:sz w:val="20"/>
          <w:szCs w:val="20"/>
        </w:rPr>
        <w:t>rechtsbronnen</w:t>
      </w:r>
      <w:r w:rsidRPr="00DA788A">
        <w:rPr>
          <w:rFonts w:ascii="Verdana" w:hAnsi="Verdana"/>
          <w:sz w:val="20"/>
          <w:szCs w:val="20"/>
        </w:rPr>
        <w:t xml:space="preserve">- als praktijkonderzoek verricht. Het </w:t>
      </w:r>
      <w:r w:rsidR="00D64021">
        <w:rPr>
          <w:rFonts w:ascii="Verdana" w:hAnsi="Verdana"/>
          <w:sz w:val="20"/>
          <w:szCs w:val="20"/>
        </w:rPr>
        <w:t>rechtsbronnenonderzoek</w:t>
      </w:r>
      <w:r w:rsidRPr="00DA788A">
        <w:rPr>
          <w:rFonts w:ascii="Verdana" w:hAnsi="Verdana"/>
          <w:sz w:val="20"/>
          <w:szCs w:val="20"/>
        </w:rPr>
        <w:t xml:space="preserve"> omvatte het analyseren van diverse rechtsbronnen en vakliteratuur. Bij het praktijkonderzoek is de huidige adviespraktijk van D</w:t>
      </w:r>
      <w:r w:rsidR="00DC68A1" w:rsidRPr="00DC68A1">
        <w:rPr>
          <w:rFonts w:ascii="Verdana" w:hAnsi="Verdana"/>
          <w:b/>
          <w:bCs/>
          <w:sz w:val="24"/>
          <w:szCs w:val="24"/>
        </w:rPr>
        <w:t xml:space="preserve"> </w:t>
      </w:r>
      <w:r w:rsidR="00DC68A1" w:rsidRPr="000C446C">
        <w:rPr>
          <w:rFonts w:ascii="Verdana" w:hAnsi="Verdana"/>
          <w:b/>
          <w:bCs/>
          <w:sz w:val="24"/>
          <w:szCs w:val="24"/>
        </w:rPr>
        <w:t>XXX</w:t>
      </w:r>
      <w:r w:rsidR="00DC68A1" w:rsidRPr="00DA788A">
        <w:rPr>
          <w:rFonts w:ascii="Verdana" w:hAnsi="Verdana"/>
          <w:sz w:val="20"/>
          <w:szCs w:val="20"/>
        </w:rPr>
        <w:t xml:space="preserve"> </w:t>
      </w:r>
      <w:r w:rsidRPr="00DA788A">
        <w:rPr>
          <w:rFonts w:ascii="Verdana" w:hAnsi="Verdana"/>
          <w:sz w:val="20"/>
          <w:szCs w:val="20"/>
        </w:rPr>
        <w:t xml:space="preserve">AS bij dossiers over non-conformiteit uiteengezet. Door het voeren van interviews met juristen van de afdeling contractueel en document- en dossieronderzoek is de huidige werkwijze bij een dossier over non-conformiteit uiteengezet. Het </w:t>
      </w:r>
      <w:r w:rsidR="00D64021">
        <w:rPr>
          <w:rFonts w:ascii="Verdana" w:hAnsi="Verdana"/>
          <w:sz w:val="20"/>
          <w:szCs w:val="20"/>
        </w:rPr>
        <w:t>rechtsbronnen</w:t>
      </w:r>
      <w:r w:rsidRPr="00DA788A">
        <w:rPr>
          <w:rFonts w:ascii="Verdana" w:hAnsi="Verdana"/>
          <w:sz w:val="20"/>
          <w:szCs w:val="20"/>
        </w:rPr>
        <w:t xml:space="preserve">- en praktijkonderzoek leidt tot onderstaande conclusies. </w:t>
      </w:r>
      <w:r w:rsidRPr="00DA788A">
        <w:rPr>
          <w:rFonts w:ascii="Verdana" w:hAnsi="Verdana"/>
          <w:sz w:val="20"/>
          <w:szCs w:val="20"/>
        </w:rPr>
        <w:br/>
      </w:r>
      <w:r w:rsidRPr="00DA788A">
        <w:rPr>
          <w:rFonts w:ascii="Verdana" w:hAnsi="Verdana"/>
          <w:sz w:val="20"/>
          <w:szCs w:val="20"/>
        </w:rPr>
        <w:br/>
        <w:t xml:space="preserve">Op </w:t>
      </w:r>
      <w:r w:rsidR="00DA788A">
        <w:rPr>
          <w:rFonts w:ascii="Verdana" w:hAnsi="Verdana"/>
          <w:sz w:val="20"/>
          <w:szCs w:val="20"/>
        </w:rPr>
        <w:t>20 mei 2019</w:t>
      </w:r>
      <w:r w:rsidRPr="00DA788A">
        <w:rPr>
          <w:rFonts w:ascii="Verdana" w:hAnsi="Verdana"/>
          <w:sz w:val="20"/>
          <w:szCs w:val="20"/>
        </w:rPr>
        <w:t xml:space="preserve"> is de Richtlijn door de Commissie aangenomen, welke per 1 januari 2022 in werking treedt. Het is lidstaten niet toegestaan om – behoudens uitzonderingen – van de bepalingen uit de Richtlijn in nationale wetgeving af te wijken. De bepalingen uit de Richtlijn worden in de huidige kooptitel 1 van boek 7 BW (hierna: kooptitel) opgenomen. Uit het dossieronderzoek binnen </w:t>
      </w:r>
      <w:r w:rsidR="00DC68A1" w:rsidRPr="000C446C">
        <w:rPr>
          <w:rFonts w:ascii="Verdana" w:hAnsi="Verdana"/>
          <w:b/>
          <w:bCs/>
          <w:sz w:val="24"/>
          <w:szCs w:val="24"/>
        </w:rPr>
        <w:t>XXX</w:t>
      </w:r>
      <w:r w:rsidR="00DC68A1" w:rsidRPr="00DA788A">
        <w:rPr>
          <w:rFonts w:ascii="Verdana" w:hAnsi="Verdana"/>
          <w:sz w:val="20"/>
          <w:szCs w:val="20"/>
        </w:rPr>
        <w:t xml:space="preserve"> </w:t>
      </w:r>
      <w:r w:rsidRPr="00DA788A">
        <w:rPr>
          <w:rFonts w:ascii="Verdana" w:hAnsi="Verdana"/>
          <w:sz w:val="20"/>
          <w:szCs w:val="20"/>
        </w:rPr>
        <w:t xml:space="preserve">is gebleken dat de huidige advisering bij dossiers over non-conformiteit grotendeels gebaseerd is op de huidige kooptitel, waardoor vaststaat dat de huidige advisering bij </w:t>
      </w:r>
      <w:r w:rsidR="00DC68A1" w:rsidRPr="000C446C">
        <w:rPr>
          <w:rFonts w:ascii="Verdana" w:hAnsi="Verdana"/>
          <w:b/>
          <w:bCs/>
          <w:sz w:val="24"/>
          <w:szCs w:val="24"/>
        </w:rPr>
        <w:t>XXX</w:t>
      </w:r>
      <w:r w:rsidR="00DC68A1" w:rsidRPr="00DA788A">
        <w:rPr>
          <w:rFonts w:ascii="Verdana" w:hAnsi="Verdana"/>
          <w:sz w:val="20"/>
          <w:szCs w:val="20"/>
        </w:rPr>
        <w:t xml:space="preserve"> </w:t>
      </w:r>
      <w:r w:rsidRPr="00DA788A">
        <w:rPr>
          <w:rFonts w:ascii="Verdana" w:hAnsi="Verdana"/>
          <w:sz w:val="20"/>
          <w:szCs w:val="20"/>
        </w:rPr>
        <w:t xml:space="preserve">over non-conformiteit door implementatie van de Richtlijn zal wijzigen. De wijzigingen voor de huidige adviespraktijk van </w:t>
      </w:r>
      <w:r w:rsidR="00DC68A1" w:rsidRPr="000C446C">
        <w:rPr>
          <w:rFonts w:ascii="Verdana" w:hAnsi="Verdana"/>
          <w:b/>
          <w:bCs/>
          <w:sz w:val="24"/>
          <w:szCs w:val="24"/>
        </w:rPr>
        <w:t>XXX</w:t>
      </w:r>
      <w:r w:rsidR="00DC68A1" w:rsidRPr="00DA788A">
        <w:rPr>
          <w:rFonts w:ascii="Verdana" w:hAnsi="Verdana"/>
          <w:sz w:val="20"/>
          <w:szCs w:val="20"/>
        </w:rPr>
        <w:t xml:space="preserve"> </w:t>
      </w:r>
      <w:r w:rsidRPr="00DA788A">
        <w:rPr>
          <w:rFonts w:ascii="Verdana" w:hAnsi="Verdana"/>
          <w:sz w:val="20"/>
          <w:szCs w:val="20"/>
        </w:rPr>
        <w:t>worden hieronder achtereenvolgens uiteengezet.</w:t>
      </w:r>
    </w:p>
    <w:p w14:paraId="2380A2D9" w14:textId="77777777" w:rsidR="00FE579B" w:rsidRPr="00DA788A" w:rsidRDefault="00FE579B" w:rsidP="00FE579B">
      <w:pPr>
        <w:pStyle w:val="Geenafstand"/>
        <w:rPr>
          <w:rFonts w:ascii="Verdana" w:hAnsi="Verdana"/>
          <w:sz w:val="20"/>
          <w:szCs w:val="20"/>
        </w:rPr>
      </w:pPr>
    </w:p>
    <w:p w14:paraId="42663065" w14:textId="5B01F1A4" w:rsidR="00FE579B" w:rsidRPr="00DA788A" w:rsidRDefault="00FE579B" w:rsidP="00FE579B">
      <w:pPr>
        <w:pStyle w:val="Geenafstand"/>
        <w:rPr>
          <w:rFonts w:ascii="Verdana" w:hAnsi="Verdana"/>
          <w:sz w:val="20"/>
          <w:szCs w:val="20"/>
        </w:rPr>
      </w:pPr>
      <w:r w:rsidRPr="00DA788A">
        <w:rPr>
          <w:rFonts w:ascii="Verdana" w:hAnsi="Verdana"/>
          <w:sz w:val="20"/>
          <w:szCs w:val="20"/>
        </w:rPr>
        <w:t xml:space="preserve">Allereest wijzigt de Richtlijn het toepassingsgebied van de huidige kooptitel. De kooptitel – en dus ook het conformiteitsvereiste – is na implementatie van de Richtlijn ook van toepassing op de koop van roerende zaken waarin digitale inhoud of diensten zijn verwerkt. Voor een jurist van </w:t>
      </w:r>
      <w:r w:rsidR="00677551" w:rsidRPr="000C446C">
        <w:rPr>
          <w:rFonts w:ascii="Verdana" w:hAnsi="Verdana"/>
          <w:b/>
          <w:bCs/>
          <w:sz w:val="24"/>
          <w:szCs w:val="24"/>
        </w:rPr>
        <w:t>XXX</w:t>
      </w:r>
      <w:r w:rsidR="00677551" w:rsidRPr="00DA788A">
        <w:rPr>
          <w:rFonts w:ascii="Verdana" w:hAnsi="Verdana"/>
          <w:sz w:val="20"/>
          <w:szCs w:val="20"/>
        </w:rPr>
        <w:t xml:space="preserve"> </w:t>
      </w:r>
      <w:r w:rsidRPr="00DA788A">
        <w:rPr>
          <w:rFonts w:ascii="Verdana" w:hAnsi="Verdana"/>
          <w:sz w:val="20"/>
          <w:szCs w:val="20"/>
        </w:rPr>
        <w:t>heeft dit tot gevolg dat de beoordeling of er in een dossier sprake is van non-conformiteit licht wijzigt. Het conformiteitsvereiste strekt niet meer enkel tot het functioneren van een zaak: alle eigenschappen van een zaak dienen naar behoren te functioneren.</w:t>
      </w:r>
    </w:p>
    <w:p w14:paraId="691873B8" w14:textId="77777777" w:rsidR="00FE579B" w:rsidRPr="00DA788A" w:rsidRDefault="00FE579B" w:rsidP="00FE579B">
      <w:pPr>
        <w:pStyle w:val="Geenafstand"/>
        <w:rPr>
          <w:rFonts w:ascii="Verdana" w:hAnsi="Verdana"/>
          <w:sz w:val="20"/>
          <w:szCs w:val="20"/>
        </w:rPr>
      </w:pPr>
    </w:p>
    <w:p w14:paraId="655B7957" w14:textId="6A1C47FC" w:rsidR="00FE579B" w:rsidRPr="00DA788A" w:rsidRDefault="00FE579B" w:rsidP="00FE579B">
      <w:pPr>
        <w:pStyle w:val="Geenafstand"/>
        <w:rPr>
          <w:rFonts w:ascii="Verdana" w:hAnsi="Verdana"/>
          <w:sz w:val="20"/>
          <w:szCs w:val="20"/>
        </w:rPr>
      </w:pPr>
      <w:r w:rsidRPr="00DA788A">
        <w:rPr>
          <w:rFonts w:ascii="Verdana" w:hAnsi="Verdana"/>
          <w:sz w:val="20"/>
          <w:szCs w:val="20"/>
        </w:rPr>
        <w:t xml:space="preserve">Ten tweede breidt de Richtlijn de bestaande conformiteitseis “aan de overeenkomst beantwoorden” uit artikel 7:17 BW uit. Na implementatie van de Richtlijn gelden er bij consumentenkoop aanvullende conformiteitsvereisten, welke in artikel 7:18 BW worden opgenomen. Er wordt bij de beoordeling van non-conformiteit onderscheid gemaakt tussen subjectieve en objectieve conformiteit: een consument mag verwachten dat een zaak aan de overeenkomst beantwoordt (subjectief) en dezelfde eigenschappen bezit als een soortgelijk type zaak (objectief). Daarnaast specificeert de Richtlijn welke aspecten meewegen bij de beoordeling van non-conformiteit. Tot slot wordt de ondeugdelijke installatie van een zaak en het verplicht leveren van software updates onderdeel van de conformiteitseis. </w:t>
      </w:r>
    </w:p>
    <w:p w14:paraId="5A028F33" w14:textId="77777777" w:rsidR="00FE579B" w:rsidRPr="00DA788A" w:rsidRDefault="00FE579B" w:rsidP="00FE579B">
      <w:pPr>
        <w:pStyle w:val="Geenafstand"/>
        <w:rPr>
          <w:rFonts w:ascii="Verdana" w:hAnsi="Verdana"/>
          <w:sz w:val="20"/>
          <w:szCs w:val="20"/>
        </w:rPr>
      </w:pPr>
    </w:p>
    <w:p w14:paraId="014AF8F8" w14:textId="52575435" w:rsidR="00FE579B" w:rsidRPr="00DA788A" w:rsidRDefault="00FE579B" w:rsidP="00FE579B">
      <w:pPr>
        <w:pStyle w:val="Geenafstand"/>
        <w:rPr>
          <w:rFonts w:ascii="Verdana" w:hAnsi="Verdana"/>
          <w:sz w:val="20"/>
          <w:szCs w:val="20"/>
        </w:rPr>
      </w:pPr>
      <w:r w:rsidRPr="00DA788A">
        <w:rPr>
          <w:rFonts w:ascii="Verdana" w:hAnsi="Verdana"/>
          <w:sz w:val="20"/>
          <w:szCs w:val="20"/>
        </w:rPr>
        <w:t xml:space="preserve">Uit het dossieronderzoek is gebleken dat een jurist bij </w:t>
      </w:r>
      <w:r w:rsidR="00DC68A1" w:rsidRPr="000C446C">
        <w:rPr>
          <w:rFonts w:ascii="Verdana" w:hAnsi="Verdana"/>
          <w:b/>
          <w:bCs/>
          <w:sz w:val="24"/>
          <w:szCs w:val="24"/>
        </w:rPr>
        <w:t>XXX</w:t>
      </w:r>
      <w:r w:rsidR="00DC68A1" w:rsidRPr="00DA788A">
        <w:rPr>
          <w:rFonts w:ascii="Verdana" w:hAnsi="Verdana"/>
          <w:sz w:val="20"/>
          <w:szCs w:val="20"/>
        </w:rPr>
        <w:t xml:space="preserve"> </w:t>
      </w:r>
      <w:r w:rsidRPr="00DA788A">
        <w:rPr>
          <w:rFonts w:ascii="Verdana" w:hAnsi="Verdana"/>
          <w:sz w:val="20"/>
          <w:szCs w:val="20"/>
        </w:rPr>
        <w:t xml:space="preserve">zich voornamelijk baseert op de conformiteitseis uit het eerste lid van artikel 7:17 BW. Omdat de Richtlijn de conformiteitsvereisten bij consumentenkoop uitbreidt, dient een jurist van </w:t>
      </w:r>
      <w:r w:rsidR="00DC68A1" w:rsidRPr="000C446C">
        <w:rPr>
          <w:rFonts w:ascii="Verdana" w:hAnsi="Verdana"/>
          <w:b/>
          <w:bCs/>
          <w:sz w:val="24"/>
          <w:szCs w:val="24"/>
        </w:rPr>
        <w:t>XXX</w:t>
      </w:r>
      <w:r w:rsidR="00DC68A1" w:rsidRPr="00DA788A">
        <w:rPr>
          <w:rFonts w:ascii="Verdana" w:hAnsi="Verdana"/>
          <w:sz w:val="20"/>
          <w:szCs w:val="20"/>
        </w:rPr>
        <w:t xml:space="preserve"> </w:t>
      </w:r>
      <w:r w:rsidRPr="00DA788A">
        <w:rPr>
          <w:rFonts w:ascii="Verdana" w:hAnsi="Verdana"/>
          <w:sz w:val="20"/>
          <w:szCs w:val="20"/>
        </w:rPr>
        <w:t xml:space="preserve">– na implementatie – de conformiteit te beoordelen aan de hand van artikel 7:18 BW. Artikel 7:17 BW is na implementatie van de Richtlijn onvoldoende om de non-conformiteit van een zaak bij consumentenkoop vast te stellen. </w:t>
      </w:r>
    </w:p>
    <w:p w14:paraId="78C96139" w14:textId="77777777" w:rsidR="00C33588" w:rsidRPr="00DA788A" w:rsidRDefault="00C33588" w:rsidP="00FE579B">
      <w:pPr>
        <w:pStyle w:val="Geenafstand"/>
        <w:rPr>
          <w:rFonts w:ascii="Verdana" w:hAnsi="Verdana"/>
          <w:sz w:val="20"/>
          <w:szCs w:val="20"/>
        </w:rPr>
      </w:pPr>
    </w:p>
    <w:p w14:paraId="343DE6F6" w14:textId="72D87AA4" w:rsidR="00FE579B" w:rsidRPr="00DA788A" w:rsidRDefault="00FE579B" w:rsidP="00FE579B">
      <w:pPr>
        <w:pStyle w:val="Geenafstand"/>
        <w:rPr>
          <w:rFonts w:ascii="Verdana" w:hAnsi="Verdana"/>
          <w:sz w:val="20"/>
          <w:szCs w:val="20"/>
        </w:rPr>
      </w:pPr>
      <w:r w:rsidRPr="00DA788A">
        <w:rPr>
          <w:rFonts w:ascii="Verdana" w:hAnsi="Verdana"/>
          <w:sz w:val="20"/>
          <w:szCs w:val="20"/>
        </w:rPr>
        <w:t xml:space="preserve">Ook is gebleken dat het opnemen van extra conformiteitsvereisten de dossierbehandeling bij non-conformiteit bevordert. In de huidige dossierbehandeling valt het op dat een verkoper en consument vaak onvoldoende op de hoogte zijn van de eisen van een goed product, omdat de wet zich enkel in algemene bewoording over de conformiteitseis </w:t>
      </w:r>
      <w:r w:rsidRPr="00DA788A">
        <w:rPr>
          <w:rFonts w:ascii="Verdana" w:hAnsi="Verdana"/>
          <w:sz w:val="20"/>
          <w:szCs w:val="20"/>
        </w:rPr>
        <w:lastRenderedPageBreak/>
        <w:t xml:space="preserve">uitlaat. Een verkoper is vaak geneigd om niet tot herstel of vervanging over te gaan en zich te baseren op een onjuist (juridisch) standpunt. </w:t>
      </w:r>
      <w:r w:rsidR="00D3448C" w:rsidRPr="00DA788A">
        <w:rPr>
          <w:rFonts w:ascii="Verdana" w:hAnsi="Verdana"/>
          <w:sz w:val="20"/>
          <w:szCs w:val="20"/>
        </w:rPr>
        <w:br/>
      </w:r>
      <w:r w:rsidRPr="00DA788A">
        <w:rPr>
          <w:rFonts w:ascii="Verdana" w:hAnsi="Verdana"/>
          <w:sz w:val="20"/>
          <w:szCs w:val="20"/>
        </w:rPr>
        <w:t xml:space="preserve">Een jurist van </w:t>
      </w:r>
      <w:r w:rsidR="00DC68A1" w:rsidRPr="000C446C">
        <w:rPr>
          <w:rFonts w:ascii="Verdana" w:hAnsi="Verdana"/>
          <w:b/>
          <w:bCs/>
          <w:sz w:val="24"/>
          <w:szCs w:val="24"/>
        </w:rPr>
        <w:t>XXX</w:t>
      </w:r>
      <w:r w:rsidR="00DC68A1" w:rsidRPr="00DA788A">
        <w:rPr>
          <w:rFonts w:ascii="Verdana" w:hAnsi="Verdana"/>
          <w:sz w:val="20"/>
          <w:szCs w:val="20"/>
        </w:rPr>
        <w:t xml:space="preserve"> </w:t>
      </w:r>
      <w:r w:rsidRPr="00DA788A">
        <w:rPr>
          <w:rFonts w:ascii="Verdana" w:hAnsi="Verdana"/>
          <w:sz w:val="20"/>
          <w:szCs w:val="20"/>
        </w:rPr>
        <w:t xml:space="preserve">kan – na implementatie van de Richtlijn – zich baseren op de specifieke conformiteitseisen uit artikel 7:18 BW, zodat de verwachting is dat een verkoper eerder zijn verplichtingen nakomt. </w:t>
      </w:r>
    </w:p>
    <w:p w14:paraId="039F25AA" w14:textId="77777777" w:rsidR="00FE579B" w:rsidRPr="00DA788A" w:rsidRDefault="00FE579B" w:rsidP="00FE579B">
      <w:pPr>
        <w:pStyle w:val="Geenafstand"/>
        <w:rPr>
          <w:rFonts w:ascii="Verdana" w:hAnsi="Verdana"/>
          <w:sz w:val="20"/>
          <w:szCs w:val="20"/>
        </w:rPr>
      </w:pPr>
    </w:p>
    <w:p w14:paraId="45D22CEE" w14:textId="11FFD277" w:rsidR="00FE579B" w:rsidRPr="00DA788A" w:rsidRDefault="00FE579B" w:rsidP="00FE579B">
      <w:pPr>
        <w:pStyle w:val="Geenafstand"/>
        <w:rPr>
          <w:rFonts w:ascii="Verdana" w:hAnsi="Verdana"/>
          <w:sz w:val="20"/>
          <w:szCs w:val="20"/>
        </w:rPr>
      </w:pPr>
      <w:r w:rsidRPr="00DA788A">
        <w:rPr>
          <w:rFonts w:ascii="Verdana" w:hAnsi="Verdana"/>
          <w:sz w:val="20"/>
          <w:szCs w:val="20"/>
        </w:rPr>
        <w:t>Een derde wijziging die de Richtlijn met zich meebrengt is verlenging van het bewijsvermoeden uit het tweede lid van artikel 7:18 BW. In het huidige recht ligt de bewijslast de eerste zes maanden bij de verkoper. Het is dan aan de verkoper om aan te bewijzen dat er geen sprake is van non-conformiteit. De Richtlijn verlengt deze termijn naar twaalf maanden. Voor een jurist bij D</w:t>
      </w:r>
      <w:r w:rsidR="00DC68A1" w:rsidRPr="00DC68A1">
        <w:rPr>
          <w:rFonts w:ascii="Verdana" w:hAnsi="Verdana"/>
          <w:b/>
          <w:bCs/>
          <w:sz w:val="24"/>
          <w:szCs w:val="24"/>
        </w:rPr>
        <w:t xml:space="preserve"> </w:t>
      </w:r>
      <w:r w:rsidR="00DC68A1" w:rsidRPr="000C446C">
        <w:rPr>
          <w:rFonts w:ascii="Verdana" w:hAnsi="Verdana"/>
          <w:b/>
          <w:bCs/>
          <w:sz w:val="24"/>
          <w:szCs w:val="24"/>
        </w:rPr>
        <w:t>XXX</w:t>
      </w:r>
      <w:r w:rsidR="00DC68A1" w:rsidRPr="00DA788A">
        <w:rPr>
          <w:rFonts w:ascii="Verdana" w:hAnsi="Verdana"/>
          <w:sz w:val="20"/>
          <w:szCs w:val="20"/>
        </w:rPr>
        <w:t xml:space="preserve"> </w:t>
      </w:r>
      <w:r w:rsidRPr="00DA788A">
        <w:rPr>
          <w:rFonts w:ascii="Verdana" w:hAnsi="Verdana"/>
          <w:sz w:val="20"/>
          <w:szCs w:val="20"/>
        </w:rPr>
        <w:t xml:space="preserve">AS betekent dit een verandering in de haalbaarheid van dossiers. Uit dossieronderzoek is namelijk gebleken dat een gedeelte van de zaken over non-conformiteit – na de termijn van zes maanden - niet haalbaar is door gebrek aan bewijs. </w:t>
      </w:r>
    </w:p>
    <w:p w14:paraId="164B79ED" w14:textId="77777777" w:rsidR="00FE579B" w:rsidRPr="00DA788A" w:rsidRDefault="00FE579B" w:rsidP="00FE579B">
      <w:pPr>
        <w:pStyle w:val="Geenafstand"/>
        <w:rPr>
          <w:rFonts w:ascii="Verdana" w:hAnsi="Verdana"/>
          <w:sz w:val="20"/>
          <w:szCs w:val="20"/>
        </w:rPr>
      </w:pPr>
    </w:p>
    <w:p w14:paraId="2B128955" w14:textId="1045113A" w:rsidR="00FE579B" w:rsidRPr="00DA788A" w:rsidRDefault="00FE579B" w:rsidP="00FE579B">
      <w:pPr>
        <w:pStyle w:val="Geenafstand"/>
        <w:rPr>
          <w:rFonts w:ascii="Verdana" w:hAnsi="Verdana"/>
          <w:sz w:val="20"/>
          <w:szCs w:val="20"/>
        </w:rPr>
      </w:pPr>
      <w:r w:rsidRPr="00DA788A">
        <w:rPr>
          <w:rFonts w:ascii="Verdana" w:hAnsi="Verdana"/>
          <w:sz w:val="20"/>
          <w:szCs w:val="20"/>
        </w:rPr>
        <w:t xml:space="preserve">Ten vierde wordt de onderzoeksplicht van de consument geschrapt. Een verkoper is alleen niet aansprakelijk voor een gebrek als een consument het gebrek uitdrukkelijk en afzonderlijk heeft aanvaard. Ook hierin treedt voor de adviespraktijk </w:t>
      </w:r>
      <w:r w:rsidR="00DC68A1" w:rsidRPr="000C446C">
        <w:rPr>
          <w:rFonts w:ascii="Verdana" w:hAnsi="Verdana"/>
          <w:b/>
          <w:bCs/>
          <w:sz w:val="24"/>
          <w:szCs w:val="24"/>
        </w:rPr>
        <w:t>XXX</w:t>
      </w:r>
      <w:r w:rsidR="00DC68A1" w:rsidRPr="00DA788A">
        <w:rPr>
          <w:rFonts w:ascii="Verdana" w:hAnsi="Verdana"/>
          <w:sz w:val="20"/>
          <w:szCs w:val="20"/>
        </w:rPr>
        <w:t xml:space="preserve"> </w:t>
      </w:r>
      <w:r w:rsidRPr="00DA788A">
        <w:rPr>
          <w:rFonts w:ascii="Verdana" w:hAnsi="Verdana"/>
          <w:sz w:val="20"/>
          <w:szCs w:val="20"/>
        </w:rPr>
        <w:t xml:space="preserve">een verandering in de haalbaarheid van een zaak. Uit een interview met jurist Y is namelijk gebleken dat er met regelmaat zaken worden aangemeld, waarin de consument zijn onderzoeksplicht heeft geschonden. Hierdoor is het volgens het huidige recht niet meer mogelijk om nakoming van de verkoper te vorderen en staakt jurist Y – conform de opgenomen uitsluiting in de polisvoorwaarden de rechtsbijstand. Na implementatie van de Richtlijn zullen dit soort zaken niet meer onder de uitsluiting van de polisvoorwaarden vallen. </w:t>
      </w:r>
    </w:p>
    <w:p w14:paraId="2505EDF7" w14:textId="77777777" w:rsidR="00FE579B" w:rsidRPr="00DA788A" w:rsidRDefault="00FE579B" w:rsidP="00FE579B">
      <w:pPr>
        <w:pStyle w:val="Geenafstand"/>
        <w:rPr>
          <w:rFonts w:ascii="Verdana" w:hAnsi="Verdana"/>
          <w:sz w:val="20"/>
          <w:szCs w:val="20"/>
        </w:rPr>
      </w:pPr>
    </w:p>
    <w:p w14:paraId="012B3C07" w14:textId="0F639DB5" w:rsidR="00FE579B" w:rsidRPr="00DA788A" w:rsidRDefault="00FE579B" w:rsidP="00FE579B">
      <w:pPr>
        <w:pStyle w:val="Geenafstand"/>
        <w:rPr>
          <w:rFonts w:ascii="Verdana" w:hAnsi="Verdana"/>
          <w:sz w:val="20"/>
          <w:szCs w:val="20"/>
        </w:rPr>
      </w:pPr>
      <w:r w:rsidRPr="00DA788A">
        <w:rPr>
          <w:rFonts w:ascii="Verdana" w:hAnsi="Verdana"/>
          <w:sz w:val="20"/>
          <w:szCs w:val="20"/>
        </w:rPr>
        <w:t xml:space="preserve">Ten vijfde wijzigt de Richtlijn het huidige getrapte stelsel uit het tweede lid van artikel 7:22 BW. Volgens het huidige recht heeft een consument enkel het recht heeft om tot ontbinding van de overeenkomst of prijsvermindering over te gaan als herstel of vervanging onmogelijk is. De Richtlijn voorziet in vier nieuwe omstandigheden waarin de consument het recht heeft om tot ontbinding van de overeenkomst of prijsvermindering over te gaan. Het opnemen van de eenmalige herstelmogelijkheid – één van de nieuwe omstandigheden – zal voor de adviespraktijk van </w:t>
      </w:r>
      <w:r w:rsidR="00DC68A1" w:rsidRPr="000C446C">
        <w:rPr>
          <w:rFonts w:ascii="Verdana" w:hAnsi="Verdana"/>
          <w:b/>
          <w:bCs/>
          <w:sz w:val="24"/>
          <w:szCs w:val="24"/>
        </w:rPr>
        <w:t>XXX</w:t>
      </w:r>
      <w:r w:rsidR="00DC68A1" w:rsidRPr="00DA788A">
        <w:rPr>
          <w:rFonts w:ascii="Verdana" w:hAnsi="Verdana"/>
          <w:sz w:val="20"/>
          <w:szCs w:val="20"/>
        </w:rPr>
        <w:t xml:space="preserve"> </w:t>
      </w:r>
      <w:r w:rsidRPr="00DA788A">
        <w:rPr>
          <w:rFonts w:ascii="Verdana" w:hAnsi="Verdana"/>
          <w:sz w:val="20"/>
          <w:szCs w:val="20"/>
        </w:rPr>
        <w:t xml:space="preserve">mogelijk de meeste veranderingen met zich meebrengen. Uit dossieronderzoek en een interview met jurist X is namelijk gebleken dat er onduidelijkheid heerst over het aantal herstelpogingen dat aan een verkoper geboden dient te worden. </w:t>
      </w:r>
    </w:p>
    <w:p w14:paraId="04281F31" w14:textId="77777777" w:rsidR="00C33588" w:rsidRPr="00DA788A" w:rsidRDefault="00C33588" w:rsidP="00FE579B">
      <w:pPr>
        <w:pStyle w:val="Geenafstand"/>
        <w:rPr>
          <w:rFonts w:ascii="Verdana" w:hAnsi="Verdana"/>
          <w:sz w:val="20"/>
          <w:szCs w:val="20"/>
        </w:rPr>
      </w:pPr>
    </w:p>
    <w:p w14:paraId="72AA8A38" w14:textId="0EF49F7A" w:rsidR="00FE579B" w:rsidRPr="00DA788A" w:rsidRDefault="00FE579B" w:rsidP="00FE579B">
      <w:pPr>
        <w:pStyle w:val="Geenafstand"/>
        <w:rPr>
          <w:rFonts w:ascii="Verdana" w:hAnsi="Verdana"/>
          <w:sz w:val="20"/>
          <w:szCs w:val="20"/>
        </w:rPr>
      </w:pPr>
      <w:r w:rsidRPr="00DA788A">
        <w:rPr>
          <w:rFonts w:ascii="Verdana" w:hAnsi="Verdana"/>
          <w:sz w:val="20"/>
          <w:szCs w:val="20"/>
        </w:rPr>
        <w:t xml:space="preserve">Volgens de Richtlijn heeft een verkoper eenmalig de mogelijkheid om tot herstel over te gaan, waarna de consument tot ontbinding van de overeenkomst of prijsvermindering over te gaan. In overweging 52 Richtlijn wordt echter een nuance op de eenmalige herstelmogelijkheid aangebracht en is het aantal herstelpogingen afhankelijk van de omstandigheden van het geval. Zo zal het bij een dure zaak gerechtvaardigd zijn dat de verkoper meerdere mogelijkheden krijgt om de zaak te herstellen. Het is dus nog niet geheel duidelijk of het opnemen van de eenmalige herstelmogelijkheid veranderingen brengt in de huidige adviespraktijk van </w:t>
      </w:r>
      <w:r w:rsidR="00DC68A1" w:rsidRPr="000C446C">
        <w:rPr>
          <w:rFonts w:ascii="Verdana" w:hAnsi="Verdana"/>
          <w:b/>
          <w:bCs/>
          <w:sz w:val="24"/>
          <w:szCs w:val="24"/>
        </w:rPr>
        <w:t>XXX</w:t>
      </w:r>
      <w:r w:rsidRPr="00DA788A">
        <w:rPr>
          <w:rFonts w:ascii="Verdana" w:hAnsi="Verdana"/>
          <w:sz w:val="20"/>
          <w:szCs w:val="20"/>
        </w:rPr>
        <w:t xml:space="preserve">. Het is afwachten hoe de rechtspraak zich de komende jaren hierin ontwikkelt. </w:t>
      </w:r>
    </w:p>
    <w:p w14:paraId="1F3BA504" w14:textId="1612FB57" w:rsidR="00D3448C" w:rsidRPr="00DA788A" w:rsidRDefault="00FE579B" w:rsidP="00FE579B">
      <w:pPr>
        <w:pStyle w:val="Geenafstand"/>
        <w:rPr>
          <w:rFonts w:ascii="Verdana" w:hAnsi="Verdana"/>
          <w:sz w:val="20"/>
          <w:szCs w:val="20"/>
        </w:rPr>
      </w:pPr>
      <w:r w:rsidRPr="00DA788A">
        <w:rPr>
          <w:rFonts w:ascii="Verdana" w:hAnsi="Verdana"/>
          <w:b/>
          <w:bCs/>
          <w:sz w:val="20"/>
          <w:szCs w:val="20"/>
        </w:rPr>
        <w:br/>
      </w:r>
      <w:r w:rsidRPr="00DA788A">
        <w:rPr>
          <w:rFonts w:ascii="Verdana" w:hAnsi="Verdana"/>
          <w:sz w:val="20"/>
          <w:szCs w:val="20"/>
        </w:rPr>
        <w:t xml:space="preserve">De nieuwe omstandigheden hebben tot gevolg dat een jurist over meer mogelijkheden beschikt om – namens de consument – de overeenkomst te ontbinden of de prijs te verminderen. Het is dan ook voor een jurist van </w:t>
      </w:r>
      <w:r w:rsidR="00DC68A1" w:rsidRPr="000C446C">
        <w:rPr>
          <w:rFonts w:ascii="Verdana" w:hAnsi="Verdana"/>
          <w:b/>
          <w:bCs/>
          <w:sz w:val="24"/>
          <w:szCs w:val="24"/>
        </w:rPr>
        <w:t>XXX</w:t>
      </w:r>
      <w:r w:rsidR="00DC68A1" w:rsidRPr="00DA788A">
        <w:rPr>
          <w:rFonts w:ascii="Verdana" w:hAnsi="Verdana"/>
          <w:sz w:val="20"/>
          <w:szCs w:val="20"/>
        </w:rPr>
        <w:t xml:space="preserve"> </w:t>
      </w:r>
      <w:r w:rsidRPr="00DA788A">
        <w:rPr>
          <w:rFonts w:ascii="Verdana" w:hAnsi="Verdana"/>
          <w:sz w:val="20"/>
          <w:szCs w:val="20"/>
        </w:rPr>
        <w:t xml:space="preserve">belangrijk om bij het beoordelen van de vervolgstappen bij een dossier over non-conformiteit de nieuwe omstandigheden mee te wegen. </w:t>
      </w:r>
    </w:p>
    <w:p w14:paraId="13857099" w14:textId="405D90E0" w:rsidR="00FE579B" w:rsidRPr="00DA788A" w:rsidRDefault="00FE579B" w:rsidP="00FE579B">
      <w:pPr>
        <w:pStyle w:val="Geenafstand"/>
        <w:rPr>
          <w:rFonts w:ascii="Verdana" w:hAnsi="Verdana"/>
          <w:sz w:val="20"/>
          <w:szCs w:val="20"/>
        </w:rPr>
      </w:pPr>
      <w:r w:rsidRPr="00DA788A">
        <w:rPr>
          <w:rFonts w:ascii="Verdana" w:hAnsi="Verdana"/>
          <w:sz w:val="20"/>
          <w:szCs w:val="20"/>
        </w:rPr>
        <w:br/>
        <w:t xml:space="preserve">Tot slot codificeert de Richtlijn in het zevende lid van artikel 7:21 BW het bekende Quelle-arrest, waarin is bepaald dat een verkoper geen gebruikersvergoeding bij de consument in rekening mag brengen voor het normale gebruik van een zaak. Een jurist bij </w:t>
      </w:r>
      <w:r w:rsidR="00DC68A1" w:rsidRPr="000C446C">
        <w:rPr>
          <w:rFonts w:ascii="Verdana" w:hAnsi="Verdana"/>
          <w:b/>
          <w:bCs/>
          <w:sz w:val="24"/>
          <w:szCs w:val="24"/>
        </w:rPr>
        <w:t>XXX</w:t>
      </w:r>
      <w:r w:rsidR="00DC68A1" w:rsidRPr="00DA788A">
        <w:rPr>
          <w:rFonts w:ascii="Verdana" w:hAnsi="Verdana"/>
          <w:sz w:val="20"/>
          <w:szCs w:val="20"/>
        </w:rPr>
        <w:t xml:space="preserve"> </w:t>
      </w:r>
      <w:r w:rsidRPr="00DA788A">
        <w:rPr>
          <w:rFonts w:ascii="Verdana" w:hAnsi="Verdana"/>
          <w:sz w:val="20"/>
          <w:szCs w:val="20"/>
        </w:rPr>
        <w:t xml:space="preserve">kan zich straks bij een discussie over het in rekening brengen van een </w:t>
      </w:r>
      <w:r w:rsidRPr="00DA788A">
        <w:rPr>
          <w:rFonts w:ascii="Verdana" w:hAnsi="Verdana"/>
          <w:sz w:val="20"/>
          <w:szCs w:val="20"/>
        </w:rPr>
        <w:lastRenderedPageBreak/>
        <w:t xml:space="preserve">vergoeding baseren op een wettelijke grondslag. Het </w:t>
      </w:r>
      <w:r w:rsidR="00C33588" w:rsidRPr="00DA788A">
        <w:rPr>
          <w:rFonts w:ascii="Verdana" w:hAnsi="Verdana"/>
          <w:sz w:val="20"/>
          <w:szCs w:val="20"/>
        </w:rPr>
        <w:t xml:space="preserve">opnemen van deze bepaling </w:t>
      </w:r>
      <w:r w:rsidRPr="00DA788A">
        <w:rPr>
          <w:rFonts w:ascii="Verdana" w:hAnsi="Verdana"/>
          <w:sz w:val="20"/>
          <w:szCs w:val="20"/>
        </w:rPr>
        <w:t xml:space="preserve">zorgt  </w:t>
      </w:r>
      <w:r w:rsidR="00C33588" w:rsidRPr="00DA788A">
        <w:rPr>
          <w:rFonts w:ascii="Verdana" w:hAnsi="Verdana"/>
          <w:sz w:val="20"/>
          <w:szCs w:val="20"/>
        </w:rPr>
        <w:t xml:space="preserve">dus </w:t>
      </w:r>
      <w:r w:rsidRPr="00DA788A">
        <w:rPr>
          <w:rFonts w:ascii="Verdana" w:hAnsi="Verdana"/>
          <w:sz w:val="20"/>
          <w:szCs w:val="20"/>
        </w:rPr>
        <w:t>enkel voor vergemakkelijking van de dossierbehandeling</w:t>
      </w:r>
      <w:r w:rsidR="00C33588" w:rsidRPr="00DA788A">
        <w:rPr>
          <w:rFonts w:ascii="Verdana" w:hAnsi="Verdana"/>
          <w:sz w:val="20"/>
          <w:szCs w:val="20"/>
        </w:rPr>
        <w:t xml:space="preserve">. </w:t>
      </w:r>
    </w:p>
    <w:p w14:paraId="621AC1C7" w14:textId="77777777" w:rsidR="00F123CC" w:rsidRPr="00DA788A" w:rsidRDefault="00F123CC" w:rsidP="00FE579B">
      <w:pPr>
        <w:pStyle w:val="Geenafstand"/>
        <w:rPr>
          <w:rFonts w:ascii="Verdana" w:hAnsi="Verdana"/>
          <w:sz w:val="20"/>
          <w:szCs w:val="20"/>
        </w:rPr>
      </w:pPr>
    </w:p>
    <w:p w14:paraId="7286E406" w14:textId="1A9E77F7" w:rsidR="007B62A8" w:rsidRPr="00D64021" w:rsidRDefault="00FE579B" w:rsidP="007B62A8">
      <w:pPr>
        <w:pStyle w:val="Geenafstand"/>
        <w:rPr>
          <w:rFonts w:ascii="Verdana" w:hAnsi="Verdana"/>
          <w:sz w:val="20"/>
          <w:szCs w:val="20"/>
        </w:rPr>
      </w:pPr>
      <w:r w:rsidRPr="00DA788A">
        <w:rPr>
          <w:rFonts w:ascii="Verdana" w:hAnsi="Verdana"/>
          <w:sz w:val="20"/>
          <w:szCs w:val="20"/>
        </w:rPr>
        <w:t xml:space="preserve">De wijzigingen uit de Richtlijn resulteren – gelet op de vele wijzigingen  – in een </w:t>
      </w:r>
      <w:r w:rsidR="007B62A8">
        <w:rPr>
          <w:rFonts w:ascii="Verdana" w:hAnsi="Verdana"/>
          <w:sz w:val="20"/>
          <w:szCs w:val="20"/>
        </w:rPr>
        <w:t>uitgebreid</w:t>
      </w:r>
      <w:r w:rsidRPr="00DA788A">
        <w:rPr>
          <w:rFonts w:ascii="Verdana" w:hAnsi="Verdana"/>
          <w:sz w:val="20"/>
          <w:szCs w:val="20"/>
        </w:rPr>
        <w:t xml:space="preserve"> </w:t>
      </w:r>
      <w:r w:rsidR="007B62A8">
        <w:rPr>
          <w:rFonts w:ascii="Verdana" w:hAnsi="Verdana"/>
          <w:sz w:val="20"/>
          <w:szCs w:val="20"/>
        </w:rPr>
        <w:t>antwoord</w:t>
      </w:r>
      <w:r w:rsidRPr="00DA788A">
        <w:rPr>
          <w:rFonts w:ascii="Verdana" w:hAnsi="Verdana"/>
          <w:sz w:val="20"/>
          <w:szCs w:val="20"/>
        </w:rPr>
        <w:t xml:space="preserve"> op de centrale vraag</w:t>
      </w:r>
      <w:r w:rsidR="007B62A8">
        <w:rPr>
          <w:rFonts w:ascii="Verdana" w:hAnsi="Verdana"/>
          <w:sz w:val="20"/>
          <w:szCs w:val="20"/>
        </w:rPr>
        <w:t xml:space="preserve">. </w:t>
      </w:r>
      <w:r w:rsidR="007B62A8" w:rsidRPr="00D64021">
        <w:rPr>
          <w:rFonts w:ascii="Verdana" w:hAnsi="Verdana"/>
          <w:sz w:val="20"/>
          <w:szCs w:val="20"/>
        </w:rPr>
        <w:t xml:space="preserve">In algemene bewoording kan worden gesteld dat de Richtlijn invloed heeft op de advisering bij </w:t>
      </w:r>
      <w:r w:rsidR="00DC68A1" w:rsidRPr="000C446C">
        <w:rPr>
          <w:rFonts w:ascii="Verdana" w:hAnsi="Verdana"/>
          <w:b/>
          <w:bCs/>
          <w:sz w:val="24"/>
          <w:szCs w:val="24"/>
        </w:rPr>
        <w:t>XXX</w:t>
      </w:r>
      <w:r w:rsidR="007B62A8" w:rsidRPr="00D64021">
        <w:rPr>
          <w:rFonts w:ascii="Verdana" w:hAnsi="Verdana"/>
          <w:sz w:val="20"/>
          <w:szCs w:val="20"/>
        </w:rPr>
        <w:t>, omdat de toepassing van het conformiteitsvereiste, de ontbindingsmogelijkhed</w:t>
      </w:r>
      <w:r w:rsidR="007B62A8">
        <w:rPr>
          <w:rFonts w:ascii="Verdana" w:hAnsi="Verdana"/>
          <w:sz w:val="20"/>
          <w:szCs w:val="20"/>
        </w:rPr>
        <w:t>en</w:t>
      </w:r>
      <w:r w:rsidR="007B62A8" w:rsidRPr="00D64021">
        <w:rPr>
          <w:rFonts w:ascii="Verdana" w:hAnsi="Verdana"/>
          <w:sz w:val="20"/>
          <w:szCs w:val="20"/>
        </w:rPr>
        <w:t xml:space="preserve"> en het toepassingsgebied van de kooptitel wijzigen. </w:t>
      </w:r>
    </w:p>
    <w:p w14:paraId="3BE6BF54" w14:textId="77777777" w:rsidR="007B62A8" w:rsidRPr="00F3528C" w:rsidRDefault="007B62A8" w:rsidP="007B62A8">
      <w:pPr>
        <w:pStyle w:val="Geenafstand"/>
        <w:rPr>
          <w:rFonts w:ascii="Verdana" w:hAnsi="Verdana"/>
          <w:sz w:val="20"/>
          <w:szCs w:val="20"/>
        </w:rPr>
      </w:pPr>
    </w:p>
    <w:p w14:paraId="013D4BF8" w14:textId="1CDF6A7A" w:rsidR="00FE579B" w:rsidRPr="00DA788A" w:rsidRDefault="00FE579B" w:rsidP="00FE579B">
      <w:pPr>
        <w:pStyle w:val="Geenafstand"/>
        <w:rPr>
          <w:rFonts w:ascii="Verdana" w:hAnsi="Verdana"/>
          <w:sz w:val="20"/>
          <w:szCs w:val="20"/>
        </w:rPr>
      </w:pPr>
      <w:r w:rsidRPr="00DA788A">
        <w:rPr>
          <w:rFonts w:ascii="Verdana" w:hAnsi="Verdana"/>
          <w:sz w:val="20"/>
          <w:szCs w:val="20"/>
        </w:rPr>
        <w:br/>
      </w:r>
    </w:p>
    <w:p w14:paraId="69B1B2A3" w14:textId="6D9ABCB0" w:rsidR="00FE579B" w:rsidRPr="00DA788A" w:rsidRDefault="00FE579B" w:rsidP="00FE579B"/>
    <w:p w14:paraId="644593B6" w14:textId="5C409CFC" w:rsidR="002F3FAC" w:rsidRPr="00DA788A" w:rsidRDefault="002F3FAC" w:rsidP="00FE579B"/>
    <w:p w14:paraId="35D350A8" w14:textId="06CA0019" w:rsidR="002F3FAC" w:rsidRPr="00DA788A" w:rsidRDefault="002F3FAC" w:rsidP="00FE579B"/>
    <w:p w14:paraId="0E726201" w14:textId="55266633" w:rsidR="002F3FAC" w:rsidRPr="00DA788A" w:rsidRDefault="002F3FAC" w:rsidP="00FE579B"/>
    <w:p w14:paraId="3D2BA851" w14:textId="4EE4F395" w:rsidR="002F3FAC" w:rsidRPr="00DA788A" w:rsidRDefault="002F3FAC" w:rsidP="00FE579B"/>
    <w:p w14:paraId="406171E5" w14:textId="755B4511" w:rsidR="002F3FAC" w:rsidRPr="00DA788A" w:rsidRDefault="002F3FAC" w:rsidP="00FE579B"/>
    <w:p w14:paraId="49758613" w14:textId="3CA56C22" w:rsidR="002F3FAC" w:rsidRPr="00DA788A" w:rsidRDefault="002F3FAC" w:rsidP="00FE579B"/>
    <w:p w14:paraId="3132170A" w14:textId="69AAA76F" w:rsidR="002F3FAC" w:rsidRPr="00DA788A" w:rsidRDefault="002F3FAC" w:rsidP="00FE579B"/>
    <w:p w14:paraId="52E62E21" w14:textId="63849BE7" w:rsidR="002F3FAC" w:rsidRDefault="002F3FAC" w:rsidP="00FE579B"/>
    <w:p w14:paraId="715DC6AE" w14:textId="359BF247" w:rsidR="002F3FAC" w:rsidRDefault="002F3FAC" w:rsidP="00FE579B"/>
    <w:p w14:paraId="3AAA6B61" w14:textId="36E63D0F" w:rsidR="002F3FAC" w:rsidRDefault="002F3FAC" w:rsidP="00FE579B"/>
    <w:p w14:paraId="39C1339A" w14:textId="43E57BE7" w:rsidR="002F3FAC" w:rsidRDefault="002F3FAC" w:rsidP="00FE579B"/>
    <w:p w14:paraId="55CF2868" w14:textId="074DEF4F" w:rsidR="002F3FAC" w:rsidRDefault="002F3FAC" w:rsidP="00FE579B"/>
    <w:p w14:paraId="53E24ECA" w14:textId="789155C1" w:rsidR="002F3FAC" w:rsidRDefault="002F3FAC" w:rsidP="00FE579B"/>
    <w:p w14:paraId="7A93C0F3" w14:textId="115E2397" w:rsidR="00504822" w:rsidRDefault="00504822" w:rsidP="00FE579B"/>
    <w:p w14:paraId="63880E54" w14:textId="759A8860" w:rsidR="00504822" w:rsidRDefault="00504822" w:rsidP="00FE579B"/>
    <w:p w14:paraId="446EBF3D" w14:textId="67AB6472" w:rsidR="00504822" w:rsidRDefault="00504822" w:rsidP="00FE579B"/>
    <w:p w14:paraId="353948B9" w14:textId="71A7BCD7" w:rsidR="00504822" w:rsidRDefault="00504822" w:rsidP="00FE579B"/>
    <w:p w14:paraId="4B0489ED" w14:textId="082C32D3" w:rsidR="00504822" w:rsidRDefault="00504822" w:rsidP="00FE579B"/>
    <w:p w14:paraId="22A68772" w14:textId="69A6DC21" w:rsidR="00504822" w:rsidRDefault="00504822" w:rsidP="00FE579B"/>
    <w:p w14:paraId="4157D546" w14:textId="619DBEDC" w:rsidR="00504822" w:rsidRDefault="00504822" w:rsidP="00FE579B"/>
    <w:p w14:paraId="7BAFF55B" w14:textId="2864926E" w:rsidR="00504822" w:rsidRDefault="00504822" w:rsidP="00FE579B"/>
    <w:p w14:paraId="35524EDE" w14:textId="31A86A60" w:rsidR="00504822" w:rsidRDefault="00504822" w:rsidP="00FE579B"/>
    <w:p w14:paraId="2505A28B" w14:textId="643974C7" w:rsidR="00504822" w:rsidRDefault="00504822" w:rsidP="00FE579B"/>
    <w:p w14:paraId="0B41DEAC" w14:textId="790820EE" w:rsidR="00504822" w:rsidRDefault="00504822" w:rsidP="00FE579B"/>
    <w:p w14:paraId="47E4505C" w14:textId="1CEBA3AE" w:rsidR="00504822" w:rsidRDefault="00504822" w:rsidP="00FE579B"/>
    <w:p w14:paraId="16F2FDEA" w14:textId="0303BA3A" w:rsidR="00504822" w:rsidRDefault="00504822" w:rsidP="00FE579B"/>
    <w:p w14:paraId="410BE9BC" w14:textId="0112A0A7" w:rsidR="00504822" w:rsidRDefault="00504822" w:rsidP="00FE579B"/>
    <w:p w14:paraId="13CC16CC" w14:textId="17934E14" w:rsidR="00504822" w:rsidRDefault="00504822" w:rsidP="00FE579B"/>
    <w:p w14:paraId="5AC609E6" w14:textId="007D2682" w:rsidR="004D368E" w:rsidRDefault="00B91F04" w:rsidP="00A65417">
      <w:pPr>
        <w:pStyle w:val="Kop1"/>
      </w:pPr>
      <w:bookmarkStart w:id="71" w:name="_Toc72576315"/>
      <w:r>
        <w:t>Bronnenlijst</w:t>
      </w:r>
      <w:bookmarkEnd w:id="71"/>
    </w:p>
    <w:p w14:paraId="4F4D8D07" w14:textId="6D2815CA" w:rsidR="00A65417" w:rsidRDefault="00A65417" w:rsidP="00A65417"/>
    <w:p w14:paraId="35D8D4D4" w14:textId="6C2B5B31" w:rsidR="00A65417" w:rsidRDefault="00A65417" w:rsidP="00A65417">
      <w:pPr>
        <w:pStyle w:val="Kop2"/>
        <w:pBdr>
          <w:bottom w:val="single" w:sz="6" w:space="1" w:color="auto"/>
        </w:pBdr>
      </w:pPr>
      <w:bookmarkStart w:id="72" w:name="_Toc72576316"/>
      <w:r>
        <w:t>Literatuur</w:t>
      </w:r>
      <w:bookmarkEnd w:id="72"/>
    </w:p>
    <w:p w14:paraId="5992B4B5" w14:textId="77777777" w:rsidR="00A65417" w:rsidRPr="00A65417" w:rsidRDefault="00A65417" w:rsidP="00A65417"/>
    <w:p w14:paraId="33DEA212" w14:textId="77777777" w:rsidR="004D368E" w:rsidRPr="00E33A5B" w:rsidRDefault="004D368E" w:rsidP="004D368E">
      <w:pPr>
        <w:pStyle w:val="Voetnoottekst"/>
        <w:jc w:val="left"/>
      </w:pPr>
      <w:r w:rsidRPr="00E33A5B">
        <w:rPr>
          <w:b/>
          <w:bCs/>
        </w:rPr>
        <w:t xml:space="preserve">Castermans &amp; Krans, in: </w:t>
      </w:r>
      <w:r w:rsidRPr="00E33A5B">
        <w:rPr>
          <w:b/>
          <w:bCs/>
          <w:i/>
          <w:iCs/>
        </w:rPr>
        <w:t>T&amp;C BW 2003</w:t>
      </w:r>
      <w:r w:rsidRPr="00E33A5B">
        <w:rPr>
          <w:b/>
          <w:bCs/>
        </w:rPr>
        <w:br/>
      </w:r>
      <w:r w:rsidRPr="00E33A5B">
        <w:t>A. Castermans &amp; H. Krans, in: T&amp;C BW 2003, art. 7:17 BW, aant. 2-3 (online, bijgewerkt 15 februari 2021).</w:t>
      </w:r>
    </w:p>
    <w:p w14:paraId="7EFC5165" w14:textId="77777777" w:rsidR="004D368E" w:rsidRPr="00E33A5B" w:rsidRDefault="004D368E" w:rsidP="004D368E">
      <w:pPr>
        <w:pStyle w:val="Voetnoottekst"/>
        <w:jc w:val="left"/>
      </w:pPr>
    </w:p>
    <w:p w14:paraId="30CB8D1F" w14:textId="0FD878FB" w:rsidR="004D368E" w:rsidRPr="00E33A5B" w:rsidRDefault="004D368E" w:rsidP="004D368E">
      <w:pPr>
        <w:pStyle w:val="Geenafstand"/>
        <w:rPr>
          <w:rFonts w:ascii="Verdana" w:hAnsi="Verdana"/>
          <w:b/>
          <w:bCs/>
          <w:sz w:val="20"/>
          <w:szCs w:val="20"/>
        </w:rPr>
      </w:pPr>
      <w:r w:rsidRPr="00E33A5B">
        <w:rPr>
          <w:rFonts w:ascii="Verdana" w:hAnsi="Verdana"/>
          <w:b/>
          <w:bCs/>
          <w:sz w:val="20"/>
          <w:szCs w:val="20"/>
        </w:rPr>
        <w:t>Claeys &amp; Terryn 2020</w:t>
      </w:r>
      <w:r w:rsidRPr="00E33A5B">
        <w:rPr>
          <w:rFonts w:ascii="Verdana" w:hAnsi="Verdana"/>
          <w:b/>
          <w:bCs/>
          <w:sz w:val="20"/>
          <w:szCs w:val="20"/>
        </w:rPr>
        <w:br/>
      </w:r>
      <w:r w:rsidRPr="00E33A5B">
        <w:rPr>
          <w:rFonts w:ascii="Verdana" w:hAnsi="Verdana"/>
          <w:sz w:val="20"/>
          <w:szCs w:val="20"/>
        </w:rPr>
        <w:t xml:space="preserve">I. Claeys &amp; E. Terryn 2020, </w:t>
      </w:r>
      <w:r w:rsidRPr="00E33A5B">
        <w:rPr>
          <w:rFonts w:ascii="Verdana" w:hAnsi="Verdana"/>
          <w:i/>
          <w:iCs/>
          <w:sz w:val="20"/>
          <w:szCs w:val="20"/>
        </w:rPr>
        <w:t xml:space="preserve">Nieuw recht inzake koop &amp; digitale inhoud en diensten, </w:t>
      </w:r>
      <w:r w:rsidRPr="00E33A5B">
        <w:rPr>
          <w:rFonts w:ascii="Verdana" w:hAnsi="Verdana"/>
          <w:sz w:val="20"/>
          <w:szCs w:val="20"/>
        </w:rPr>
        <w:t xml:space="preserve"> Antwerpen:</w:t>
      </w:r>
      <w:r w:rsidR="00DC68A1">
        <w:rPr>
          <w:rFonts w:ascii="Verdana" w:hAnsi="Verdana"/>
          <w:sz w:val="20"/>
          <w:szCs w:val="20"/>
        </w:rPr>
        <w:t xml:space="preserve"> Intersentia 2020, p. 106, 113.</w:t>
      </w:r>
      <w:r w:rsidRPr="00E33A5B">
        <w:rPr>
          <w:rFonts w:ascii="Verdana" w:hAnsi="Verdana"/>
          <w:sz w:val="20"/>
          <w:szCs w:val="20"/>
        </w:rPr>
        <w:br/>
      </w:r>
    </w:p>
    <w:p w14:paraId="0BF1BACD" w14:textId="77777777" w:rsidR="004D368E" w:rsidRPr="00E33A5B" w:rsidRDefault="004D368E" w:rsidP="004D368E">
      <w:pPr>
        <w:pStyle w:val="Voetnoottekst"/>
        <w:jc w:val="left"/>
        <w:rPr>
          <w:vertAlign w:val="superscript"/>
        </w:rPr>
      </w:pPr>
      <w:r w:rsidRPr="00E33A5B">
        <w:rPr>
          <w:b/>
        </w:rPr>
        <w:t xml:space="preserve">Europese Unie </w:t>
      </w:r>
      <w:proofErr w:type="spellStart"/>
      <w:r w:rsidRPr="00E33A5B">
        <w:rPr>
          <w:b/>
        </w:rPr>
        <w:t>z.d.</w:t>
      </w:r>
      <w:proofErr w:type="spellEnd"/>
      <w:r w:rsidRPr="00E33A5B">
        <w:rPr>
          <w:b/>
        </w:rPr>
        <w:t xml:space="preserve"> </w:t>
      </w:r>
    </w:p>
    <w:p w14:paraId="53980A76" w14:textId="77777777" w:rsidR="004D368E" w:rsidRPr="00E33A5B" w:rsidRDefault="004D368E" w:rsidP="004D368E">
      <w:pPr>
        <w:pStyle w:val="Geenafstand"/>
        <w:rPr>
          <w:rFonts w:ascii="Verdana" w:hAnsi="Verdana"/>
          <w:sz w:val="20"/>
          <w:szCs w:val="20"/>
        </w:rPr>
      </w:pPr>
      <w:r w:rsidRPr="00E33A5B">
        <w:rPr>
          <w:rFonts w:ascii="Verdana" w:hAnsi="Verdana"/>
          <w:sz w:val="20"/>
          <w:szCs w:val="20"/>
        </w:rPr>
        <w:t xml:space="preserve">Europese Unie, </w:t>
      </w:r>
      <w:r w:rsidRPr="00E33A5B">
        <w:rPr>
          <w:rFonts w:ascii="Verdana" w:hAnsi="Verdana"/>
          <w:i/>
          <w:iCs/>
          <w:sz w:val="20"/>
          <w:szCs w:val="20"/>
        </w:rPr>
        <w:t>‘Verordeningen, richtlijnen en andere rechtshandelingen’</w:t>
      </w:r>
      <w:r w:rsidRPr="00E33A5B">
        <w:rPr>
          <w:rFonts w:ascii="Verdana" w:hAnsi="Verdana"/>
          <w:sz w:val="20"/>
          <w:szCs w:val="20"/>
        </w:rPr>
        <w:t>, europa.eu, geraadpleegd op 25 maart 2021.</w:t>
      </w:r>
    </w:p>
    <w:p w14:paraId="0AD62F5B" w14:textId="77777777" w:rsidR="004D368E" w:rsidRPr="00E33A5B" w:rsidRDefault="004D368E" w:rsidP="004D368E">
      <w:pPr>
        <w:pStyle w:val="Geenafstand"/>
        <w:rPr>
          <w:rFonts w:ascii="Verdana" w:hAnsi="Verdana"/>
          <w:sz w:val="20"/>
          <w:szCs w:val="20"/>
        </w:rPr>
      </w:pPr>
    </w:p>
    <w:p w14:paraId="55E36B68" w14:textId="77777777" w:rsidR="004D368E" w:rsidRPr="00E33A5B" w:rsidRDefault="004D368E" w:rsidP="004D368E">
      <w:pPr>
        <w:pStyle w:val="Geenafstand"/>
        <w:rPr>
          <w:rFonts w:ascii="Verdana" w:hAnsi="Verdana"/>
          <w:sz w:val="20"/>
          <w:szCs w:val="20"/>
        </w:rPr>
      </w:pPr>
      <w:r w:rsidRPr="00E33A5B">
        <w:rPr>
          <w:rFonts w:ascii="Verdana" w:hAnsi="Verdana"/>
          <w:b/>
          <w:bCs/>
          <w:sz w:val="20"/>
          <w:szCs w:val="20"/>
        </w:rPr>
        <w:t>Haas 2009</w:t>
      </w:r>
      <w:r w:rsidRPr="00E33A5B">
        <w:rPr>
          <w:rFonts w:ascii="Verdana" w:hAnsi="Verdana"/>
          <w:b/>
          <w:bCs/>
          <w:sz w:val="20"/>
          <w:szCs w:val="20"/>
        </w:rPr>
        <w:br/>
      </w:r>
      <w:r w:rsidRPr="00E33A5B">
        <w:rPr>
          <w:rFonts w:ascii="Verdana" w:hAnsi="Verdana"/>
          <w:sz w:val="20"/>
          <w:szCs w:val="20"/>
        </w:rPr>
        <w:t xml:space="preserve">D. Haas, </w:t>
      </w:r>
      <w:r w:rsidRPr="00E33A5B">
        <w:rPr>
          <w:rFonts w:ascii="Verdana" w:hAnsi="Verdana"/>
          <w:i/>
          <w:iCs/>
          <w:sz w:val="20"/>
          <w:szCs w:val="20"/>
        </w:rPr>
        <w:t>De grenzen van het recht op nakoming,</w:t>
      </w:r>
      <w:r w:rsidRPr="00E33A5B">
        <w:rPr>
          <w:rFonts w:ascii="Verdana" w:hAnsi="Verdana"/>
          <w:sz w:val="20"/>
          <w:szCs w:val="20"/>
        </w:rPr>
        <w:t>: Deventer: Kluwer 2009, p. 203.</w:t>
      </w:r>
    </w:p>
    <w:p w14:paraId="109C5B36" w14:textId="77777777" w:rsidR="004D368E" w:rsidRPr="00E33A5B" w:rsidRDefault="004D368E" w:rsidP="004D368E">
      <w:pPr>
        <w:pStyle w:val="Geenafstand"/>
        <w:rPr>
          <w:rFonts w:ascii="Verdana" w:hAnsi="Verdana"/>
          <w:sz w:val="20"/>
          <w:szCs w:val="20"/>
        </w:rPr>
      </w:pPr>
    </w:p>
    <w:p w14:paraId="5963E5B5" w14:textId="77777777" w:rsidR="004D368E" w:rsidRPr="00E33A5B" w:rsidRDefault="004D368E" w:rsidP="004D368E">
      <w:pPr>
        <w:pStyle w:val="Geenafstand"/>
        <w:rPr>
          <w:rFonts w:ascii="Verdana" w:hAnsi="Verdana"/>
          <w:sz w:val="20"/>
          <w:szCs w:val="20"/>
        </w:rPr>
      </w:pPr>
      <w:proofErr w:type="spellStart"/>
      <w:r w:rsidRPr="00E33A5B">
        <w:rPr>
          <w:rFonts w:ascii="Verdana" w:hAnsi="Verdana"/>
          <w:b/>
          <w:bCs/>
          <w:sz w:val="20"/>
          <w:szCs w:val="20"/>
        </w:rPr>
        <w:t>Hijma</w:t>
      </w:r>
      <w:proofErr w:type="spellEnd"/>
      <w:r w:rsidRPr="00E33A5B">
        <w:rPr>
          <w:rFonts w:ascii="Verdana" w:hAnsi="Verdana"/>
          <w:b/>
          <w:bCs/>
          <w:sz w:val="20"/>
          <w:szCs w:val="20"/>
        </w:rPr>
        <w:t xml:space="preserve"> &amp; Assers 2019</w:t>
      </w:r>
      <w:r w:rsidRPr="00E33A5B">
        <w:rPr>
          <w:rFonts w:ascii="Verdana" w:hAnsi="Verdana"/>
          <w:b/>
          <w:bCs/>
          <w:sz w:val="20"/>
          <w:szCs w:val="20"/>
        </w:rPr>
        <w:br/>
      </w:r>
      <w:r w:rsidRPr="00E33A5B">
        <w:rPr>
          <w:rFonts w:ascii="Verdana" w:hAnsi="Verdana"/>
          <w:sz w:val="20"/>
          <w:szCs w:val="20"/>
        </w:rPr>
        <w:t xml:space="preserve">J. </w:t>
      </w:r>
      <w:proofErr w:type="spellStart"/>
      <w:r w:rsidRPr="00E33A5B">
        <w:rPr>
          <w:rFonts w:ascii="Verdana" w:hAnsi="Verdana"/>
          <w:sz w:val="20"/>
          <w:szCs w:val="20"/>
        </w:rPr>
        <w:t>Hijma</w:t>
      </w:r>
      <w:proofErr w:type="spellEnd"/>
      <w:r w:rsidRPr="00E33A5B">
        <w:rPr>
          <w:rFonts w:ascii="Verdana" w:hAnsi="Verdana"/>
          <w:sz w:val="20"/>
          <w:szCs w:val="20"/>
        </w:rPr>
        <w:t xml:space="preserve"> &amp; C. Assers, </w:t>
      </w:r>
      <w:r w:rsidRPr="00E33A5B">
        <w:rPr>
          <w:rFonts w:ascii="Verdana" w:hAnsi="Verdana"/>
          <w:i/>
          <w:iCs/>
          <w:sz w:val="20"/>
          <w:szCs w:val="20"/>
        </w:rPr>
        <w:t>Handleiding tot de beoefening van het Nederlands Burgerlijk Recht. 7. Bijzondere overeenkomsten.</w:t>
      </w:r>
      <w:r w:rsidRPr="00E33A5B">
        <w:rPr>
          <w:rFonts w:ascii="Verdana" w:hAnsi="Verdana"/>
          <w:sz w:val="20"/>
          <w:szCs w:val="20"/>
        </w:rPr>
        <w:t xml:space="preserve"> </w:t>
      </w:r>
      <w:r w:rsidRPr="00E33A5B">
        <w:rPr>
          <w:rFonts w:ascii="Verdana" w:hAnsi="Verdana"/>
          <w:i/>
          <w:iCs/>
          <w:sz w:val="20"/>
          <w:szCs w:val="20"/>
        </w:rPr>
        <w:t>Deel I. Koop en ruil,</w:t>
      </w:r>
      <w:r w:rsidRPr="00E33A5B">
        <w:rPr>
          <w:rFonts w:ascii="Verdana" w:hAnsi="Verdana"/>
          <w:sz w:val="20"/>
          <w:szCs w:val="20"/>
        </w:rPr>
        <w:t xml:space="preserve"> Deventer: Wolters Kluwer 2019, p. 488.</w:t>
      </w:r>
    </w:p>
    <w:p w14:paraId="68702858" w14:textId="77777777" w:rsidR="004D368E" w:rsidRPr="00E33A5B" w:rsidRDefault="004D368E" w:rsidP="004D368E">
      <w:pPr>
        <w:pStyle w:val="Geenafstand"/>
        <w:rPr>
          <w:rFonts w:ascii="Verdana" w:hAnsi="Verdana"/>
          <w:sz w:val="20"/>
          <w:szCs w:val="20"/>
        </w:rPr>
      </w:pPr>
    </w:p>
    <w:p w14:paraId="31C89EC6" w14:textId="77777777" w:rsidR="004D368E" w:rsidRPr="00E33A5B" w:rsidRDefault="004D368E" w:rsidP="004D368E">
      <w:pPr>
        <w:jc w:val="left"/>
        <w:rPr>
          <w:b/>
          <w:szCs w:val="20"/>
        </w:rPr>
      </w:pPr>
      <w:r w:rsidRPr="00E33A5B">
        <w:rPr>
          <w:b/>
          <w:szCs w:val="20"/>
        </w:rPr>
        <w:t>Hondius &amp; Mak 2020</w:t>
      </w:r>
      <w:r w:rsidRPr="00E33A5B">
        <w:rPr>
          <w:b/>
          <w:szCs w:val="20"/>
        </w:rPr>
        <w:br/>
      </w:r>
      <w:r w:rsidRPr="00E33A5B">
        <w:rPr>
          <w:bCs/>
          <w:szCs w:val="20"/>
        </w:rPr>
        <w:t xml:space="preserve">E.H. Hondius &amp; V. Mak, </w:t>
      </w:r>
      <w:r w:rsidRPr="00E33A5B">
        <w:rPr>
          <w:bCs/>
          <w:i/>
          <w:iCs/>
          <w:szCs w:val="20"/>
        </w:rPr>
        <w:t xml:space="preserve">Handboek Consumentenrecht, </w:t>
      </w:r>
      <w:r w:rsidRPr="00E33A5B">
        <w:rPr>
          <w:bCs/>
          <w:szCs w:val="20"/>
        </w:rPr>
        <w:t xml:space="preserve">Zutphen: Paris 2020, p. 183-184. </w:t>
      </w:r>
    </w:p>
    <w:p w14:paraId="787FCD7F" w14:textId="7412BFBC" w:rsidR="004D368E" w:rsidRPr="00E33A5B" w:rsidRDefault="004D368E" w:rsidP="004D368E">
      <w:pPr>
        <w:jc w:val="left"/>
        <w:rPr>
          <w:szCs w:val="20"/>
        </w:rPr>
      </w:pPr>
      <w:r w:rsidRPr="00E33A5B">
        <w:rPr>
          <w:rStyle w:val="Zwaar"/>
          <w:iCs/>
          <w:color w:val="000000"/>
          <w:szCs w:val="20"/>
        </w:rPr>
        <w:t>Klik 2020</w:t>
      </w:r>
      <w:r w:rsidRPr="00E33A5B">
        <w:rPr>
          <w:rStyle w:val="Zwaar"/>
          <w:iCs/>
          <w:color w:val="000000"/>
          <w:szCs w:val="20"/>
        </w:rPr>
        <w:br/>
      </w:r>
      <w:r w:rsidRPr="00E33A5B">
        <w:rPr>
          <w:rStyle w:val="Zwaar"/>
          <w:b w:val="0"/>
          <w:bCs w:val="0"/>
          <w:iCs/>
          <w:color w:val="000000"/>
          <w:szCs w:val="20"/>
        </w:rPr>
        <w:t xml:space="preserve">P. Klik, </w:t>
      </w:r>
      <w:r w:rsidRPr="00E33A5B">
        <w:rPr>
          <w:rStyle w:val="Zwaar"/>
          <w:b w:val="0"/>
          <w:bCs w:val="0"/>
          <w:i/>
          <w:color w:val="000000"/>
          <w:szCs w:val="20"/>
        </w:rPr>
        <w:t xml:space="preserve">Koop &amp; Consumentenkoop, </w:t>
      </w:r>
      <w:r w:rsidRPr="00E33A5B">
        <w:rPr>
          <w:rStyle w:val="Zwaar"/>
          <w:b w:val="0"/>
          <w:bCs w:val="0"/>
          <w:iCs/>
          <w:color w:val="000000"/>
          <w:szCs w:val="20"/>
        </w:rPr>
        <w:t>Deventer: Wolter Kluwer 2017, p. 129, 147-152 &amp; 186.</w:t>
      </w:r>
      <w:r w:rsidRPr="00E33A5B">
        <w:rPr>
          <w:rStyle w:val="Zwaar"/>
          <w:b w:val="0"/>
          <w:iCs/>
          <w:color w:val="000000"/>
          <w:szCs w:val="20"/>
        </w:rPr>
        <w:br/>
      </w:r>
      <w:r w:rsidRPr="00E33A5B">
        <w:rPr>
          <w:rStyle w:val="Zwaar"/>
          <w:b w:val="0"/>
          <w:iCs/>
          <w:color w:val="000000"/>
          <w:szCs w:val="20"/>
        </w:rPr>
        <w:br/>
      </w:r>
      <w:proofErr w:type="spellStart"/>
      <w:r w:rsidRPr="00E33A5B">
        <w:rPr>
          <w:b/>
          <w:bCs/>
          <w:szCs w:val="20"/>
        </w:rPr>
        <w:t>Lindenbergh</w:t>
      </w:r>
      <w:proofErr w:type="spellEnd"/>
      <w:r w:rsidRPr="00E33A5B">
        <w:rPr>
          <w:b/>
          <w:bCs/>
          <w:szCs w:val="20"/>
        </w:rPr>
        <w:t xml:space="preserve">, in: </w:t>
      </w:r>
      <w:r w:rsidRPr="00E33A5B">
        <w:rPr>
          <w:b/>
          <w:bCs/>
          <w:i/>
          <w:iCs/>
          <w:szCs w:val="20"/>
        </w:rPr>
        <w:t>T&amp;C BW 1992</w:t>
      </w:r>
      <w:r w:rsidRPr="00E33A5B">
        <w:rPr>
          <w:b/>
          <w:bCs/>
          <w:szCs w:val="20"/>
        </w:rPr>
        <w:br/>
      </w:r>
      <w:r w:rsidRPr="00E33A5B">
        <w:rPr>
          <w:szCs w:val="20"/>
        </w:rPr>
        <w:t xml:space="preserve">S.L. </w:t>
      </w:r>
      <w:proofErr w:type="spellStart"/>
      <w:r w:rsidRPr="00E33A5B">
        <w:rPr>
          <w:szCs w:val="20"/>
        </w:rPr>
        <w:t>Lindenbergh</w:t>
      </w:r>
      <w:proofErr w:type="spellEnd"/>
      <w:r w:rsidRPr="00E33A5B">
        <w:rPr>
          <w:szCs w:val="20"/>
        </w:rPr>
        <w:t>, in: T&amp;C BW 1992, art. 6:101 BW, aant 1. (online, bijgewerkt op 15 februari 2021).</w:t>
      </w:r>
    </w:p>
    <w:p w14:paraId="59FB6A7C" w14:textId="6262BF45" w:rsidR="004D368E" w:rsidRPr="00E33A5B" w:rsidRDefault="004D368E" w:rsidP="004D368E">
      <w:pPr>
        <w:pStyle w:val="Geenafstand"/>
        <w:rPr>
          <w:rStyle w:val="Zwaar"/>
          <w:rFonts w:ascii="Verdana" w:hAnsi="Verdana"/>
          <w:b w:val="0"/>
          <w:iCs/>
          <w:color w:val="000000"/>
          <w:sz w:val="20"/>
          <w:szCs w:val="20"/>
        </w:rPr>
      </w:pPr>
      <w:r w:rsidRPr="00E33A5B">
        <w:rPr>
          <w:rStyle w:val="Zwaar"/>
          <w:rFonts w:ascii="Verdana" w:hAnsi="Verdana"/>
          <w:iCs/>
          <w:color w:val="000000"/>
          <w:sz w:val="20"/>
          <w:szCs w:val="20"/>
        </w:rPr>
        <w:t>Loos, TvC 2019, p. 108-109</w:t>
      </w:r>
      <w:r w:rsidRPr="00E33A5B">
        <w:rPr>
          <w:rStyle w:val="Zwaar"/>
          <w:rFonts w:ascii="Verdana" w:hAnsi="Verdana"/>
          <w:iCs/>
          <w:color w:val="000000"/>
          <w:sz w:val="20"/>
          <w:szCs w:val="20"/>
        </w:rPr>
        <w:br/>
      </w:r>
      <w:r w:rsidRPr="00E33A5B">
        <w:rPr>
          <w:rStyle w:val="Zwaar"/>
          <w:rFonts w:ascii="Verdana" w:hAnsi="Verdana"/>
          <w:b w:val="0"/>
          <w:bCs w:val="0"/>
          <w:iCs/>
          <w:color w:val="000000"/>
          <w:sz w:val="20"/>
          <w:szCs w:val="20"/>
        </w:rPr>
        <w:t xml:space="preserve">M.B.M. Loos, ‘Herziening regelingen kooprecht en digitale inhoud aanstaande´, </w:t>
      </w:r>
      <w:r w:rsidRPr="00E33A5B">
        <w:rPr>
          <w:rStyle w:val="Zwaar"/>
          <w:rFonts w:ascii="Verdana" w:hAnsi="Verdana"/>
          <w:b w:val="0"/>
          <w:bCs w:val="0"/>
          <w:i/>
          <w:color w:val="000000"/>
          <w:sz w:val="20"/>
          <w:szCs w:val="20"/>
        </w:rPr>
        <w:t xml:space="preserve">TvC 2019, </w:t>
      </w:r>
      <w:r w:rsidRPr="00E33A5B">
        <w:rPr>
          <w:rStyle w:val="Zwaar"/>
          <w:rFonts w:ascii="Verdana" w:hAnsi="Verdana"/>
          <w:b w:val="0"/>
          <w:bCs w:val="0"/>
          <w:iCs/>
          <w:color w:val="000000"/>
          <w:sz w:val="20"/>
          <w:szCs w:val="20"/>
        </w:rPr>
        <w:t>afl. 3, p.108-109.</w:t>
      </w:r>
      <w:r w:rsidRPr="00E33A5B">
        <w:rPr>
          <w:rStyle w:val="Zwaar"/>
          <w:rFonts w:ascii="Verdana" w:hAnsi="Verdana"/>
          <w:iCs/>
          <w:color w:val="000000"/>
          <w:sz w:val="20"/>
          <w:szCs w:val="20"/>
        </w:rPr>
        <w:t xml:space="preserve"> </w:t>
      </w:r>
      <w:r w:rsidRPr="00E33A5B">
        <w:rPr>
          <w:rStyle w:val="Zwaar"/>
          <w:rFonts w:ascii="Verdana" w:hAnsi="Verdana"/>
          <w:b w:val="0"/>
          <w:iCs/>
          <w:color w:val="000000"/>
          <w:sz w:val="20"/>
          <w:szCs w:val="20"/>
        </w:rPr>
        <w:br/>
      </w:r>
    </w:p>
    <w:p w14:paraId="1D30FFE0" w14:textId="77777777" w:rsidR="004D368E" w:rsidRPr="00E33A5B" w:rsidRDefault="004D368E" w:rsidP="004D368E">
      <w:pPr>
        <w:pStyle w:val="Geenafstand"/>
        <w:rPr>
          <w:rStyle w:val="Zwaar"/>
          <w:rFonts w:ascii="Verdana" w:hAnsi="Verdana"/>
          <w:b w:val="0"/>
          <w:iCs/>
          <w:color w:val="000000"/>
          <w:sz w:val="20"/>
          <w:szCs w:val="20"/>
        </w:rPr>
      </w:pPr>
      <w:r w:rsidRPr="00E33A5B">
        <w:rPr>
          <w:rStyle w:val="Zwaar"/>
          <w:rFonts w:ascii="Verdana" w:hAnsi="Verdana"/>
          <w:bCs w:val="0"/>
          <w:iCs/>
          <w:color w:val="000000"/>
          <w:sz w:val="20"/>
          <w:szCs w:val="20"/>
        </w:rPr>
        <w:t xml:space="preserve">Miele </w:t>
      </w:r>
      <w:proofErr w:type="spellStart"/>
      <w:r w:rsidRPr="00E33A5B">
        <w:rPr>
          <w:rStyle w:val="Zwaar"/>
          <w:rFonts w:ascii="Verdana" w:hAnsi="Verdana"/>
          <w:bCs w:val="0"/>
          <w:iCs/>
          <w:color w:val="000000"/>
          <w:sz w:val="20"/>
          <w:szCs w:val="20"/>
        </w:rPr>
        <w:t>z.d.</w:t>
      </w:r>
      <w:proofErr w:type="spellEnd"/>
      <w:r w:rsidRPr="00E33A5B">
        <w:rPr>
          <w:rStyle w:val="Zwaar"/>
          <w:rFonts w:ascii="Verdana" w:hAnsi="Verdana"/>
          <w:bCs w:val="0"/>
          <w:iCs/>
          <w:color w:val="000000"/>
          <w:sz w:val="20"/>
          <w:szCs w:val="20"/>
        </w:rPr>
        <w:t xml:space="preserve"> </w:t>
      </w:r>
      <w:r w:rsidRPr="00E33A5B">
        <w:rPr>
          <w:rStyle w:val="Zwaar"/>
          <w:rFonts w:ascii="Verdana" w:hAnsi="Verdana"/>
          <w:bCs w:val="0"/>
          <w:iCs/>
          <w:color w:val="000000"/>
          <w:sz w:val="20"/>
          <w:szCs w:val="20"/>
        </w:rPr>
        <w:br/>
      </w:r>
      <w:r w:rsidRPr="00E33A5B">
        <w:rPr>
          <w:rStyle w:val="Zwaar"/>
          <w:rFonts w:ascii="Verdana" w:hAnsi="Verdana"/>
          <w:b w:val="0"/>
          <w:iCs/>
          <w:color w:val="000000"/>
          <w:sz w:val="20"/>
          <w:szCs w:val="20"/>
        </w:rPr>
        <w:t xml:space="preserve">Miele, </w:t>
      </w:r>
      <w:r w:rsidRPr="00E33A5B">
        <w:rPr>
          <w:rStyle w:val="Zwaar"/>
          <w:rFonts w:ascii="Verdana" w:hAnsi="Verdana"/>
          <w:b w:val="0"/>
          <w:i/>
          <w:color w:val="000000"/>
          <w:sz w:val="20"/>
          <w:szCs w:val="20"/>
        </w:rPr>
        <w:t>´Service volgens Miele´,</w:t>
      </w:r>
      <w:r w:rsidRPr="00E33A5B">
        <w:rPr>
          <w:rStyle w:val="Zwaar"/>
          <w:rFonts w:ascii="Verdana" w:hAnsi="Verdana"/>
          <w:b w:val="0"/>
          <w:iCs/>
          <w:color w:val="000000"/>
          <w:sz w:val="20"/>
          <w:szCs w:val="20"/>
        </w:rPr>
        <w:t xml:space="preserve"> miele.nl (Klik op Garantie en servicepakketten), geraadpleegd op 24 maart 2021.  </w:t>
      </w:r>
    </w:p>
    <w:p w14:paraId="7BD4EC45" w14:textId="77777777" w:rsidR="004D368E" w:rsidRPr="00E33A5B" w:rsidRDefault="004D368E" w:rsidP="004D368E">
      <w:pPr>
        <w:pStyle w:val="Voetnoottekst"/>
        <w:jc w:val="left"/>
      </w:pPr>
    </w:p>
    <w:p w14:paraId="3279003D" w14:textId="77777777" w:rsidR="004D368E" w:rsidRPr="00E33A5B" w:rsidRDefault="004D368E" w:rsidP="004D368E">
      <w:pPr>
        <w:pStyle w:val="Geenafstand"/>
        <w:rPr>
          <w:rFonts w:ascii="Verdana" w:hAnsi="Verdana"/>
          <w:b/>
          <w:sz w:val="20"/>
          <w:szCs w:val="20"/>
        </w:rPr>
      </w:pPr>
      <w:r w:rsidRPr="00E33A5B">
        <w:rPr>
          <w:rFonts w:ascii="Verdana" w:hAnsi="Verdana"/>
          <w:b/>
          <w:sz w:val="20"/>
          <w:szCs w:val="20"/>
        </w:rPr>
        <w:t>Spanjaard, Contracteren 2019, p. 115-120</w:t>
      </w:r>
    </w:p>
    <w:p w14:paraId="670AF0A9" w14:textId="77777777" w:rsidR="004D368E" w:rsidRPr="00E33A5B" w:rsidRDefault="004D368E" w:rsidP="004D368E">
      <w:pPr>
        <w:pStyle w:val="Geenafstand"/>
        <w:rPr>
          <w:rStyle w:val="Zwaar"/>
          <w:rFonts w:ascii="Verdana" w:hAnsi="Verdana"/>
          <w:b w:val="0"/>
          <w:i/>
          <w:color w:val="000000"/>
          <w:sz w:val="20"/>
          <w:szCs w:val="20"/>
        </w:rPr>
      </w:pPr>
      <w:r w:rsidRPr="00E33A5B">
        <w:rPr>
          <w:rFonts w:ascii="Verdana" w:hAnsi="Verdana"/>
          <w:sz w:val="20"/>
          <w:szCs w:val="20"/>
        </w:rPr>
        <w:t>J.H.M. Spanjaard,</w:t>
      </w:r>
      <w:r w:rsidRPr="00E33A5B">
        <w:rPr>
          <w:rFonts w:ascii="Verdana" w:hAnsi="Verdana"/>
          <w:b/>
          <w:bCs/>
          <w:sz w:val="20"/>
          <w:szCs w:val="20"/>
        </w:rPr>
        <w:t xml:space="preserve"> ‘</w:t>
      </w:r>
      <w:r w:rsidRPr="00E33A5B">
        <w:rPr>
          <w:rStyle w:val="Zwaar"/>
          <w:rFonts w:ascii="Verdana" w:hAnsi="Verdana"/>
          <w:b w:val="0"/>
          <w:bCs w:val="0"/>
          <w:color w:val="000000"/>
          <w:sz w:val="20"/>
          <w:szCs w:val="20"/>
        </w:rPr>
        <w:t xml:space="preserve">Herziening consumentenrechten: verkenning van Richtlijn 2019/771’, </w:t>
      </w:r>
      <w:r w:rsidRPr="00E33A5B">
        <w:rPr>
          <w:rStyle w:val="Zwaar"/>
          <w:rFonts w:ascii="Verdana" w:hAnsi="Verdana"/>
          <w:b w:val="0"/>
          <w:bCs w:val="0"/>
          <w:i/>
          <w:color w:val="000000"/>
          <w:sz w:val="20"/>
          <w:szCs w:val="20"/>
        </w:rPr>
        <w:t xml:space="preserve">Contracteren </w:t>
      </w:r>
      <w:r w:rsidRPr="00E33A5B">
        <w:rPr>
          <w:rStyle w:val="Zwaar"/>
          <w:rFonts w:ascii="Verdana" w:hAnsi="Verdana"/>
          <w:b w:val="0"/>
          <w:bCs w:val="0"/>
          <w:color w:val="000000"/>
          <w:sz w:val="20"/>
          <w:szCs w:val="20"/>
        </w:rPr>
        <w:t>2019</w:t>
      </w:r>
      <w:r w:rsidRPr="00E33A5B">
        <w:rPr>
          <w:rStyle w:val="Zwaar"/>
          <w:rFonts w:ascii="Verdana" w:hAnsi="Verdana"/>
          <w:b w:val="0"/>
          <w:bCs w:val="0"/>
          <w:i/>
          <w:color w:val="000000"/>
          <w:sz w:val="20"/>
          <w:szCs w:val="20"/>
        </w:rPr>
        <w:t>, afl. 3, p. 115-120.</w:t>
      </w:r>
    </w:p>
    <w:p w14:paraId="29BF6EB2" w14:textId="77777777" w:rsidR="004D368E" w:rsidRPr="00E33A5B" w:rsidRDefault="004D368E" w:rsidP="004D368E">
      <w:pPr>
        <w:pStyle w:val="Geenafstand"/>
        <w:rPr>
          <w:rStyle w:val="Zwaar"/>
          <w:rFonts w:ascii="Verdana" w:hAnsi="Verdana"/>
          <w:b w:val="0"/>
          <w:iCs/>
          <w:color w:val="000000"/>
          <w:sz w:val="20"/>
          <w:szCs w:val="20"/>
        </w:rPr>
      </w:pPr>
    </w:p>
    <w:p w14:paraId="30065A56" w14:textId="77777777" w:rsidR="004D368E" w:rsidRPr="00E33A5B" w:rsidRDefault="004D368E" w:rsidP="004D368E">
      <w:pPr>
        <w:pStyle w:val="Voetnoottekst"/>
        <w:jc w:val="left"/>
        <w:rPr>
          <w:b/>
          <w:bCs/>
        </w:rPr>
      </w:pPr>
      <w:r w:rsidRPr="00E33A5B">
        <w:rPr>
          <w:b/>
          <w:bCs/>
        </w:rPr>
        <w:t>Tamboer &amp; Loos 2015</w:t>
      </w:r>
    </w:p>
    <w:p w14:paraId="7EC46D81" w14:textId="6FA82F5D" w:rsidR="004D368E" w:rsidRPr="00E33A5B" w:rsidRDefault="004D368E" w:rsidP="004D368E">
      <w:pPr>
        <w:pStyle w:val="Voetnoottekst"/>
        <w:jc w:val="left"/>
      </w:pPr>
      <w:r w:rsidRPr="00E33A5B">
        <w:t xml:space="preserve">S. Tamboer &amp; M.B.M. Loos, </w:t>
      </w:r>
      <w:r w:rsidRPr="00E33A5B">
        <w:rPr>
          <w:i/>
          <w:iCs/>
        </w:rPr>
        <w:t>Consumentenkoop¸</w:t>
      </w:r>
      <w:r w:rsidRPr="00E33A5B">
        <w:t xml:space="preserve"> Den Haag: Boom Juridisch 2015, p. 41 &amp; 49.</w:t>
      </w:r>
    </w:p>
    <w:p w14:paraId="50A9ED04" w14:textId="77777777" w:rsidR="004D368E" w:rsidRPr="00E33A5B" w:rsidRDefault="004D368E" w:rsidP="004D368E">
      <w:pPr>
        <w:pStyle w:val="Voetnoottekst"/>
        <w:jc w:val="left"/>
      </w:pPr>
    </w:p>
    <w:p w14:paraId="21F695BC" w14:textId="77777777" w:rsidR="004D368E" w:rsidRPr="00E33A5B" w:rsidRDefault="004D368E" w:rsidP="004D368E">
      <w:pPr>
        <w:pStyle w:val="Geenafstand"/>
        <w:rPr>
          <w:rFonts w:ascii="Verdana" w:hAnsi="Verdana"/>
          <w:sz w:val="20"/>
          <w:szCs w:val="20"/>
        </w:rPr>
      </w:pPr>
      <w:r w:rsidRPr="00E33A5B">
        <w:rPr>
          <w:rFonts w:ascii="Verdana" w:hAnsi="Verdana"/>
          <w:b/>
          <w:bCs/>
          <w:sz w:val="20"/>
          <w:szCs w:val="20"/>
        </w:rPr>
        <w:lastRenderedPageBreak/>
        <w:t xml:space="preserve">Techniek Nederland </w:t>
      </w:r>
      <w:proofErr w:type="spellStart"/>
      <w:r w:rsidRPr="00E33A5B">
        <w:rPr>
          <w:rFonts w:ascii="Verdana" w:hAnsi="Verdana"/>
          <w:b/>
          <w:bCs/>
          <w:sz w:val="20"/>
          <w:szCs w:val="20"/>
        </w:rPr>
        <w:t>z.d.</w:t>
      </w:r>
      <w:proofErr w:type="spellEnd"/>
      <w:r w:rsidRPr="00E33A5B">
        <w:rPr>
          <w:rFonts w:ascii="Verdana" w:hAnsi="Verdana"/>
          <w:b/>
          <w:bCs/>
          <w:sz w:val="20"/>
          <w:szCs w:val="20"/>
        </w:rPr>
        <w:t xml:space="preserve"> </w:t>
      </w:r>
      <w:r w:rsidRPr="00E33A5B">
        <w:rPr>
          <w:rFonts w:ascii="Verdana" w:hAnsi="Verdana"/>
          <w:b/>
          <w:bCs/>
          <w:sz w:val="20"/>
          <w:szCs w:val="20"/>
        </w:rPr>
        <w:br/>
      </w:r>
      <w:r w:rsidRPr="00E33A5B">
        <w:rPr>
          <w:rFonts w:ascii="Verdana" w:hAnsi="Verdana"/>
          <w:sz w:val="20"/>
          <w:szCs w:val="20"/>
        </w:rPr>
        <w:t xml:space="preserve">Techniek Nederland, ‘UNETO-VNI Tabel met gemiddelde gebruiksduurverwachtingen’, geraadpleegd op 2 april 2022, op technieknederland.nl. </w:t>
      </w:r>
    </w:p>
    <w:p w14:paraId="0BDB1AA0" w14:textId="77777777" w:rsidR="004D368E" w:rsidRPr="00E33A5B" w:rsidRDefault="004D368E" w:rsidP="004D368E">
      <w:pPr>
        <w:pStyle w:val="Geenafstand"/>
        <w:rPr>
          <w:rFonts w:ascii="Verdana" w:hAnsi="Verdana"/>
          <w:sz w:val="20"/>
          <w:szCs w:val="20"/>
        </w:rPr>
      </w:pPr>
    </w:p>
    <w:p w14:paraId="6F9930FB" w14:textId="77777777" w:rsidR="004D368E" w:rsidRPr="00E33A5B" w:rsidRDefault="004D368E" w:rsidP="004D368E">
      <w:pPr>
        <w:pStyle w:val="Geenafstand"/>
        <w:rPr>
          <w:rFonts w:ascii="Verdana" w:hAnsi="Verdana"/>
          <w:b/>
          <w:sz w:val="20"/>
          <w:szCs w:val="20"/>
        </w:rPr>
      </w:pPr>
      <w:r w:rsidRPr="00E33A5B">
        <w:rPr>
          <w:rFonts w:ascii="Verdana" w:hAnsi="Verdana"/>
          <w:b/>
          <w:sz w:val="20"/>
          <w:szCs w:val="20"/>
        </w:rPr>
        <w:t>Tweede Kamer, 16 februari 2021</w:t>
      </w:r>
    </w:p>
    <w:p w14:paraId="669E12D0" w14:textId="2455A5A8" w:rsidR="004D368E" w:rsidRPr="00E33A5B" w:rsidRDefault="004D368E" w:rsidP="004D368E">
      <w:pPr>
        <w:pStyle w:val="Voetnoottekst"/>
        <w:jc w:val="left"/>
      </w:pPr>
      <w:r w:rsidRPr="00E33A5B">
        <w:t xml:space="preserve">Tweede Kamer, ‘Implementatiewet Richtlijn 2019/771 en Richtlijn 2019/770’, 16 februari 2021 (klik op </w:t>
      </w:r>
      <w:r w:rsidRPr="00E33A5B">
        <w:rPr>
          <w:i/>
          <w:iCs/>
        </w:rPr>
        <w:t xml:space="preserve">wetsvoorstellen, </w:t>
      </w:r>
      <w:r w:rsidRPr="00E33A5B">
        <w:t xml:space="preserve">zoek op </w:t>
      </w:r>
      <w:r w:rsidRPr="00E33A5B">
        <w:rPr>
          <w:i/>
          <w:iCs/>
        </w:rPr>
        <w:t>35734-3</w:t>
      </w:r>
      <w:r w:rsidRPr="00E33A5B">
        <w:t xml:space="preserve">), tweedekamer.nl. </w:t>
      </w:r>
    </w:p>
    <w:p w14:paraId="59449146" w14:textId="77777777" w:rsidR="004D368E" w:rsidRPr="00E33A5B" w:rsidRDefault="004D368E" w:rsidP="004D368E">
      <w:pPr>
        <w:pStyle w:val="Geenafstand"/>
        <w:rPr>
          <w:rFonts w:ascii="Verdana" w:hAnsi="Verdana"/>
          <w:sz w:val="20"/>
          <w:szCs w:val="20"/>
        </w:rPr>
      </w:pPr>
      <w:r w:rsidRPr="00E33A5B">
        <w:rPr>
          <w:rStyle w:val="Zwaar"/>
          <w:rFonts w:ascii="Verdana" w:hAnsi="Verdana"/>
          <w:iCs/>
          <w:color w:val="000000"/>
          <w:sz w:val="20"/>
          <w:szCs w:val="20"/>
        </w:rPr>
        <w:br/>
      </w:r>
      <w:r w:rsidRPr="00E33A5B">
        <w:rPr>
          <w:rFonts w:ascii="Verdana" w:hAnsi="Verdana"/>
          <w:b/>
          <w:bCs/>
          <w:sz w:val="20"/>
          <w:szCs w:val="20"/>
        </w:rPr>
        <w:t xml:space="preserve">Van Rossum, in: </w:t>
      </w:r>
      <w:r w:rsidRPr="00E33A5B">
        <w:rPr>
          <w:rFonts w:ascii="Verdana" w:hAnsi="Verdana"/>
          <w:b/>
          <w:bCs/>
          <w:i/>
          <w:iCs/>
          <w:sz w:val="20"/>
          <w:szCs w:val="20"/>
        </w:rPr>
        <w:t>GS Bijzondere overeenkomsten</w:t>
      </w:r>
      <w:r w:rsidRPr="00E33A5B">
        <w:rPr>
          <w:rFonts w:ascii="Verdana" w:hAnsi="Verdana"/>
          <w:b/>
          <w:bCs/>
          <w:i/>
          <w:iCs/>
          <w:sz w:val="20"/>
          <w:szCs w:val="20"/>
        </w:rPr>
        <w:br/>
      </w:r>
      <w:r w:rsidRPr="00E33A5B">
        <w:rPr>
          <w:rFonts w:ascii="Verdana" w:hAnsi="Verdana"/>
          <w:sz w:val="20"/>
          <w:szCs w:val="20"/>
        </w:rPr>
        <w:t xml:space="preserve">M.M. van Rossum, commentaar op art. 7:21, in: </w:t>
      </w:r>
      <w:r w:rsidRPr="00E33A5B">
        <w:rPr>
          <w:rFonts w:ascii="Verdana" w:hAnsi="Verdana"/>
          <w:i/>
          <w:iCs/>
          <w:sz w:val="20"/>
          <w:szCs w:val="20"/>
        </w:rPr>
        <w:t>Groene Serie Bijzondere overeenkomsten</w:t>
      </w:r>
      <w:r w:rsidRPr="00E33A5B">
        <w:rPr>
          <w:rFonts w:ascii="Verdana" w:hAnsi="Verdana"/>
          <w:sz w:val="20"/>
          <w:szCs w:val="20"/>
        </w:rPr>
        <w:t xml:space="preserve">, Deventer: Wolters Kluwer, aant. 2 &amp; 11. </w:t>
      </w:r>
      <w:r w:rsidRPr="00E33A5B">
        <w:rPr>
          <w:rFonts w:ascii="Verdana" w:hAnsi="Verdana"/>
          <w:sz w:val="20"/>
          <w:szCs w:val="20"/>
        </w:rPr>
        <w:br/>
      </w:r>
    </w:p>
    <w:p w14:paraId="368610DC" w14:textId="690B129A" w:rsidR="004D368E" w:rsidRDefault="004D368E" w:rsidP="00A65417">
      <w:pPr>
        <w:pStyle w:val="Kop2"/>
        <w:pBdr>
          <w:bottom w:val="single" w:sz="6" w:space="1" w:color="auto"/>
        </w:pBdr>
      </w:pPr>
      <w:bookmarkStart w:id="73" w:name="_Toc72576317"/>
      <w:r w:rsidRPr="00E33A5B">
        <w:t>Overige bronnen</w:t>
      </w:r>
      <w:bookmarkEnd w:id="73"/>
    </w:p>
    <w:p w14:paraId="01F8B8F5" w14:textId="43B2AC5D" w:rsidR="00F2300F" w:rsidRDefault="00A65417" w:rsidP="004D368E">
      <w:pPr>
        <w:spacing w:after="0"/>
        <w:jc w:val="left"/>
        <w:rPr>
          <w:b/>
          <w:bCs/>
          <w:sz w:val="24"/>
          <w:szCs w:val="24"/>
        </w:rPr>
      </w:pPr>
      <w:r>
        <w:br/>
      </w:r>
      <w:r w:rsidR="004D368E" w:rsidRPr="00E33A5B">
        <w:rPr>
          <w:bCs/>
          <w:szCs w:val="20"/>
        </w:rPr>
        <w:t xml:space="preserve">Algemene polisvoorwaarden (10-2020) – </w:t>
      </w:r>
      <w:r w:rsidR="00DC68A1" w:rsidRPr="000C446C">
        <w:rPr>
          <w:b/>
          <w:bCs/>
          <w:sz w:val="24"/>
          <w:szCs w:val="24"/>
        </w:rPr>
        <w:t>XXX</w:t>
      </w:r>
    </w:p>
    <w:p w14:paraId="388B4E2B" w14:textId="77777777" w:rsidR="00DC68A1" w:rsidRDefault="00DC68A1" w:rsidP="004D368E">
      <w:pPr>
        <w:spacing w:after="0"/>
        <w:jc w:val="left"/>
        <w:rPr>
          <w:bCs/>
          <w:szCs w:val="20"/>
        </w:rPr>
      </w:pPr>
    </w:p>
    <w:p w14:paraId="0514DB04" w14:textId="78DDDE04" w:rsidR="004D368E" w:rsidRPr="00E33A5B" w:rsidRDefault="004D368E" w:rsidP="004D368E">
      <w:pPr>
        <w:spacing w:after="0"/>
        <w:jc w:val="left"/>
        <w:rPr>
          <w:bCs/>
          <w:szCs w:val="20"/>
        </w:rPr>
      </w:pPr>
      <w:r w:rsidRPr="00E33A5B">
        <w:rPr>
          <w:bCs/>
          <w:szCs w:val="20"/>
        </w:rPr>
        <w:t xml:space="preserve">Bijzondere polisvoorwaarden 122 (01-2018) – </w:t>
      </w:r>
      <w:r w:rsidR="00DC68A1" w:rsidRPr="000C446C">
        <w:rPr>
          <w:b/>
          <w:bCs/>
          <w:sz w:val="24"/>
          <w:szCs w:val="24"/>
        </w:rPr>
        <w:t>XXX</w:t>
      </w:r>
    </w:p>
    <w:p w14:paraId="0C22E406" w14:textId="77777777" w:rsidR="004D368E" w:rsidRPr="00E33A5B" w:rsidRDefault="004D368E" w:rsidP="004D368E">
      <w:pPr>
        <w:spacing w:after="0"/>
        <w:jc w:val="left"/>
        <w:rPr>
          <w:bCs/>
          <w:szCs w:val="20"/>
        </w:rPr>
      </w:pPr>
    </w:p>
    <w:p w14:paraId="31927D2B" w14:textId="5115722D" w:rsidR="004D368E" w:rsidRPr="00E33A5B" w:rsidRDefault="004D368E" w:rsidP="004D368E">
      <w:pPr>
        <w:spacing w:after="0"/>
        <w:jc w:val="left"/>
        <w:rPr>
          <w:bCs/>
          <w:szCs w:val="20"/>
        </w:rPr>
      </w:pPr>
      <w:r w:rsidRPr="00E33A5B">
        <w:rPr>
          <w:szCs w:val="20"/>
        </w:rPr>
        <w:t>Geschillencommissie Webshop, nr. 116691, 5 juni 2018.</w:t>
      </w:r>
      <w:r w:rsidRPr="00E33A5B">
        <w:rPr>
          <w:szCs w:val="20"/>
        </w:rPr>
        <w:br/>
      </w:r>
    </w:p>
    <w:p w14:paraId="5BD89CEE" w14:textId="3ECA1B70" w:rsidR="004D368E" w:rsidRPr="00E33A5B" w:rsidRDefault="004D368E" w:rsidP="004D368E">
      <w:pPr>
        <w:pStyle w:val="Voetnoottekst"/>
        <w:jc w:val="left"/>
      </w:pPr>
      <w:r w:rsidRPr="00E33A5B">
        <w:t>HvJ EU 23 mei 2019, zaak C 52/18,  ECLI:EU:C:2019:447.</w:t>
      </w:r>
    </w:p>
    <w:p w14:paraId="20094D26" w14:textId="77777777" w:rsidR="004D368E" w:rsidRPr="00E33A5B" w:rsidRDefault="004D368E" w:rsidP="004D368E">
      <w:pPr>
        <w:pStyle w:val="Voetnoottekst"/>
        <w:jc w:val="left"/>
      </w:pPr>
    </w:p>
    <w:p w14:paraId="1FE179DB" w14:textId="6A8B7186" w:rsidR="004D368E" w:rsidRPr="00E33A5B" w:rsidRDefault="004D368E" w:rsidP="004D368E">
      <w:pPr>
        <w:pStyle w:val="Voetnoottekst"/>
        <w:jc w:val="left"/>
      </w:pPr>
      <w:r w:rsidRPr="00E33A5B">
        <w:t>HvJ EU 4 juni 2015, C-497/13, ECLI:EU:C:2015:357.</w:t>
      </w:r>
      <w:r w:rsidRPr="00E33A5B">
        <w:br/>
      </w:r>
    </w:p>
    <w:p w14:paraId="280C923D" w14:textId="028F19B8" w:rsidR="004D368E" w:rsidRPr="00E33A5B" w:rsidRDefault="004D368E" w:rsidP="004D368E">
      <w:pPr>
        <w:pStyle w:val="Voetnoottekst"/>
        <w:jc w:val="left"/>
      </w:pPr>
      <w:r w:rsidRPr="00E33A5B">
        <w:t>HvJ EU 17 april 2008, ECLI:EU:C:2008:231.</w:t>
      </w:r>
    </w:p>
    <w:p w14:paraId="0552F32C" w14:textId="77777777" w:rsidR="004D368E" w:rsidRPr="00E33A5B" w:rsidRDefault="004D368E" w:rsidP="004D368E">
      <w:pPr>
        <w:pStyle w:val="Voetnoottekst"/>
        <w:jc w:val="left"/>
      </w:pPr>
    </w:p>
    <w:p w14:paraId="5A479DA0" w14:textId="77777777" w:rsidR="004D368E" w:rsidRPr="00E33A5B" w:rsidRDefault="004D368E" w:rsidP="004D368E">
      <w:pPr>
        <w:pStyle w:val="Voetnoottekst"/>
        <w:jc w:val="left"/>
      </w:pPr>
      <w:r w:rsidRPr="00E33A5B">
        <w:t>HvJ EU 20 januari 2005, ELCLI:EU:C:2005:32.</w:t>
      </w:r>
    </w:p>
    <w:p w14:paraId="0876D746" w14:textId="77777777" w:rsidR="004D368E" w:rsidRPr="00E33A5B" w:rsidRDefault="004D368E" w:rsidP="004D368E">
      <w:pPr>
        <w:pStyle w:val="Voetnoottekst"/>
        <w:jc w:val="left"/>
      </w:pPr>
    </w:p>
    <w:p w14:paraId="522D4B3B" w14:textId="77777777" w:rsidR="004D368E" w:rsidRPr="00E33A5B" w:rsidRDefault="004D368E" w:rsidP="004D368E">
      <w:pPr>
        <w:pStyle w:val="Voetnoottekst"/>
        <w:jc w:val="left"/>
      </w:pPr>
      <w:r w:rsidRPr="00E33A5B">
        <w:t>HvJ EG, 18 december 1997, ECLI:EU:C:1997:628.</w:t>
      </w:r>
    </w:p>
    <w:p w14:paraId="2EABF61E" w14:textId="77777777" w:rsidR="004D368E" w:rsidRPr="00E33A5B" w:rsidRDefault="004D368E" w:rsidP="004D368E">
      <w:pPr>
        <w:pStyle w:val="Voetnoottekst"/>
        <w:jc w:val="left"/>
      </w:pPr>
    </w:p>
    <w:p w14:paraId="160DB504" w14:textId="77777777" w:rsidR="004D368E" w:rsidRPr="00E33A5B" w:rsidRDefault="004D368E" w:rsidP="004D368E">
      <w:pPr>
        <w:pStyle w:val="Voetnoottekst"/>
        <w:jc w:val="left"/>
      </w:pPr>
      <w:r w:rsidRPr="00E33A5B">
        <w:t>HR 16 december 2016, ECLI:NL:HR:2016:2885.</w:t>
      </w:r>
      <w:r w:rsidRPr="00E33A5B">
        <w:br/>
      </w:r>
    </w:p>
    <w:p w14:paraId="26E6254F" w14:textId="77777777" w:rsidR="004D368E" w:rsidRPr="00E33A5B" w:rsidRDefault="004D368E" w:rsidP="004D368E">
      <w:pPr>
        <w:pStyle w:val="Voetnoottekst"/>
        <w:jc w:val="left"/>
      </w:pPr>
      <w:r w:rsidRPr="00E33A5B">
        <w:t>Hof Arnhem, 20 maart 2012, ECLI:NL:GHARN:2012:BV9647.</w:t>
      </w:r>
      <w:r w:rsidRPr="00E33A5B">
        <w:br/>
      </w:r>
    </w:p>
    <w:p w14:paraId="66320CC8" w14:textId="77777777" w:rsidR="004D368E" w:rsidRPr="00E33A5B" w:rsidRDefault="004D368E" w:rsidP="004D368E">
      <w:pPr>
        <w:jc w:val="left"/>
        <w:rPr>
          <w:szCs w:val="20"/>
        </w:rPr>
      </w:pPr>
      <w:r w:rsidRPr="00E33A5B">
        <w:rPr>
          <w:i/>
          <w:szCs w:val="20"/>
        </w:rPr>
        <w:t>Kamerstukken II</w:t>
      </w:r>
      <w:r w:rsidRPr="00E33A5B">
        <w:rPr>
          <w:szCs w:val="20"/>
        </w:rPr>
        <w:t>, 2020/21, 35734, nr. 3, p. 4,6,9,31, 33, 60-66. (MvT).</w:t>
      </w:r>
    </w:p>
    <w:p w14:paraId="292140A1" w14:textId="737D2B29" w:rsidR="004D368E" w:rsidRDefault="004D368E" w:rsidP="004D368E">
      <w:pPr>
        <w:jc w:val="left"/>
        <w:rPr>
          <w:szCs w:val="20"/>
        </w:rPr>
      </w:pPr>
      <w:r w:rsidRPr="00E33A5B">
        <w:rPr>
          <w:i/>
          <w:iCs/>
          <w:szCs w:val="20"/>
        </w:rPr>
        <w:t>Kamerstukken II,</w:t>
      </w:r>
      <w:r w:rsidRPr="00E33A5B">
        <w:rPr>
          <w:szCs w:val="20"/>
        </w:rPr>
        <w:t xml:space="preserve"> 2020/21, 35734, nr. 2, p. 3, 6.</w:t>
      </w:r>
      <w:r w:rsidR="003C3EA3">
        <w:rPr>
          <w:szCs w:val="20"/>
        </w:rPr>
        <w:t>-</w:t>
      </w:r>
    </w:p>
    <w:p w14:paraId="0187F1F6" w14:textId="7F7D1EE9" w:rsidR="003C3EA3" w:rsidRDefault="003C3EA3" w:rsidP="003C3EA3">
      <w:pPr>
        <w:jc w:val="left"/>
        <w:rPr>
          <w:szCs w:val="20"/>
        </w:rPr>
      </w:pPr>
      <w:r w:rsidRPr="00E33A5B">
        <w:rPr>
          <w:i/>
          <w:szCs w:val="20"/>
        </w:rPr>
        <w:t>Kamerstukken II</w:t>
      </w:r>
      <w:r w:rsidRPr="00E33A5B">
        <w:rPr>
          <w:szCs w:val="20"/>
        </w:rPr>
        <w:t>, 2020/21, 35734, nr. 1.</w:t>
      </w:r>
      <w:r>
        <w:rPr>
          <w:szCs w:val="20"/>
        </w:rPr>
        <w:t xml:space="preserve"> </w:t>
      </w:r>
    </w:p>
    <w:p w14:paraId="7BB93082" w14:textId="77777777" w:rsidR="004D368E" w:rsidRPr="00E33A5B" w:rsidRDefault="004D368E" w:rsidP="004D368E">
      <w:pPr>
        <w:jc w:val="left"/>
        <w:rPr>
          <w:szCs w:val="20"/>
        </w:rPr>
      </w:pPr>
      <w:r w:rsidRPr="00E33A5B">
        <w:rPr>
          <w:szCs w:val="20"/>
        </w:rPr>
        <w:t>Mededeling van de Commissie aan het Europees Parlement, de Raad, Het Europees Economisch en Sociaal Comité en het Comité van de Regio’s, Com (2015) 192def., punt 1 &amp; 4.</w:t>
      </w:r>
    </w:p>
    <w:p w14:paraId="74F72D39" w14:textId="77777777" w:rsidR="004D368E" w:rsidRPr="00E33A5B" w:rsidRDefault="004D368E" w:rsidP="004D368E">
      <w:pPr>
        <w:spacing w:line="276" w:lineRule="auto"/>
        <w:jc w:val="left"/>
        <w:rPr>
          <w:szCs w:val="20"/>
        </w:rPr>
      </w:pPr>
      <w:r w:rsidRPr="00E33A5B">
        <w:rPr>
          <w:szCs w:val="20"/>
        </w:rPr>
        <w:t>Rb. Rotterdam, 25 oktober 2019, ECLI:NL:RBROT:8355.</w:t>
      </w:r>
    </w:p>
    <w:p w14:paraId="6581515D" w14:textId="77777777" w:rsidR="004D368E" w:rsidRPr="00E33A5B" w:rsidRDefault="004D368E" w:rsidP="004D368E">
      <w:pPr>
        <w:pStyle w:val="Voetnoottekst"/>
        <w:jc w:val="left"/>
      </w:pPr>
      <w:r w:rsidRPr="00E33A5B">
        <w:t>Voorstel voor een Verordening van het Europees Parlement en de Raad betreffende een gemeenschappelijk Europees Kooprecht, COM (2011) 635def., p. 2-5.</w:t>
      </w:r>
    </w:p>
    <w:p w14:paraId="2D1B48AF" w14:textId="77777777" w:rsidR="004D368E" w:rsidRPr="00E33A5B" w:rsidRDefault="004D368E" w:rsidP="004D368E">
      <w:pPr>
        <w:pStyle w:val="Voetnoottekst"/>
        <w:jc w:val="left"/>
      </w:pPr>
    </w:p>
    <w:p w14:paraId="0AC02AA2" w14:textId="77777777" w:rsidR="004D368E" w:rsidRPr="00E33A5B" w:rsidRDefault="004D368E" w:rsidP="004D368E">
      <w:pPr>
        <w:pStyle w:val="Voetnoottekst"/>
        <w:jc w:val="left"/>
      </w:pPr>
      <w:r w:rsidRPr="00E33A5B">
        <w:t>Voorstel voor een Verordening van het Europees Parlement en de Raad betreffende een gemeenschappelijk Europees Kooprecht, COM (2011) 635def., verslag zitting 2011/2012.</w:t>
      </w:r>
    </w:p>
    <w:p w14:paraId="1B19CD98" w14:textId="1DC8A41F" w:rsidR="004D368E" w:rsidRDefault="004D368E" w:rsidP="004D368E">
      <w:pPr>
        <w:pStyle w:val="Voetnoottekst"/>
        <w:jc w:val="left"/>
      </w:pPr>
    </w:p>
    <w:p w14:paraId="354D0371" w14:textId="77777777" w:rsidR="003C3EA3" w:rsidRPr="00E33A5B" w:rsidRDefault="003C3EA3" w:rsidP="004D368E">
      <w:pPr>
        <w:pStyle w:val="Voetnoottekst"/>
        <w:jc w:val="left"/>
      </w:pPr>
    </w:p>
    <w:p w14:paraId="19550330" w14:textId="08D2E0A3" w:rsidR="00E33A5B" w:rsidRDefault="00E33A5B" w:rsidP="004D368E">
      <w:pPr>
        <w:jc w:val="left"/>
        <w:rPr>
          <w:sz w:val="18"/>
          <w:szCs w:val="18"/>
        </w:rPr>
      </w:pPr>
    </w:p>
    <w:p w14:paraId="3ECA89BE" w14:textId="77777777" w:rsidR="00E33A5B" w:rsidRDefault="00E33A5B" w:rsidP="004D368E">
      <w:pPr>
        <w:jc w:val="left"/>
        <w:rPr>
          <w:sz w:val="18"/>
          <w:szCs w:val="18"/>
        </w:rPr>
      </w:pPr>
    </w:p>
    <w:p w14:paraId="31A6A54B" w14:textId="1E40EF18" w:rsidR="00D911A4" w:rsidRDefault="0072221D" w:rsidP="00D911A4">
      <w:pPr>
        <w:pStyle w:val="Kop1"/>
        <w:pBdr>
          <w:bottom w:val="single" w:sz="6" w:space="1" w:color="auto"/>
        </w:pBdr>
      </w:pPr>
      <w:bookmarkStart w:id="74" w:name="_Toc72576318"/>
      <w:r>
        <w:lastRenderedPageBreak/>
        <w:t>Bijlage</w:t>
      </w:r>
      <w:r w:rsidR="00063163">
        <w:t>n</w:t>
      </w:r>
      <w:bookmarkEnd w:id="74"/>
      <w:r>
        <w:t xml:space="preserve"> </w:t>
      </w:r>
    </w:p>
    <w:p w14:paraId="1DE4FE56" w14:textId="77777777" w:rsidR="00063163" w:rsidRPr="00063163" w:rsidRDefault="00063163" w:rsidP="00063163"/>
    <w:p w14:paraId="354EE679" w14:textId="36BA5E34" w:rsidR="00063163" w:rsidRPr="00063163" w:rsidRDefault="00063163" w:rsidP="00063163">
      <w:pPr>
        <w:pStyle w:val="Kop2"/>
      </w:pPr>
      <w:bookmarkStart w:id="75" w:name="_Toc72576319"/>
      <w:r>
        <w:t>Bijlage 1:  Interview met jurist X</w:t>
      </w:r>
      <w:bookmarkEnd w:id="75"/>
      <w:r>
        <w:br/>
      </w:r>
    </w:p>
    <w:p w14:paraId="75A64FE2" w14:textId="6D525ACE" w:rsidR="00EC2D43" w:rsidRPr="000C446C" w:rsidRDefault="00EC2D43" w:rsidP="00C03857">
      <w:pPr>
        <w:rPr>
          <w:i/>
          <w:iCs/>
        </w:rPr>
      </w:pPr>
    </w:p>
    <w:sectPr w:rsidR="00EC2D43" w:rsidRPr="000C446C" w:rsidSect="00570FBA">
      <w:footerReference w:type="default" r:id="rId9"/>
      <w:pgSz w:w="11906" w:h="16838"/>
      <w:pgMar w:top="1417" w:right="1417" w:bottom="709"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02267" w14:textId="77777777" w:rsidR="0087507E" w:rsidRDefault="0087507E" w:rsidP="006B2F6D">
      <w:pPr>
        <w:spacing w:after="0" w:line="240" w:lineRule="auto"/>
      </w:pPr>
      <w:r>
        <w:separator/>
      </w:r>
    </w:p>
  </w:endnote>
  <w:endnote w:type="continuationSeparator" w:id="0">
    <w:p w14:paraId="73773A5B" w14:textId="77777777" w:rsidR="0087507E" w:rsidRDefault="0087507E" w:rsidP="006B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Hoofdtekst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87205"/>
      <w:docPartObj>
        <w:docPartGallery w:val="Page Numbers (Bottom of Page)"/>
        <w:docPartUnique/>
      </w:docPartObj>
    </w:sdtPr>
    <w:sdtEndPr/>
    <w:sdtContent>
      <w:p w14:paraId="78293555" w14:textId="185A223D" w:rsidR="000A286C" w:rsidRDefault="000A286C">
        <w:pPr>
          <w:pStyle w:val="Voettekst"/>
          <w:jc w:val="right"/>
        </w:pPr>
        <w:r>
          <w:fldChar w:fldCharType="begin"/>
        </w:r>
        <w:r>
          <w:instrText>PAGE   \* MERGEFORMAT</w:instrText>
        </w:r>
        <w:r>
          <w:fldChar w:fldCharType="separate"/>
        </w:r>
        <w:r w:rsidR="0065686B">
          <w:rPr>
            <w:noProof/>
          </w:rPr>
          <w:t>36</w:t>
        </w:r>
        <w:r>
          <w:fldChar w:fldCharType="end"/>
        </w:r>
      </w:p>
    </w:sdtContent>
  </w:sdt>
  <w:p w14:paraId="01DB3BE1" w14:textId="0B134996" w:rsidR="00165157" w:rsidRDefault="001651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2FAD2" w14:textId="77777777" w:rsidR="0087507E" w:rsidRDefault="0087507E" w:rsidP="006B2F6D">
      <w:pPr>
        <w:spacing w:after="0" w:line="240" w:lineRule="auto"/>
      </w:pPr>
      <w:r>
        <w:separator/>
      </w:r>
    </w:p>
  </w:footnote>
  <w:footnote w:type="continuationSeparator" w:id="0">
    <w:p w14:paraId="1212A6FB" w14:textId="77777777" w:rsidR="0087507E" w:rsidRDefault="0087507E" w:rsidP="006B2F6D">
      <w:pPr>
        <w:spacing w:after="0" w:line="240" w:lineRule="auto"/>
      </w:pPr>
      <w:r>
        <w:continuationSeparator/>
      </w:r>
    </w:p>
  </w:footnote>
  <w:footnote w:id="1">
    <w:p w14:paraId="1DEE7EDC" w14:textId="1E86716F" w:rsidR="00165157" w:rsidRPr="00FA352C" w:rsidRDefault="00165157">
      <w:pPr>
        <w:pStyle w:val="Voetnoottekst"/>
        <w:rPr>
          <w:sz w:val="18"/>
          <w:szCs w:val="18"/>
        </w:rPr>
      </w:pPr>
      <w:r w:rsidRPr="00FA352C">
        <w:rPr>
          <w:rStyle w:val="Voetnootmarkering"/>
          <w:sz w:val="18"/>
          <w:szCs w:val="18"/>
        </w:rPr>
        <w:footnoteRef/>
      </w:r>
      <w:r>
        <w:rPr>
          <w:sz w:val="18"/>
          <w:szCs w:val="18"/>
        </w:rPr>
        <w:t xml:space="preserve"> </w:t>
      </w:r>
      <w:r w:rsidR="00DC68A1" w:rsidRPr="000C446C">
        <w:rPr>
          <w:b/>
          <w:bCs/>
          <w:sz w:val="24"/>
          <w:szCs w:val="24"/>
        </w:rPr>
        <w:t>XXX</w:t>
      </w:r>
      <w:r w:rsidR="00DC68A1">
        <w:rPr>
          <w:sz w:val="18"/>
          <w:szCs w:val="18"/>
        </w:rPr>
        <w:t xml:space="preserve"> </w:t>
      </w:r>
      <w:proofErr w:type="spellStart"/>
      <w:r>
        <w:rPr>
          <w:sz w:val="18"/>
          <w:szCs w:val="18"/>
        </w:rPr>
        <w:t>z.d</w:t>
      </w:r>
      <w:r w:rsidRPr="00FA352C">
        <w:rPr>
          <w:color w:val="000000" w:themeColor="text1"/>
          <w:sz w:val="18"/>
          <w:szCs w:val="18"/>
        </w:rPr>
        <w:t>.</w:t>
      </w:r>
      <w:proofErr w:type="spellEnd"/>
    </w:p>
  </w:footnote>
  <w:footnote w:id="2">
    <w:p w14:paraId="0EE72D88" w14:textId="4ECC9556" w:rsidR="00165157" w:rsidRPr="00FA352C" w:rsidRDefault="00165157" w:rsidP="009D50F2">
      <w:pPr>
        <w:pStyle w:val="Geenafstand"/>
        <w:rPr>
          <w:rFonts w:ascii="Verdana" w:hAnsi="Verdana"/>
          <w:sz w:val="18"/>
          <w:szCs w:val="18"/>
        </w:rPr>
      </w:pPr>
      <w:r w:rsidRPr="00FA352C">
        <w:rPr>
          <w:rStyle w:val="Voetnootmarkering"/>
          <w:rFonts w:ascii="Verdana" w:hAnsi="Verdana"/>
          <w:sz w:val="18"/>
          <w:szCs w:val="18"/>
        </w:rPr>
        <w:footnoteRef/>
      </w:r>
      <w:r w:rsidRPr="00FA352C">
        <w:rPr>
          <w:rFonts w:ascii="Verdana" w:hAnsi="Verdana"/>
          <w:sz w:val="18"/>
          <w:szCs w:val="18"/>
        </w:rPr>
        <w:t xml:space="preserve"> Richtlijn (EU) 2019/771</w:t>
      </w:r>
      <w:r>
        <w:rPr>
          <w:rFonts w:ascii="Verdana" w:hAnsi="Verdana"/>
          <w:sz w:val="18"/>
          <w:szCs w:val="18"/>
        </w:rPr>
        <w:t>.</w:t>
      </w:r>
    </w:p>
  </w:footnote>
  <w:footnote w:id="3">
    <w:p w14:paraId="032FB321" w14:textId="5C107B28" w:rsidR="00165157" w:rsidRDefault="00165157" w:rsidP="009D50F2">
      <w:pPr>
        <w:pStyle w:val="Geenafstand"/>
      </w:pPr>
      <w:r w:rsidRPr="00FA352C">
        <w:rPr>
          <w:rStyle w:val="Voetnootmarkering"/>
          <w:rFonts w:ascii="Verdana" w:hAnsi="Verdana"/>
          <w:sz w:val="18"/>
          <w:szCs w:val="18"/>
        </w:rPr>
        <w:footnoteRef/>
      </w:r>
      <w:r w:rsidRPr="00FA352C">
        <w:rPr>
          <w:rFonts w:ascii="Verdana" w:hAnsi="Verdana"/>
          <w:sz w:val="18"/>
          <w:szCs w:val="18"/>
        </w:rPr>
        <w:t xml:space="preserve"> Richtlijn 1999/44/EG</w:t>
      </w:r>
      <w:r>
        <w:rPr>
          <w:rFonts w:ascii="Verdana" w:hAnsi="Verdana"/>
          <w:sz w:val="18"/>
          <w:szCs w:val="18"/>
        </w:rPr>
        <w:t>.</w:t>
      </w:r>
    </w:p>
  </w:footnote>
  <w:footnote w:id="4">
    <w:p w14:paraId="3FC57204" w14:textId="49E8DA31" w:rsidR="00165157" w:rsidRPr="00471149" w:rsidRDefault="00165157">
      <w:pPr>
        <w:pStyle w:val="Voetnoottekst"/>
        <w:rPr>
          <w:sz w:val="16"/>
          <w:szCs w:val="16"/>
        </w:rPr>
      </w:pPr>
      <w:r w:rsidRPr="00FA352C">
        <w:rPr>
          <w:rStyle w:val="Voetnootmarkering"/>
          <w:sz w:val="18"/>
          <w:szCs w:val="18"/>
        </w:rPr>
        <w:footnoteRef/>
      </w:r>
      <w:r w:rsidRPr="00FA352C">
        <w:rPr>
          <w:sz w:val="18"/>
          <w:szCs w:val="18"/>
        </w:rPr>
        <w:t xml:space="preserve"> </w:t>
      </w:r>
      <w:r w:rsidR="000C446C" w:rsidRPr="000C446C">
        <w:rPr>
          <w:b/>
          <w:bCs/>
        </w:rPr>
        <w:t>XXX</w:t>
      </w:r>
    </w:p>
  </w:footnote>
  <w:footnote w:id="5">
    <w:p w14:paraId="05EC51C1" w14:textId="7D48F912" w:rsidR="00165157" w:rsidRPr="00FA352C" w:rsidRDefault="00165157">
      <w:pPr>
        <w:pStyle w:val="Voetnoottekst"/>
        <w:rPr>
          <w:sz w:val="18"/>
          <w:szCs w:val="18"/>
        </w:rPr>
      </w:pPr>
      <w:r w:rsidRPr="00FA352C">
        <w:rPr>
          <w:rStyle w:val="Voetnootmarkering"/>
          <w:sz w:val="18"/>
          <w:szCs w:val="18"/>
        </w:rPr>
        <w:footnoteRef/>
      </w:r>
      <w:r w:rsidRPr="00FA352C">
        <w:rPr>
          <w:sz w:val="18"/>
          <w:szCs w:val="18"/>
        </w:rPr>
        <w:t xml:space="preserve"> Preambule VwEU</w:t>
      </w:r>
    </w:p>
  </w:footnote>
  <w:footnote w:id="6">
    <w:p w14:paraId="3760B7A9" w14:textId="4104109A" w:rsidR="00165157" w:rsidRPr="00FA352C" w:rsidRDefault="00165157">
      <w:pPr>
        <w:pStyle w:val="Voetnoottekst"/>
        <w:rPr>
          <w:sz w:val="18"/>
          <w:szCs w:val="18"/>
        </w:rPr>
      </w:pPr>
      <w:r w:rsidRPr="00FA352C">
        <w:rPr>
          <w:rStyle w:val="Voetnootmarkering"/>
          <w:sz w:val="18"/>
          <w:szCs w:val="18"/>
        </w:rPr>
        <w:footnoteRef/>
      </w:r>
      <w:r w:rsidRPr="00FA352C">
        <w:rPr>
          <w:sz w:val="18"/>
          <w:szCs w:val="18"/>
        </w:rPr>
        <w:t xml:space="preserve"> Artikel 288 VwEU.</w:t>
      </w:r>
    </w:p>
  </w:footnote>
  <w:footnote w:id="7">
    <w:p w14:paraId="51CCC0E3" w14:textId="3626251F" w:rsidR="00165157" w:rsidRPr="00FA352C" w:rsidRDefault="00165157">
      <w:pPr>
        <w:pStyle w:val="Voetnoottekst"/>
        <w:rPr>
          <w:sz w:val="18"/>
          <w:szCs w:val="18"/>
        </w:rPr>
      </w:pPr>
      <w:r w:rsidRPr="00FA352C">
        <w:rPr>
          <w:rStyle w:val="Voetnootmarkering"/>
          <w:sz w:val="18"/>
          <w:szCs w:val="18"/>
        </w:rPr>
        <w:footnoteRef/>
      </w:r>
      <w:r>
        <w:rPr>
          <w:sz w:val="18"/>
          <w:szCs w:val="18"/>
        </w:rPr>
        <w:t xml:space="preserve"> Europese Unie </w:t>
      </w:r>
      <w:proofErr w:type="spellStart"/>
      <w:r>
        <w:rPr>
          <w:sz w:val="18"/>
          <w:szCs w:val="18"/>
        </w:rPr>
        <w:t>z.d</w:t>
      </w:r>
      <w:r w:rsidRPr="00FA352C">
        <w:rPr>
          <w:sz w:val="18"/>
          <w:szCs w:val="18"/>
        </w:rPr>
        <w:t>.</w:t>
      </w:r>
      <w:proofErr w:type="spellEnd"/>
    </w:p>
  </w:footnote>
  <w:footnote w:id="8">
    <w:p w14:paraId="362AA131" w14:textId="706AD892" w:rsidR="00165157" w:rsidRPr="00FA352C" w:rsidRDefault="00165157">
      <w:pPr>
        <w:pStyle w:val="Voetnoottekst"/>
        <w:rPr>
          <w:sz w:val="18"/>
          <w:szCs w:val="18"/>
        </w:rPr>
      </w:pPr>
      <w:r w:rsidRPr="00FA352C">
        <w:rPr>
          <w:rStyle w:val="Voetnootmarkering"/>
          <w:sz w:val="18"/>
          <w:szCs w:val="18"/>
        </w:rPr>
        <w:footnoteRef/>
      </w:r>
      <w:r w:rsidRPr="00FA352C">
        <w:rPr>
          <w:sz w:val="18"/>
          <w:szCs w:val="18"/>
        </w:rPr>
        <w:t xml:space="preserve"> HvJ EG, 18 december 1997, ECLI:EU:C:1997:628.</w:t>
      </w:r>
    </w:p>
  </w:footnote>
  <w:footnote w:id="9">
    <w:p w14:paraId="7F1CD0AE" w14:textId="798DAC4A" w:rsidR="00165157" w:rsidRPr="00FA352C" w:rsidRDefault="00165157">
      <w:pPr>
        <w:pStyle w:val="Voetnoottekst"/>
        <w:rPr>
          <w:sz w:val="18"/>
          <w:szCs w:val="18"/>
        </w:rPr>
      </w:pPr>
      <w:r w:rsidRPr="00FA352C">
        <w:rPr>
          <w:rStyle w:val="Voetnootmarkering"/>
          <w:sz w:val="18"/>
          <w:szCs w:val="18"/>
        </w:rPr>
        <w:footnoteRef/>
      </w:r>
      <w:r w:rsidRPr="00FA352C">
        <w:rPr>
          <w:sz w:val="18"/>
          <w:szCs w:val="18"/>
        </w:rPr>
        <w:t xml:space="preserve"> Art. 289 VwEU.</w:t>
      </w:r>
    </w:p>
  </w:footnote>
  <w:footnote w:id="10">
    <w:p w14:paraId="0E137CD7" w14:textId="47F98315" w:rsidR="00165157" w:rsidRPr="00FA352C" w:rsidRDefault="00165157" w:rsidP="006B0462">
      <w:pPr>
        <w:pStyle w:val="Voetnoottekst"/>
        <w:ind w:left="142" w:hanging="142"/>
        <w:rPr>
          <w:sz w:val="18"/>
          <w:szCs w:val="18"/>
        </w:rPr>
      </w:pPr>
      <w:r w:rsidRPr="00FA352C">
        <w:rPr>
          <w:rStyle w:val="Voetnootmarkering"/>
          <w:sz w:val="18"/>
          <w:szCs w:val="18"/>
        </w:rPr>
        <w:footnoteRef/>
      </w:r>
      <w:r w:rsidRPr="00FA352C">
        <w:rPr>
          <w:sz w:val="18"/>
          <w:szCs w:val="18"/>
        </w:rPr>
        <w:t xml:space="preserve"> Mededeling van de Commissie aan het Europees Parlement, de Raad, Het Europees Economisch  </w:t>
      </w:r>
      <w:r>
        <w:rPr>
          <w:sz w:val="18"/>
          <w:szCs w:val="18"/>
        </w:rPr>
        <w:t xml:space="preserve"> </w:t>
      </w:r>
      <w:r w:rsidRPr="00FA352C">
        <w:rPr>
          <w:sz w:val="18"/>
          <w:szCs w:val="18"/>
        </w:rPr>
        <w:t>en Sociaal Comité en het Comité van de Regio’s, Com (2015) 192def., punt 1.</w:t>
      </w:r>
    </w:p>
  </w:footnote>
  <w:footnote w:id="11">
    <w:p w14:paraId="1CA8F70F" w14:textId="77777777" w:rsidR="00165157" w:rsidRPr="00B04B24" w:rsidRDefault="00165157" w:rsidP="006B0462">
      <w:pPr>
        <w:pStyle w:val="Voetnoottekst"/>
        <w:ind w:left="142" w:hanging="142"/>
        <w:rPr>
          <w:sz w:val="18"/>
          <w:szCs w:val="18"/>
        </w:rPr>
      </w:pPr>
      <w:r w:rsidRPr="00FA352C">
        <w:rPr>
          <w:rStyle w:val="Voetnootmarkering"/>
          <w:sz w:val="18"/>
          <w:szCs w:val="18"/>
        </w:rPr>
        <w:footnoteRef/>
      </w:r>
      <w:r w:rsidRPr="00FA352C">
        <w:rPr>
          <w:sz w:val="18"/>
          <w:szCs w:val="18"/>
        </w:rPr>
        <w:t xml:space="preserve"> Mededeling van de Commissie aan het Europees Parlement, de Raad, Het Europees Economisch en Sociaal Comité en het Comité van de Regio’s, Com (2015) 192def., punt 4.</w:t>
      </w:r>
    </w:p>
  </w:footnote>
  <w:footnote w:id="12">
    <w:p w14:paraId="191AC1B5" w14:textId="77777777" w:rsidR="00165157" w:rsidRPr="00075033" w:rsidRDefault="00165157" w:rsidP="008C27A1">
      <w:pPr>
        <w:pStyle w:val="Voetnoottekst"/>
        <w:jc w:val="left"/>
        <w:rPr>
          <w:sz w:val="18"/>
          <w:szCs w:val="18"/>
        </w:rPr>
      </w:pPr>
      <w:r w:rsidRPr="00075033">
        <w:rPr>
          <w:rStyle w:val="Voetnootmarkering"/>
          <w:sz w:val="18"/>
          <w:szCs w:val="18"/>
        </w:rPr>
        <w:footnoteRef/>
      </w:r>
      <w:r w:rsidRPr="00075033">
        <w:rPr>
          <w:sz w:val="18"/>
          <w:szCs w:val="18"/>
        </w:rPr>
        <w:t xml:space="preserve"> Overweging 5 Richtlijn 2019/771.</w:t>
      </w:r>
    </w:p>
  </w:footnote>
  <w:footnote w:id="13">
    <w:p w14:paraId="32860CA1" w14:textId="77777777" w:rsidR="00165157" w:rsidRPr="00075033" w:rsidRDefault="00165157" w:rsidP="008C27A1">
      <w:pPr>
        <w:pStyle w:val="Voetnoottekst"/>
        <w:ind w:left="142" w:hanging="142"/>
        <w:jc w:val="left"/>
        <w:rPr>
          <w:sz w:val="18"/>
          <w:szCs w:val="18"/>
        </w:rPr>
      </w:pPr>
      <w:r w:rsidRPr="00075033">
        <w:rPr>
          <w:rStyle w:val="Voetnootmarkering"/>
          <w:sz w:val="18"/>
          <w:szCs w:val="18"/>
        </w:rPr>
        <w:footnoteRef/>
      </w:r>
      <w:r w:rsidRPr="00075033">
        <w:rPr>
          <w:sz w:val="18"/>
          <w:szCs w:val="18"/>
        </w:rPr>
        <w:t xml:space="preserve"> Voorstel voor een Verordening van het Europees Parlement en de Raad betreffende een gemeenschappelijk Europees Kooprecht, COM (2011) 635def., p. 2-5. </w:t>
      </w:r>
    </w:p>
  </w:footnote>
  <w:footnote w:id="14">
    <w:p w14:paraId="5B9F4817" w14:textId="1AE7F60D" w:rsidR="00165157" w:rsidRPr="00075033" w:rsidRDefault="00165157" w:rsidP="008C27A1">
      <w:pPr>
        <w:pStyle w:val="Voetnoottekst"/>
        <w:ind w:left="142" w:hanging="142"/>
        <w:jc w:val="left"/>
        <w:rPr>
          <w:sz w:val="18"/>
          <w:szCs w:val="18"/>
        </w:rPr>
      </w:pPr>
      <w:r w:rsidRPr="00075033">
        <w:rPr>
          <w:rStyle w:val="Voetnootmarkering"/>
          <w:sz w:val="18"/>
          <w:szCs w:val="18"/>
        </w:rPr>
        <w:footnoteRef/>
      </w:r>
      <w:r w:rsidRPr="00075033">
        <w:rPr>
          <w:sz w:val="18"/>
          <w:szCs w:val="18"/>
        </w:rPr>
        <w:t xml:space="preserve"> </w:t>
      </w:r>
      <w:bookmarkStart w:id="26" w:name="_Hlk70891914"/>
      <w:r w:rsidRPr="00075033">
        <w:rPr>
          <w:sz w:val="18"/>
          <w:szCs w:val="18"/>
        </w:rPr>
        <w:t>Voorstel voor een Verordening van het Europees Parlement en de Raad betreffende een gemeenschappelijk Europees Kooprecht, COM (2011) 635def</w:t>
      </w:r>
      <w:r>
        <w:rPr>
          <w:sz w:val="18"/>
          <w:szCs w:val="18"/>
        </w:rPr>
        <w:t>., verslag zitting 2011/2012.</w:t>
      </w:r>
      <w:r w:rsidRPr="00075033">
        <w:rPr>
          <w:sz w:val="18"/>
          <w:szCs w:val="18"/>
        </w:rPr>
        <w:t xml:space="preserve"> </w:t>
      </w:r>
      <w:bookmarkEnd w:id="26"/>
    </w:p>
  </w:footnote>
  <w:footnote w:id="15">
    <w:p w14:paraId="089D7EC3" w14:textId="77777777" w:rsidR="00165157" w:rsidRPr="00075033" w:rsidRDefault="00165157" w:rsidP="008C27A1">
      <w:pPr>
        <w:pStyle w:val="Voetnoottekst"/>
        <w:jc w:val="left"/>
        <w:rPr>
          <w:sz w:val="18"/>
          <w:szCs w:val="18"/>
        </w:rPr>
      </w:pPr>
      <w:r w:rsidRPr="00075033">
        <w:rPr>
          <w:rStyle w:val="Voetnootmarkering"/>
          <w:sz w:val="18"/>
          <w:szCs w:val="18"/>
        </w:rPr>
        <w:footnoteRef/>
      </w:r>
      <w:r w:rsidRPr="00075033">
        <w:rPr>
          <w:sz w:val="18"/>
          <w:szCs w:val="18"/>
        </w:rPr>
        <w:t xml:space="preserve"> Richtlijn (EU) 2011/83/EU.</w:t>
      </w:r>
    </w:p>
  </w:footnote>
  <w:footnote w:id="16">
    <w:p w14:paraId="1D14C19A" w14:textId="77777777" w:rsidR="00165157" w:rsidRPr="00075033" w:rsidRDefault="00165157" w:rsidP="008C27A1">
      <w:pPr>
        <w:pStyle w:val="Voetnoottekst"/>
        <w:jc w:val="left"/>
        <w:rPr>
          <w:sz w:val="18"/>
          <w:szCs w:val="18"/>
        </w:rPr>
      </w:pPr>
      <w:r w:rsidRPr="00075033">
        <w:rPr>
          <w:rStyle w:val="Voetnootmarkering"/>
          <w:sz w:val="18"/>
          <w:szCs w:val="18"/>
        </w:rPr>
        <w:footnoteRef/>
      </w:r>
      <w:r w:rsidRPr="00075033">
        <w:rPr>
          <w:sz w:val="18"/>
          <w:szCs w:val="18"/>
        </w:rPr>
        <w:t xml:space="preserve"> Richtlijn (EU) 2019/770.</w:t>
      </w:r>
    </w:p>
  </w:footnote>
  <w:footnote w:id="17">
    <w:p w14:paraId="405404B7" w14:textId="33ABC7C6" w:rsidR="00165157" w:rsidRPr="00075033" w:rsidRDefault="00165157" w:rsidP="008C27A1">
      <w:pPr>
        <w:pStyle w:val="Voetnoottekst"/>
        <w:jc w:val="left"/>
        <w:rPr>
          <w:sz w:val="18"/>
          <w:szCs w:val="18"/>
        </w:rPr>
      </w:pPr>
      <w:r w:rsidRPr="00075033">
        <w:rPr>
          <w:rStyle w:val="Voetnootmarkering"/>
          <w:sz w:val="18"/>
          <w:szCs w:val="18"/>
        </w:rPr>
        <w:footnoteRef/>
      </w:r>
      <w:r w:rsidRPr="00075033">
        <w:rPr>
          <w:sz w:val="18"/>
          <w:szCs w:val="18"/>
        </w:rPr>
        <w:t xml:space="preserve"> Het onderzoek beperkt</w:t>
      </w:r>
      <w:r>
        <w:rPr>
          <w:sz w:val="18"/>
          <w:szCs w:val="18"/>
        </w:rPr>
        <w:t xml:space="preserve"> zich uitsluitend tot de wijzigingen uit Richtlijn </w:t>
      </w:r>
      <w:r w:rsidRPr="00075033">
        <w:rPr>
          <w:sz w:val="18"/>
          <w:szCs w:val="18"/>
        </w:rPr>
        <w:t>2019/771.</w:t>
      </w:r>
    </w:p>
  </w:footnote>
  <w:footnote w:id="18">
    <w:p w14:paraId="7245BD2A" w14:textId="77777777" w:rsidR="00165157" w:rsidRPr="00075033" w:rsidRDefault="00165157" w:rsidP="008C27A1">
      <w:pPr>
        <w:pStyle w:val="Voetnoottekst"/>
        <w:jc w:val="left"/>
        <w:rPr>
          <w:sz w:val="18"/>
          <w:szCs w:val="18"/>
        </w:rPr>
      </w:pPr>
      <w:r w:rsidRPr="00075033">
        <w:rPr>
          <w:rStyle w:val="Voetnootmarkering"/>
          <w:sz w:val="18"/>
          <w:szCs w:val="18"/>
        </w:rPr>
        <w:footnoteRef/>
      </w:r>
      <w:r w:rsidRPr="00075033">
        <w:rPr>
          <w:sz w:val="18"/>
          <w:szCs w:val="18"/>
        </w:rPr>
        <w:t xml:space="preserve"> Art. 4 Richtlijn 2019/771.</w:t>
      </w:r>
    </w:p>
  </w:footnote>
  <w:footnote w:id="19">
    <w:p w14:paraId="7876E88B" w14:textId="77777777" w:rsidR="00165157" w:rsidRPr="00075033" w:rsidRDefault="00165157" w:rsidP="008C27A1">
      <w:pPr>
        <w:pStyle w:val="Voetnoottekst"/>
        <w:jc w:val="left"/>
        <w:rPr>
          <w:sz w:val="18"/>
          <w:szCs w:val="18"/>
        </w:rPr>
      </w:pPr>
      <w:r w:rsidRPr="00075033">
        <w:rPr>
          <w:rStyle w:val="Voetnootmarkering"/>
          <w:sz w:val="18"/>
          <w:szCs w:val="18"/>
        </w:rPr>
        <w:footnoteRef/>
      </w:r>
      <w:r w:rsidRPr="00075033">
        <w:rPr>
          <w:sz w:val="18"/>
          <w:szCs w:val="18"/>
        </w:rPr>
        <w:t xml:space="preserve"> Art. 26 Richtlijn 2019/771.</w:t>
      </w:r>
    </w:p>
  </w:footnote>
  <w:footnote w:id="20">
    <w:p w14:paraId="04C4191B" w14:textId="77777777" w:rsidR="00165157" w:rsidRPr="00075033" w:rsidRDefault="00165157" w:rsidP="008C27A1">
      <w:pPr>
        <w:pStyle w:val="Voetnoottekst"/>
        <w:jc w:val="left"/>
        <w:rPr>
          <w:sz w:val="18"/>
          <w:szCs w:val="18"/>
        </w:rPr>
      </w:pPr>
      <w:r w:rsidRPr="00075033">
        <w:rPr>
          <w:rStyle w:val="Voetnootmarkering"/>
          <w:sz w:val="18"/>
          <w:szCs w:val="18"/>
        </w:rPr>
        <w:footnoteRef/>
      </w:r>
      <w:r w:rsidRPr="00075033">
        <w:rPr>
          <w:sz w:val="18"/>
          <w:szCs w:val="18"/>
        </w:rPr>
        <w:t xml:space="preserve"> Art. 24 Richtlijn 2019/771. </w:t>
      </w:r>
    </w:p>
  </w:footnote>
  <w:footnote w:id="21">
    <w:p w14:paraId="7203D6FB" w14:textId="68EADFF8" w:rsidR="00165157" w:rsidRPr="00075033" w:rsidRDefault="00165157" w:rsidP="008C27A1">
      <w:pPr>
        <w:pStyle w:val="Voetnoottekst"/>
        <w:jc w:val="left"/>
        <w:rPr>
          <w:sz w:val="18"/>
          <w:szCs w:val="18"/>
        </w:rPr>
      </w:pPr>
      <w:r w:rsidRPr="00075033">
        <w:rPr>
          <w:rStyle w:val="Voetnootmarkering"/>
          <w:sz w:val="18"/>
          <w:szCs w:val="18"/>
        </w:rPr>
        <w:footnoteRef/>
      </w:r>
      <w:r w:rsidRPr="00075033">
        <w:rPr>
          <w:sz w:val="18"/>
          <w:szCs w:val="18"/>
        </w:rPr>
        <w:t xml:space="preserve"> </w:t>
      </w:r>
      <w:r>
        <w:rPr>
          <w:sz w:val="18"/>
          <w:szCs w:val="18"/>
        </w:rPr>
        <w:t>Wetsvoorstel Wijziging van Boek 7 van het BW (</w:t>
      </w:r>
      <w:r w:rsidRPr="00C50D51">
        <w:rPr>
          <w:i/>
          <w:sz w:val="18"/>
          <w:szCs w:val="18"/>
        </w:rPr>
        <w:t>Kamerstukken II</w:t>
      </w:r>
      <w:r w:rsidRPr="00075033">
        <w:rPr>
          <w:sz w:val="18"/>
          <w:szCs w:val="18"/>
        </w:rPr>
        <w:t>, 2020/21, 35734, nr. 1.</w:t>
      </w:r>
      <w:r>
        <w:rPr>
          <w:sz w:val="18"/>
          <w:szCs w:val="18"/>
        </w:rPr>
        <w:t>).</w:t>
      </w:r>
    </w:p>
  </w:footnote>
  <w:footnote w:id="22">
    <w:p w14:paraId="185B418A" w14:textId="77777777" w:rsidR="00165157" w:rsidRPr="00075033" w:rsidRDefault="00165157" w:rsidP="008C27A1">
      <w:pPr>
        <w:pStyle w:val="Voetnoottekst"/>
        <w:jc w:val="left"/>
        <w:rPr>
          <w:sz w:val="18"/>
          <w:szCs w:val="18"/>
        </w:rPr>
      </w:pPr>
      <w:r w:rsidRPr="00075033">
        <w:rPr>
          <w:rStyle w:val="Voetnootmarkering"/>
          <w:sz w:val="18"/>
          <w:szCs w:val="18"/>
        </w:rPr>
        <w:footnoteRef/>
      </w:r>
      <w:r w:rsidRPr="00075033">
        <w:rPr>
          <w:sz w:val="18"/>
          <w:szCs w:val="18"/>
        </w:rPr>
        <w:t xml:space="preserve"> Art. 3 lid 1 Richtlijn 2019/771.</w:t>
      </w:r>
    </w:p>
  </w:footnote>
  <w:footnote w:id="23">
    <w:p w14:paraId="7FEE0366" w14:textId="77777777" w:rsidR="00165157" w:rsidRPr="007327F4" w:rsidRDefault="00165157" w:rsidP="008C27A1">
      <w:pPr>
        <w:pStyle w:val="Voetnoottekst"/>
        <w:jc w:val="left"/>
        <w:rPr>
          <w:sz w:val="18"/>
        </w:rPr>
      </w:pPr>
      <w:r w:rsidRPr="00075033">
        <w:rPr>
          <w:rStyle w:val="Voetnootmarkering"/>
          <w:sz w:val="18"/>
          <w:szCs w:val="18"/>
        </w:rPr>
        <w:footnoteRef/>
      </w:r>
      <w:r w:rsidRPr="00075033">
        <w:rPr>
          <w:sz w:val="18"/>
          <w:szCs w:val="18"/>
        </w:rPr>
        <w:t xml:space="preserve"> Art. 2 lid 2 Richtlijn 2019/771.</w:t>
      </w:r>
    </w:p>
  </w:footnote>
  <w:footnote w:id="24">
    <w:p w14:paraId="69057011" w14:textId="77777777" w:rsidR="00165157" w:rsidRPr="007327F4" w:rsidRDefault="00165157" w:rsidP="006B0462">
      <w:pPr>
        <w:pStyle w:val="Voetnoottekst"/>
        <w:rPr>
          <w:sz w:val="18"/>
        </w:rPr>
      </w:pPr>
      <w:r w:rsidRPr="007327F4">
        <w:rPr>
          <w:rStyle w:val="Voetnootmarkering"/>
          <w:sz w:val="18"/>
        </w:rPr>
        <w:footnoteRef/>
      </w:r>
      <w:r w:rsidRPr="007327F4">
        <w:rPr>
          <w:sz w:val="18"/>
        </w:rPr>
        <w:t xml:space="preserve"> Overweging 22 Richtlijn 2019/771</w:t>
      </w:r>
      <w:r>
        <w:rPr>
          <w:sz w:val="18"/>
        </w:rPr>
        <w:t>.</w:t>
      </w:r>
    </w:p>
  </w:footnote>
  <w:footnote w:id="25">
    <w:p w14:paraId="10A91A84" w14:textId="77777777" w:rsidR="00165157" w:rsidRPr="007327F4" w:rsidRDefault="00165157" w:rsidP="006B0462">
      <w:pPr>
        <w:pStyle w:val="Voetnoottekst"/>
        <w:rPr>
          <w:sz w:val="18"/>
        </w:rPr>
      </w:pPr>
      <w:r w:rsidRPr="007327F4">
        <w:rPr>
          <w:rStyle w:val="Voetnootmarkering"/>
          <w:sz w:val="18"/>
        </w:rPr>
        <w:footnoteRef/>
      </w:r>
      <w:r w:rsidRPr="007327F4">
        <w:rPr>
          <w:sz w:val="18"/>
        </w:rPr>
        <w:t xml:space="preserve"> HvJ EU 20 januari 2005, ELCLI:EU:C:2005:32</w:t>
      </w:r>
      <w:r>
        <w:rPr>
          <w:sz w:val="18"/>
        </w:rPr>
        <w:t>.</w:t>
      </w:r>
    </w:p>
  </w:footnote>
  <w:footnote w:id="26">
    <w:p w14:paraId="426AE15E" w14:textId="77777777" w:rsidR="00165157" w:rsidRPr="007327F4" w:rsidRDefault="00165157" w:rsidP="006B0462">
      <w:pPr>
        <w:pStyle w:val="Voetnoottekst"/>
        <w:rPr>
          <w:sz w:val="18"/>
        </w:rPr>
      </w:pPr>
      <w:r w:rsidRPr="007327F4">
        <w:rPr>
          <w:rStyle w:val="Voetnootmarkering"/>
          <w:sz w:val="18"/>
        </w:rPr>
        <w:footnoteRef/>
      </w:r>
      <w:r w:rsidRPr="007327F4">
        <w:rPr>
          <w:sz w:val="18"/>
        </w:rPr>
        <w:t xml:space="preserve"> </w:t>
      </w:r>
      <w:r>
        <w:rPr>
          <w:sz w:val="18"/>
        </w:rPr>
        <w:t>Vergelijk art. 7:5 lid 1 BW en art. 2 lid 2 Richtlijn 2019/771.</w:t>
      </w:r>
    </w:p>
  </w:footnote>
  <w:footnote w:id="27">
    <w:p w14:paraId="19549B75" w14:textId="77777777" w:rsidR="00165157" w:rsidRPr="007327F4" w:rsidRDefault="00165157" w:rsidP="006B0462">
      <w:pPr>
        <w:pStyle w:val="Voetnoottekst"/>
        <w:rPr>
          <w:sz w:val="18"/>
        </w:rPr>
      </w:pPr>
      <w:r w:rsidRPr="007327F4">
        <w:rPr>
          <w:rStyle w:val="Voetnootmarkering"/>
          <w:sz w:val="18"/>
        </w:rPr>
        <w:footnoteRef/>
      </w:r>
      <w:r w:rsidRPr="007327F4">
        <w:rPr>
          <w:sz w:val="18"/>
        </w:rPr>
        <w:t xml:space="preserve"> Art. 3 lid 4 Richtlijn 2019/771</w:t>
      </w:r>
      <w:r>
        <w:rPr>
          <w:sz w:val="18"/>
        </w:rPr>
        <w:t>.</w:t>
      </w:r>
    </w:p>
  </w:footnote>
  <w:footnote w:id="28">
    <w:p w14:paraId="5DDC95D8" w14:textId="77777777" w:rsidR="00165157" w:rsidRPr="00387A06" w:rsidRDefault="00165157" w:rsidP="006B0462">
      <w:pPr>
        <w:pStyle w:val="Voetnoottekst"/>
        <w:rPr>
          <w:sz w:val="18"/>
          <w:szCs w:val="18"/>
        </w:rPr>
      </w:pPr>
      <w:r w:rsidRPr="00387A06">
        <w:rPr>
          <w:rStyle w:val="Voetnootmarkering"/>
          <w:sz w:val="18"/>
          <w:szCs w:val="18"/>
        </w:rPr>
        <w:footnoteRef/>
      </w:r>
      <w:r w:rsidRPr="00387A06">
        <w:rPr>
          <w:sz w:val="18"/>
          <w:szCs w:val="18"/>
        </w:rPr>
        <w:t xml:space="preserve"> Art. 3 lid 5 Richtlijn 2019/771</w:t>
      </w:r>
      <w:r>
        <w:rPr>
          <w:sz w:val="18"/>
          <w:szCs w:val="18"/>
        </w:rPr>
        <w:t>.</w:t>
      </w:r>
    </w:p>
  </w:footnote>
  <w:footnote w:id="29">
    <w:p w14:paraId="726D5E1A" w14:textId="30BCC552" w:rsidR="00165157" w:rsidRPr="00CD575E" w:rsidRDefault="00165157" w:rsidP="006B0462">
      <w:pPr>
        <w:pStyle w:val="Voetnoottekst"/>
        <w:ind w:left="284" w:hanging="284"/>
        <w:rPr>
          <w:sz w:val="18"/>
          <w:szCs w:val="18"/>
        </w:rPr>
      </w:pPr>
      <w:r w:rsidRPr="00387A06">
        <w:rPr>
          <w:rStyle w:val="Voetnootmarkering"/>
          <w:sz w:val="18"/>
          <w:szCs w:val="18"/>
        </w:rPr>
        <w:footnoteRef/>
      </w:r>
      <w:r w:rsidRPr="00387A06">
        <w:rPr>
          <w:sz w:val="18"/>
          <w:szCs w:val="18"/>
        </w:rPr>
        <w:t xml:space="preserve"> </w:t>
      </w:r>
      <w:r>
        <w:rPr>
          <w:sz w:val="18"/>
          <w:szCs w:val="18"/>
        </w:rPr>
        <w:t>Tweede Kamer, 16 februari 2021.</w:t>
      </w:r>
    </w:p>
  </w:footnote>
  <w:footnote w:id="30">
    <w:p w14:paraId="68BFF518" w14:textId="77777777" w:rsidR="00165157" w:rsidRPr="00387A06" w:rsidRDefault="00165157" w:rsidP="006B0462">
      <w:pPr>
        <w:pStyle w:val="Voetnoottekst"/>
        <w:rPr>
          <w:sz w:val="18"/>
          <w:szCs w:val="18"/>
        </w:rPr>
      </w:pPr>
      <w:r w:rsidRPr="00387A06">
        <w:rPr>
          <w:rStyle w:val="Voetnootmarkering"/>
          <w:sz w:val="18"/>
          <w:szCs w:val="18"/>
        </w:rPr>
        <w:footnoteRef/>
      </w:r>
      <w:r w:rsidRPr="00387A06">
        <w:rPr>
          <w:sz w:val="18"/>
          <w:szCs w:val="18"/>
        </w:rPr>
        <w:t xml:space="preserve"> </w:t>
      </w:r>
      <w:r w:rsidRPr="00E04B44">
        <w:rPr>
          <w:i/>
          <w:sz w:val="18"/>
          <w:szCs w:val="18"/>
        </w:rPr>
        <w:t>Kamerstukken II</w:t>
      </w:r>
      <w:r w:rsidRPr="00387A06">
        <w:rPr>
          <w:sz w:val="18"/>
          <w:szCs w:val="18"/>
        </w:rPr>
        <w:t>, 2020/21, 35734, nr. 3</w:t>
      </w:r>
      <w:r>
        <w:rPr>
          <w:sz w:val="18"/>
          <w:szCs w:val="18"/>
        </w:rPr>
        <w:t>, p. 9. (MvT).</w:t>
      </w:r>
    </w:p>
  </w:footnote>
  <w:footnote w:id="31">
    <w:p w14:paraId="272A780E" w14:textId="77777777" w:rsidR="00165157" w:rsidRPr="00387A06" w:rsidRDefault="00165157" w:rsidP="006B0462">
      <w:pPr>
        <w:pStyle w:val="Voetnoottekst"/>
        <w:rPr>
          <w:sz w:val="18"/>
          <w:szCs w:val="18"/>
        </w:rPr>
      </w:pPr>
      <w:r w:rsidRPr="00387A06">
        <w:rPr>
          <w:rStyle w:val="Voetnootmarkering"/>
          <w:sz w:val="18"/>
          <w:szCs w:val="18"/>
        </w:rPr>
        <w:footnoteRef/>
      </w:r>
      <w:r w:rsidRPr="00387A06">
        <w:rPr>
          <w:sz w:val="18"/>
          <w:szCs w:val="18"/>
        </w:rPr>
        <w:t xml:space="preserve"> Art. 3 lid 3 Richtlijn 2019/771</w:t>
      </w:r>
      <w:r>
        <w:rPr>
          <w:sz w:val="18"/>
          <w:szCs w:val="18"/>
        </w:rPr>
        <w:t>.</w:t>
      </w:r>
    </w:p>
  </w:footnote>
  <w:footnote w:id="32">
    <w:p w14:paraId="234C7EDD" w14:textId="77777777" w:rsidR="00165157" w:rsidRPr="00387A06" w:rsidRDefault="00165157" w:rsidP="006B0462">
      <w:pPr>
        <w:pStyle w:val="Voetnoottekst"/>
        <w:rPr>
          <w:sz w:val="18"/>
          <w:szCs w:val="18"/>
        </w:rPr>
      </w:pPr>
      <w:r w:rsidRPr="00387A06">
        <w:rPr>
          <w:rStyle w:val="Voetnootmarkering"/>
          <w:sz w:val="18"/>
          <w:szCs w:val="18"/>
        </w:rPr>
        <w:footnoteRef/>
      </w:r>
      <w:r w:rsidRPr="00387A06">
        <w:rPr>
          <w:sz w:val="18"/>
          <w:szCs w:val="18"/>
        </w:rPr>
        <w:t xml:space="preserve"> Overweging 15 Richtlijn 2019/771</w:t>
      </w:r>
      <w:r>
        <w:rPr>
          <w:sz w:val="18"/>
          <w:szCs w:val="18"/>
        </w:rPr>
        <w:t>.</w:t>
      </w:r>
    </w:p>
  </w:footnote>
  <w:footnote w:id="33">
    <w:p w14:paraId="48ABAC97" w14:textId="77777777" w:rsidR="00165157" w:rsidRPr="00387A06" w:rsidRDefault="00165157" w:rsidP="006B0462">
      <w:pPr>
        <w:pStyle w:val="Voetnoottekst"/>
        <w:rPr>
          <w:sz w:val="18"/>
          <w:szCs w:val="18"/>
        </w:rPr>
      </w:pPr>
      <w:r w:rsidRPr="00387A06">
        <w:rPr>
          <w:rStyle w:val="Voetnootmarkering"/>
          <w:sz w:val="18"/>
          <w:szCs w:val="18"/>
        </w:rPr>
        <w:footnoteRef/>
      </w:r>
      <w:r w:rsidRPr="00387A06">
        <w:rPr>
          <w:sz w:val="18"/>
          <w:szCs w:val="18"/>
        </w:rPr>
        <w:t xml:space="preserve"> Art. 3 lid 2 Richtlijn 2019/771</w:t>
      </w:r>
      <w:r>
        <w:rPr>
          <w:sz w:val="18"/>
          <w:szCs w:val="18"/>
        </w:rPr>
        <w:t>.</w:t>
      </w:r>
    </w:p>
  </w:footnote>
  <w:footnote w:id="34">
    <w:p w14:paraId="7D09018E" w14:textId="77777777" w:rsidR="00165157" w:rsidRPr="00387A06" w:rsidRDefault="00165157" w:rsidP="006B0462">
      <w:pPr>
        <w:pStyle w:val="Voetnoottekst"/>
        <w:rPr>
          <w:sz w:val="18"/>
          <w:szCs w:val="18"/>
        </w:rPr>
      </w:pPr>
      <w:r w:rsidRPr="00387A06">
        <w:rPr>
          <w:rStyle w:val="Voetnootmarkering"/>
          <w:sz w:val="18"/>
          <w:szCs w:val="18"/>
        </w:rPr>
        <w:footnoteRef/>
      </w:r>
      <w:r w:rsidRPr="00387A06">
        <w:rPr>
          <w:sz w:val="18"/>
          <w:szCs w:val="18"/>
        </w:rPr>
        <w:t xml:space="preserve"> Spanjaard, </w:t>
      </w:r>
      <w:r w:rsidRPr="007017CC">
        <w:rPr>
          <w:i/>
          <w:iCs/>
          <w:sz w:val="18"/>
          <w:szCs w:val="18"/>
        </w:rPr>
        <w:t>Contracteren</w:t>
      </w:r>
      <w:r w:rsidRPr="00387A06">
        <w:rPr>
          <w:sz w:val="18"/>
          <w:szCs w:val="18"/>
        </w:rPr>
        <w:t xml:space="preserve"> 2019</w:t>
      </w:r>
      <w:r>
        <w:rPr>
          <w:sz w:val="18"/>
          <w:szCs w:val="18"/>
        </w:rPr>
        <w:t xml:space="preserve">, </w:t>
      </w:r>
      <w:r w:rsidRPr="00387A06">
        <w:rPr>
          <w:sz w:val="18"/>
          <w:szCs w:val="18"/>
        </w:rPr>
        <w:t>p. 115-120</w:t>
      </w:r>
      <w:r>
        <w:rPr>
          <w:sz w:val="18"/>
          <w:szCs w:val="18"/>
        </w:rPr>
        <w:t>.</w:t>
      </w:r>
    </w:p>
  </w:footnote>
  <w:footnote w:id="35">
    <w:p w14:paraId="5D8DA995" w14:textId="77777777" w:rsidR="00165157" w:rsidRPr="00387A06" w:rsidRDefault="00165157" w:rsidP="006B0462">
      <w:pPr>
        <w:pStyle w:val="Voetnoottekst"/>
        <w:rPr>
          <w:sz w:val="18"/>
          <w:szCs w:val="18"/>
        </w:rPr>
      </w:pPr>
      <w:r w:rsidRPr="00387A06">
        <w:rPr>
          <w:rStyle w:val="Voetnootmarkering"/>
          <w:sz w:val="18"/>
          <w:szCs w:val="18"/>
        </w:rPr>
        <w:footnoteRef/>
      </w:r>
      <w:r w:rsidRPr="00387A06">
        <w:rPr>
          <w:sz w:val="18"/>
          <w:szCs w:val="18"/>
        </w:rPr>
        <w:t xml:space="preserve"> </w:t>
      </w:r>
      <w:r>
        <w:rPr>
          <w:sz w:val="18"/>
          <w:szCs w:val="18"/>
        </w:rPr>
        <w:t>Artikel 7:6 lid 1 BW.</w:t>
      </w:r>
    </w:p>
  </w:footnote>
  <w:footnote w:id="36">
    <w:p w14:paraId="1EAFA2DB" w14:textId="0CB1962C" w:rsidR="00165157" w:rsidRPr="00CD575E" w:rsidRDefault="00165157" w:rsidP="006B0462">
      <w:pPr>
        <w:pStyle w:val="Voetnoottekst"/>
        <w:ind w:left="284" w:hanging="284"/>
        <w:rPr>
          <w:sz w:val="18"/>
          <w:szCs w:val="18"/>
        </w:rPr>
      </w:pPr>
      <w:r w:rsidRPr="00387A06">
        <w:rPr>
          <w:rStyle w:val="Voetnootmarkering"/>
          <w:sz w:val="18"/>
          <w:szCs w:val="18"/>
        </w:rPr>
        <w:footnoteRef/>
      </w:r>
      <w:r w:rsidRPr="00387A06">
        <w:rPr>
          <w:sz w:val="18"/>
          <w:szCs w:val="18"/>
        </w:rPr>
        <w:t xml:space="preserve"> </w:t>
      </w:r>
      <w:r>
        <w:rPr>
          <w:sz w:val="18"/>
          <w:szCs w:val="18"/>
        </w:rPr>
        <w:t xml:space="preserve">Tweede Kamer, 16 februari 2021. </w:t>
      </w:r>
    </w:p>
  </w:footnote>
  <w:footnote w:id="37">
    <w:p w14:paraId="53076A59" w14:textId="77777777" w:rsidR="00165157" w:rsidRPr="00387A06" w:rsidRDefault="00165157" w:rsidP="006B0462">
      <w:pPr>
        <w:pStyle w:val="Voetnoottekst"/>
        <w:rPr>
          <w:sz w:val="18"/>
          <w:szCs w:val="18"/>
        </w:rPr>
      </w:pPr>
      <w:r w:rsidRPr="00CD575E">
        <w:rPr>
          <w:rStyle w:val="Voetnootmarkering"/>
          <w:sz w:val="18"/>
          <w:szCs w:val="18"/>
        </w:rPr>
        <w:footnoteRef/>
      </w:r>
      <w:r w:rsidRPr="00CD575E">
        <w:rPr>
          <w:sz w:val="18"/>
          <w:szCs w:val="18"/>
        </w:rPr>
        <w:t xml:space="preserve"> </w:t>
      </w:r>
      <w:r w:rsidRPr="00E04B44">
        <w:rPr>
          <w:i/>
          <w:sz w:val="18"/>
          <w:szCs w:val="18"/>
        </w:rPr>
        <w:t>Kamerstukken II</w:t>
      </w:r>
      <w:r w:rsidRPr="00387A06">
        <w:rPr>
          <w:sz w:val="18"/>
          <w:szCs w:val="18"/>
        </w:rPr>
        <w:t xml:space="preserve">, 2020/21, 35734, nr. </w:t>
      </w:r>
      <w:r>
        <w:rPr>
          <w:sz w:val="18"/>
          <w:szCs w:val="18"/>
        </w:rPr>
        <w:t>3, p. 6. (MvT).</w:t>
      </w:r>
    </w:p>
  </w:footnote>
  <w:footnote w:id="38">
    <w:p w14:paraId="5E87BA69" w14:textId="77777777" w:rsidR="00165157" w:rsidRDefault="00165157" w:rsidP="006B0462">
      <w:pPr>
        <w:pStyle w:val="Voetnoottekst"/>
      </w:pPr>
      <w:r w:rsidRPr="00387A06">
        <w:rPr>
          <w:rStyle w:val="Voetnootmarkering"/>
          <w:sz w:val="18"/>
          <w:szCs w:val="18"/>
        </w:rPr>
        <w:footnoteRef/>
      </w:r>
      <w:r w:rsidRPr="00387A06">
        <w:rPr>
          <w:sz w:val="18"/>
          <w:szCs w:val="18"/>
        </w:rPr>
        <w:t xml:space="preserve"> </w:t>
      </w:r>
      <w:r w:rsidRPr="00C50D51">
        <w:rPr>
          <w:i/>
          <w:sz w:val="18"/>
          <w:szCs w:val="18"/>
        </w:rPr>
        <w:t>Kamerstukken II</w:t>
      </w:r>
      <w:r w:rsidRPr="00387A06">
        <w:rPr>
          <w:sz w:val="18"/>
          <w:szCs w:val="18"/>
        </w:rPr>
        <w:t>, 2020/21, 35734, nr. 3</w:t>
      </w:r>
      <w:r>
        <w:rPr>
          <w:sz w:val="18"/>
          <w:szCs w:val="18"/>
        </w:rPr>
        <w:t>, p. 60-66. (MvT).</w:t>
      </w:r>
    </w:p>
  </w:footnote>
  <w:footnote w:id="39">
    <w:p w14:paraId="1807456F" w14:textId="77777777" w:rsidR="00165157" w:rsidRDefault="00165157" w:rsidP="006B0462">
      <w:pPr>
        <w:pStyle w:val="Voetnoottekst"/>
      </w:pPr>
      <w:r>
        <w:rPr>
          <w:rStyle w:val="Voetnootmarkering"/>
        </w:rPr>
        <w:footnoteRef/>
      </w:r>
      <w:r>
        <w:t xml:space="preserve"> </w:t>
      </w:r>
      <w:r w:rsidRPr="008F520F">
        <w:rPr>
          <w:i/>
          <w:iCs/>
          <w:sz w:val="18"/>
          <w:szCs w:val="18"/>
        </w:rPr>
        <w:t>Kamerstukken II</w:t>
      </w:r>
      <w:r w:rsidRPr="00387A06">
        <w:rPr>
          <w:sz w:val="18"/>
          <w:szCs w:val="18"/>
        </w:rPr>
        <w:t>, 2020/21, 35734, nr. 3</w:t>
      </w:r>
      <w:r>
        <w:rPr>
          <w:sz w:val="18"/>
          <w:szCs w:val="18"/>
        </w:rPr>
        <w:t>, p. 60-66.(MvT).</w:t>
      </w:r>
    </w:p>
  </w:footnote>
  <w:footnote w:id="40">
    <w:p w14:paraId="69FF6D64" w14:textId="77777777" w:rsidR="00165157" w:rsidRDefault="00165157" w:rsidP="006B0462">
      <w:pPr>
        <w:pStyle w:val="Voetnoottekst"/>
      </w:pPr>
      <w:r>
        <w:rPr>
          <w:rStyle w:val="Voetnootmarkering"/>
        </w:rPr>
        <w:footnoteRef/>
      </w:r>
      <w:r>
        <w:t xml:space="preserve"> </w:t>
      </w:r>
      <w:r w:rsidRPr="008F520F">
        <w:rPr>
          <w:i/>
          <w:iCs/>
          <w:sz w:val="18"/>
          <w:szCs w:val="18"/>
        </w:rPr>
        <w:t>Kamerstukken II</w:t>
      </w:r>
      <w:r w:rsidRPr="00387A06">
        <w:rPr>
          <w:sz w:val="18"/>
          <w:szCs w:val="18"/>
        </w:rPr>
        <w:t>, 2020/21, 35734</w:t>
      </w:r>
      <w:r>
        <w:rPr>
          <w:sz w:val="18"/>
          <w:szCs w:val="18"/>
        </w:rPr>
        <w:t>, nr. 2, p. 61,63 en 65. (MvT).</w:t>
      </w:r>
    </w:p>
  </w:footnote>
  <w:footnote w:id="41">
    <w:p w14:paraId="182D8533" w14:textId="77777777"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Artikel 7:9 BW.</w:t>
      </w:r>
    </w:p>
  </w:footnote>
  <w:footnote w:id="42">
    <w:p w14:paraId="255BB4C5" w14:textId="77777777"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Lid 2 t/m 6 artikel 7:17 BW.</w:t>
      </w:r>
    </w:p>
  </w:footnote>
  <w:footnote w:id="43">
    <w:p w14:paraId="4A32A8BB" w14:textId="77777777"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Hondius &amp; Mak 2020, p. 183. </w:t>
      </w:r>
    </w:p>
  </w:footnote>
  <w:footnote w:id="44">
    <w:p w14:paraId="147FEC7F" w14:textId="77777777"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Lid 3 &amp; 4 artikel 7:17 BW.</w:t>
      </w:r>
    </w:p>
  </w:footnote>
  <w:footnote w:id="45">
    <w:p w14:paraId="0AA08075" w14:textId="77777777"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Geschillencommissie Webshop, nr. 116691, 5 juni 2018.</w:t>
      </w:r>
    </w:p>
  </w:footnote>
  <w:footnote w:id="46">
    <w:p w14:paraId="4A6CC472" w14:textId="77777777"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Lid 1 artikel 7:17 BW.</w:t>
      </w:r>
    </w:p>
  </w:footnote>
  <w:footnote w:id="47">
    <w:p w14:paraId="49B92F3E" w14:textId="77777777"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Hondius &amp; Mak 2020, p. 183-184. </w:t>
      </w:r>
    </w:p>
  </w:footnote>
  <w:footnote w:id="48">
    <w:p w14:paraId="60563197" w14:textId="77777777"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Klik 2017, p. 147. </w:t>
      </w:r>
    </w:p>
  </w:footnote>
  <w:footnote w:id="49">
    <w:p w14:paraId="65B9666A" w14:textId="3C509146"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Techniek Nederland </w:t>
      </w:r>
      <w:proofErr w:type="spellStart"/>
      <w:r>
        <w:rPr>
          <w:sz w:val="18"/>
          <w:szCs w:val="18"/>
        </w:rPr>
        <w:t>z.d.</w:t>
      </w:r>
      <w:proofErr w:type="spellEnd"/>
      <w:r>
        <w:rPr>
          <w:sz w:val="18"/>
          <w:szCs w:val="18"/>
        </w:rPr>
        <w:t xml:space="preserve"> </w:t>
      </w:r>
    </w:p>
  </w:footnote>
  <w:footnote w:id="50">
    <w:p w14:paraId="149AD451" w14:textId="0D911414"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Miele</w:t>
      </w:r>
      <w:r>
        <w:rPr>
          <w:sz w:val="18"/>
          <w:szCs w:val="18"/>
        </w:rPr>
        <w:t xml:space="preserve"> </w:t>
      </w:r>
      <w:proofErr w:type="spellStart"/>
      <w:r>
        <w:rPr>
          <w:sz w:val="18"/>
          <w:szCs w:val="18"/>
        </w:rPr>
        <w:t>z.d.</w:t>
      </w:r>
      <w:proofErr w:type="spellEnd"/>
      <w:r>
        <w:rPr>
          <w:sz w:val="18"/>
          <w:szCs w:val="18"/>
        </w:rPr>
        <w:t xml:space="preserve"> </w:t>
      </w:r>
    </w:p>
  </w:footnote>
  <w:footnote w:id="51">
    <w:p w14:paraId="12CFD8CE" w14:textId="630CFC4C" w:rsidR="00165157" w:rsidRDefault="00165157" w:rsidP="00BC32C5">
      <w:pPr>
        <w:pStyle w:val="Voetnoottekst"/>
        <w:jc w:val="left"/>
      </w:pPr>
      <w:r w:rsidRPr="004B7E5F">
        <w:rPr>
          <w:rStyle w:val="Voetnootmarkering"/>
          <w:sz w:val="18"/>
          <w:szCs w:val="18"/>
        </w:rPr>
        <w:footnoteRef/>
      </w:r>
      <w:r w:rsidRPr="004B7E5F">
        <w:rPr>
          <w:sz w:val="18"/>
          <w:szCs w:val="18"/>
        </w:rPr>
        <w:t xml:space="preserve"> Castermans &amp; Krans, in: </w:t>
      </w:r>
      <w:r w:rsidRPr="00382BDF">
        <w:rPr>
          <w:i/>
          <w:iCs/>
          <w:sz w:val="18"/>
          <w:szCs w:val="18"/>
        </w:rPr>
        <w:t>T&amp;C BW</w:t>
      </w:r>
      <w:r w:rsidRPr="004B7E5F">
        <w:rPr>
          <w:sz w:val="18"/>
          <w:szCs w:val="18"/>
        </w:rPr>
        <w:t xml:space="preserve"> 2003, artikel 7:17 BW, aant. 2</w:t>
      </w:r>
      <w:r>
        <w:rPr>
          <w:sz w:val="18"/>
          <w:szCs w:val="18"/>
        </w:rPr>
        <w:t>.</w:t>
      </w:r>
    </w:p>
  </w:footnote>
  <w:footnote w:id="52">
    <w:p w14:paraId="4ABD2536" w14:textId="1F57446B"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Castermans &amp; Krans, in: </w:t>
      </w:r>
      <w:r w:rsidRPr="00382BDF">
        <w:rPr>
          <w:i/>
          <w:iCs/>
          <w:sz w:val="18"/>
          <w:szCs w:val="18"/>
        </w:rPr>
        <w:t>T&amp;C BW</w:t>
      </w:r>
      <w:r w:rsidRPr="004B7E5F">
        <w:rPr>
          <w:sz w:val="18"/>
          <w:szCs w:val="18"/>
        </w:rPr>
        <w:t xml:space="preserve"> 2003, artikel 7:17 BW, aant. 3.</w:t>
      </w:r>
    </w:p>
  </w:footnote>
  <w:footnote w:id="53">
    <w:p w14:paraId="5549624E" w14:textId="77777777"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Klik 2017, p. 129.</w:t>
      </w:r>
    </w:p>
  </w:footnote>
  <w:footnote w:id="54">
    <w:p w14:paraId="7B4D346E" w14:textId="4361F094"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Castermans &amp; Krans, in</w:t>
      </w:r>
      <w:r w:rsidRPr="00382BDF">
        <w:rPr>
          <w:sz w:val="18"/>
          <w:szCs w:val="18"/>
        </w:rPr>
        <w:t>:</w:t>
      </w:r>
      <w:r w:rsidRPr="00382BDF">
        <w:rPr>
          <w:i/>
          <w:iCs/>
          <w:sz w:val="18"/>
          <w:szCs w:val="18"/>
        </w:rPr>
        <w:t xml:space="preserve"> T&amp;C BW</w:t>
      </w:r>
      <w:r w:rsidRPr="004B7E5F">
        <w:rPr>
          <w:sz w:val="18"/>
          <w:szCs w:val="18"/>
        </w:rPr>
        <w:t xml:space="preserve"> 2003, artikel 7:17 BW, aant. 3</w:t>
      </w:r>
      <w:r>
        <w:rPr>
          <w:sz w:val="18"/>
          <w:szCs w:val="18"/>
        </w:rPr>
        <w:t>.</w:t>
      </w:r>
    </w:p>
  </w:footnote>
  <w:footnote w:id="55">
    <w:p w14:paraId="4989CA06" w14:textId="77777777"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Tamboer &amp; Loos, 2015, p. 41. </w:t>
      </w:r>
    </w:p>
  </w:footnote>
  <w:footnote w:id="56">
    <w:p w14:paraId="46181886" w14:textId="77777777"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Art. 7:17 lid 5 BW.</w:t>
      </w:r>
    </w:p>
  </w:footnote>
  <w:footnote w:id="57">
    <w:p w14:paraId="257193DD" w14:textId="77777777" w:rsidR="00165157" w:rsidRPr="004B7E5F" w:rsidRDefault="00165157" w:rsidP="00BC32C5">
      <w:pPr>
        <w:pStyle w:val="Voetnoottekst"/>
        <w:ind w:left="142" w:hanging="142"/>
        <w:jc w:val="left"/>
        <w:rPr>
          <w:sz w:val="18"/>
          <w:szCs w:val="18"/>
        </w:rPr>
      </w:pPr>
      <w:r w:rsidRPr="004B7E5F">
        <w:rPr>
          <w:rStyle w:val="Voetnootmarkering"/>
          <w:sz w:val="18"/>
          <w:szCs w:val="18"/>
        </w:rPr>
        <w:footnoteRef/>
      </w:r>
      <w:r w:rsidRPr="004B7E5F">
        <w:rPr>
          <w:sz w:val="18"/>
          <w:szCs w:val="18"/>
        </w:rPr>
        <w:t xml:space="preserve"> </w:t>
      </w:r>
      <w:proofErr w:type="spellStart"/>
      <w:r w:rsidRPr="004B7E5F">
        <w:rPr>
          <w:sz w:val="18"/>
          <w:szCs w:val="18"/>
        </w:rPr>
        <w:t>Hijma</w:t>
      </w:r>
      <w:proofErr w:type="spellEnd"/>
      <w:r w:rsidRPr="004B7E5F">
        <w:rPr>
          <w:sz w:val="18"/>
          <w:szCs w:val="18"/>
        </w:rPr>
        <w:t xml:space="preserve"> &amp; </w:t>
      </w:r>
      <w:proofErr w:type="spellStart"/>
      <w:r w:rsidRPr="004B7E5F">
        <w:rPr>
          <w:sz w:val="18"/>
          <w:szCs w:val="18"/>
        </w:rPr>
        <w:t>Asssers</w:t>
      </w:r>
      <w:proofErr w:type="spellEnd"/>
      <w:r w:rsidRPr="004B7E5F">
        <w:rPr>
          <w:sz w:val="18"/>
          <w:szCs w:val="18"/>
        </w:rPr>
        <w:t xml:space="preserve">, p. 488. </w:t>
      </w:r>
    </w:p>
  </w:footnote>
  <w:footnote w:id="58">
    <w:p w14:paraId="11424E32" w14:textId="77777777"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Klik 2017, p. 148-152. </w:t>
      </w:r>
    </w:p>
  </w:footnote>
  <w:footnote w:id="59">
    <w:p w14:paraId="37BE7D86" w14:textId="77777777"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HR 16 december 2016, ECLI:NL:HR:2016:2885.</w:t>
      </w:r>
    </w:p>
  </w:footnote>
  <w:footnote w:id="60">
    <w:p w14:paraId="21E261B6" w14:textId="77777777" w:rsidR="00165157" w:rsidRDefault="00165157" w:rsidP="00BC32C5">
      <w:pPr>
        <w:pStyle w:val="Voetnoottekst"/>
        <w:jc w:val="left"/>
      </w:pPr>
      <w:r w:rsidRPr="004B7E5F">
        <w:rPr>
          <w:rStyle w:val="Voetnootmarkering"/>
          <w:sz w:val="18"/>
          <w:szCs w:val="18"/>
        </w:rPr>
        <w:footnoteRef/>
      </w:r>
      <w:r w:rsidRPr="004B7E5F">
        <w:rPr>
          <w:sz w:val="18"/>
          <w:szCs w:val="18"/>
        </w:rPr>
        <w:t xml:space="preserve"> Art. 7:18 lid 1 BW.</w:t>
      </w:r>
    </w:p>
  </w:footnote>
  <w:footnote w:id="61">
    <w:p w14:paraId="0FB52A39" w14:textId="77777777" w:rsidR="00165157" w:rsidRPr="004B7E5F" w:rsidRDefault="00165157" w:rsidP="00F63B13">
      <w:pPr>
        <w:pStyle w:val="Voetnoottekst"/>
        <w:rPr>
          <w:sz w:val="18"/>
          <w:szCs w:val="18"/>
        </w:rPr>
      </w:pPr>
      <w:r w:rsidRPr="004B7E5F">
        <w:rPr>
          <w:rStyle w:val="Voetnootmarkering"/>
          <w:sz w:val="18"/>
          <w:szCs w:val="18"/>
        </w:rPr>
        <w:footnoteRef/>
      </w:r>
      <w:r w:rsidRPr="004B7E5F">
        <w:rPr>
          <w:sz w:val="18"/>
          <w:szCs w:val="18"/>
        </w:rPr>
        <w:t xml:space="preserve"> Art. 7:21 lid 1 BW.</w:t>
      </w:r>
    </w:p>
  </w:footnote>
  <w:footnote w:id="62">
    <w:p w14:paraId="342190BE" w14:textId="77777777" w:rsidR="00165157" w:rsidRPr="004B7E5F" w:rsidRDefault="00165157" w:rsidP="00F63B13">
      <w:pPr>
        <w:pStyle w:val="Voetnoottekst"/>
        <w:rPr>
          <w:sz w:val="18"/>
          <w:szCs w:val="18"/>
        </w:rPr>
      </w:pPr>
      <w:r w:rsidRPr="004B7E5F">
        <w:rPr>
          <w:rStyle w:val="Voetnootmarkering"/>
          <w:sz w:val="18"/>
          <w:szCs w:val="18"/>
        </w:rPr>
        <w:footnoteRef/>
      </w:r>
      <w:r w:rsidRPr="004B7E5F">
        <w:rPr>
          <w:sz w:val="18"/>
          <w:szCs w:val="18"/>
        </w:rPr>
        <w:t xml:space="preserve"> Slotzin artikel 7:21 BW.</w:t>
      </w:r>
    </w:p>
  </w:footnote>
  <w:footnote w:id="63">
    <w:p w14:paraId="4F84309D" w14:textId="77777777" w:rsidR="00165157" w:rsidRPr="004B7E5F" w:rsidRDefault="00165157" w:rsidP="00F63B13">
      <w:pPr>
        <w:pStyle w:val="Voetnoottekst"/>
        <w:rPr>
          <w:sz w:val="18"/>
          <w:szCs w:val="18"/>
          <w:lang w:val="en-US"/>
        </w:rPr>
      </w:pPr>
      <w:r w:rsidRPr="004B7E5F">
        <w:rPr>
          <w:rStyle w:val="Voetnootmarkering"/>
          <w:sz w:val="18"/>
          <w:szCs w:val="18"/>
        </w:rPr>
        <w:footnoteRef/>
      </w:r>
      <w:r w:rsidRPr="004B7E5F">
        <w:rPr>
          <w:sz w:val="18"/>
          <w:szCs w:val="18"/>
          <w:lang w:val="en-US"/>
        </w:rPr>
        <w:t xml:space="preserve"> Art. 152 Rv.</w:t>
      </w:r>
    </w:p>
  </w:footnote>
  <w:footnote w:id="64">
    <w:p w14:paraId="1D49C45D" w14:textId="77777777" w:rsidR="00165157" w:rsidRPr="004B7E5F" w:rsidRDefault="00165157" w:rsidP="00F63B13">
      <w:pPr>
        <w:pStyle w:val="Voetnoottekst"/>
        <w:rPr>
          <w:sz w:val="18"/>
          <w:szCs w:val="18"/>
          <w:lang w:val="en-US"/>
        </w:rPr>
      </w:pPr>
      <w:r w:rsidRPr="004B7E5F">
        <w:rPr>
          <w:rStyle w:val="Voetnootmarkering"/>
          <w:sz w:val="18"/>
          <w:szCs w:val="18"/>
        </w:rPr>
        <w:footnoteRef/>
      </w:r>
      <w:r w:rsidRPr="004B7E5F">
        <w:rPr>
          <w:sz w:val="18"/>
          <w:szCs w:val="18"/>
          <w:lang w:val="en-US"/>
        </w:rPr>
        <w:t xml:space="preserve"> Art. 7:18 lid 2 BW.</w:t>
      </w:r>
    </w:p>
  </w:footnote>
  <w:footnote w:id="65">
    <w:p w14:paraId="31FEE8A5" w14:textId="77777777" w:rsidR="00165157" w:rsidRPr="004B7E5F" w:rsidRDefault="00165157" w:rsidP="00F63B13">
      <w:pPr>
        <w:pStyle w:val="Voetnoottekst"/>
        <w:rPr>
          <w:sz w:val="18"/>
          <w:szCs w:val="18"/>
        </w:rPr>
      </w:pPr>
      <w:r w:rsidRPr="004B7E5F">
        <w:rPr>
          <w:rStyle w:val="Voetnootmarkering"/>
          <w:sz w:val="18"/>
          <w:szCs w:val="18"/>
        </w:rPr>
        <w:footnoteRef/>
      </w:r>
      <w:r w:rsidRPr="004B7E5F">
        <w:rPr>
          <w:sz w:val="18"/>
          <w:szCs w:val="18"/>
        </w:rPr>
        <w:t xml:space="preserve"> Tamboer &amp; Loos, p. 49.</w:t>
      </w:r>
    </w:p>
  </w:footnote>
  <w:footnote w:id="66">
    <w:p w14:paraId="1B2FD903" w14:textId="77777777" w:rsidR="00165157" w:rsidRPr="004B7E5F" w:rsidRDefault="00165157" w:rsidP="00F63B13">
      <w:pPr>
        <w:pStyle w:val="Voetnoottekst"/>
        <w:rPr>
          <w:sz w:val="18"/>
          <w:szCs w:val="18"/>
        </w:rPr>
      </w:pPr>
      <w:r w:rsidRPr="004B7E5F">
        <w:rPr>
          <w:rStyle w:val="Voetnootmarkering"/>
          <w:sz w:val="18"/>
          <w:szCs w:val="18"/>
        </w:rPr>
        <w:footnoteRef/>
      </w:r>
      <w:r w:rsidRPr="004B7E5F">
        <w:rPr>
          <w:sz w:val="18"/>
          <w:szCs w:val="18"/>
        </w:rPr>
        <w:t xml:space="preserve"> HvJ EU 4 juni 2015, C-497/13, ECLI:EU:C:2015:357.</w:t>
      </w:r>
    </w:p>
  </w:footnote>
  <w:footnote w:id="67">
    <w:p w14:paraId="15A4FE1E" w14:textId="77777777" w:rsidR="00165157" w:rsidRPr="004B7E5F" w:rsidRDefault="00165157" w:rsidP="00F63B13">
      <w:pPr>
        <w:pStyle w:val="Voetnoottekst"/>
        <w:rPr>
          <w:sz w:val="18"/>
          <w:szCs w:val="18"/>
        </w:rPr>
      </w:pPr>
      <w:r w:rsidRPr="004B7E5F">
        <w:rPr>
          <w:rStyle w:val="Voetnootmarkering"/>
          <w:sz w:val="18"/>
          <w:szCs w:val="18"/>
        </w:rPr>
        <w:footnoteRef/>
      </w:r>
      <w:r w:rsidRPr="004B7E5F">
        <w:rPr>
          <w:sz w:val="18"/>
          <w:szCs w:val="18"/>
        </w:rPr>
        <w:t xml:space="preserve"> Zie slotzin artikel 7:18 lid 2 BW.</w:t>
      </w:r>
    </w:p>
  </w:footnote>
  <w:footnote w:id="68">
    <w:p w14:paraId="75B576F3" w14:textId="77777777" w:rsidR="00165157" w:rsidRPr="004B7E5F" w:rsidRDefault="00165157" w:rsidP="00F63B13">
      <w:pPr>
        <w:pStyle w:val="Voetnoottekst"/>
        <w:rPr>
          <w:sz w:val="18"/>
          <w:szCs w:val="18"/>
        </w:rPr>
      </w:pPr>
      <w:r w:rsidRPr="004B7E5F">
        <w:rPr>
          <w:rStyle w:val="Voetnootmarkering"/>
          <w:sz w:val="18"/>
          <w:szCs w:val="18"/>
        </w:rPr>
        <w:footnoteRef/>
      </w:r>
      <w:r w:rsidRPr="004B7E5F">
        <w:rPr>
          <w:sz w:val="18"/>
          <w:szCs w:val="18"/>
        </w:rPr>
        <w:t xml:space="preserve"> Klik 2017, p. 186.</w:t>
      </w:r>
    </w:p>
  </w:footnote>
  <w:footnote w:id="69">
    <w:p w14:paraId="4DA12F01" w14:textId="77777777" w:rsidR="00165157" w:rsidRPr="004B7E5F" w:rsidRDefault="00165157" w:rsidP="00F63B13">
      <w:pPr>
        <w:pStyle w:val="Voetnoottekst"/>
        <w:rPr>
          <w:sz w:val="18"/>
          <w:szCs w:val="18"/>
        </w:rPr>
      </w:pPr>
      <w:r w:rsidRPr="004B7E5F">
        <w:rPr>
          <w:rStyle w:val="Voetnootmarkering"/>
          <w:sz w:val="18"/>
          <w:szCs w:val="18"/>
        </w:rPr>
        <w:footnoteRef/>
      </w:r>
      <w:r w:rsidRPr="004B7E5F">
        <w:rPr>
          <w:sz w:val="18"/>
          <w:szCs w:val="18"/>
        </w:rPr>
        <w:t xml:space="preserve"> Art. 152 Rv.</w:t>
      </w:r>
    </w:p>
  </w:footnote>
  <w:footnote w:id="70">
    <w:p w14:paraId="3FC8D7FA" w14:textId="77777777" w:rsidR="00165157" w:rsidRPr="004B7E5F" w:rsidRDefault="00165157" w:rsidP="00F63B13">
      <w:pPr>
        <w:pStyle w:val="Voetnoottekst"/>
        <w:rPr>
          <w:sz w:val="18"/>
          <w:szCs w:val="18"/>
        </w:rPr>
      </w:pPr>
      <w:r w:rsidRPr="004B7E5F">
        <w:rPr>
          <w:rStyle w:val="Voetnootmarkering"/>
          <w:sz w:val="18"/>
          <w:szCs w:val="18"/>
        </w:rPr>
        <w:footnoteRef/>
      </w:r>
      <w:r w:rsidRPr="004B7E5F">
        <w:rPr>
          <w:sz w:val="18"/>
          <w:szCs w:val="18"/>
        </w:rPr>
        <w:t xml:space="preserve"> Loos, </w:t>
      </w:r>
      <w:r w:rsidRPr="004B7E5F">
        <w:rPr>
          <w:i/>
          <w:iCs/>
          <w:sz w:val="18"/>
          <w:szCs w:val="18"/>
        </w:rPr>
        <w:t xml:space="preserve">TvC  </w:t>
      </w:r>
      <w:r w:rsidRPr="004B7E5F">
        <w:rPr>
          <w:sz w:val="18"/>
          <w:szCs w:val="18"/>
        </w:rPr>
        <w:t xml:space="preserve">2019/3, p. 108. </w:t>
      </w:r>
    </w:p>
  </w:footnote>
  <w:footnote w:id="71">
    <w:p w14:paraId="2D243B2D" w14:textId="77777777" w:rsidR="00165157" w:rsidRPr="004B7E5F" w:rsidRDefault="00165157" w:rsidP="00F63B13">
      <w:pPr>
        <w:pStyle w:val="Voetnoottekst"/>
        <w:rPr>
          <w:sz w:val="18"/>
          <w:szCs w:val="18"/>
        </w:rPr>
      </w:pPr>
      <w:r w:rsidRPr="004B7E5F">
        <w:rPr>
          <w:rStyle w:val="Voetnootmarkering"/>
          <w:sz w:val="18"/>
          <w:szCs w:val="18"/>
        </w:rPr>
        <w:footnoteRef/>
      </w:r>
      <w:r w:rsidRPr="004B7E5F">
        <w:rPr>
          <w:sz w:val="18"/>
          <w:szCs w:val="18"/>
        </w:rPr>
        <w:t xml:space="preserve"> Art. 6 &amp; 7 Richtlijn 2019/771.</w:t>
      </w:r>
    </w:p>
  </w:footnote>
  <w:footnote w:id="72">
    <w:p w14:paraId="61FEECBC" w14:textId="77777777" w:rsidR="00165157" w:rsidRPr="004B7E5F" w:rsidRDefault="00165157" w:rsidP="00F63B13">
      <w:pPr>
        <w:pStyle w:val="Voetnoottekst"/>
        <w:rPr>
          <w:sz w:val="18"/>
          <w:szCs w:val="18"/>
          <w:lang w:val="en-US"/>
        </w:rPr>
      </w:pPr>
      <w:r w:rsidRPr="004B7E5F">
        <w:rPr>
          <w:rStyle w:val="Voetnootmarkering"/>
          <w:sz w:val="18"/>
          <w:szCs w:val="18"/>
        </w:rPr>
        <w:footnoteRef/>
      </w:r>
      <w:r w:rsidRPr="004B7E5F">
        <w:rPr>
          <w:sz w:val="18"/>
          <w:szCs w:val="18"/>
        </w:rPr>
        <w:t xml:space="preserve"> </w:t>
      </w:r>
      <w:r w:rsidRPr="004B7E5F">
        <w:rPr>
          <w:i/>
          <w:iCs/>
          <w:sz w:val="18"/>
          <w:szCs w:val="18"/>
        </w:rPr>
        <w:t>Kamerstukken II</w:t>
      </w:r>
      <w:r w:rsidRPr="004B7E5F">
        <w:rPr>
          <w:sz w:val="18"/>
          <w:szCs w:val="18"/>
        </w:rPr>
        <w:t xml:space="preserve">, 2020/21, 35734, nr. 3, p. 62. </w:t>
      </w:r>
      <w:r w:rsidRPr="004B7E5F">
        <w:rPr>
          <w:sz w:val="18"/>
          <w:szCs w:val="18"/>
          <w:lang w:val="en-US"/>
        </w:rPr>
        <w:t>(MvT).</w:t>
      </w:r>
    </w:p>
  </w:footnote>
  <w:footnote w:id="73">
    <w:p w14:paraId="0BCCDBC4" w14:textId="77777777" w:rsidR="00165157" w:rsidRPr="00AD4CF0" w:rsidRDefault="00165157" w:rsidP="00F63B13">
      <w:pPr>
        <w:pStyle w:val="Voetnoottekst"/>
        <w:rPr>
          <w:lang w:val="en-US"/>
        </w:rPr>
      </w:pPr>
      <w:r w:rsidRPr="004B7E5F">
        <w:rPr>
          <w:rStyle w:val="Voetnootmarkering"/>
          <w:sz w:val="18"/>
          <w:szCs w:val="18"/>
        </w:rPr>
        <w:footnoteRef/>
      </w:r>
      <w:r w:rsidRPr="004B7E5F">
        <w:rPr>
          <w:sz w:val="18"/>
          <w:szCs w:val="18"/>
          <w:lang w:val="en-US"/>
        </w:rPr>
        <w:t xml:space="preserve"> Art. 6 sub a Richtlijn 2019/771. </w:t>
      </w:r>
    </w:p>
  </w:footnote>
  <w:footnote w:id="74">
    <w:p w14:paraId="4D179E28" w14:textId="77777777"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Art. 2 lid 9 Richtlijn 2019/771. </w:t>
      </w:r>
    </w:p>
  </w:footnote>
  <w:footnote w:id="75">
    <w:p w14:paraId="1E1B47F7" w14:textId="77777777"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Art. 2 lid 10 Richtlijn 2019/771.</w:t>
      </w:r>
    </w:p>
  </w:footnote>
  <w:footnote w:id="76">
    <w:p w14:paraId="17A483A2" w14:textId="77777777"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Art. 2 lid 8 Richtlijn 2019/771. </w:t>
      </w:r>
    </w:p>
  </w:footnote>
  <w:footnote w:id="77">
    <w:p w14:paraId="1D5A9A79" w14:textId="7F54C6C4"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Overweging 26 Richtlijn 2019/771</w:t>
      </w:r>
      <w:r>
        <w:rPr>
          <w:sz w:val="18"/>
          <w:szCs w:val="18"/>
        </w:rPr>
        <w:t>.</w:t>
      </w:r>
    </w:p>
  </w:footnote>
  <w:footnote w:id="78">
    <w:p w14:paraId="37E4C569" w14:textId="77777777"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w:t>
      </w:r>
      <w:r w:rsidRPr="004B7E5F">
        <w:rPr>
          <w:i/>
          <w:iCs/>
          <w:sz w:val="18"/>
          <w:szCs w:val="18"/>
        </w:rPr>
        <w:t>Kamerstukken II,</w:t>
      </w:r>
      <w:r w:rsidRPr="004B7E5F">
        <w:rPr>
          <w:sz w:val="18"/>
          <w:szCs w:val="18"/>
        </w:rPr>
        <w:t xml:space="preserve"> 2020/21, 35734, nr. 2, p. 3. (Wetsvoorstel).</w:t>
      </w:r>
    </w:p>
  </w:footnote>
  <w:footnote w:id="79">
    <w:p w14:paraId="5E76227C" w14:textId="77777777"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w:t>
      </w:r>
      <w:r w:rsidRPr="004B7E5F">
        <w:rPr>
          <w:i/>
          <w:iCs/>
          <w:sz w:val="18"/>
          <w:szCs w:val="18"/>
        </w:rPr>
        <w:t>Kamerstukken II</w:t>
      </w:r>
      <w:r w:rsidRPr="004B7E5F">
        <w:rPr>
          <w:sz w:val="18"/>
          <w:szCs w:val="18"/>
        </w:rPr>
        <w:t>, 2020/21, 35734, nr. 3, p. 4. (MvT).</w:t>
      </w:r>
    </w:p>
  </w:footnote>
  <w:footnote w:id="80">
    <w:p w14:paraId="7515EAFA" w14:textId="77777777"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Art. 6 sub c Richtlijn 2019/771. </w:t>
      </w:r>
    </w:p>
  </w:footnote>
  <w:footnote w:id="81">
    <w:p w14:paraId="64E4634B" w14:textId="77777777"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w:t>
      </w:r>
      <w:r w:rsidRPr="004B7E5F">
        <w:rPr>
          <w:i/>
          <w:iCs/>
          <w:sz w:val="18"/>
          <w:szCs w:val="18"/>
        </w:rPr>
        <w:t>Kamerstukken II</w:t>
      </w:r>
      <w:r w:rsidRPr="004B7E5F">
        <w:rPr>
          <w:sz w:val="18"/>
          <w:szCs w:val="18"/>
        </w:rPr>
        <w:t>, 2020/21, 35734, nr. 3, p. 31. (MvT).</w:t>
      </w:r>
    </w:p>
  </w:footnote>
  <w:footnote w:id="82">
    <w:p w14:paraId="28C2126F" w14:textId="77777777" w:rsidR="00165157" w:rsidRPr="004B7E5F" w:rsidRDefault="00165157" w:rsidP="00BC32C5">
      <w:pPr>
        <w:pStyle w:val="Voetnoottekst"/>
        <w:tabs>
          <w:tab w:val="left" w:pos="3849"/>
        </w:tabs>
        <w:jc w:val="left"/>
        <w:rPr>
          <w:sz w:val="18"/>
          <w:szCs w:val="18"/>
        </w:rPr>
      </w:pPr>
      <w:r w:rsidRPr="004B7E5F">
        <w:rPr>
          <w:rStyle w:val="Voetnootmarkering"/>
          <w:sz w:val="18"/>
          <w:szCs w:val="18"/>
        </w:rPr>
        <w:footnoteRef/>
      </w:r>
      <w:r w:rsidRPr="004B7E5F">
        <w:rPr>
          <w:sz w:val="18"/>
          <w:szCs w:val="18"/>
        </w:rPr>
        <w:t xml:space="preserve"> </w:t>
      </w:r>
      <w:r w:rsidRPr="004B7E5F">
        <w:rPr>
          <w:i/>
          <w:iCs/>
          <w:sz w:val="18"/>
          <w:szCs w:val="18"/>
        </w:rPr>
        <w:t>Kamerstukken II</w:t>
      </w:r>
      <w:r w:rsidRPr="004B7E5F">
        <w:rPr>
          <w:sz w:val="18"/>
          <w:szCs w:val="18"/>
        </w:rPr>
        <w:t>, 2020/21, 35734, nr. 3, p. 62. (MvT).</w:t>
      </w:r>
    </w:p>
  </w:footnote>
  <w:footnote w:id="83">
    <w:p w14:paraId="3849EC2A" w14:textId="77777777"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Art. 7 lid 1 sub d Richtlijn 2019/771. </w:t>
      </w:r>
    </w:p>
  </w:footnote>
  <w:footnote w:id="84">
    <w:p w14:paraId="06F5D7CF" w14:textId="77777777" w:rsidR="00165157" w:rsidRPr="004B7E5F" w:rsidRDefault="00165157" w:rsidP="00BC32C5">
      <w:pPr>
        <w:pStyle w:val="Voetnoottekst"/>
        <w:jc w:val="left"/>
        <w:rPr>
          <w:sz w:val="18"/>
          <w:szCs w:val="18"/>
        </w:rPr>
      </w:pPr>
      <w:r w:rsidRPr="004B7E5F">
        <w:rPr>
          <w:rStyle w:val="Voetnootmarkering"/>
          <w:sz w:val="18"/>
          <w:szCs w:val="18"/>
        </w:rPr>
        <w:footnoteRef/>
      </w:r>
      <w:r w:rsidRPr="004B7E5F">
        <w:rPr>
          <w:sz w:val="18"/>
          <w:szCs w:val="18"/>
        </w:rPr>
        <w:t xml:space="preserve"> Art. 7 lid 3 Richtlijn 2019/771.</w:t>
      </w:r>
    </w:p>
  </w:footnote>
  <w:footnote w:id="85">
    <w:p w14:paraId="2064DDCB" w14:textId="77777777" w:rsidR="00165157" w:rsidRDefault="00165157" w:rsidP="00BC32C5">
      <w:pPr>
        <w:pStyle w:val="Voetnoottekst"/>
        <w:jc w:val="left"/>
      </w:pPr>
      <w:r w:rsidRPr="004B7E5F">
        <w:rPr>
          <w:rStyle w:val="Voetnootmarkering"/>
          <w:sz w:val="18"/>
          <w:szCs w:val="18"/>
        </w:rPr>
        <w:footnoteRef/>
      </w:r>
      <w:r w:rsidRPr="004B7E5F">
        <w:rPr>
          <w:sz w:val="18"/>
          <w:szCs w:val="18"/>
        </w:rPr>
        <w:t xml:space="preserve"> Overweging 32 Richtlijn 2019/771.</w:t>
      </w:r>
    </w:p>
  </w:footnote>
  <w:footnote w:id="86">
    <w:p w14:paraId="589D740F" w14:textId="77777777" w:rsidR="00165157" w:rsidRPr="00165157" w:rsidRDefault="00165157" w:rsidP="00BC32C5">
      <w:pPr>
        <w:pStyle w:val="Voetnoottekst"/>
        <w:jc w:val="left"/>
        <w:rPr>
          <w:sz w:val="18"/>
          <w:szCs w:val="18"/>
          <w:lang w:val="en-US"/>
        </w:rPr>
      </w:pPr>
      <w:r w:rsidRPr="00165157">
        <w:rPr>
          <w:rStyle w:val="Voetnootmarkering"/>
          <w:sz w:val="18"/>
          <w:szCs w:val="18"/>
        </w:rPr>
        <w:footnoteRef/>
      </w:r>
      <w:r w:rsidRPr="00165157">
        <w:rPr>
          <w:sz w:val="18"/>
          <w:szCs w:val="18"/>
          <w:lang w:val="en-US"/>
        </w:rPr>
        <w:t xml:space="preserve"> I. </w:t>
      </w:r>
      <w:proofErr w:type="spellStart"/>
      <w:r w:rsidRPr="00165157">
        <w:rPr>
          <w:sz w:val="18"/>
          <w:szCs w:val="18"/>
          <w:lang w:val="en-US"/>
        </w:rPr>
        <w:t>Claeys</w:t>
      </w:r>
      <w:proofErr w:type="spellEnd"/>
      <w:r w:rsidRPr="00165157">
        <w:rPr>
          <w:sz w:val="18"/>
          <w:szCs w:val="18"/>
          <w:lang w:val="en-US"/>
        </w:rPr>
        <w:t xml:space="preserve"> &amp; E. Terryn 2020, p. 106. </w:t>
      </w:r>
    </w:p>
  </w:footnote>
  <w:footnote w:id="87">
    <w:p w14:paraId="2B7A4FF2" w14:textId="77777777" w:rsidR="00165157" w:rsidRPr="00165157" w:rsidRDefault="00165157" w:rsidP="00BC32C5">
      <w:pPr>
        <w:pStyle w:val="Voetnoottekst"/>
        <w:jc w:val="left"/>
        <w:rPr>
          <w:sz w:val="18"/>
          <w:szCs w:val="18"/>
        </w:rPr>
      </w:pPr>
      <w:r w:rsidRPr="00165157">
        <w:rPr>
          <w:rStyle w:val="Voetnootmarkering"/>
          <w:sz w:val="18"/>
          <w:szCs w:val="18"/>
        </w:rPr>
        <w:footnoteRef/>
      </w:r>
      <w:r w:rsidRPr="00165157">
        <w:rPr>
          <w:sz w:val="18"/>
          <w:szCs w:val="18"/>
        </w:rPr>
        <w:t xml:space="preserve"> Art. 7 lid 3 Richtlijn 2019/771.</w:t>
      </w:r>
    </w:p>
  </w:footnote>
  <w:footnote w:id="88">
    <w:p w14:paraId="0E59D15B" w14:textId="77777777" w:rsidR="00165157" w:rsidRPr="00165157" w:rsidRDefault="00165157" w:rsidP="00BC32C5">
      <w:pPr>
        <w:pStyle w:val="Voetnoottekst"/>
        <w:jc w:val="left"/>
        <w:rPr>
          <w:sz w:val="18"/>
          <w:szCs w:val="18"/>
        </w:rPr>
      </w:pPr>
      <w:r w:rsidRPr="00165157">
        <w:rPr>
          <w:rStyle w:val="Voetnootmarkering"/>
          <w:sz w:val="18"/>
          <w:szCs w:val="18"/>
        </w:rPr>
        <w:footnoteRef/>
      </w:r>
      <w:r w:rsidRPr="00165157">
        <w:rPr>
          <w:sz w:val="18"/>
          <w:szCs w:val="18"/>
        </w:rPr>
        <w:t xml:space="preserve"> Art. 7:9 BW.</w:t>
      </w:r>
    </w:p>
  </w:footnote>
  <w:footnote w:id="89">
    <w:p w14:paraId="26C14CC1" w14:textId="77777777" w:rsidR="00165157" w:rsidRPr="00165157" w:rsidRDefault="00165157" w:rsidP="00BC32C5">
      <w:pPr>
        <w:pStyle w:val="Voetnoottekst"/>
        <w:jc w:val="left"/>
        <w:rPr>
          <w:sz w:val="18"/>
          <w:szCs w:val="18"/>
        </w:rPr>
      </w:pPr>
      <w:r w:rsidRPr="00165157">
        <w:rPr>
          <w:rStyle w:val="Voetnootmarkering"/>
          <w:sz w:val="18"/>
          <w:szCs w:val="18"/>
        </w:rPr>
        <w:footnoteRef/>
      </w:r>
      <w:r w:rsidRPr="00165157">
        <w:rPr>
          <w:sz w:val="18"/>
          <w:szCs w:val="18"/>
        </w:rPr>
        <w:t xml:space="preserve"> </w:t>
      </w:r>
      <w:r w:rsidRPr="00165157">
        <w:rPr>
          <w:i/>
          <w:iCs/>
          <w:sz w:val="18"/>
          <w:szCs w:val="18"/>
        </w:rPr>
        <w:t>Kamerstukken II,</w:t>
      </w:r>
      <w:r w:rsidRPr="00165157">
        <w:rPr>
          <w:sz w:val="18"/>
          <w:szCs w:val="18"/>
        </w:rPr>
        <w:t xml:space="preserve"> 2020/21, 35734, nr. 3, p. 7. (MvT).</w:t>
      </w:r>
    </w:p>
  </w:footnote>
  <w:footnote w:id="90">
    <w:p w14:paraId="60AA4088" w14:textId="77777777" w:rsidR="00165157" w:rsidRPr="00165157" w:rsidRDefault="00165157" w:rsidP="00BC32C5">
      <w:pPr>
        <w:pStyle w:val="Voetnoottekst"/>
        <w:jc w:val="left"/>
        <w:rPr>
          <w:sz w:val="18"/>
          <w:szCs w:val="18"/>
        </w:rPr>
      </w:pPr>
      <w:r w:rsidRPr="00165157">
        <w:rPr>
          <w:rStyle w:val="Voetnootmarkering"/>
          <w:sz w:val="18"/>
          <w:szCs w:val="18"/>
        </w:rPr>
        <w:footnoteRef/>
      </w:r>
      <w:r w:rsidRPr="00165157">
        <w:rPr>
          <w:sz w:val="18"/>
          <w:szCs w:val="18"/>
        </w:rPr>
        <w:t xml:space="preserve"> Overweging 28 Richtlijn 2019/771.</w:t>
      </w:r>
    </w:p>
  </w:footnote>
  <w:footnote w:id="91">
    <w:p w14:paraId="7E7A98FD" w14:textId="77777777" w:rsidR="00165157" w:rsidRPr="00165157" w:rsidRDefault="00165157" w:rsidP="00BC32C5">
      <w:pPr>
        <w:pStyle w:val="Voetnoottekst"/>
        <w:jc w:val="left"/>
        <w:rPr>
          <w:sz w:val="18"/>
          <w:szCs w:val="18"/>
        </w:rPr>
      </w:pPr>
      <w:r w:rsidRPr="00165157">
        <w:rPr>
          <w:rStyle w:val="Voetnootmarkering"/>
          <w:sz w:val="18"/>
          <w:szCs w:val="18"/>
        </w:rPr>
        <w:footnoteRef/>
      </w:r>
      <w:r w:rsidRPr="00165157">
        <w:rPr>
          <w:sz w:val="18"/>
          <w:szCs w:val="18"/>
        </w:rPr>
        <w:t xml:space="preserve"> Art. 8 sub b Richtlijn 2019/771.</w:t>
      </w:r>
    </w:p>
  </w:footnote>
  <w:footnote w:id="92">
    <w:p w14:paraId="404C1E37" w14:textId="77777777" w:rsidR="00165157" w:rsidRPr="00165157" w:rsidRDefault="00165157" w:rsidP="00BC32C5">
      <w:pPr>
        <w:pStyle w:val="Voetnoottekst"/>
        <w:jc w:val="left"/>
        <w:rPr>
          <w:sz w:val="18"/>
          <w:szCs w:val="18"/>
        </w:rPr>
      </w:pPr>
      <w:r w:rsidRPr="00165157">
        <w:rPr>
          <w:rStyle w:val="Voetnootmarkering"/>
          <w:sz w:val="18"/>
          <w:szCs w:val="18"/>
        </w:rPr>
        <w:footnoteRef/>
      </w:r>
      <w:r w:rsidRPr="00165157">
        <w:rPr>
          <w:sz w:val="18"/>
          <w:szCs w:val="18"/>
        </w:rPr>
        <w:t xml:space="preserve"> </w:t>
      </w:r>
      <w:r w:rsidRPr="00165157">
        <w:rPr>
          <w:i/>
          <w:iCs/>
          <w:sz w:val="18"/>
          <w:szCs w:val="18"/>
        </w:rPr>
        <w:t>Kamerstukken II</w:t>
      </w:r>
      <w:r w:rsidRPr="00165157">
        <w:rPr>
          <w:sz w:val="18"/>
          <w:szCs w:val="18"/>
        </w:rPr>
        <w:t>, 2020/21, 35734, nr. 3, p. 7. (MvT).</w:t>
      </w:r>
    </w:p>
  </w:footnote>
  <w:footnote w:id="93">
    <w:p w14:paraId="505C960A" w14:textId="77777777" w:rsidR="00165157" w:rsidRPr="00165157" w:rsidRDefault="00165157" w:rsidP="00BC32C5">
      <w:pPr>
        <w:pStyle w:val="Voetnoottekst"/>
        <w:jc w:val="left"/>
        <w:rPr>
          <w:sz w:val="18"/>
          <w:szCs w:val="18"/>
        </w:rPr>
      </w:pPr>
      <w:r w:rsidRPr="00165157">
        <w:rPr>
          <w:rStyle w:val="Voetnootmarkering"/>
          <w:sz w:val="18"/>
          <w:szCs w:val="18"/>
        </w:rPr>
        <w:footnoteRef/>
      </w:r>
      <w:r w:rsidRPr="00165157">
        <w:rPr>
          <w:sz w:val="18"/>
          <w:szCs w:val="18"/>
        </w:rPr>
        <w:t xml:space="preserve"> Art. 8 Richtlijn 2019/771.</w:t>
      </w:r>
    </w:p>
  </w:footnote>
  <w:footnote w:id="94">
    <w:p w14:paraId="0AF4E75C" w14:textId="77777777" w:rsidR="00165157" w:rsidRPr="00165157" w:rsidRDefault="00165157" w:rsidP="00BC32C5">
      <w:pPr>
        <w:pStyle w:val="Voetnoottekst"/>
        <w:jc w:val="left"/>
        <w:rPr>
          <w:sz w:val="18"/>
          <w:szCs w:val="18"/>
        </w:rPr>
      </w:pPr>
      <w:r w:rsidRPr="00165157">
        <w:rPr>
          <w:rStyle w:val="Voetnootmarkering"/>
          <w:sz w:val="18"/>
          <w:szCs w:val="18"/>
        </w:rPr>
        <w:footnoteRef/>
      </w:r>
      <w:r w:rsidRPr="00165157">
        <w:rPr>
          <w:sz w:val="18"/>
          <w:szCs w:val="18"/>
        </w:rPr>
        <w:t xml:space="preserve"> </w:t>
      </w:r>
      <w:r w:rsidRPr="00165157">
        <w:rPr>
          <w:i/>
          <w:iCs/>
          <w:sz w:val="18"/>
          <w:szCs w:val="18"/>
        </w:rPr>
        <w:t>Kamerstukken II</w:t>
      </w:r>
      <w:r w:rsidRPr="00165157">
        <w:rPr>
          <w:sz w:val="18"/>
          <w:szCs w:val="18"/>
        </w:rPr>
        <w:t>, 2020/21, 35734, nr. 3, p. 62. (MvT).</w:t>
      </w:r>
    </w:p>
  </w:footnote>
  <w:footnote w:id="95">
    <w:p w14:paraId="705C7336" w14:textId="77777777" w:rsidR="00165157" w:rsidRPr="00165157" w:rsidRDefault="00165157" w:rsidP="00BC32C5">
      <w:pPr>
        <w:pStyle w:val="Voetnoottekst"/>
        <w:jc w:val="left"/>
        <w:rPr>
          <w:sz w:val="18"/>
          <w:szCs w:val="18"/>
        </w:rPr>
      </w:pPr>
      <w:r w:rsidRPr="00165157">
        <w:rPr>
          <w:rStyle w:val="Voetnootmarkering"/>
          <w:sz w:val="18"/>
          <w:szCs w:val="18"/>
        </w:rPr>
        <w:footnoteRef/>
      </w:r>
      <w:r w:rsidRPr="00165157">
        <w:rPr>
          <w:sz w:val="18"/>
          <w:szCs w:val="18"/>
        </w:rPr>
        <w:t xml:space="preserve"> Vergelijk artikel 8 Richtlijn 2019/771 en artikel 7:18 lid 3 BW.</w:t>
      </w:r>
    </w:p>
  </w:footnote>
  <w:footnote w:id="96">
    <w:p w14:paraId="25BCC0B3" w14:textId="58FA569B" w:rsidR="00165157" w:rsidRPr="00165157" w:rsidRDefault="00165157" w:rsidP="00BC32C5">
      <w:pPr>
        <w:pStyle w:val="Voetnoottekst"/>
        <w:jc w:val="left"/>
        <w:rPr>
          <w:sz w:val="18"/>
          <w:szCs w:val="18"/>
        </w:rPr>
      </w:pPr>
      <w:r w:rsidRPr="00165157">
        <w:rPr>
          <w:rStyle w:val="Voetnootmarkering"/>
          <w:sz w:val="18"/>
          <w:szCs w:val="18"/>
        </w:rPr>
        <w:footnoteRef/>
      </w:r>
      <w:r w:rsidRPr="00165157">
        <w:rPr>
          <w:sz w:val="18"/>
          <w:szCs w:val="18"/>
        </w:rPr>
        <w:t xml:space="preserve"> Claeys &amp; Terryn 2020</w:t>
      </w:r>
      <w:r w:rsidRPr="00165157">
        <w:rPr>
          <w:i/>
          <w:iCs/>
          <w:sz w:val="18"/>
          <w:szCs w:val="18"/>
        </w:rPr>
        <w:t xml:space="preserve">, </w:t>
      </w:r>
      <w:r w:rsidRPr="00165157">
        <w:rPr>
          <w:sz w:val="18"/>
          <w:szCs w:val="18"/>
        </w:rPr>
        <w:t xml:space="preserve">p. 113. </w:t>
      </w:r>
    </w:p>
  </w:footnote>
  <w:footnote w:id="97">
    <w:p w14:paraId="55396406" w14:textId="77777777" w:rsidR="00165157" w:rsidRDefault="00165157" w:rsidP="00BC32C5">
      <w:pPr>
        <w:pStyle w:val="Voetnoottekst"/>
        <w:jc w:val="left"/>
      </w:pPr>
      <w:r w:rsidRPr="00165157">
        <w:rPr>
          <w:rStyle w:val="Voetnootmarkering"/>
          <w:sz w:val="18"/>
          <w:szCs w:val="18"/>
        </w:rPr>
        <w:footnoteRef/>
      </w:r>
      <w:r w:rsidRPr="00165157">
        <w:rPr>
          <w:sz w:val="18"/>
          <w:szCs w:val="18"/>
        </w:rPr>
        <w:t xml:space="preserve"> Artikel 8 sub b Richtlijn 2019/771.</w:t>
      </w:r>
    </w:p>
  </w:footnote>
  <w:footnote w:id="98">
    <w:p w14:paraId="15BF2195" w14:textId="12766B85" w:rsidR="00165157" w:rsidRPr="00FA352C" w:rsidRDefault="00165157" w:rsidP="00FA352C">
      <w:pPr>
        <w:pStyle w:val="Voetnoottekst"/>
        <w:rPr>
          <w:sz w:val="18"/>
          <w:szCs w:val="18"/>
        </w:rPr>
      </w:pPr>
      <w:r w:rsidRPr="00FA352C">
        <w:rPr>
          <w:rStyle w:val="Voetnootmarkering"/>
          <w:sz w:val="18"/>
          <w:szCs w:val="18"/>
        </w:rPr>
        <w:footnoteRef/>
      </w:r>
      <w:r w:rsidRPr="00FA352C">
        <w:rPr>
          <w:sz w:val="18"/>
          <w:szCs w:val="18"/>
        </w:rPr>
        <w:t xml:space="preserve"> </w:t>
      </w:r>
      <w:r w:rsidR="00AE2F16">
        <w:rPr>
          <w:sz w:val="18"/>
          <w:szCs w:val="18"/>
        </w:rPr>
        <w:t xml:space="preserve"> </w:t>
      </w:r>
      <w:r w:rsidRPr="00FA352C">
        <w:rPr>
          <w:i/>
          <w:iCs/>
          <w:sz w:val="18"/>
          <w:szCs w:val="18"/>
        </w:rPr>
        <w:t>Kamerstukken II</w:t>
      </w:r>
      <w:r w:rsidRPr="00FA352C">
        <w:rPr>
          <w:sz w:val="18"/>
          <w:szCs w:val="18"/>
        </w:rPr>
        <w:t>, 2020/21, 35734, nr. 2, p. 6.</w:t>
      </w:r>
    </w:p>
  </w:footnote>
  <w:footnote w:id="99">
    <w:p w14:paraId="454AEBA4" w14:textId="16D954B3" w:rsidR="00165157" w:rsidRPr="00FA352C" w:rsidRDefault="00165157" w:rsidP="00FA352C">
      <w:pPr>
        <w:pStyle w:val="Voetnoottekst"/>
        <w:rPr>
          <w:sz w:val="18"/>
          <w:szCs w:val="18"/>
        </w:rPr>
      </w:pPr>
      <w:r w:rsidRPr="00FA352C">
        <w:rPr>
          <w:rStyle w:val="Voetnootmarkering"/>
          <w:sz w:val="18"/>
          <w:szCs w:val="18"/>
        </w:rPr>
        <w:footnoteRef/>
      </w:r>
      <w:r w:rsidRPr="00FA352C">
        <w:rPr>
          <w:sz w:val="18"/>
          <w:szCs w:val="18"/>
        </w:rPr>
        <w:t xml:space="preserve"> </w:t>
      </w:r>
      <w:r>
        <w:rPr>
          <w:sz w:val="18"/>
          <w:szCs w:val="18"/>
        </w:rPr>
        <w:t xml:space="preserve"> </w:t>
      </w:r>
      <w:r w:rsidRPr="00FA352C">
        <w:rPr>
          <w:sz w:val="18"/>
          <w:szCs w:val="18"/>
        </w:rPr>
        <w:t>Art. 11 lid 1 Richtlijn 2019/771.</w:t>
      </w:r>
    </w:p>
  </w:footnote>
  <w:footnote w:id="100">
    <w:p w14:paraId="663ED389" w14:textId="77777777" w:rsidR="00165157" w:rsidRPr="00FA352C" w:rsidRDefault="00165157" w:rsidP="00FA352C">
      <w:pPr>
        <w:pStyle w:val="Voetnoottekst"/>
        <w:rPr>
          <w:sz w:val="18"/>
          <w:szCs w:val="18"/>
        </w:rPr>
      </w:pPr>
      <w:r w:rsidRPr="00FA352C">
        <w:rPr>
          <w:rStyle w:val="Voetnootmarkering"/>
          <w:sz w:val="18"/>
          <w:szCs w:val="18"/>
        </w:rPr>
        <w:footnoteRef/>
      </w:r>
      <w:r w:rsidRPr="00FA352C">
        <w:rPr>
          <w:sz w:val="18"/>
          <w:szCs w:val="18"/>
        </w:rPr>
        <w:t xml:space="preserve"> </w:t>
      </w:r>
      <w:r w:rsidRPr="00FA352C">
        <w:rPr>
          <w:i/>
          <w:iCs/>
          <w:sz w:val="18"/>
          <w:szCs w:val="18"/>
        </w:rPr>
        <w:t>Kamerstukken II</w:t>
      </w:r>
      <w:r w:rsidRPr="00FA352C">
        <w:rPr>
          <w:sz w:val="18"/>
          <w:szCs w:val="18"/>
        </w:rPr>
        <w:t xml:space="preserve">, 2020/21, 35734, nr. 3, p. 63. (MvT). </w:t>
      </w:r>
    </w:p>
  </w:footnote>
  <w:footnote w:id="101">
    <w:p w14:paraId="570D0F40" w14:textId="77777777" w:rsidR="00165157" w:rsidRPr="00FA352C" w:rsidRDefault="00165157" w:rsidP="00FA352C">
      <w:pPr>
        <w:pStyle w:val="Voetnoottekst"/>
        <w:rPr>
          <w:sz w:val="18"/>
          <w:szCs w:val="18"/>
        </w:rPr>
      </w:pPr>
      <w:r w:rsidRPr="00FA352C">
        <w:rPr>
          <w:rStyle w:val="Voetnootmarkering"/>
          <w:sz w:val="18"/>
          <w:szCs w:val="18"/>
        </w:rPr>
        <w:footnoteRef/>
      </w:r>
      <w:r w:rsidRPr="00FA352C">
        <w:rPr>
          <w:sz w:val="18"/>
          <w:szCs w:val="18"/>
        </w:rPr>
        <w:t xml:space="preserve"> </w:t>
      </w:r>
      <w:r w:rsidRPr="00FA352C">
        <w:rPr>
          <w:i/>
          <w:iCs/>
          <w:sz w:val="18"/>
          <w:szCs w:val="18"/>
        </w:rPr>
        <w:t>Kamerstukken II</w:t>
      </w:r>
      <w:r w:rsidRPr="00FA352C">
        <w:rPr>
          <w:sz w:val="18"/>
          <w:szCs w:val="18"/>
        </w:rPr>
        <w:t>, 2020/21, 35734, nr. 3, p. 33. (MvT).</w:t>
      </w:r>
    </w:p>
  </w:footnote>
  <w:footnote w:id="102">
    <w:p w14:paraId="2B0EF001" w14:textId="77777777" w:rsidR="00165157" w:rsidRPr="00FA352C" w:rsidRDefault="00165157" w:rsidP="00FA352C">
      <w:pPr>
        <w:pStyle w:val="Voetnoottekst"/>
        <w:rPr>
          <w:sz w:val="18"/>
          <w:szCs w:val="18"/>
        </w:rPr>
      </w:pPr>
      <w:r w:rsidRPr="00FA352C">
        <w:rPr>
          <w:rStyle w:val="Voetnootmarkering"/>
          <w:sz w:val="18"/>
          <w:szCs w:val="18"/>
        </w:rPr>
        <w:footnoteRef/>
      </w:r>
      <w:r w:rsidRPr="00FA352C">
        <w:rPr>
          <w:sz w:val="18"/>
          <w:szCs w:val="18"/>
        </w:rPr>
        <w:t xml:space="preserve"> Art. 7 lid 5 Richtlijn 2019/771. </w:t>
      </w:r>
    </w:p>
  </w:footnote>
  <w:footnote w:id="103">
    <w:p w14:paraId="771A2376" w14:textId="2A930915" w:rsidR="00165157" w:rsidRPr="00FA352C" w:rsidRDefault="00165157" w:rsidP="00FA352C">
      <w:pPr>
        <w:pStyle w:val="Voetnoottekst"/>
        <w:rPr>
          <w:sz w:val="18"/>
          <w:szCs w:val="18"/>
        </w:rPr>
      </w:pPr>
      <w:r w:rsidRPr="00FA352C">
        <w:rPr>
          <w:rStyle w:val="Voetnootmarkering"/>
          <w:sz w:val="18"/>
          <w:szCs w:val="18"/>
        </w:rPr>
        <w:footnoteRef/>
      </w:r>
      <w:r w:rsidRPr="00FA352C">
        <w:rPr>
          <w:sz w:val="18"/>
          <w:szCs w:val="18"/>
        </w:rPr>
        <w:t xml:space="preserve"> Loos, </w:t>
      </w:r>
      <w:r w:rsidRPr="00FA352C">
        <w:rPr>
          <w:i/>
          <w:iCs/>
          <w:sz w:val="18"/>
          <w:szCs w:val="18"/>
        </w:rPr>
        <w:t xml:space="preserve">TvC </w:t>
      </w:r>
      <w:r w:rsidRPr="00FA352C">
        <w:rPr>
          <w:sz w:val="18"/>
          <w:szCs w:val="18"/>
        </w:rPr>
        <w:t>2019/3 p. 109.</w:t>
      </w:r>
    </w:p>
  </w:footnote>
  <w:footnote w:id="104">
    <w:p w14:paraId="40CF628C" w14:textId="77777777" w:rsidR="00165157" w:rsidRPr="00FA352C" w:rsidRDefault="00165157" w:rsidP="00FA352C">
      <w:pPr>
        <w:pStyle w:val="Voetnoottekst"/>
        <w:rPr>
          <w:sz w:val="18"/>
          <w:szCs w:val="18"/>
        </w:rPr>
      </w:pPr>
      <w:r w:rsidRPr="00FA352C">
        <w:rPr>
          <w:rStyle w:val="Voetnootmarkering"/>
          <w:sz w:val="18"/>
          <w:szCs w:val="18"/>
        </w:rPr>
        <w:footnoteRef/>
      </w:r>
      <w:r w:rsidRPr="00FA352C">
        <w:rPr>
          <w:sz w:val="18"/>
          <w:szCs w:val="18"/>
        </w:rPr>
        <w:t xml:space="preserve"> Overweging 36 Richtlijn 2019/771.</w:t>
      </w:r>
    </w:p>
  </w:footnote>
  <w:footnote w:id="105">
    <w:p w14:paraId="6F047849" w14:textId="624A52BA" w:rsidR="00165157" w:rsidRDefault="00165157" w:rsidP="00FA352C">
      <w:pPr>
        <w:pStyle w:val="Voetnoottekst"/>
      </w:pPr>
      <w:r w:rsidRPr="00FA352C">
        <w:rPr>
          <w:rStyle w:val="Voetnootmarkering"/>
          <w:sz w:val="18"/>
          <w:szCs w:val="18"/>
        </w:rPr>
        <w:footnoteRef/>
      </w:r>
      <w:r w:rsidRPr="00FA352C">
        <w:rPr>
          <w:sz w:val="18"/>
          <w:szCs w:val="18"/>
        </w:rPr>
        <w:t xml:space="preserve"> </w:t>
      </w:r>
      <w:r>
        <w:rPr>
          <w:sz w:val="18"/>
          <w:szCs w:val="18"/>
        </w:rPr>
        <w:t xml:space="preserve">Spanjaard, </w:t>
      </w:r>
      <w:r w:rsidRPr="00165157">
        <w:rPr>
          <w:i/>
          <w:iCs/>
          <w:sz w:val="18"/>
          <w:szCs w:val="18"/>
        </w:rPr>
        <w:t>Contracteren</w:t>
      </w:r>
      <w:r w:rsidRPr="00FA352C">
        <w:rPr>
          <w:sz w:val="18"/>
          <w:szCs w:val="18"/>
        </w:rPr>
        <w:t xml:space="preserve"> 2019-3, p. 119.</w:t>
      </w:r>
    </w:p>
  </w:footnote>
  <w:footnote w:id="106">
    <w:p w14:paraId="0655CFB9" w14:textId="77777777" w:rsidR="00165157" w:rsidRPr="00637A4D" w:rsidRDefault="00165157" w:rsidP="00BC32C5">
      <w:pPr>
        <w:pStyle w:val="Voetnoottekst"/>
        <w:jc w:val="left"/>
        <w:rPr>
          <w:sz w:val="18"/>
          <w:szCs w:val="18"/>
        </w:rPr>
      </w:pPr>
      <w:r w:rsidRPr="00637A4D">
        <w:rPr>
          <w:rStyle w:val="Voetnootmarkering"/>
          <w:sz w:val="18"/>
          <w:szCs w:val="18"/>
        </w:rPr>
        <w:footnoteRef/>
      </w:r>
      <w:r w:rsidRPr="00637A4D">
        <w:rPr>
          <w:sz w:val="18"/>
          <w:szCs w:val="18"/>
        </w:rPr>
        <w:t xml:space="preserve"> Art. 7:21 lid 1-3 BW. </w:t>
      </w:r>
    </w:p>
  </w:footnote>
  <w:footnote w:id="107">
    <w:p w14:paraId="250E9917" w14:textId="3C8B7DB8" w:rsidR="00165157" w:rsidRPr="00637A4D" w:rsidRDefault="00165157" w:rsidP="00B4644E">
      <w:pPr>
        <w:pStyle w:val="Voetnoottekst"/>
        <w:ind w:left="284" w:hanging="284"/>
        <w:jc w:val="left"/>
        <w:rPr>
          <w:sz w:val="18"/>
          <w:szCs w:val="18"/>
          <w:lang w:val="en-GB"/>
        </w:rPr>
      </w:pPr>
      <w:r w:rsidRPr="00637A4D">
        <w:rPr>
          <w:rStyle w:val="Voetnootmarkering"/>
          <w:sz w:val="18"/>
          <w:szCs w:val="18"/>
        </w:rPr>
        <w:footnoteRef/>
      </w:r>
      <w:r w:rsidRPr="00637A4D">
        <w:rPr>
          <w:sz w:val="18"/>
          <w:szCs w:val="18"/>
        </w:rPr>
        <w:t xml:space="preserve"> </w:t>
      </w:r>
      <w:bookmarkStart w:id="50" w:name="_Hlk70933688"/>
      <w:r w:rsidR="00B4644E">
        <w:rPr>
          <w:sz w:val="18"/>
          <w:szCs w:val="18"/>
        </w:rPr>
        <w:t xml:space="preserve">Van Rossum, in: </w:t>
      </w:r>
      <w:r w:rsidR="00B4644E" w:rsidRPr="00B4644E">
        <w:rPr>
          <w:i/>
          <w:iCs/>
          <w:sz w:val="18"/>
          <w:szCs w:val="18"/>
        </w:rPr>
        <w:t xml:space="preserve">GS </w:t>
      </w:r>
      <w:r w:rsidR="007066D5">
        <w:rPr>
          <w:i/>
          <w:iCs/>
          <w:sz w:val="18"/>
          <w:szCs w:val="18"/>
        </w:rPr>
        <w:t>Bijzondere overeenkomsten</w:t>
      </w:r>
      <w:r w:rsidR="00B4644E">
        <w:rPr>
          <w:i/>
          <w:iCs/>
          <w:sz w:val="18"/>
          <w:szCs w:val="18"/>
        </w:rPr>
        <w:t xml:space="preserve">, </w:t>
      </w:r>
      <w:r w:rsidR="00B4644E">
        <w:rPr>
          <w:sz w:val="18"/>
          <w:szCs w:val="18"/>
        </w:rPr>
        <w:t>art. 7:2</w:t>
      </w:r>
      <w:r w:rsidR="0061505F">
        <w:rPr>
          <w:sz w:val="18"/>
          <w:szCs w:val="18"/>
        </w:rPr>
        <w:t>1 BW</w:t>
      </w:r>
      <w:r w:rsidRPr="00637A4D">
        <w:rPr>
          <w:sz w:val="18"/>
          <w:szCs w:val="18"/>
        </w:rPr>
        <w:t xml:space="preserve">, aant. </w:t>
      </w:r>
      <w:r w:rsidRPr="00637A4D">
        <w:rPr>
          <w:sz w:val="18"/>
          <w:szCs w:val="18"/>
          <w:lang w:val="en-GB"/>
        </w:rPr>
        <w:t>2.</w:t>
      </w:r>
      <w:r w:rsidR="00B4644E">
        <w:rPr>
          <w:sz w:val="18"/>
          <w:szCs w:val="18"/>
          <w:lang w:val="en-GB"/>
        </w:rPr>
        <w:t xml:space="preserve"> (online, </w:t>
      </w:r>
      <w:proofErr w:type="spellStart"/>
      <w:r w:rsidR="00B4644E">
        <w:rPr>
          <w:sz w:val="18"/>
          <w:szCs w:val="18"/>
          <w:lang w:val="en-GB"/>
        </w:rPr>
        <w:t>bijgewerkt</w:t>
      </w:r>
      <w:proofErr w:type="spellEnd"/>
      <w:r w:rsidR="00B4644E">
        <w:rPr>
          <w:sz w:val="18"/>
          <w:szCs w:val="18"/>
          <w:lang w:val="en-GB"/>
        </w:rPr>
        <w:t xml:space="preserve"> 19 </w:t>
      </w:r>
      <w:proofErr w:type="spellStart"/>
      <w:r w:rsidR="00B4644E">
        <w:rPr>
          <w:sz w:val="18"/>
          <w:szCs w:val="18"/>
          <w:lang w:val="en-GB"/>
        </w:rPr>
        <w:t>oktober</w:t>
      </w:r>
      <w:proofErr w:type="spellEnd"/>
      <w:r w:rsidR="00B4644E">
        <w:rPr>
          <w:sz w:val="18"/>
          <w:szCs w:val="18"/>
          <w:lang w:val="en-GB"/>
        </w:rPr>
        <w:t xml:space="preserve"> 2016).</w:t>
      </w:r>
      <w:bookmarkEnd w:id="50"/>
    </w:p>
  </w:footnote>
  <w:footnote w:id="108">
    <w:p w14:paraId="3C13D9A1" w14:textId="77777777" w:rsidR="00165157" w:rsidRPr="00637A4D" w:rsidRDefault="00165157" w:rsidP="00BC32C5">
      <w:pPr>
        <w:pStyle w:val="Voetnoottekst"/>
        <w:jc w:val="left"/>
        <w:rPr>
          <w:sz w:val="18"/>
          <w:szCs w:val="18"/>
          <w:lang w:val="en-GB"/>
        </w:rPr>
      </w:pPr>
      <w:r w:rsidRPr="00637A4D">
        <w:rPr>
          <w:rStyle w:val="Voetnootmarkering"/>
          <w:sz w:val="18"/>
          <w:szCs w:val="18"/>
        </w:rPr>
        <w:footnoteRef/>
      </w:r>
      <w:r w:rsidRPr="00637A4D">
        <w:rPr>
          <w:sz w:val="18"/>
          <w:szCs w:val="18"/>
          <w:lang w:val="en-GB"/>
        </w:rPr>
        <w:t xml:space="preserve"> Art. 7:22 lid 1 BW.</w:t>
      </w:r>
    </w:p>
  </w:footnote>
  <w:footnote w:id="109">
    <w:p w14:paraId="6090B9E5" w14:textId="77777777" w:rsidR="00165157" w:rsidRPr="00637A4D" w:rsidRDefault="00165157" w:rsidP="00BC32C5">
      <w:pPr>
        <w:pStyle w:val="Voetnoottekst"/>
        <w:jc w:val="left"/>
        <w:rPr>
          <w:sz w:val="18"/>
          <w:szCs w:val="18"/>
          <w:lang w:val="en-GB"/>
        </w:rPr>
      </w:pPr>
      <w:r w:rsidRPr="00637A4D">
        <w:rPr>
          <w:rStyle w:val="Voetnootmarkering"/>
          <w:sz w:val="18"/>
          <w:szCs w:val="18"/>
        </w:rPr>
        <w:footnoteRef/>
      </w:r>
      <w:r w:rsidRPr="00637A4D">
        <w:rPr>
          <w:sz w:val="18"/>
          <w:szCs w:val="18"/>
          <w:lang w:val="en-GB"/>
        </w:rPr>
        <w:t xml:space="preserve"> Art. 7:22 lid 3 BW.</w:t>
      </w:r>
    </w:p>
  </w:footnote>
  <w:footnote w:id="110">
    <w:p w14:paraId="2B38802D" w14:textId="77777777" w:rsidR="00165157" w:rsidRPr="00637A4D" w:rsidRDefault="00165157" w:rsidP="00BC32C5">
      <w:pPr>
        <w:pStyle w:val="Voetnoottekst"/>
        <w:jc w:val="left"/>
        <w:rPr>
          <w:sz w:val="18"/>
          <w:szCs w:val="18"/>
          <w:lang w:val="en-GB"/>
        </w:rPr>
      </w:pPr>
      <w:r w:rsidRPr="00637A4D">
        <w:rPr>
          <w:rStyle w:val="Voetnootmarkering"/>
          <w:sz w:val="18"/>
          <w:szCs w:val="18"/>
        </w:rPr>
        <w:footnoteRef/>
      </w:r>
      <w:r w:rsidRPr="00637A4D">
        <w:rPr>
          <w:sz w:val="18"/>
          <w:szCs w:val="18"/>
          <w:lang w:val="en-GB"/>
        </w:rPr>
        <w:t xml:space="preserve"> Art. 7:21 lid 4 BW.</w:t>
      </w:r>
    </w:p>
  </w:footnote>
  <w:footnote w:id="111">
    <w:p w14:paraId="319A0D19" w14:textId="77777777" w:rsidR="00165157" w:rsidRPr="00637A4D" w:rsidRDefault="00165157" w:rsidP="00BC32C5">
      <w:pPr>
        <w:pStyle w:val="Voetnoottekst"/>
        <w:jc w:val="left"/>
        <w:rPr>
          <w:sz w:val="18"/>
          <w:szCs w:val="18"/>
          <w:lang w:val="en-GB"/>
        </w:rPr>
      </w:pPr>
      <w:r w:rsidRPr="00637A4D">
        <w:rPr>
          <w:rStyle w:val="Voetnootmarkering"/>
          <w:sz w:val="18"/>
          <w:szCs w:val="18"/>
        </w:rPr>
        <w:footnoteRef/>
      </w:r>
      <w:r w:rsidRPr="00637A4D">
        <w:rPr>
          <w:sz w:val="18"/>
          <w:szCs w:val="18"/>
          <w:lang w:val="en-GB"/>
        </w:rPr>
        <w:t xml:space="preserve"> Art. 7:21 lid 5 BW. </w:t>
      </w:r>
    </w:p>
  </w:footnote>
  <w:footnote w:id="112">
    <w:p w14:paraId="7DF54E3F" w14:textId="77777777" w:rsidR="00165157" w:rsidRPr="00637A4D" w:rsidRDefault="00165157" w:rsidP="00BC32C5">
      <w:pPr>
        <w:pStyle w:val="Voetnoottekst"/>
        <w:jc w:val="left"/>
        <w:rPr>
          <w:sz w:val="18"/>
          <w:szCs w:val="18"/>
        </w:rPr>
      </w:pPr>
      <w:r w:rsidRPr="00637A4D">
        <w:rPr>
          <w:rStyle w:val="Voetnootmarkering"/>
          <w:sz w:val="18"/>
          <w:szCs w:val="18"/>
        </w:rPr>
        <w:footnoteRef/>
      </w:r>
      <w:r w:rsidRPr="00637A4D">
        <w:rPr>
          <w:sz w:val="18"/>
          <w:szCs w:val="18"/>
        </w:rPr>
        <w:t xml:space="preserve"> Art. 7:10 lid 4 BW.</w:t>
      </w:r>
    </w:p>
  </w:footnote>
  <w:footnote w:id="113">
    <w:p w14:paraId="46C7C2BE" w14:textId="77777777" w:rsidR="00165157" w:rsidRPr="00637A4D" w:rsidRDefault="00165157" w:rsidP="00BC32C5">
      <w:pPr>
        <w:pStyle w:val="Voetnoottekst"/>
        <w:jc w:val="left"/>
        <w:rPr>
          <w:sz w:val="18"/>
          <w:szCs w:val="18"/>
        </w:rPr>
      </w:pPr>
      <w:r w:rsidRPr="00637A4D">
        <w:rPr>
          <w:rStyle w:val="Voetnootmarkering"/>
          <w:sz w:val="18"/>
          <w:szCs w:val="18"/>
        </w:rPr>
        <w:footnoteRef/>
      </w:r>
      <w:r w:rsidRPr="00637A4D">
        <w:rPr>
          <w:sz w:val="18"/>
          <w:szCs w:val="18"/>
        </w:rPr>
        <w:t xml:space="preserve"> Art. 7:21 lid 1 en 3 BW.</w:t>
      </w:r>
    </w:p>
  </w:footnote>
  <w:footnote w:id="114">
    <w:p w14:paraId="7886D69A" w14:textId="532A08C8" w:rsidR="00165157" w:rsidRPr="00637A4D" w:rsidRDefault="00165157" w:rsidP="0061505F">
      <w:pPr>
        <w:pStyle w:val="Voetnoottekst"/>
        <w:ind w:left="284" w:hanging="284"/>
        <w:jc w:val="left"/>
        <w:rPr>
          <w:sz w:val="18"/>
          <w:szCs w:val="18"/>
        </w:rPr>
      </w:pPr>
      <w:r w:rsidRPr="00637A4D">
        <w:rPr>
          <w:rStyle w:val="Voetnootmarkering"/>
          <w:sz w:val="18"/>
          <w:szCs w:val="18"/>
        </w:rPr>
        <w:footnoteRef/>
      </w:r>
      <w:r w:rsidRPr="00637A4D">
        <w:rPr>
          <w:sz w:val="18"/>
          <w:szCs w:val="18"/>
        </w:rPr>
        <w:t xml:space="preserve"> </w:t>
      </w:r>
      <w:r w:rsidR="007066D5">
        <w:rPr>
          <w:sz w:val="18"/>
          <w:szCs w:val="18"/>
        </w:rPr>
        <w:t xml:space="preserve">Van Rossum, in: </w:t>
      </w:r>
      <w:r w:rsidR="007066D5" w:rsidRPr="00B4644E">
        <w:rPr>
          <w:i/>
          <w:iCs/>
          <w:sz w:val="18"/>
          <w:szCs w:val="18"/>
        </w:rPr>
        <w:t xml:space="preserve">GS </w:t>
      </w:r>
      <w:r w:rsidR="007066D5">
        <w:rPr>
          <w:i/>
          <w:iCs/>
          <w:sz w:val="18"/>
          <w:szCs w:val="18"/>
        </w:rPr>
        <w:t>Bijzondere overeenkomsten</w:t>
      </w:r>
      <w:r w:rsidR="007066D5" w:rsidRPr="00637A4D">
        <w:rPr>
          <w:sz w:val="18"/>
          <w:szCs w:val="18"/>
        </w:rPr>
        <w:t xml:space="preserve">, art. 7:21 BW, aant. </w:t>
      </w:r>
      <w:r w:rsidR="007066D5">
        <w:rPr>
          <w:sz w:val="18"/>
          <w:szCs w:val="18"/>
          <w:lang w:val="en-GB"/>
        </w:rPr>
        <w:t>11</w:t>
      </w:r>
      <w:r w:rsidR="007066D5" w:rsidRPr="00637A4D">
        <w:rPr>
          <w:sz w:val="18"/>
          <w:szCs w:val="18"/>
          <w:lang w:val="en-GB"/>
        </w:rPr>
        <w:t>.</w:t>
      </w:r>
      <w:r w:rsidR="007066D5">
        <w:rPr>
          <w:sz w:val="18"/>
          <w:szCs w:val="18"/>
          <w:lang w:val="en-GB"/>
        </w:rPr>
        <w:t xml:space="preserve"> (online, </w:t>
      </w:r>
      <w:proofErr w:type="spellStart"/>
      <w:r w:rsidR="007066D5">
        <w:rPr>
          <w:sz w:val="18"/>
          <w:szCs w:val="18"/>
          <w:lang w:val="en-GB"/>
        </w:rPr>
        <w:t>bijgewerkt</w:t>
      </w:r>
      <w:proofErr w:type="spellEnd"/>
      <w:r w:rsidR="007066D5">
        <w:rPr>
          <w:sz w:val="18"/>
          <w:szCs w:val="18"/>
          <w:lang w:val="en-GB"/>
        </w:rPr>
        <w:t xml:space="preserve"> 19 </w:t>
      </w:r>
      <w:proofErr w:type="spellStart"/>
      <w:r w:rsidR="007066D5">
        <w:rPr>
          <w:sz w:val="18"/>
          <w:szCs w:val="18"/>
          <w:lang w:val="en-GB"/>
        </w:rPr>
        <w:t>oktober</w:t>
      </w:r>
      <w:proofErr w:type="spellEnd"/>
      <w:r w:rsidR="007066D5">
        <w:rPr>
          <w:sz w:val="18"/>
          <w:szCs w:val="18"/>
          <w:lang w:val="en-GB"/>
        </w:rPr>
        <w:t xml:space="preserve"> 2016)</w:t>
      </w:r>
    </w:p>
  </w:footnote>
  <w:footnote w:id="115">
    <w:p w14:paraId="67E3BB24" w14:textId="77777777" w:rsidR="00165157" w:rsidRPr="00637A4D" w:rsidRDefault="00165157" w:rsidP="00BC32C5">
      <w:pPr>
        <w:pStyle w:val="Voetnoottekst"/>
        <w:jc w:val="left"/>
        <w:rPr>
          <w:sz w:val="18"/>
          <w:szCs w:val="18"/>
        </w:rPr>
      </w:pPr>
      <w:r w:rsidRPr="00637A4D">
        <w:rPr>
          <w:rStyle w:val="Voetnootmarkering"/>
          <w:sz w:val="18"/>
          <w:szCs w:val="18"/>
        </w:rPr>
        <w:footnoteRef/>
      </w:r>
      <w:r w:rsidRPr="00637A4D">
        <w:rPr>
          <w:sz w:val="18"/>
          <w:szCs w:val="18"/>
        </w:rPr>
        <w:t xml:space="preserve"> Castermans &amp; Krans, in: </w:t>
      </w:r>
      <w:r w:rsidRPr="00637A4D">
        <w:rPr>
          <w:i/>
          <w:sz w:val="18"/>
          <w:szCs w:val="18"/>
        </w:rPr>
        <w:t>T&amp;C</w:t>
      </w:r>
      <w:r w:rsidRPr="00637A4D">
        <w:rPr>
          <w:sz w:val="18"/>
          <w:szCs w:val="18"/>
        </w:rPr>
        <w:t xml:space="preserve"> BW 2003, art. 7:21 BW, aant. 6. </w:t>
      </w:r>
    </w:p>
  </w:footnote>
  <w:footnote w:id="116">
    <w:p w14:paraId="268F552E" w14:textId="77777777" w:rsidR="00165157" w:rsidRPr="0006228A" w:rsidRDefault="00165157" w:rsidP="00BC32C5">
      <w:pPr>
        <w:pStyle w:val="Voetnoottekst"/>
        <w:jc w:val="left"/>
      </w:pPr>
      <w:r w:rsidRPr="00637A4D">
        <w:rPr>
          <w:rStyle w:val="Voetnootmarkering"/>
          <w:sz w:val="18"/>
          <w:szCs w:val="18"/>
        </w:rPr>
        <w:footnoteRef/>
      </w:r>
      <w:r w:rsidRPr="00637A4D">
        <w:rPr>
          <w:sz w:val="18"/>
          <w:szCs w:val="18"/>
        </w:rPr>
        <w:t xml:space="preserve"> Art. 7:21 lid 6 BW.</w:t>
      </w:r>
    </w:p>
  </w:footnote>
  <w:footnote w:id="117">
    <w:p w14:paraId="47923449" w14:textId="083E7B2D" w:rsidR="00165157" w:rsidRPr="00637A4D" w:rsidRDefault="00165157" w:rsidP="00BC32C5">
      <w:pPr>
        <w:pStyle w:val="Voetnoottekst"/>
        <w:ind w:left="142" w:hanging="142"/>
        <w:jc w:val="left"/>
        <w:rPr>
          <w:sz w:val="18"/>
          <w:szCs w:val="18"/>
        </w:rPr>
      </w:pPr>
      <w:r w:rsidRPr="00637A4D">
        <w:rPr>
          <w:rStyle w:val="Voetnootmarkering"/>
          <w:sz w:val="18"/>
          <w:szCs w:val="18"/>
        </w:rPr>
        <w:footnoteRef/>
      </w:r>
      <w:r w:rsidRPr="00637A4D">
        <w:rPr>
          <w:sz w:val="18"/>
          <w:szCs w:val="18"/>
        </w:rPr>
        <w:t xml:space="preserve"> </w:t>
      </w:r>
      <w:r w:rsidR="0093066E">
        <w:rPr>
          <w:sz w:val="18"/>
          <w:szCs w:val="18"/>
        </w:rPr>
        <w:t xml:space="preserve">Spanjaard, </w:t>
      </w:r>
      <w:r w:rsidR="0093066E" w:rsidRPr="00165157">
        <w:rPr>
          <w:i/>
          <w:iCs/>
          <w:sz w:val="18"/>
          <w:szCs w:val="18"/>
        </w:rPr>
        <w:t>Contracteren</w:t>
      </w:r>
      <w:r w:rsidR="0093066E" w:rsidRPr="00FA352C">
        <w:rPr>
          <w:sz w:val="18"/>
          <w:szCs w:val="18"/>
        </w:rPr>
        <w:t xml:space="preserve"> 2019-3, p. 11</w:t>
      </w:r>
      <w:r w:rsidR="0093066E">
        <w:rPr>
          <w:sz w:val="18"/>
          <w:szCs w:val="18"/>
        </w:rPr>
        <w:t>7.</w:t>
      </w:r>
    </w:p>
  </w:footnote>
  <w:footnote w:id="118">
    <w:p w14:paraId="4EECA9DD" w14:textId="77777777" w:rsidR="00165157" w:rsidRPr="00637A4D" w:rsidRDefault="00165157" w:rsidP="00BC32C5">
      <w:pPr>
        <w:pStyle w:val="Voetnoottekst"/>
        <w:jc w:val="left"/>
        <w:rPr>
          <w:sz w:val="18"/>
          <w:szCs w:val="18"/>
        </w:rPr>
      </w:pPr>
      <w:r w:rsidRPr="00637A4D">
        <w:rPr>
          <w:rStyle w:val="Voetnootmarkering"/>
          <w:sz w:val="18"/>
          <w:szCs w:val="18"/>
        </w:rPr>
        <w:footnoteRef/>
      </w:r>
      <w:r w:rsidRPr="00637A4D">
        <w:rPr>
          <w:sz w:val="18"/>
          <w:szCs w:val="18"/>
        </w:rPr>
        <w:t xml:space="preserve"> </w:t>
      </w:r>
      <w:r w:rsidRPr="00637A4D">
        <w:rPr>
          <w:i/>
          <w:sz w:val="18"/>
          <w:szCs w:val="18"/>
        </w:rPr>
        <w:t>Kamerstukken II</w:t>
      </w:r>
      <w:r w:rsidRPr="00637A4D">
        <w:rPr>
          <w:sz w:val="18"/>
          <w:szCs w:val="18"/>
        </w:rPr>
        <w:t>, 2020/21, 35734, nr. 3, p. 36. (MvT).</w:t>
      </w:r>
    </w:p>
  </w:footnote>
  <w:footnote w:id="119">
    <w:p w14:paraId="683D58DA" w14:textId="77777777" w:rsidR="00165157" w:rsidRPr="00637A4D" w:rsidRDefault="00165157" w:rsidP="00BC32C5">
      <w:pPr>
        <w:pStyle w:val="Voetnoottekst"/>
        <w:jc w:val="left"/>
        <w:rPr>
          <w:sz w:val="18"/>
          <w:szCs w:val="18"/>
          <w:lang w:val="en-GB"/>
        </w:rPr>
      </w:pPr>
      <w:r w:rsidRPr="00637A4D">
        <w:rPr>
          <w:rStyle w:val="Voetnootmarkering"/>
          <w:sz w:val="18"/>
          <w:szCs w:val="18"/>
        </w:rPr>
        <w:footnoteRef/>
      </w:r>
      <w:r w:rsidRPr="00637A4D">
        <w:rPr>
          <w:sz w:val="18"/>
          <w:szCs w:val="18"/>
          <w:lang w:val="en-GB"/>
        </w:rPr>
        <w:t xml:space="preserve"> Art. 13 lid 4 sub a Richtlijn 2019/771.</w:t>
      </w:r>
    </w:p>
  </w:footnote>
  <w:footnote w:id="120">
    <w:p w14:paraId="14868DAC" w14:textId="77777777" w:rsidR="00165157" w:rsidRPr="00637A4D" w:rsidRDefault="00165157" w:rsidP="00BC32C5">
      <w:pPr>
        <w:pStyle w:val="Voetnoottekst"/>
        <w:jc w:val="left"/>
        <w:rPr>
          <w:sz w:val="18"/>
          <w:szCs w:val="18"/>
        </w:rPr>
      </w:pPr>
      <w:r w:rsidRPr="00637A4D">
        <w:rPr>
          <w:rStyle w:val="Voetnootmarkering"/>
          <w:sz w:val="18"/>
          <w:szCs w:val="18"/>
        </w:rPr>
        <w:footnoteRef/>
      </w:r>
      <w:r w:rsidRPr="00637A4D">
        <w:rPr>
          <w:sz w:val="18"/>
          <w:szCs w:val="18"/>
        </w:rPr>
        <w:t xml:space="preserve"> Art. 13 lid 4 sub b Richtlijn 2019/771.</w:t>
      </w:r>
    </w:p>
  </w:footnote>
  <w:footnote w:id="121">
    <w:p w14:paraId="08F5B73C" w14:textId="77777777" w:rsidR="00165157" w:rsidRPr="00637A4D" w:rsidRDefault="00165157" w:rsidP="00BC32C5">
      <w:pPr>
        <w:pStyle w:val="Voetnoottekst"/>
        <w:jc w:val="left"/>
        <w:rPr>
          <w:sz w:val="18"/>
          <w:szCs w:val="18"/>
        </w:rPr>
      </w:pPr>
      <w:r w:rsidRPr="00637A4D">
        <w:rPr>
          <w:rStyle w:val="Voetnootmarkering"/>
          <w:sz w:val="18"/>
          <w:szCs w:val="18"/>
        </w:rPr>
        <w:footnoteRef/>
      </w:r>
      <w:r w:rsidRPr="00637A4D">
        <w:rPr>
          <w:sz w:val="18"/>
          <w:szCs w:val="18"/>
        </w:rPr>
        <w:t xml:space="preserve"> Art. 13 lid 4 sub c Richtlijn 2019/771.</w:t>
      </w:r>
    </w:p>
  </w:footnote>
  <w:footnote w:id="122">
    <w:p w14:paraId="558331AB" w14:textId="77777777" w:rsidR="00165157" w:rsidRPr="00637A4D" w:rsidRDefault="00165157" w:rsidP="00BC32C5">
      <w:pPr>
        <w:pStyle w:val="Voetnoottekst"/>
        <w:jc w:val="left"/>
        <w:rPr>
          <w:sz w:val="18"/>
          <w:szCs w:val="18"/>
        </w:rPr>
      </w:pPr>
      <w:r w:rsidRPr="00637A4D">
        <w:rPr>
          <w:rStyle w:val="Voetnootmarkering"/>
          <w:sz w:val="18"/>
          <w:szCs w:val="18"/>
        </w:rPr>
        <w:footnoteRef/>
      </w:r>
      <w:r w:rsidRPr="00637A4D">
        <w:rPr>
          <w:sz w:val="18"/>
          <w:szCs w:val="18"/>
        </w:rPr>
        <w:t xml:space="preserve"> Art. 13 lid 4 sub d Richtlijn 2019/771.</w:t>
      </w:r>
    </w:p>
  </w:footnote>
  <w:footnote w:id="123">
    <w:p w14:paraId="251541CB" w14:textId="77777777" w:rsidR="00165157" w:rsidRPr="00637A4D" w:rsidRDefault="00165157" w:rsidP="00BC32C5">
      <w:pPr>
        <w:pStyle w:val="Voetnoottekst"/>
        <w:jc w:val="left"/>
        <w:rPr>
          <w:sz w:val="18"/>
          <w:szCs w:val="18"/>
        </w:rPr>
      </w:pPr>
      <w:r w:rsidRPr="00637A4D">
        <w:rPr>
          <w:rStyle w:val="Voetnootmarkering"/>
          <w:sz w:val="18"/>
          <w:szCs w:val="18"/>
        </w:rPr>
        <w:footnoteRef/>
      </w:r>
      <w:r w:rsidRPr="00637A4D">
        <w:rPr>
          <w:sz w:val="18"/>
          <w:szCs w:val="18"/>
        </w:rPr>
        <w:t xml:space="preserve"> </w:t>
      </w:r>
      <w:r w:rsidRPr="00637A4D">
        <w:rPr>
          <w:i/>
          <w:sz w:val="18"/>
          <w:szCs w:val="18"/>
        </w:rPr>
        <w:t>Kamerstukken II</w:t>
      </w:r>
      <w:r w:rsidRPr="00637A4D">
        <w:rPr>
          <w:sz w:val="18"/>
          <w:szCs w:val="18"/>
        </w:rPr>
        <w:t>, 2020/21, 35734, nr. 3, p. 37. (MvT)</w:t>
      </w:r>
    </w:p>
  </w:footnote>
  <w:footnote w:id="124">
    <w:p w14:paraId="3B89C5F7" w14:textId="77777777" w:rsidR="00165157" w:rsidRPr="00637A4D" w:rsidRDefault="00165157" w:rsidP="00BC32C5">
      <w:pPr>
        <w:pStyle w:val="Voetnoottekst"/>
        <w:jc w:val="left"/>
        <w:rPr>
          <w:sz w:val="18"/>
          <w:szCs w:val="18"/>
        </w:rPr>
      </w:pPr>
      <w:r w:rsidRPr="00637A4D">
        <w:rPr>
          <w:rStyle w:val="Voetnootmarkering"/>
          <w:sz w:val="18"/>
          <w:szCs w:val="18"/>
        </w:rPr>
        <w:footnoteRef/>
      </w:r>
      <w:r w:rsidRPr="00637A4D">
        <w:rPr>
          <w:sz w:val="18"/>
          <w:szCs w:val="18"/>
        </w:rPr>
        <w:t xml:space="preserve"> Overweging 52 Richtlijn 2019/771. </w:t>
      </w:r>
    </w:p>
  </w:footnote>
  <w:footnote w:id="125">
    <w:p w14:paraId="2F7C5791" w14:textId="57CFFC27" w:rsidR="00165157" w:rsidRDefault="00165157" w:rsidP="00BC32C5">
      <w:pPr>
        <w:pStyle w:val="Voetnoottekst"/>
        <w:jc w:val="left"/>
      </w:pPr>
      <w:r w:rsidRPr="00637A4D">
        <w:rPr>
          <w:rStyle w:val="Voetnootmarkering"/>
          <w:sz w:val="18"/>
          <w:szCs w:val="18"/>
        </w:rPr>
        <w:footnoteRef/>
      </w:r>
      <w:r w:rsidRPr="00637A4D">
        <w:rPr>
          <w:sz w:val="18"/>
          <w:szCs w:val="18"/>
        </w:rPr>
        <w:t xml:space="preserve"> Zie</w:t>
      </w:r>
      <w:r w:rsidR="0093066E">
        <w:rPr>
          <w:sz w:val="18"/>
          <w:szCs w:val="18"/>
        </w:rPr>
        <w:t xml:space="preserve"> </w:t>
      </w:r>
      <w:r w:rsidRPr="0093066E">
        <w:rPr>
          <w:i/>
          <w:iCs/>
          <w:sz w:val="18"/>
          <w:szCs w:val="18"/>
        </w:rPr>
        <w:t>H</w:t>
      </w:r>
      <w:r w:rsidR="0093066E" w:rsidRPr="0093066E">
        <w:rPr>
          <w:i/>
          <w:iCs/>
          <w:sz w:val="18"/>
          <w:szCs w:val="18"/>
        </w:rPr>
        <w:t>5</w:t>
      </w:r>
      <w:r w:rsidRPr="0093066E">
        <w:rPr>
          <w:i/>
          <w:iCs/>
          <w:sz w:val="18"/>
          <w:szCs w:val="18"/>
        </w:rPr>
        <w:t xml:space="preserve">: De huidige adviespraktijk van </w:t>
      </w:r>
      <w:r w:rsidR="00DC68A1" w:rsidRPr="000C446C">
        <w:rPr>
          <w:b/>
          <w:bCs/>
          <w:sz w:val="24"/>
          <w:szCs w:val="24"/>
        </w:rPr>
        <w:t>XXX</w:t>
      </w:r>
      <w:r w:rsidRPr="0093066E">
        <w:rPr>
          <w:i/>
          <w:iCs/>
          <w:sz w:val="18"/>
          <w:szCs w:val="18"/>
        </w:rPr>
        <w:t>.</w:t>
      </w:r>
    </w:p>
  </w:footnote>
  <w:footnote w:id="126">
    <w:p w14:paraId="5038306A" w14:textId="77777777" w:rsidR="00165157" w:rsidRPr="00637A4D" w:rsidRDefault="00165157" w:rsidP="00BC32C5">
      <w:pPr>
        <w:pStyle w:val="Voetnoottekst"/>
        <w:jc w:val="left"/>
        <w:rPr>
          <w:sz w:val="18"/>
          <w:szCs w:val="18"/>
        </w:rPr>
      </w:pPr>
      <w:r w:rsidRPr="00637A4D">
        <w:rPr>
          <w:rStyle w:val="Voetnootmarkering"/>
          <w:sz w:val="18"/>
          <w:szCs w:val="18"/>
        </w:rPr>
        <w:footnoteRef/>
      </w:r>
      <w:r w:rsidRPr="00637A4D">
        <w:rPr>
          <w:sz w:val="18"/>
          <w:szCs w:val="18"/>
        </w:rPr>
        <w:t xml:space="preserve"> Hof Arnhem, 20 maart 2012, ECLI:NL:GHARN:2012:BV9647.</w:t>
      </w:r>
    </w:p>
  </w:footnote>
  <w:footnote w:id="127">
    <w:p w14:paraId="16A62B13" w14:textId="77777777" w:rsidR="00165157" w:rsidRPr="00637A4D" w:rsidRDefault="00165157" w:rsidP="00BC32C5">
      <w:pPr>
        <w:pStyle w:val="Voetnoottekst"/>
        <w:jc w:val="left"/>
        <w:rPr>
          <w:sz w:val="18"/>
          <w:szCs w:val="18"/>
        </w:rPr>
      </w:pPr>
      <w:r w:rsidRPr="00637A4D">
        <w:rPr>
          <w:rStyle w:val="Voetnootmarkering"/>
          <w:sz w:val="18"/>
          <w:szCs w:val="18"/>
        </w:rPr>
        <w:footnoteRef/>
      </w:r>
      <w:r w:rsidRPr="00637A4D">
        <w:rPr>
          <w:sz w:val="18"/>
          <w:szCs w:val="18"/>
        </w:rPr>
        <w:t xml:space="preserve"> Rb. Rotterdam, 25 oktober 2019, ECLI:NL:RBROT:8355.</w:t>
      </w:r>
    </w:p>
  </w:footnote>
  <w:footnote w:id="128">
    <w:p w14:paraId="7FCF4633" w14:textId="77777777" w:rsidR="00165157" w:rsidRPr="00637A4D" w:rsidRDefault="00165157" w:rsidP="00BC32C5">
      <w:pPr>
        <w:pStyle w:val="Voetnoottekst"/>
        <w:jc w:val="left"/>
        <w:rPr>
          <w:sz w:val="18"/>
          <w:szCs w:val="18"/>
        </w:rPr>
      </w:pPr>
      <w:r w:rsidRPr="00637A4D">
        <w:rPr>
          <w:rStyle w:val="Voetnootmarkering"/>
          <w:sz w:val="18"/>
          <w:szCs w:val="18"/>
        </w:rPr>
        <w:footnoteRef/>
      </w:r>
      <w:r w:rsidRPr="00637A4D">
        <w:rPr>
          <w:sz w:val="18"/>
          <w:szCs w:val="18"/>
        </w:rPr>
        <w:t xml:space="preserve"> Haas 2009, p. 203.</w:t>
      </w:r>
    </w:p>
  </w:footnote>
  <w:footnote w:id="129">
    <w:p w14:paraId="4DC50B9C" w14:textId="285B61A5" w:rsidR="00165157" w:rsidRPr="00637A4D" w:rsidRDefault="00165157" w:rsidP="00BC32C5">
      <w:pPr>
        <w:pStyle w:val="Voetnoottekst"/>
        <w:jc w:val="left"/>
        <w:rPr>
          <w:sz w:val="18"/>
          <w:szCs w:val="18"/>
        </w:rPr>
      </w:pPr>
      <w:r w:rsidRPr="00637A4D">
        <w:rPr>
          <w:rStyle w:val="Voetnootmarkering"/>
          <w:sz w:val="18"/>
          <w:szCs w:val="18"/>
        </w:rPr>
        <w:footnoteRef/>
      </w:r>
      <w:r w:rsidRPr="00637A4D">
        <w:rPr>
          <w:sz w:val="18"/>
          <w:szCs w:val="18"/>
        </w:rPr>
        <w:t xml:space="preserve"> </w:t>
      </w:r>
      <w:bookmarkStart w:id="52" w:name="_Hlk70938187"/>
      <w:r w:rsidRPr="00637A4D">
        <w:rPr>
          <w:sz w:val="18"/>
          <w:szCs w:val="18"/>
        </w:rPr>
        <w:t>HvJ</w:t>
      </w:r>
      <w:r w:rsidR="00A83379">
        <w:rPr>
          <w:sz w:val="18"/>
          <w:szCs w:val="18"/>
        </w:rPr>
        <w:t xml:space="preserve"> </w:t>
      </w:r>
      <w:r w:rsidRPr="00637A4D">
        <w:rPr>
          <w:sz w:val="18"/>
          <w:szCs w:val="18"/>
        </w:rPr>
        <w:t>EU 23 mei 2019, zaak C 52/18,  ECLI:EU:C:2019:447</w:t>
      </w:r>
      <w:bookmarkEnd w:id="52"/>
    </w:p>
  </w:footnote>
  <w:footnote w:id="130">
    <w:p w14:paraId="1B5B4DE5" w14:textId="77777777" w:rsidR="00165157" w:rsidRPr="00637A4D" w:rsidRDefault="00165157" w:rsidP="00BC32C5">
      <w:pPr>
        <w:pStyle w:val="Voetnoottekst"/>
        <w:jc w:val="left"/>
        <w:rPr>
          <w:sz w:val="18"/>
          <w:szCs w:val="18"/>
        </w:rPr>
      </w:pPr>
      <w:r w:rsidRPr="00637A4D">
        <w:rPr>
          <w:rStyle w:val="Voetnootmarkering"/>
          <w:sz w:val="18"/>
          <w:szCs w:val="18"/>
        </w:rPr>
        <w:footnoteRef/>
      </w:r>
      <w:r w:rsidRPr="00637A4D">
        <w:rPr>
          <w:sz w:val="18"/>
          <w:szCs w:val="18"/>
        </w:rPr>
        <w:t xml:space="preserve"> Vergelijk art. 7:21 lid 5 en art. 13 lid 5 Richtlijn 2019/771. </w:t>
      </w:r>
    </w:p>
  </w:footnote>
  <w:footnote w:id="131">
    <w:p w14:paraId="18C80516" w14:textId="77777777" w:rsidR="00165157" w:rsidRPr="00637A4D" w:rsidRDefault="00165157" w:rsidP="00BC32C5">
      <w:pPr>
        <w:pStyle w:val="Voetnoottekst"/>
        <w:jc w:val="left"/>
        <w:rPr>
          <w:sz w:val="18"/>
          <w:szCs w:val="18"/>
          <w:lang w:val="en-GB"/>
        </w:rPr>
      </w:pPr>
      <w:r w:rsidRPr="00637A4D">
        <w:rPr>
          <w:rStyle w:val="Voetnootmarkering"/>
          <w:sz w:val="18"/>
          <w:szCs w:val="18"/>
        </w:rPr>
        <w:footnoteRef/>
      </w:r>
      <w:r w:rsidRPr="00637A4D">
        <w:rPr>
          <w:sz w:val="18"/>
          <w:szCs w:val="18"/>
          <w:lang w:val="en-GB"/>
        </w:rPr>
        <w:t xml:space="preserve"> Art. 7:17 lid 2 BW.</w:t>
      </w:r>
    </w:p>
  </w:footnote>
  <w:footnote w:id="132">
    <w:p w14:paraId="4C77EDFD" w14:textId="0D8FC1E8" w:rsidR="00165157" w:rsidRPr="00637A4D" w:rsidRDefault="00165157" w:rsidP="00BC32C5">
      <w:pPr>
        <w:pStyle w:val="Voetnoottekst"/>
        <w:jc w:val="left"/>
        <w:rPr>
          <w:sz w:val="18"/>
          <w:szCs w:val="18"/>
          <w:lang w:val="en-GB"/>
        </w:rPr>
      </w:pPr>
      <w:r w:rsidRPr="00637A4D">
        <w:rPr>
          <w:rStyle w:val="Voetnootmarkering"/>
          <w:sz w:val="18"/>
          <w:szCs w:val="18"/>
        </w:rPr>
        <w:footnoteRef/>
      </w:r>
      <w:r w:rsidRPr="00637A4D">
        <w:rPr>
          <w:sz w:val="18"/>
          <w:szCs w:val="18"/>
          <w:lang w:val="en-GB"/>
        </w:rPr>
        <w:t xml:space="preserve"> </w:t>
      </w:r>
      <w:bookmarkStart w:id="53" w:name="_Hlk70938205"/>
      <w:r w:rsidRPr="00637A4D">
        <w:rPr>
          <w:sz w:val="18"/>
          <w:szCs w:val="18"/>
          <w:lang w:val="en-GB"/>
        </w:rPr>
        <w:t>HvJ</w:t>
      </w:r>
      <w:r w:rsidR="00A83379">
        <w:rPr>
          <w:sz w:val="18"/>
          <w:szCs w:val="18"/>
          <w:lang w:val="en-GB"/>
        </w:rPr>
        <w:t xml:space="preserve"> </w:t>
      </w:r>
      <w:r w:rsidRPr="00637A4D">
        <w:rPr>
          <w:sz w:val="18"/>
          <w:szCs w:val="18"/>
          <w:lang w:val="en-GB"/>
        </w:rPr>
        <w:t xml:space="preserve">EU 17 </w:t>
      </w:r>
      <w:proofErr w:type="spellStart"/>
      <w:r w:rsidRPr="00637A4D">
        <w:rPr>
          <w:sz w:val="18"/>
          <w:szCs w:val="18"/>
          <w:lang w:val="en-GB"/>
        </w:rPr>
        <w:t>april</w:t>
      </w:r>
      <w:proofErr w:type="spellEnd"/>
      <w:r w:rsidRPr="00637A4D">
        <w:rPr>
          <w:sz w:val="18"/>
          <w:szCs w:val="18"/>
          <w:lang w:val="en-GB"/>
        </w:rPr>
        <w:t xml:space="preserve"> 2008, ECLI:EU:C:2008:231.</w:t>
      </w:r>
      <w:bookmarkEnd w:id="53"/>
    </w:p>
  </w:footnote>
  <w:footnote w:id="133">
    <w:p w14:paraId="2FF1EA50" w14:textId="77777777" w:rsidR="00165157" w:rsidRDefault="00165157" w:rsidP="00BC32C5">
      <w:pPr>
        <w:pStyle w:val="Voetnoottekst"/>
        <w:jc w:val="left"/>
      </w:pPr>
      <w:r w:rsidRPr="00637A4D">
        <w:rPr>
          <w:rStyle w:val="Voetnootmarkering"/>
          <w:sz w:val="18"/>
          <w:szCs w:val="18"/>
        </w:rPr>
        <w:footnoteRef/>
      </w:r>
      <w:r w:rsidRPr="00637A4D">
        <w:rPr>
          <w:sz w:val="18"/>
          <w:szCs w:val="18"/>
        </w:rPr>
        <w:t xml:space="preserve"> Art. 14 lid 4 Richtlijn 2019/771. </w:t>
      </w:r>
    </w:p>
  </w:footnote>
  <w:footnote w:id="134">
    <w:p w14:paraId="603F9950" w14:textId="77777777" w:rsidR="00165157" w:rsidRPr="00637A4D" w:rsidRDefault="00165157" w:rsidP="00BC32C5">
      <w:pPr>
        <w:pStyle w:val="Voetnoottekst"/>
        <w:jc w:val="left"/>
        <w:rPr>
          <w:sz w:val="18"/>
          <w:szCs w:val="18"/>
        </w:rPr>
      </w:pPr>
      <w:r w:rsidRPr="00637A4D">
        <w:rPr>
          <w:rStyle w:val="Voetnootmarkering"/>
          <w:sz w:val="18"/>
          <w:szCs w:val="18"/>
        </w:rPr>
        <w:footnoteRef/>
      </w:r>
      <w:r w:rsidRPr="00637A4D">
        <w:rPr>
          <w:sz w:val="18"/>
          <w:szCs w:val="18"/>
        </w:rPr>
        <w:t xml:space="preserve"> Art. 13 lid 7 Richtlijn 2019/771.</w:t>
      </w:r>
    </w:p>
  </w:footnote>
  <w:footnote w:id="135">
    <w:p w14:paraId="02E97127" w14:textId="0D5D85A8" w:rsidR="00165157" w:rsidRPr="00637A4D" w:rsidRDefault="00165157" w:rsidP="00BC32C5">
      <w:pPr>
        <w:pStyle w:val="Voetnoottekst"/>
        <w:jc w:val="left"/>
        <w:rPr>
          <w:sz w:val="18"/>
          <w:szCs w:val="18"/>
        </w:rPr>
      </w:pPr>
      <w:r w:rsidRPr="00637A4D">
        <w:rPr>
          <w:rStyle w:val="Voetnootmarkering"/>
          <w:sz w:val="18"/>
          <w:szCs w:val="18"/>
        </w:rPr>
        <w:footnoteRef/>
      </w:r>
      <w:r w:rsidRPr="00637A4D">
        <w:rPr>
          <w:sz w:val="18"/>
          <w:szCs w:val="18"/>
        </w:rPr>
        <w:t xml:space="preserve"> </w:t>
      </w:r>
      <w:bookmarkStart w:id="55" w:name="_Hlk70938242"/>
      <w:bookmarkStart w:id="56" w:name="_Hlk70938696"/>
      <w:proofErr w:type="spellStart"/>
      <w:r w:rsidR="00221E9B">
        <w:rPr>
          <w:sz w:val="18"/>
          <w:szCs w:val="18"/>
        </w:rPr>
        <w:t>Lindenbergh</w:t>
      </w:r>
      <w:proofErr w:type="spellEnd"/>
      <w:r w:rsidR="00221E9B">
        <w:rPr>
          <w:sz w:val="18"/>
          <w:szCs w:val="18"/>
        </w:rPr>
        <w:t xml:space="preserve">, in: </w:t>
      </w:r>
      <w:r w:rsidRPr="00221E9B">
        <w:rPr>
          <w:i/>
          <w:iCs/>
          <w:sz w:val="18"/>
          <w:szCs w:val="18"/>
        </w:rPr>
        <w:t>T&amp;C BW</w:t>
      </w:r>
      <w:r w:rsidRPr="00221E9B">
        <w:rPr>
          <w:sz w:val="18"/>
          <w:szCs w:val="18"/>
        </w:rPr>
        <w:t>,</w:t>
      </w:r>
      <w:r w:rsidRPr="00637A4D">
        <w:rPr>
          <w:sz w:val="18"/>
          <w:szCs w:val="18"/>
        </w:rPr>
        <w:t xml:space="preserve"> art. 6:101 BW, aant. 1.</w:t>
      </w:r>
      <w:bookmarkEnd w:id="55"/>
      <w:r w:rsidR="00382BDF">
        <w:rPr>
          <w:sz w:val="18"/>
          <w:szCs w:val="18"/>
        </w:rPr>
        <w:t xml:space="preserve"> (online, bijgewerkt op 15 februari 2021).</w:t>
      </w:r>
      <w:bookmarkEnd w:id="56"/>
    </w:p>
  </w:footnote>
  <w:footnote w:id="136">
    <w:p w14:paraId="50A68589" w14:textId="77777777" w:rsidR="00165157" w:rsidRPr="00637A4D" w:rsidRDefault="00165157" w:rsidP="00BC32C5">
      <w:pPr>
        <w:pStyle w:val="Voetnoottekst"/>
        <w:jc w:val="left"/>
        <w:rPr>
          <w:sz w:val="18"/>
          <w:szCs w:val="18"/>
        </w:rPr>
      </w:pPr>
      <w:r w:rsidRPr="00637A4D">
        <w:rPr>
          <w:rStyle w:val="Voetnootmarkering"/>
          <w:sz w:val="18"/>
          <w:szCs w:val="18"/>
        </w:rPr>
        <w:footnoteRef/>
      </w:r>
      <w:r w:rsidRPr="00637A4D">
        <w:rPr>
          <w:sz w:val="18"/>
          <w:szCs w:val="18"/>
        </w:rPr>
        <w:t xml:space="preserve"> </w:t>
      </w:r>
      <w:r w:rsidRPr="00637A4D">
        <w:rPr>
          <w:i/>
          <w:sz w:val="18"/>
          <w:szCs w:val="18"/>
        </w:rPr>
        <w:t>Kamerstukken II</w:t>
      </w:r>
      <w:r w:rsidRPr="00637A4D">
        <w:rPr>
          <w:sz w:val="18"/>
          <w:szCs w:val="18"/>
        </w:rPr>
        <w:t>, 2020/21, 35734, nr. 3, p. 64. (MvT).</w:t>
      </w:r>
    </w:p>
  </w:footnote>
  <w:footnote w:id="137">
    <w:p w14:paraId="1F5DC499" w14:textId="77777777" w:rsidR="00165157" w:rsidRPr="00637A4D" w:rsidRDefault="00165157" w:rsidP="00BC32C5">
      <w:pPr>
        <w:pStyle w:val="Voetnoottekst"/>
        <w:jc w:val="left"/>
        <w:rPr>
          <w:sz w:val="18"/>
          <w:szCs w:val="18"/>
        </w:rPr>
      </w:pPr>
      <w:r w:rsidRPr="00637A4D">
        <w:rPr>
          <w:rStyle w:val="Voetnootmarkering"/>
          <w:sz w:val="18"/>
          <w:szCs w:val="18"/>
        </w:rPr>
        <w:footnoteRef/>
      </w:r>
      <w:r w:rsidRPr="00637A4D">
        <w:rPr>
          <w:sz w:val="18"/>
          <w:szCs w:val="18"/>
        </w:rPr>
        <w:t xml:space="preserve"> Art. 16 Richtlijn 2019/771. </w:t>
      </w:r>
    </w:p>
  </w:footnote>
  <w:footnote w:id="138">
    <w:p w14:paraId="6B4BD44E" w14:textId="77777777" w:rsidR="00165157" w:rsidRDefault="00165157" w:rsidP="00BC32C5">
      <w:pPr>
        <w:pStyle w:val="Voetnoottekst"/>
        <w:jc w:val="left"/>
      </w:pPr>
      <w:r w:rsidRPr="00637A4D">
        <w:rPr>
          <w:rStyle w:val="Voetnootmarkering"/>
          <w:sz w:val="18"/>
          <w:szCs w:val="18"/>
        </w:rPr>
        <w:footnoteRef/>
      </w:r>
      <w:r w:rsidRPr="00637A4D">
        <w:rPr>
          <w:sz w:val="18"/>
          <w:szCs w:val="18"/>
        </w:rPr>
        <w:t xml:space="preserve"> </w:t>
      </w:r>
      <w:r w:rsidRPr="00637A4D">
        <w:rPr>
          <w:i/>
          <w:sz w:val="18"/>
          <w:szCs w:val="18"/>
        </w:rPr>
        <w:t>Kamerstukken II</w:t>
      </w:r>
      <w:r w:rsidRPr="00637A4D">
        <w:rPr>
          <w:sz w:val="18"/>
          <w:szCs w:val="18"/>
        </w:rPr>
        <w:t>, 2020/21, 35734, nr. 3, p. 64. (MvT).</w:t>
      </w:r>
    </w:p>
  </w:footnote>
  <w:footnote w:id="139">
    <w:p w14:paraId="2233ED14" w14:textId="07C5DD34" w:rsidR="00D71B51" w:rsidRPr="00B077E5" w:rsidRDefault="00D71B51" w:rsidP="00D71B51">
      <w:pPr>
        <w:pStyle w:val="Voetnoottekst"/>
        <w:jc w:val="left"/>
        <w:rPr>
          <w:sz w:val="18"/>
          <w:szCs w:val="18"/>
        </w:rPr>
      </w:pPr>
      <w:r w:rsidRPr="00B077E5">
        <w:rPr>
          <w:rStyle w:val="Voetnootmarkering"/>
          <w:sz w:val="18"/>
          <w:szCs w:val="18"/>
        </w:rPr>
        <w:footnoteRef/>
      </w:r>
      <w:r w:rsidRPr="00B077E5">
        <w:rPr>
          <w:sz w:val="18"/>
          <w:szCs w:val="18"/>
        </w:rPr>
        <w:t xml:space="preserve"> Zie </w:t>
      </w:r>
      <w:r w:rsidRPr="00B077E5">
        <w:rPr>
          <w:i/>
          <w:iCs/>
          <w:sz w:val="18"/>
          <w:szCs w:val="18"/>
        </w:rPr>
        <w:t xml:space="preserve">Bijlage 1: </w:t>
      </w:r>
      <w:r w:rsidRPr="00B077E5">
        <w:rPr>
          <w:sz w:val="18"/>
          <w:szCs w:val="18"/>
        </w:rPr>
        <w:t xml:space="preserve">interview met jurist </w:t>
      </w:r>
      <w:r w:rsidR="000C446C" w:rsidRPr="000C446C">
        <w:rPr>
          <w:b/>
          <w:bCs/>
        </w:rPr>
        <w:t>XXX</w:t>
      </w:r>
    </w:p>
  </w:footnote>
  <w:footnote w:id="140">
    <w:p w14:paraId="7900FD47" w14:textId="23D97FAF" w:rsidR="00D71B51" w:rsidRPr="00B077E5" w:rsidRDefault="00D71B51" w:rsidP="00D71B51">
      <w:pPr>
        <w:pStyle w:val="Voetnoottekst"/>
        <w:jc w:val="left"/>
        <w:rPr>
          <w:sz w:val="18"/>
          <w:szCs w:val="18"/>
        </w:rPr>
      </w:pPr>
      <w:r w:rsidRPr="00B077E5">
        <w:rPr>
          <w:rStyle w:val="Voetnootmarkering"/>
          <w:sz w:val="18"/>
          <w:szCs w:val="18"/>
        </w:rPr>
        <w:footnoteRef/>
      </w:r>
      <w:r w:rsidRPr="00B077E5">
        <w:rPr>
          <w:sz w:val="18"/>
          <w:szCs w:val="18"/>
        </w:rPr>
        <w:t xml:space="preserve"> Zie </w:t>
      </w:r>
      <w:r w:rsidRPr="00B077E5">
        <w:rPr>
          <w:i/>
          <w:iCs/>
          <w:sz w:val="18"/>
          <w:szCs w:val="18"/>
        </w:rPr>
        <w:t xml:space="preserve">Bijlage 2: </w:t>
      </w:r>
      <w:r w:rsidRPr="00B077E5">
        <w:rPr>
          <w:sz w:val="18"/>
          <w:szCs w:val="18"/>
        </w:rPr>
        <w:t xml:space="preserve">interview met jurist </w:t>
      </w:r>
      <w:r w:rsidR="000C446C" w:rsidRPr="000C446C">
        <w:rPr>
          <w:b/>
          <w:bCs/>
        </w:rPr>
        <w:t>XXX</w:t>
      </w:r>
    </w:p>
  </w:footnote>
  <w:footnote w:id="141">
    <w:p w14:paraId="352D075B" w14:textId="75E71DBB" w:rsidR="00165157" w:rsidRPr="00B077E5" w:rsidRDefault="00165157" w:rsidP="00B077E5">
      <w:pPr>
        <w:pStyle w:val="Voetnoottekst"/>
        <w:ind w:left="284" w:hanging="284"/>
        <w:jc w:val="left"/>
        <w:rPr>
          <w:sz w:val="18"/>
          <w:szCs w:val="18"/>
        </w:rPr>
      </w:pPr>
      <w:r w:rsidRPr="00B077E5">
        <w:rPr>
          <w:rStyle w:val="Voetnootmarkering"/>
          <w:sz w:val="18"/>
          <w:szCs w:val="18"/>
        </w:rPr>
        <w:footnoteRef/>
      </w:r>
      <w:r w:rsidRPr="00B077E5">
        <w:rPr>
          <w:sz w:val="18"/>
          <w:szCs w:val="18"/>
        </w:rPr>
        <w:t>‘</w:t>
      </w:r>
      <w:r w:rsidR="00DC68A1" w:rsidRPr="00DC68A1">
        <w:rPr>
          <w:b/>
          <w:bCs/>
          <w:sz w:val="24"/>
          <w:szCs w:val="24"/>
        </w:rPr>
        <w:t xml:space="preserve"> </w:t>
      </w:r>
      <w:r w:rsidR="00DC68A1" w:rsidRPr="000C446C">
        <w:rPr>
          <w:b/>
          <w:bCs/>
          <w:sz w:val="24"/>
          <w:szCs w:val="24"/>
        </w:rPr>
        <w:t>XXX</w:t>
      </w:r>
      <w:r w:rsidR="00DC68A1" w:rsidRPr="00B077E5">
        <w:rPr>
          <w:rStyle w:val="GeenafstandChar"/>
          <w:sz w:val="18"/>
          <w:szCs w:val="18"/>
        </w:rPr>
        <w:t xml:space="preserve"> </w:t>
      </w:r>
      <w:r w:rsidRPr="00B077E5">
        <w:rPr>
          <w:rStyle w:val="GeenafstandChar"/>
          <w:sz w:val="18"/>
          <w:szCs w:val="18"/>
        </w:rPr>
        <w:t xml:space="preserve">(klik op particulier, klik vervolgens </w:t>
      </w:r>
      <w:r w:rsidR="00DC68A1" w:rsidRPr="000C446C">
        <w:rPr>
          <w:b/>
          <w:bCs/>
          <w:sz w:val="24"/>
          <w:szCs w:val="24"/>
        </w:rPr>
        <w:t>XXX</w:t>
      </w:r>
      <w:r w:rsidRPr="00B077E5">
        <w:rPr>
          <w:rStyle w:val="GeenafstandChar"/>
          <w:sz w:val="18"/>
          <w:szCs w:val="18"/>
        </w:rPr>
        <w:t>)</w:t>
      </w:r>
    </w:p>
  </w:footnote>
  <w:footnote w:id="142">
    <w:p w14:paraId="1B7FF252" w14:textId="490C0108" w:rsidR="00165157" w:rsidRPr="00B077E5" w:rsidRDefault="00165157" w:rsidP="00B077E5">
      <w:pPr>
        <w:pStyle w:val="Voetnoottekst"/>
        <w:jc w:val="left"/>
        <w:rPr>
          <w:sz w:val="18"/>
          <w:szCs w:val="18"/>
        </w:rPr>
      </w:pPr>
      <w:r w:rsidRPr="00B077E5">
        <w:rPr>
          <w:rStyle w:val="Voetnootmarkering"/>
          <w:sz w:val="18"/>
          <w:szCs w:val="18"/>
        </w:rPr>
        <w:footnoteRef/>
      </w:r>
      <w:r w:rsidRPr="00B077E5">
        <w:rPr>
          <w:sz w:val="18"/>
          <w:szCs w:val="18"/>
        </w:rPr>
        <w:t xml:space="preserve"> Art. 2.1. Bijzondere polisvoorwaarden 122 (01-2018) – </w:t>
      </w:r>
      <w:r w:rsidR="00DC68A1" w:rsidRPr="000C446C">
        <w:rPr>
          <w:b/>
          <w:bCs/>
          <w:sz w:val="24"/>
          <w:szCs w:val="24"/>
        </w:rPr>
        <w:t>XXX</w:t>
      </w:r>
    </w:p>
  </w:footnote>
  <w:footnote w:id="143">
    <w:p w14:paraId="167FF97A" w14:textId="659D1290" w:rsidR="00165157" w:rsidRPr="00B077E5" w:rsidRDefault="00165157" w:rsidP="00B077E5">
      <w:pPr>
        <w:pStyle w:val="Voetnoottekst"/>
        <w:jc w:val="left"/>
        <w:rPr>
          <w:sz w:val="18"/>
          <w:szCs w:val="18"/>
        </w:rPr>
      </w:pPr>
      <w:r w:rsidRPr="00B077E5">
        <w:rPr>
          <w:rStyle w:val="Voetnootmarkering"/>
          <w:sz w:val="18"/>
          <w:szCs w:val="18"/>
        </w:rPr>
        <w:footnoteRef/>
      </w:r>
      <w:r w:rsidRPr="00B077E5">
        <w:rPr>
          <w:sz w:val="18"/>
          <w:szCs w:val="18"/>
        </w:rPr>
        <w:t xml:space="preserve"> Bijzondere polisvoorwaarden 122 (01-2018) – </w:t>
      </w:r>
      <w:r w:rsidR="00DC68A1" w:rsidRPr="000C446C">
        <w:rPr>
          <w:b/>
          <w:bCs/>
          <w:sz w:val="24"/>
          <w:szCs w:val="24"/>
        </w:rPr>
        <w:t>XXX</w:t>
      </w:r>
      <w:r w:rsidRPr="00B077E5">
        <w:rPr>
          <w:sz w:val="18"/>
          <w:szCs w:val="18"/>
        </w:rPr>
        <w:t>.</w:t>
      </w:r>
    </w:p>
  </w:footnote>
  <w:footnote w:id="144">
    <w:p w14:paraId="46926DF3" w14:textId="79B85526" w:rsidR="00165157" w:rsidRPr="00B077E5" w:rsidRDefault="00165157" w:rsidP="00B077E5">
      <w:pPr>
        <w:pStyle w:val="Voetnoottekst"/>
        <w:jc w:val="left"/>
        <w:rPr>
          <w:sz w:val="18"/>
          <w:szCs w:val="18"/>
        </w:rPr>
      </w:pPr>
      <w:r w:rsidRPr="00B077E5">
        <w:rPr>
          <w:rStyle w:val="Voetnootmarkering"/>
          <w:sz w:val="18"/>
          <w:szCs w:val="18"/>
        </w:rPr>
        <w:footnoteRef/>
      </w:r>
      <w:r w:rsidRPr="00B077E5">
        <w:rPr>
          <w:sz w:val="18"/>
          <w:szCs w:val="18"/>
        </w:rPr>
        <w:t xml:space="preserve"> Bijzondere polisvoorwaarden 122 (01-2018) – </w:t>
      </w:r>
      <w:r w:rsidR="00DC68A1" w:rsidRPr="000C446C">
        <w:rPr>
          <w:b/>
          <w:bCs/>
          <w:sz w:val="24"/>
          <w:szCs w:val="24"/>
        </w:rPr>
        <w:t>XXX</w:t>
      </w:r>
    </w:p>
  </w:footnote>
  <w:footnote w:id="145">
    <w:p w14:paraId="7A90D8B1" w14:textId="2EC0EA61" w:rsidR="00165157" w:rsidRDefault="00165157" w:rsidP="00B077E5">
      <w:pPr>
        <w:pStyle w:val="Voetnoottekst"/>
        <w:jc w:val="left"/>
      </w:pPr>
      <w:r w:rsidRPr="00B077E5">
        <w:rPr>
          <w:rStyle w:val="Voetnootmarkering"/>
          <w:sz w:val="18"/>
          <w:szCs w:val="18"/>
        </w:rPr>
        <w:footnoteRef/>
      </w:r>
      <w:r w:rsidRPr="00B077E5">
        <w:rPr>
          <w:sz w:val="18"/>
          <w:szCs w:val="18"/>
        </w:rPr>
        <w:t xml:space="preserve"> Art. 6.1. sub a Algemene polisvoorwaarden (10-2020) – </w:t>
      </w:r>
      <w:r w:rsidR="00DC68A1" w:rsidRPr="000C446C">
        <w:rPr>
          <w:b/>
          <w:bCs/>
          <w:sz w:val="24"/>
          <w:szCs w:val="24"/>
        </w:rPr>
        <w:t>XXX</w:t>
      </w:r>
      <w:r w:rsidRPr="00B077E5">
        <w:rPr>
          <w:sz w:val="18"/>
          <w:szCs w:val="18"/>
        </w:rPr>
        <w:t>.</w:t>
      </w:r>
    </w:p>
  </w:footnote>
  <w:footnote w:id="146">
    <w:p w14:paraId="21D60134" w14:textId="7C009676" w:rsidR="00165157" w:rsidRPr="00B077E5" w:rsidRDefault="00165157" w:rsidP="00BC32C5">
      <w:pPr>
        <w:pStyle w:val="Voetnoottekst"/>
        <w:ind w:left="284" w:hanging="284"/>
        <w:jc w:val="left"/>
        <w:rPr>
          <w:sz w:val="18"/>
          <w:szCs w:val="18"/>
        </w:rPr>
      </w:pPr>
      <w:r w:rsidRPr="00B077E5">
        <w:rPr>
          <w:rStyle w:val="Voetnootmarkering"/>
          <w:sz w:val="18"/>
          <w:szCs w:val="18"/>
        </w:rPr>
        <w:footnoteRef/>
      </w:r>
      <w:r w:rsidRPr="00B077E5">
        <w:rPr>
          <w:sz w:val="18"/>
          <w:szCs w:val="18"/>
        </w:rPr>
        <w:t xml:space="preserve"> Art. 8.2. sub e Bijzondere polisvoorwaarden 122 (01-2018) – </w:t>
      </w:r>
      <w:r w:rsidR="00DC68A1" w:rsidRPr="000C446C">
        <w:rPr>
          <w:b/>
          <w:bCs/>
          <w:sz w:val="24"/>
          <w:szCs w:val="24"/>
        </w:rPr>
        <w:t>XXX</w:t>
      </w:r>
      <w:r w:rsidR="00DC68A1" w:rsidRPr="00B077E5">
        <w:rPr>
          <w:sz w:val="18"/>
          <w:szCs w:val="18"/>
        </w:rPr>
        <w:t xml:space="preserve"> </w:t>
      </w:r>
      <w:r w:rsidRPr="00B077E5">
        <w:rPr>
          <w:sz w:val="18"/>
          <w:szCs w:val="18"/>
        </w:rPr>
        <w:t>voor Particulieren Totaal, p. 10.</w:t>
      </w:r>
    </w:p>
  </w:footnote>
  <w:footnote w:id="147">
    <w:p w14:paraId="29F8E7F5" w14:textId="61746F88" w:rsidR="00165157" w:rsidRDefault="00165157" w:rsidP="00BC32C5">
      <w:pPr>
        <w:pStyle w:val="Voetnoottekst"/>
        <w:jc w:val="left"/>
      </w:pPr>
      <w:r w:rsidRPr="00B077E5">
        <w:rPr>
          <w:rStyle w:val="Voetnootmarkering"/>
          <w:sz w:val="18"/>
          <w:szCs w:val="18"/>
        </w:rPr>
        <w:footnoteRef/>
      </w:r>
      <w:r w:rsidRPr="00B077E5">
        <w:rPr>
          <w:sz w:val="18"/>
          <w:szCs w:val="18"/>
        </w:rPr>
        <w:t xml:space="preserve"> Bijzondere polisvoorwaarden 122 (01-2018) – </w:t>
      </w:r>
      <w:r w:rsidR="00DC68A1" w:rsidRPr="000C446C">
        <w:rPr>
          <w:b/>
          <w:bCs/>
          <w:sz w:val="24"/>
          <w:szCs w:val="24"/>
        </w:rPr>
        <w:t>XXX</w:t>
      </w:r>
      <w:r w:rsidR="00DC68A1" w:rsidRPr="00B077E5">
        <w:rPr>
          <w:sz w:val="18"/>
          <w:szCs w:val="18"/>
        </w:rPr>
        <w:t xml:space="preserve"> </w:t>
      </w:r>
      <w:r w:rsidRPr="00B077E5">
        <w:rPr>
          <w:sz w:val="18"/>
          <w:szCs w:val="18"/>
        </w:rPr>
        <w:t>voor Particulieren Totaal, p. 8.</w:t>
      </w:r>
    </w:p>
  </w:footnote>
  <w:footnote w:id="148">
    <w:p w14:paraId="10C1B4D7" w14:textId="093C9385" w:rsidR="00165157" w:rsidRDefault="00165157" w:rsidP="00593DE8">
      <w:pPr>
        <w:pStyle w:val="Voetnoottekst"/>
      </w:pPr>
      <w:r w:rsidRPr="00B077E5">
        <w:rPr>
          <w:rStyle w:val="Voetnootmarkering"/>
          <w:sz w:val="18"/>
          <w:szCs w:val="18"/>
        </w:rPr>
        <w:footnoteRef/>
      </w:r>
      <w:r w:rsidRPr="00B077E5">
        <w:rPr>
          <w:sz w:val="18"/>
          <w:szCs w:val="18"/>
        </w:rPr>
        <w:t xml:space="preserve"> Art. 8 Bijzondere polisvoorwaarden 122 (01-2018) – </w:t>
      </w:r>
      <w:r w:rsidR="00DC68A1" w:rsidRPr="00DC68A1">
        <w:rPr>
          <w:sz w:val="18"/>
          <w:szCs w:val="18"/>
        </w:rPr>
        <w:t>XXX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43AFA"/>
    <w:multiLevelType w:val="multilevel"/>
    <w:tmpl w:val="76D8CD6C"/>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C61B93"/>
    <w:multiLevelType w:val="hybridMultilevel"/>
    <w:tmpl w:val="E5408678"/>
    <w:lvl w:ilvl="0" w:tplc="EBCA2CD2">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 w15:restartNumberingAfterBreak="0">
    <w:nsid w:val="32331A39"/>
    <w:multiLevelType w:val="hybridMultilevel"/>
    <w:tmpl w:val="1A5215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A37CE1"/>
    <w:multiLevelType w:val="hybridMultilevel"/>
    <w:tmpl w:val="4D2280E6"/>
    <w:lvl w:ilvl="0" w:tplc="04130005">
      <w:start w:val="1"/>
      <w:numFmt w:val="bullet"/>
      <w:lvlText w:val=""/>
      <w:lvlJc w:val="left"/>
      <w:pPr>
        <w:ind w:left="1212"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FCD5415"/>
    <w:multiLevelType w:val="hybridMultilevel"/>
    <w:tmpl w:val="D6703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AC5A8D"/>
    <w:multiLevelType w:val="hybridMultilevel"/>
    <w:tmpl w:val="220A62C4"/>
    <w:lvl w:ilvl="0" w:tplc="AE0A6B5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E67A8E"/>
    <w:multiLevelType w:val="hybridMultilevel"/>
    <w:tmpl w:val="F49A4B66"/>
    <w:lvl w:ilvl="0" w:tplc="D3B0A6F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9A4922"/>
    <w:multiLevelType w:val="hybridMultilevel"/>
    <w:tmpl w:val="1298A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3475CC"/>
    <w:multiLevelType w:val="multilevel"/>
    <w:tmpl w:val="DCF6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835433"/>
    <w:multiLevelType w:val="hybridMultilevel"/>
    <w:tmpl w:val="C42C8962"/>
    <w:lvl w:ilvl="0" w:tplc="D3B0A6F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E45354"/>
    <w:multiLevelType w:val="hybridMultilevel"/>
    <w:tmpl w:val="01CEB202"/>
    <w:lvl w:ilvl="0" w:tplc="465C82DE">
      <w:start w:val="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F4212E"/>
    <w:multiLevelType w:val="hybridMultilevel"/>
    <w:tmpl w:val="5D0C1E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B131F17"/>
    <w:multiLevelType w:val="hybridMultilevel"/>
    <w:tmpl w:val="343E98D4"/>
    <w:lvl w:ilvl="0" w:tplc="CC80C1B8">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BB3723"/>
    <w:multiLevelType w:val="hybridMultilevel"/>
    <w:tmpl w:val="D6146DF0"/>
    <w:lvl w:ilvl="0" w:tplc="065C515E">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1B22CAD"/>
    <w:multiLevelType w:val="hybridMultilevel"/>
    <w:tmpl w:val="C1E053F6"/>
    <w:lvl w:ilvl="0" w:tplc="D2FCAC8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58E4FB8"/>
    <w:multiLevelType w:val="hybridMultilevel"/>
    <w:tmpl w:val="81C6EB38"/>
    <w:lvl w:ilvl="0" w:tplc="203CF8E2">
      <w:start w:val="1"/>
      <w:numFmt w:val="bullet"/>
      <w:lvlText w:val="-"/>
      <w:lvlJc w:val="left"/>
      <w:pPr>
        <w:ind w:left="1212" w:hanging="360"/>
      </w:pPr>
      <w:rPr>
        <w:rFonts w:ascii="Verdana" w:eastAsiaTheme="minorHAnsi" w:hAnsi="Verdana" w:cstheme="minorBidi" w:hint="default"/>
      </w:rPr>
    </w:lvl>
    <w:lvl w:ilvl="1" w:tplc="04130003" w:tentative="1">
      <w:start w:val="1"/>
      <w:numFmt w:val="bullet"/>
      <w:lvlText w:val="o"/>
      <w:lvlJc w:val="left"/>
      <w:pPr>
        <w:ind w:left="1932" w:hanging="360"/>
      </w:pPr>
      <w:rPr>
        <w:rFonts w:ascii="Courier New" w:hAnsi="Courier New" w:cs="Courier New" w:hint="default"/>
      </w:rPr>
    </w:lvl>
    <w:lvl w:ilvl="2" w:tplc="04130005" w:tentative="1">
      <w:start w:val="1"/>
      <w:numFmt w:val="bullet"/>
      <w:lvlText w:val=""/>
      <w:lvlJc w:val="left"/>
      <w:pPr>
        <w:ind w:left="2652" w:hanging="360"/>
      </w:pPr>
      <w:rPr>
        <w:rFonts w:ascii="Wingdings" w:hAnsi="Wingdings" w:hint="default"/>
      </w:rPr>
    </w:lvl>
    <w:lvl w:ilvl="3" w:tplc="04130001" w:tentative="1">
      <w:start w:val="1"/>
      <w:numFmt w:val="bullet"/>
      <w:lvlText w:val=""/>
      <w:lvlJc w:val="left"/>
      <w:pPr>
        <w:ind w:left="3372" w:hanging="360"/>
      </w:pPr>
      <w:rPr>
        <w:rFonts w:ascii="Symbol" w:hAnsi="Symbol" w:hint="default"/>
      </w:rPr>
    </w:lvl>
    <w:lvl w:ilvl="4" w:tplc="04130003" w:tentative="1">
      <w:start w:val="1"/>
      <w:numFmt w:val="bullet"/>
      <w:lvlText w:val="o"/>
      <w:lvlJc w:val="left"/>
      <w:pPr>
        <w:ind w:left="4092" w:hanging="360"/>
      </w:pPr>
      <w:rPr>
        <w:rFonts w:ascii="Courier New" w:hAnsi="Courier New" w:cs="Courier New" w:hint="default"/>
      </w:rPr>
    </w:lvl>
    <w:lvl w:ilvl="5" w:tplc="04130005" w:tentative="1">
      <w:start w:val="1"/>
      <w:numFmt w:val="bullet"/>
      <w:lvlText w:val=""/>
      <w:lvlJc w:val="left"/>
      <w:pPr>
        <w:ind w:left="4812" w:hanging="360"/>
      </w:pPr>
      <w:rPr>
        <w:rFonts w:ascii="Wingdings" w:hAnsi="Wingdings" w:hint="default"/>
      </w:rPr>
    </w:lvl>
    <w:lvl w:ilvl="6" w:tplc="04130001" w:tentative="1">
      <w:start w:val="1"/>
      <w:numFmt w:val="bullet"/>
      <w:lvlText w:val=""/>
      <w:lvlJc w:val="left"/>
      <w:pPr>
        <w:ind w:left="5532" w:hanging="360"/>
      </w:pPr>
      <w:rPr>
        <w:rFonts w:ascii="Symbol" w:hAnsi="Symbol" w:hint="default"/>
      </w:rPr>
    </w:lvl>
    <w:lvl w:ilvl="7" w:tplc="04130003" w:tentative="1">
      <w:start w:val="1"/>
      <w:numFmt w:val="bullet"/>
      <w:lvlText w:val="o"/>
      <w:lvlJc w:val="left"/>
      <w:pPr>
        <w:ind w:left="6252" w:hanging="360"/>
      </w:pPr>
      <w:rPr>
        <w:rFonts w:ascii="Courier New" w:hAnsi="Courier New" w:cs="Courier New" w:hint="default"/>
      </w:rPr>
    </w:lvl>
    <w:lvl w:ilvl="8" w:tplc="04130005" w:tentative="1">
      <w:start w:val="1"/>
      <w:numFmt w:val="bullet"/>
      <w:lvlText w:val=""/>
      <w:lvlJc w:val="left"/>
      <w:pPr>
        <w:ind w:left="6972" w:hanging="360"/>
      </w:pPr>
      <w:rPr>
        <w:rFonts w:ascii="Wingdings" w:hAnsi="Wingdings" w:hint="default"/>
      </w:rPr>
    </w:lvl>
  </w:abstractNum>
  <w:abstractNum w:abstractNumId="16" w15:restartNumberingAfterBreak="0">
    <w:nsid w:val="6A8C475A"/>
    <w:multiLevelType w:val="hybridMultilevel"/>
    <w:tmpl w:val="20A01AF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6AD6715D"/>
    <w:multiLevelType w:val="hybridMultilevel"/>
    <w:tmpl w:val="CFCE9250"/>
    <w:lvl w:ilvl="0" w:tplc="4F44798E">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532812"/>
    <w:multiLevelType w:val="hybridMultilevel"/>
    <w:tmpl w:val="C96CDFA8"/>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6EBD0555"/>
    <w:multiLevelType w:val="multilevel"/>
    <w:tmpl w:val="6AD0297C"/>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72016E23"/>
    <w:multiLevelType w:val="hybridMultilevel"/>
    <w:tmpl w:val="F5DA7548"/>
    <w:lvl w:ilvl="0" w:tplc="8D36F5C4">
      <w:start w:val="1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58F3229"/>
    <w:multiLevelType w:val="hybridMultilevel"/>
    <w:tmpl w:val="4B4C2018"/>
    <w:lvl w:ilvl="0" w:tplc="72D4CECE">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0"/>
  </w:num>
  <w:num w:numId="4">
    <w:abstractNumId w:val="2"/>
  </w:num>
  <w:num w:numId="5">
    <w:abstractNumId w:val="4"/>
  </w:num>
  <w:num w:numId="6">
    <w:abstractNumId w:val="7"/>
  </w:num>
  <w:num w:numId="7">
    <w:abstractNumId w:val="0"/>
  </w:num>
  <w:num w:numId="8">
    <w:abstractNumId w:val="18"/>
  </w:num>
  <w:num w:numId="9">
    <w:abstractNumId w:val="3"/>
  </w:num>
  <w:num w:numId="10">
    <w:abstractNumId w:val="16"/>
  </w:num>
  <w:num w:numId="11">
    <w:abstractNumId w:val="15"/>
  </w:num>
  <w:num w:numId="12">
    <w:abstractNumId w:val="1"/>
  </w:num>
  <w:num w:numId="13">
    <w:abstractNumId w:val="8"/>
  </w:num>
  <w:num w:numId="14">
    <w:abstractNumId w:val="21"/>
  </w:num>
  <w:num w:numId="15">
    <w:abstractNumId w:val="12"/>
  </w:num>
  <w:num w:numId="16">
    <w:abstractNumId w:val="10"/>
  </w:num>
  <w:num w:numId="17">
    <w:abstractNumId w:val="9"/>
  </w:num>
  <w:num w:numId="18">
    <w:abstractNumId w:val="6"/>
  </w:num>
  <w:num w:numId="19">
    <w:abstractNumId w:val="17"/>
  </w:num>
  <w:num w:numId="20">
    <w:abstractNumId w:val="13"/>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62"/>
    <w:rsid w:val="00002233"/>
    <w:rsid w:val="000037ED"/>
    <w:rsid w:val="00003B59"/>
    <w:rsid w:val="00015664"/>
    <w:rsid w:val="0001729E"/>
    <w:rsid w:val="000225BB"/>
    <w:rsid w:val="00025AFD"/>
    <w:rsid w:val="0002678A"/>
    <w:rsid w:val="00026A0C"/>
    <w:rsid w:val="0002791C"/>
    <w:rsid w:val="00027F2D"/>
    <w:rsid w:val="00030846"/>
    <w:rsid w:val="00032E54"/>
    <w:rsid w:val="00033680"/>
    <w:rsid w:val="00033B48"/>
    <w:rsid w:val="00034213"/>
    <w:rsid w:val="00035452"/>
    <w:rsid w:val="00036675"/>
    <w:rsid w:val="00036E84"/>
    <w:rsid w:val="000378EF"/>
    <w:rsid w:val="00040781"/>
    <w:rsid w:val="000429FB"/>
    <w:rsid w:val="00043D25"/>
    <w:rsid w:val="000501C8"/>
    <w:rsid w:val="000531DB"/>
    <w:rsid w:val="000534B3"/>
    <w:rsid w:val="00055256"/>
    <w:rsid w:val="00057A85"/>
    <w:rsid w:val="00061885"/>
    <w:rsid w:val="00063163"/>
    <w:rsid w:val="00063E6F"/>
    <w:rsid w:val="00066DDD"/>
    <w:rsid w:val="000671EC"/>
    <w:rsid w:val="000672FC"/>
    <w:rsid w:val="000676E0"/>
    <w:rsid w:val="000720F0"/>
    <w:rsid w:val="000725CC"/>
    <w:rsid w:val="00072995"/>
    <w:rsid w:val="00072FA7"/>
    <w:rsid w:val="00074201"/>
    <w:rsid w:val="0007527D"/>
    <w:rsid w:val="00080691"/>
    <w:rsid w:val="00081C4C"/>
    <w:rsid w:val="0008300C"/>
    <w:rsid w:val="00086425"/>
    <w:rsid w:val="00090844"/>
    <w:rsid w:val="000920A7"/>
    <w:rsid w:val="0009222D"/>
    <w:rsid w:val="00092428"/>
    <w:rsid w:val="000950FA"/>
    <w:rsid w:val="0009609D"/>
    <w:rsid w:val="000965BF"/>
    <w:rsid w:val="00096630"/>
    <w:rsid w:val="000A127E"/>
    <w:rsid w:val="000A19CC"/>
    <w:rsid w:val="000A1AD6"/>
    <w:rsid w:val="000A2100"/>
    <w:rsid w:val="000A286C"/>
    <w:rsid w:val="000A2B89"/>
    <w:rsid w:val="000A2ECE"/>
    <w:rsid w:val="000A347A"/>
    <w:rsid w:val="000A4BF3"/>
    <w:rsid w:val="000A53C5"/>
    <w:rsid w:val="000B148E"/>
    <w:rsid w:val="000B2952"/>
    <w:rsid w:val="000B42E3"/>
    <w:rsid w:val="000B5B0C"/>
    <w:rsid w:val="000C0122"/>
    <w:rsid w:val="000C1B6C"/>
    <w:rsid w:val="000C2DBB"/>
    <w:rsid w:val="000C446C"/>
    <w:rsid w:val="000C4A77"/>
    <w:rsid w:val="000C51E8"/>
    <w:rsid w:val="000C5BD4"/>
    <w:rsid w:val="000C6420"/>
    <w:rsid w:val="000C6959"/>
    <w:rsid w:val="000C6ABD"/>
    <w:rsid w:val="000D38A2"/>
    <w:rsid w:val="000D6219"/>
    <w:rsid w:val="000E21EB"/>
    <w:rsid w:val="000E2D44"/>
    <w:rsid w:val="000E2F03"/>
    <w:rsid w:val="000E2FFB"/>
    <w:rsid w:val="000E5711"/>
    <w:rsid w:val="000E6750"/>
    <w:rsid w:val="000E7B7F"/>
    <w:rsid w:val="000F0A7D"/>
    <w:rsid w:val="000F30C8"/>
    <w:rsid w:val="000F4096"/>
    <w:rsid w:val="000F5D9A"/>
    <w:rsid w:val="000F5E33"/>
    <w:rsid w:val="000F687E"/>
    <w:rsid w:val="00102F5A"/>
    <w:rsid w:val="001046D4"/>
    <w:rsid w:val="00104C53"/>
    <w:rsid w:val="00105FA8"/>
    <w:rsid w:val="0010644C"/>
    <w:rsid w:val="001067B1"/>
    <w:rsid w:val="00111C9A"/>
    <w:rsid w:val="00112BF8"/>
    <w:rsid w:val="00116AE9"/>
    <w:rsid w:val="00117001"/>
    <w:rsid w:val="00122545"/>
    <w:rsid w:val="00122FD0"/>
    <w:rsid w:val="00124DBC"/>
    <w:rsid w:val="00125DE1"/>
    <w:rsid w:val="00126FD5"/>
    <w:rsid w:val="00127567"/>
    <w:rsid w:val="0013087B"/>
    <w:rsid w:val="001314FE"/>
    <w:rsid w:val="0013358D"/>
    <w:rsid w:val="00136809"/>
    <w:rsid w:val="00137515"/>
    <w:rsid w:val="00137889"/>
    <w:rsid w:val="00140CEA"/>
    <w:rsid w:val="00146C7C"/>
    <w:rsid w:val="00146E58"/>
    <w:rsid w:val="001509A8"/>
    <w:rsid w:val="00150ECF"/>
    <w:rsid w:val="00151825"/>
    <w:rsid w:val="00155FFC"/>
    <w:rsid w:val="00156AF3"/>
    <w:rsid w:val="00156B62"/>
    <w:rsid w:val="00160025"/>
    <w:rsid w:val="00161DC1"/>
    <w:rsid w:val="00161FF9"/>
    <w:rsid w:val="00162A2B"/>
    <w:rsid w:val="00162E12"/>
    <w:rsid w:val="00163DA0"/>
    <w:rsid w:val="001648CA"/>
    <w:rsid w:val="00164A79"/>
    <w:rsid w:val="00165157"/>
    <w:rsid w:val="001666FB"/>
    <w:rsid w:val="0016745D"/>
    <w:rsid w:val="00167DDD"/>
    <w:rsid w:val="0017054C"/>
    <w:rsid w:val="00172B8C"/>
    <w:rsid w:val="001753A1"/>
    <w:rsid w:val="00176864"/>
    <w:rsid w:val="001770D1"/>
    <w:rsid w:val="00177581"/>
    <w:rsid w:val="00181466"/>
    <w:rsid w:val="00183CCB"/>
    <w:rsid w:val="00186B7E"/>
    <w:rsid w:val="00190018"/>
    <w:rsid w:val="001924E8"/>
    <w:rsid w:val="001929C4"/>
    <w:rsid w:val="00193E63"/>
    <w:rsid w:val="00195F84"/>
    <w:rsid w:val="0019752C"/>
    <w:rsid w:val="001A429E"/>
    <w:rsid w:val="001A535C"/>
    <w:rsid w:val="001A6A0C"/>
    <w:rsid w:val="001A6C46"/>
    <w:rsid w:val="001A7046"/>
    <w:rsid w:val="001B1137"/>
    <w:rsid w:val="001B644B"/>
    <w:rsid w:val="001B6C21"/>
    <w:rsid w:val="001B6E63"/>
    <w:rsid w:val="001B70A3"/>
    <w:rsid w:val="001C580E"/>
    <w:rsid w:val="001D1062"/>
    <w:rsid w:val="001D2D66"/>
    <w:rsid w:val="001D38F7"/>
    <w:rsid w:val="001D4446"/>
    <w:rsid w:val="001D5353"/>
    <w:rsid w:val="001D5469"/>
    <w:rsid w:val="001D7E37"/>
    <w:rsid w:val="001E0D23"/>
    <w:rsid w:val="001E106A"/>
    <w:rsid w:val="001E5FF8"/>
    <w:rsid w:val="001E70E1"/>
    <w:rsid w:val="001F1463"/>
    <w:rsid w:val="001F211F"/>
    <w:rsid w:val="001F34F1"/>
    <w:rsid w:val="00203841"/>
    <w:rsid w:val="00205768"/>
    <w:rsid w:val="00206180"/>
    <w:rsid w:val="0020798A"/>
    <w:rsid w:val="00207B7B"/>
    <w:rsid w:val="002119C9"/>
    <w:rsid w:val="002125AB"/>
    <w:rsid w:val="00214E92"/>
    <w:rsid w:val="0021682B"/>
    <w:rsid w:val="0021773B"/>
    <w:rsid w:val="002213B5"/>
    <w:rsid w:val="00221E9B"/>
    <w:rsid w:val="00227096"/>
    <w:rsid w:val="00234B4F"/>
    <w:rsid w:val="00235F10"/>
    <w:rsid w:val="00236E4D"/>
    <w:rsid w:val="0024030F"/>
    <w:rsid w:val="00241E0A"/>
    <w:rsid w:val="002443D5"/>
    <w:rsid w:val="00245B89"/>
    <w:rsid w:val="00246A48"/>
    <w:rsid w:val="0024762B"/>
    <w:rsid w:val="002501AB"/>
    <w:rsid w:val="0025590B"/>
    <w:rsid w:val="00257823"/>
    <w:rsid w:val="00261788"/>
    <w:rsid w:val="00262549"/>
    <w:rsid w:val="00264309"/>
    <w:rsid w:val="00264E8D"/>
    <w:rsid w:val="00265BD9"/>
    <w:rsid w:val="002674C3"/>
    <w:rsid w:val="00270B51"/>
    <w:rsid w:val="002714A7"/>
    <w:rsid w:val="00272075"/>
    <w:rsid w:val="00272DA9"/>
    <w:rsid w:val="002731AE"/>
    <w:rsid w:val="002733A3"/>
    <w:rsid w:val="00274BAA"/>
    <w:rsid w:val="002757C1"/>
    <w:rsid w:val="00276856"/>
    <w:rsid w:val="002768CE"/>
    <w:rsid w:val="00276934"/>
    <w:rsid w:val="002769D0"/>
    <w:rsid w:val="00280B64"/>
    <w:rsid w:val="00282475"/>
    <w:rsid w:val="00283723"/>
    <w:rsid w:val="0028487C"/>
    <w:rsid w:val="00290592"/>
    <w:rsid w:val="002928A4"/>
    <w:rsid w:val="002928CB"/>
    <w:rsid w:val="002954FE"/>
    <w:rsid w:val="00296FF5"/>
    <w:rsid w:val="00297D6D"/>
    <w:rsid w:val="002A0980"/>
    <w:rsid w:val="002A1093"/>
    <w:rsid w:val="002A1C77"/>
    <w:rsid w:val="002A1EE4"/>
    <w:rsid w:val="002A335F"/>
    <w:rsid w:val="002A37A0"/>
    <w:rsid w:val="002A48A9"/>
    <w:rsid w:val="002A78BC"/>
    <w:rsid w:val="002B0870"/>
    <w:rsid w:val="002B1681"/>
    <w:rsid w:val="002B2BE7"/>
    <w:rsid w:val="002B3F65"/>
    <w:rsid w:val="002B426E"/>
    <w:rsid w:val="002B5952"/>
    <w:rsid w:val="002B635C"/>
    <w:rsid w:val="002B6631"/>
    <w:rsid w:val="002B6CF8"/>
    <w:rsid w:val="002B748E"/>
    <w:rsid w:val="002B7E24"/>
    <w:rsid w:val="002C183A"/>
    <w:rsid w:val="002C1869"/>
    <w:rsid w:val="002C46BF"/>
    <w:rsid w:val="002C4908"/>
    <w:rsid w:val="002C4D3D"/>
    <w:rsid w:val="002C4D97"/>
    <w:rsid w:val="002C5565"/>
    <w:rsid w:val="002C5AA6"/>
    <w:rsid w:val="002D0F10"/>
    <w:rsid w:val="002D28AB"/>
    <w:rsid w:val="002D2CF8"/>
    <w:rsid w:val="002D303A"/>
    <w:rsid w:val="002D5B13"/>
    <w:rsid w:val="002D6124"/>
    <w:rsid w:val="002D6CB6"/>
    <w:rsid w:val="002E1870"/>
    <w:rsid w:val="002E2406"/>
    <w:rsid w:val="002E5370"/>
    <w:rsid w:val="002E6098"/>
    <w:rsid w:val="002E7E01"/>
    <w:rsid w:val="002F1522"/>
    <w:rsid w:val="002F297C"/>
    <w:rsid w:val="002F3FAC"/>
    <w:rsid w:val="002F43C0"/>
    <w:rsid w:val="002F4498"/>
    <w:rsid w:val="002F7455"/>
    <w:rsid w:val="002F78E9"/>
    <w:rsid w:val="00300956"/>
    <w:rsid w:val="00304118"/>
    <w:rsid w:val="00306C56"/>
    <w:rsid w:val="00307122"/>
    <w:rsid w:val="00310456"/>
    <w:rsid w:val="003115BC"/>
    <w:rsid w:val="003120D0"/>
    <w:rsid w:val="0031267D"/>
    <w:rsid w:val="00313341"/>
    <w:rsid w:val="003141F1"/>
    <w:rsid w:val="00314FB5"/>
    <w:rsid w:val="00315409"/>
    <w:rsid w:val="003154C5"/>
    <w:rsid w:val="00315F34"/>
    <w:rsid w:val="00317E2C"/>
    <w:rsid w:val="003200DA"/>
    <w:rsid w:val="00321CD4"/>
    <w:rsid w:val="00323CB8"/>
    <w:rsid w:val="003241E5"/>
    <w:rsid w:val="00324AC9"/>
    <w:rsid w:val="00331DD0"/>
    <w:rsid w:val="0033300F"/>
    <w:rsid w:val="00336F96"/>
    <w:rsid w:val="0033708C"/>
    <w:rsid w:val="003440BC"/>
    <w:rsid w:val="0034681E"/>
    <w:rsid w:val="003515F4"/>
    <w:rsid w:val="00354480"/>
    <w:rsid w:val="003550EE"/>
    <w:rsid w:val="00355846"/>
    <w:rsid w:val="00356F5D"/>
    <w:rsid w:val="00357F69"/>
    <w:rsid w:val="00361945"/>
    <w:rsid w:val="00363A8C"/>
    <w:rsid w:val="00365372"/>
    <w:rsid w:val="00365DBC"/>
    <w:rsid w:val="003679F1"/>
    <w:rsid w:val="00375B6F"/>
    <w:rsid w:val="003819BE"/>
    <w:rsid w:val="00382BDF"/>
    <w:rsid w:val="0039231A"/>
    <w:rsid w:val="00393C59"/>
    <w:rsid w:val="00394050"/>
    <w:rsid w:val="00394703"/>
    <w:rsid w:val="00394CB4"/>
    <w:rsid w:val="00395B0D"/>
    <w:rsid w:val="003A05E1"/>
    <w:rsid w:val="003A209F"/>
    <w:rsid w:val="003A2853"/>
    <w:rsid w:val="003A3248"/>
    <w:rsid w:val="003B025F"/>
    <w:rsid w:val="003B4417"/>
    <w:rsid w:val="003B67E7"/>
    <w:rsid w:val="003B7AE6"/>
    <w:rsid w:val="003C0642"/>
    <w:rsid w:val="003C0B64"/>
    <w:rsid w:val="003C38D8"/>
    <w:rsid w:val="003C3E6F"/>
    <w:rsid w:val="003C3EA3"/>
    <w:rsid w:val="003C4544"/>
    <w:rsid w:val="003C5B33"/>
    <w:rsid w:val="003C5E45"/>
    <w:rsid w:val="003C5F8D"/>
    <w:rsid w:val="003C65CA"/>
    <w:rsid w:val="003C7254"/>
    <w:rsid w:val="003D0730"/>
    <w:rsid w:val="003D1956"/>
    <w:rsid w:val="003D375F"/>
    <w:rsid w:val="003D4123"/>
    <w:rsid w:val="003D5AF6"/>
    <w:rsid w:val="003E2324"/>
    <w:rsid w:val="003E27A5"/>
    <w:rsid w:val="003E7B38"/>
    <w:rsid w:val="003F0AE7"/>
    <w:rsid w:val="003F194E"/>
    <w:rsid w:val="003F1B66"/>
    <w:rsid w:val="003F2C73"/>
    <w:rsid w:val="003F7FBA"/>
    <w:rsid w:val="004004A8"/>
    <w:rsid w:val="004016CD"/>
    <w:rsid w:val="00401E1C"/>
    <w:rsid w:val="0040257F"/>
    <w:rsid w:val="00402DD4"/>
    <w:rsid w:val="00404042"/>
    <w:rsid w:val="00405BC8"/>
    <w:rsid w:val="00406E7B"/>
    <w:rsid w:val="0040783D"/>
    <w:rsid w:val="00412F8F"/>
    <w:rsid w:val="0041752B"/>
    <w:rsid w:val="00417DA9"/>
    <w:rsid w:val="0042012A"/>
    <w:rsid w:val="00420A02"/>
    <w:rsid w:val="00422BFF"/>
    <w:rsid w:val="00422F6A"/>
    <w:rsid w:val="004233CE"/>
    <w:rsid w:val="00423E02"/>
    <w:rsid w:val="00426634"/>
    <w:rsid w:val="00431DB2"/>
    <w:rsid w:val="00432408"/>
    <w:rsid w:val="00436383"/>
    <w:rsid w:val="00437759"/>
    <w:rsid w:val="00443AA8"/>
    <w:rsid w:val="004444B2"/>
    <w:rsid w:val="004458B6"/>
    <w:rsid w:val="00446450"/>
    <w:rsid w:val="00451F21"/>
    <w:rsid w:val="004525A4"/>
    <w:rsid w:val="0045339E"/>
    <w:rsid w:val="00454B41"/>
    <w:rsid w:val="0045598C"/>
    <w:rsid w:val="00460A0B"/>
    <w:rsid w:val="00461551"/>
    <w:rsid w:val="00461912"/>
    <w:rsid w:val="00462472"/>
    <w:rsid w:val="004631E9"/>
    <w:rsid w:val="0046334F"/>
    <w:rsid w:val="00466789"/>
    <w:rsid w:val="004707FD"/>
    <w:rsid w:val="00471149"/>
    <w:rsid w:val="00472095"/>
    <w:rsid w:val="00474AC9"/>
    <w:rsid w:val="00476646"/>
    <w:rsid w:val="0047778B"/>
    <w:rsid w:val="00480F26"/>
    <w:rsid w:val="00482102"/>
    <w:rsid w:val="004822D8"/>
    <w:rsid w:val="004827E1"/>
    <w:rsid w:val="00482E91"/>
    <w:rsid w:val="00487A0A"/>
    <w:rsid w:val="00487ACA"/>
    <w:rsid w:val="00492671"/>
    <w:rsid w:val="00493ECA"/>
    <w:rsid w:val="00494844"/>
    <w:rsid w:val="00495EFF"/>
    <w:rsid w:val="004A01FE"/>
    <w:rsid w:val="004A1890"/>
    <w:rsid w:val="004A1EDC"/>
    <w:rsid w:val="004A6AA3"/>
    <w:rsid w:val="004B020A"/>
    <w:rsid w:val="004B410D"/>
    <w:rsid w:val="004B59D8"/>
    <w:rsid w:val="004B764D"/>
    <w:rsid w:val="004B7E5F"/>
    <w:rsid w:val="004C0C17"/>
    <w:rsid w:val="004C25E0"/>
    <w:rsid w:val="004C39B1"/>
    <w:rsid w:val="004C3CAB"/>
    <w:rsid w:val="004C60A3"/>
    <w:rsid w:val="004C68DC"/>
    <w:rsid w:val="004C7774"/>
    <w:rsid w:val="004D0073"/>
    <w:rsid w:val="004D0CB9"/>
    <w:rsid w:val="004D202D"/>
    <w:rsid w:val="004D2465"/>
    <w:rsid w:val="004D3242"/>
    <w:rsid w:val="004D368E"/>
    <w:rsid w:val="004D394F"/>
    <w:rsid w:val="004E0C17"/>
    <w:rsid w:val="004E2370"/>
    <w:rsid w:val="004E6B36"/>
    <w:rsid w:val="004F00A4"/>
    <w:rsid w:val="004F47A8"/>
    <w:rsid w:val="004F4E95"/>
    <w:rsid w:val="004F5C38"/>
    <w:rsid w:val="004F60D6"/>
    <w:rsid w:val="00503D2F"/>
    <w:rsid w:val="00504453"/>
    <w:rsid w:val="00504822"/>
    <w:rsid w:val="005048B0"/>
    <w:rsid w:val="005050B7"/>
    <w:rsid w:val="005117C6"/>
    <w:rsid w:val="00514393"/>
    <w:rsid w:val="005241F4"/>
    <w:rsid w:val="00527244"/>
    <w:rsid w:val="005338DA"/>
    <w:rsid w:val="00534A9C"/>
    <w:rsid w:val="0053602E"/>
    <w:rsid w:val="00536689"/>
    <w:rsid w:val="00537A9B"/>
    <w:rsid w:val="00537FB1"/>
    <w:rsid w:val="005403A2"/>
    <w:rsid w:val="00540E00"/>
    <w:rsid w:val="00541DC4"/>
    <w:rsid w:val="00544A62"/>
    <w:rsid w:val="00545317"/>
    <w:rsid w:val="00551DA4"/>
    <w:rsid w:val="0055297C"/>
    <w:rsid w:val="00553575"/>
    <w:rsid w:val="00553797"/>
    <w:rsid w:val="00561184"/>
    <w:rsid w:val="00561B74"/>
    <w:rsid w:val="00561BFD"/>
    <w:rsid w:val="00564A01"/>
    <w:rsid w:val="00564DED"/>
    <w:rsid w:val="00567F09"/>
    <w:rsid w:val="00570FBA"/>
    <w:rsid w:val="00572241"/>
    <w:rsid w:val="0057224B"/>
    <w:rsid w:val="00574657"/>
    <w:rsid w:val="00574A97"/>
    <w:rsid w:val="00574B83"/>
    <w:rsid w:val="00577426"/>
    <w:rsid w:val="005775A3"/>
    <w:rsid w:val="00581E3E"/>
    <w:rsid w:val="005842BF"/>
    <w:rsid w:val="005879D1"/>
    <w:rsid w:val="00587AEB"/>
    <w:rsid w:val="00587D1F"/>
    <w:rsid w:val="005928FB"/>
    <w:rsid w:val="00593DE8"/>
    <w:rsid w:val="00594AFB"/>
    <w:rsid w:val="00596847"/>
    <w:rsid w:val="0059696F"/>
    <w:rsid w:val="00596F38"/>
    <w:rsid w:val="005A054B"/>
    <w:rsid w:val="005A1316"/>
    <w:rsid w:val="005A4DD3"/>
    <w:rsid w:val="005A631D"/>
    <w:rsid w:val="005A7C84"/>
    <w:rsid w:val="005B2112"/>
    <w:rsid w:val="005B3A0B"/>
    <w:rsid w:val="005B770C"/>
    <w:rsid w:val="005B7A94"/>
    <w:rsid w:val="005C4301"/>
    <w:rsid w:val="005C608A"/>
    <w:rsid w:val="005C7BA7"/>
    <w:rsid w:val="005C7C78"/>
    <w:rsid w:val="005D0403"/>
    <w:rsid w:val="005D3460"/>
    <w:rsid w:val="005D7922"/>
    <w:rsid w:val="005E09F8"/>
    <w:rsid w:val="005E0A95"/>
    <w:rsid w:val="005E0CDD"/>
    <w:rsid w:val="005E2372"/>
    <w:rsid w:val="005E2FD6"/>
    <w:rsid w:val="005E44F5"/>
    <w:rsid w:val="005E5321"/>
    <w:rsid w:val="005E643F"/>
    <w:rsid w:val="005E7856"/>
    <w:rsid w:val="005F10DB"/>
    <w:rsid w:val="005F1959"/>
    <w:rsid w:val="005F2A95"/>
    <w:rsid w:val="005F49DE"/>
    <w:rsid w:val="00601856"/>
    <w:rsid w:val="006027DC"/>
    <w:rsid w:val="00602D1B"/>
    <w:rsid w:val="00604DCC"/>
    <w:rsid w:val="00607412"/>
    <w:rsid w:val="00607E18"/>
    <w:rsid w:val="00612438"/>
    <w:rsid w:val="0061505F"/>
    <w:rsid w:val="006207AE"/>
    <w:rsid w:val="00621AED"/>
    <w:rsid w:val="0062510B"/>
    <w:rsid w:val="00625694"/>
    <w:rsid w:val="006263A0"/>
    <w:rsid w:val="0063283D"/>
    <w:rsid w:val="00633FBE"/>
    <w:rsid w:val="00637A4D"/>
    <w:rsid w:val="00637C7B"/>
    <w:rsid w:val="00641BDD"/>
    <w:rsid w:val="0064316F"/>
    <w:rsid w:val="00643BA6"/>
    <w:rsid w:val="00646702"/>
    <w:rsid w:val="00650889"/>
    <w:rsid w:val="00651DCC"/>
    <w:rsid w:val="006524A3"/>
    <w:rsid w:val="00654555"/>
    <w:rsid w:val="0065686B"/>
    <w:rsid w:val="00660419"/>
    <w:rsid w:val="006618C9"/>
    <w:rsid w:val="00661A34"/>
    <w:rsid w:val="006641BA"/>
    <w:rsid w:val="0067146A"/>
    <w:rsid w:val="00673FA3"/>
    <w:rsid w:val="00674B9D"/>
    <w:rsid w:val="00677551"/>
    <w:rsid w:val="00677CCE"/>
    <w:rsid w:val="006822B3"/>
    <w:rsid w:val="00683B46"/>
    <w:rsid w:val="00691C51"/>
    <w:rsid w:val="006962D6"/>
    <w:rsid w:val="00696E61"/>
    <w:rsid w:val="006A331D"/>
    <w:rsid w:val="006A49AD"/>
    <w:rsid w:val="006A5F7D"/>
    <w:rsid w:val="006A5FB8"/>
    <w:rsid w:val="006A687F"/>
    <w:rsid w:val="006A7751"/>
    <w:rsid w:val="006B0462"/>
    <w:rsid w:val="006B0A79"/>
    <w:rsid w:val="006B0AC8"/>
    <w:rsid w:val="006B2F6D"/>
    <w:rsid w:val="006B67AA"/>
    <w:rsid w:val="006B6F16"/>
    <w:rsid w:val="006C0105"/>
    <w:rsid w:val="006C04ED"/>
    <w:rsid w:val="006C1D20"/>
    <w:rsid w:val="006C22D8"/>
    <w:rsid w:val="006C28DE"/>
    <w:rsid w:val="006C372C"/>
    <w:rsid w:val="006C4AAF"/>
    <w:rsid w:val="006C6230"/>
    <w:rsid w:val="006C79DC"/>
    <w:rsid w:val="006D548A"/>
    <w:rsid w:val="006D5A5D"/>
    <w:rsid w:val="006D70BF"/>
    <w:rsid w:val="006E047F"/>
    <w:rsid w:val="006E3CD3"/>
    <w:rsid w:val="006E3FA1"/>
    <w:rsid w:val="006E74BB"/>
    <w:rsid w:val="006E773F"/>
    <w:rsid w:val="006F0D4B"/>
    <w:rsid w:val="006F2FD1"/>
    <w:rsid w:val="006F4AE4"/>
    <w:rsid w:val="006F52B8"/>
    <w:rsid w:val="006F64DA"/>
    <w:rsid w:val="006F737A"/>
    <w:rsid w:val="007021CE"/>
    <w:rsid w:val="007027E7"/>
    <w:rsid w:val="007049EB"/>
    <w:rsid w:val="007066D5"/>
    <w:rsid w:val="0071439C"/>
    <w:rsid w:val="00714ABB"/>
    <w:rsid w:val="007157AD"/>
    <w:rsid w:val="0072147E"/>
    <w:rsid w:val="0072221D"/>
    <w:rsid w:val="00722C10"/>
    <w:rsid w:val="00723273"/>
    <w:rsid w:val="0072347E"/>
    <w:rsid w:val="007236A1"/>
    <w:rsid w:val="00725FC6"/>
    <w:rsid w:val="0072654A"/>
    <w:rsid w:val="007266E5"/>
    <w:rsid w:val="00730ABA"/>
    <w:rsid w:val="00731662"/>
    <w:rsid w:val="00734392"/>
    <w:rsid w:val="00734560"/>
    <w:rsid w:val="00736EF7"/>
    <w:rsid w:val="00740613"/>
    <w:rsid w:val="0074104A"/>
    <w:rsid w:val="00741121"/>
    <w:rsid w:val="00747C00"/>
    <w:rsid w:val="00751C12"/>
    <w:rsid w:val="00755FB7"/>
    <w:rsid w:val="00757BE5"/>
    <w:rsid w:val="007608A9"/>
    <w:rsid w:val="00761F6A"/>
    <w:rsid w:val="007628BA"/>
    <w:rsid w:val="00763EAB"/>
    <w:rsid w:val="00764A0D"/>
    <w:rsid w:val="00766C02"/>
    <w:rsid w:val="007670C2"/>
    <w:rsid w:val="00767334"/>
    <w:rsid w:val="00767E02"/>
    <w:rsid w:val="00772362"/>
    <w:rsid w:val="00773C07"/>
    <w:rsid w:val="007751A9"/>
    <w:rsid w:val="007754D7"/>
    <w:rsid w:val="00777280"/>
    <w:rsid w:val="00777465"/>
    <w:rsid w:val="00780FBD"/>
    <w:rsid w:val="0078331C"/>
    <w:rsid w:val="00783622"/>
    <w:rsid w:val="00784BD2"/>
    <w:rsid w:val="00785670"/>
    <w:rsid w:val="00786A6B"/>
    <w:rsid w:val="00787A3A"/>
    <w:rsid w:val="0079022C"/>
    <w:rsid w:val="00790495"/>
    <w:rsid w:val="0079162B"/>
    <w:rsid w:val="007916DC"/>
    <w:rsid w:val="0079170A"/>
    <w:rsid w:val="00792240"/>
    <w:rsid w:val="00792A78"/>
    <w:rsid w:val="007942A2"/>
    <w:rsid w:val="007973B2"/>
    <w:rsid w:val="007A7712"/>
    <w:rsid w:val="007B3A9B"/>
    <w:rsid w:val="007B58A5"/>
    <w:rsid w:val="007B62A8"/>
    <w:rsid w:val="007B6C3F"/>
    <w:rsid w:val="007C148C"/>
    <w:rsid w:val="007C3686"/>
    <w:rsid w:val="007C3CC0"/>
    <w:rsid w:val="007C5380"/>
    <w:rsid w:val="007C55F4"/>
    <w:rsid w:val="007C6C6A"/>
    <w:rsid w:val="007C7D33"/>
    <w:rsid w:val="007D18C1"/>
    <w:rsid w:val="007D2EB7"/>
    <w:rsid w:val="007D3563"/>
    <w:rsid w:val="007D3A1A"/>
    <w:rsid w:val="007D58A3"/>
    <w:rsid w:val="007D70F0"/>
    <w:rsid w:val="007D7206"/>
    <w:rsid w:val="007E0768"/>
    <w:rsid w:val="007E25E1"/>
    <w:rsid w:val="007E7230"/>
    <w:rsid w:val="007E7A33"/>
    <w:rsid w:val="007E7D96"/>
    <w:rsid w:val="007F0D6C"/>
    <w:rsid w:val="007F6895"/>
    <w:rsid w:val="007F7024"/>
    <w:rsid w:val="007F7D17"/>
    <w:rsid w:val="008008B0"/>
    <w:rsid w:val="0080347E"/>
    <w:rsid w:val="00803651"/>
    <w:rsid w:val="00803CCC"/>
    <w:rsid w:val="008040AB"/>
    <w:rsid w:val="0080512C"/>
    <w:rsid w:val="00806AA6"/>
    <w:rsid w:val="0081198D"/>
    <w:rsid w:val="00812090"/>
    <w:rsid w:val="008122DE"/>
    <w:rsid w:val="0081281F"/>
    <w:rsid w:val="008148C3"/>
    <w:rsid w:val="008159A4"/>
    <w:rsid w:val="00816888"/>
    <w:rsid w:val="00820572"/>
    <w:rsid w:val="00821361"/>
    <w:rsid w:val="0082357C"/>
    <w:rsid w:val="008235AA"/>
    <w:rsid w:val="00824591"/>
    <w:rsid w:val="00827922"/>
    <w:rsid w:val="00830148"/>
    <w:rsid w:val="00830C46"/>
    <w:rsid w:val="0083148F"/>
    <w:rsid w:val="00832FDB"/>
    <w:rsid w:val="0083345B"/>
    <w:rsid w:val="008345A5"/>
    <w:rsid w:val="00834E18"/>
    <w:rsid w:val="00840780"/>
    <w:rsid w:val="00840E48"/>
    <w:rsid w:val="00841C00"/>
    <w:rsid w:val="00843028"/>
    <w:rsid w:val="00843B6C"/>
    <w:rsid w:val="00843C42"/>
    <w:rsid w:val="00844558"/>
    <w:rsid w:val="00847731"/>
    <w:rsid w:val="00850266"/>
    <w:rsid w:val="00852BA8"/>
    <w:rsid w:val="008545C1"/>
    <w:rsid w:val="00854BB6"/>
    <w:rsid w:val="00857DF3"/>
    <w:rsid w:val="0086004A"/>
    <w:rsid w:val="0086212F"/>
    <w:rsid w:val="008634EC"/>
    <w:rsid w:val="00864256"/>
    <w:rsid w:val="008657F2"/>
    <w:rsid w:val="008662C6"/>
    <w:rsid w:val="00866E96"/>
    <w:rsid w:val="00866F61"/>
    <w:rsid w:val="00867536"/>
    <w:rsid w:val="008702C7"/>
    <w:rsid w:val="008714BD"/>
    <w:rsid w:val="00872352"/>
    <w:rsid w:val="008729FF"/>
    <w:rsid w:val="0087336B"/>
    <w:rsid w:val="0087507E"/>
    <w:rsid w:val="008752AF"/>
    <w:rsid w:val="008754D4"/>
    <w:rsid w:val="0087651A"/>
    <w:rsid w:val="00877118"/>
    <w:rsid w:val="00881104"/>
    <w:rsid w:val="00881C22"/>
    <w:rsid w:val="00882198"/>
    <w:rsid w:val="008839B3"/>
    <w:rsid w:val="00883FC5"/>
    <w:rsid w:val="0089109F"/>
    <w:rsid w:val="008927EF"/>
    <w:rsid w:val="00893865"/>
    <w:rsid w:val="00894D1C"/>
    <w:rsid w:val="00896B35"/>
    <w:rsid w:val="008A0E48"/>
    <w:rsid w:val="008A1900"/>
    <w:rsid w:val="008A2EC0"/>
    <w:rsid w:val="008A5869"/>
    <w:rsid w:val="008A5944"/>
    <w:rsid w:val="008A5972"/>
    <w:rsid w:val="008A59BC"/>
    <w:rsid w:val="008A5AB1"/>
    <w:rsid w:val="008A71CB"/>
    <w:rsid w:val="008B0C0B"/>
    <w:rsid w:val="008B15BE"/>
    <w:rsid w:val="008B20CE"/>
    <w:rsid w:val="008B3F77"/>
    <w:rsid w:val="008B5079"/>
    <w:rsid w:val="008C27A1"/>
    <w:rsid w:val="008C2D5A"/>
    <w:rsid w:val="008C5CF3"/>
    <w:rsid w:val="008C5DDB"/>
    <w:rsid w:val="008D0C7C"/>
    <w:rsid w:val="008D133E"/>
    <w:rsid w:val="008D1A4F"/>
    <w:rsid w:val="008D2C2C"/>
    <w:rsid w:val="008D5F90"/>
    <w:rsid w:val="008D6CD5"/>
    <w:rsid w:val="008D7902"/>
    <w:rsid w:val="008E204D"/>
    <w:rsid w:val="008E21EB"/>
    <w:rsid w:val="008E4ED2"/>
    <w:rsid w:val="008E5F7A"/>
    <w:rsid w:val="008E631D"/>
    <w:rsid w:val="008E6467"/>
    <w:rsid w:val="008E76F9"/>
    <w:rsid w:val="008F1C29"/>
    <w:rsid w:val="008F3426"/>
    <w:rsid w:val="008F3D2F"/>
    <w:rsid w:val="008F6451"/>
    <w:rsid w:val="008F6AAC"/>
    <w:rsid w:val="008F79A9"/>
    <w:rsid w:val="009012FD"/>
    <w:rsid w:val="00901474"/>
    <w:rsid w:val="00902542"/>
    <w:rsid w:val="009033ED"/>
    <w:rsid w:val="00910BA3"/>
    <w:rsid w:val="0091153A"/>
    <w:rsid w:val="009149DC"/>
    <w:rsid w:val="00914FE1"/>
    <w:rsid w:val="00916E01"/>
    <w:rsid w:val="00917BBC"/>
    <w:rsid w:val="0092033D"/>
    <w:rsid w:val="00921420"/>
    <w:rsid w:val="00922484"/>
    <w:rsid w:val="0092273E"/>
    <w:rsid w:val="00923002"/>
    <w:rsid w:val="00923F34"/>
    <w:rsid w:val="00924ED9"/>
    <w:rsid w:val="0092665C"/>
    <w:rsid w:val="0092671D"/>
    <w:rsid w:val="0093044A"/>
    <w:rsid w:val="0093066E"/>
    <w:rsid w:val="009318AF"/>
    <w:rsid w:val="00933200"/>
    <w:rsid w:val="00933F62"/>
    <w:rsid w:val="009342E8"/>
    <w:rsid w:val="009357BE"/>
    <w:rsid w:val="00941B41"/>
    <w:rsid w:val="009424A6"/>
    <w:rsid w:val="00942806"/>
    <w:rsid w:val="0094411D"/>
    <w:rsid w:val="009467B5"/>
    <w:rsid w:val="00952691"/>
    <w:rsid w:val="00952B71"/>
    <w:rsid w:val="00952D86"/>
    <w:rsid w:val="00953C18"/>
    <w:rsid w:val="0095528A"/>
    <w:rsid w:val="00955D83"/>
    <w:rsid w:val="00956FEE"/>
    <w:rsid w:val="0095750B"/>
    <w:rsid w:val="00957F2E"/>
    <w:rsid w:val="00963F8C"/>
    <w:rsid w:val="009640CC"/>
    <w:rsid w:val="0096449D"/>
    <w:rsid w:val="00964E91"/>
    <w:rsid w:val="00965507"/>
    <w:rsid w:val="009656C4"/>
    <w:rsid w:val="009674FE"/>
    <w:rsid w:val="00967C16"/>
    <w:rsid w:val="009704AD"/>
    <w:rsid w:val="00970AC0"/>
    <w:rsid w:val="00970EA1"/>
    <w:rsid w:val="00970ED0"/>
    <w:rsid w:val="009726E4"/>
    <w:rsid w:val="00974640"/>
    <w:rsid w:val="009773F7"/>
    <w:rsid w:val="00985CF1"/>
    <w:rsid w:val="00986B02"/>
    <w:rsid w:val="009909CD"/>
    <w:rsid w:val="00990F3B"/>
    <w:rsid w:val="009914E7"/>
    <w:rsid w:val="00992D5D"/>
    <w:rsid w:val="00992EF7"/>
    <w:rsid w:val="009948E4"/>
    <w:rsid w:val="00995AF3"/>
    <w:rsid w:val="00996327"/>
    <w:rsid w:val="009A0EFA"/>
    <w:rsid w:val="009A26B8"/>
    <w:rsid w:val="009A2875"/>
    <w:rsid w:val="009A75DB"/>
    <w:rsid w:val="009A7E9F"/>
    <w:rsid w:val="009B2D8E"/>
    <w:rsid w:val="009B3231"/>
    <w:rsid w:val="009B52C2"/>
    <w:rsid w:val="009B5FAB"/>
    <w:rsid w:val="009B6C28"/>
    <w:rsid w:val="009B7788"/>
    <w:rsid w:val="009C23F3"/>
    <w:rsid w:val="009C4BAB"/>
    <w:rsid w:val="009C5935"/>
    <w:rsid w:val="009D50F2"/>
    <w:rsid w:val="009D6490"/>
    <w:rsid w:val="009E2F4F"/>
    <w:rsid w:val="009E5104"/>
    <w:rsid w:val="009E513F"/>
    <w:rsid w:val="009E56D7"/>
    <w:rsid w:val="009E7C31"/>
    <w:rsid w:val="009E7C75"/>
    <w:rsid w:val="009E7D98"/>
    <w:rsid w:val="009F0584"/>
    <w:rsid w:val="009F28D6"/>
    <w:rsid w:val="009F795A"/>
    <w:rsid w:val="00A029BA"/>
    <w:rsid w:val="00A05105"/>
    <w:rsid w:val="00A06264"/>
    <w:rsid w:val="00A066FE"/>
    <w:rsid w:val="00A06A96"/>
    <w:rsid w:val="00A07BA4"/>
    <w:rsid w:val="00A11D78"/>
    <w:rsid w:val="00A1225B"/>
    <w:rsid w:val="00A1304C"/>
    <w:rsid w:val="00A13085"/>
    <w:rsid w:val="00A14888"/>
    <w:rsid w:val="00A22C24"/>
    <w:rsid w:val="00A23A54"/>
    <w:rsid w:val="00A2595F"/>
    <w:rsid w:val="00A27966"/>
    <w:rsid w:val="00A30EA4"/>
    <w:rsid w:val="00A3205E"/>
    <w:rsid w:val="00A33F2F"/>
    <w:rsid w:val="00A35F24"/>
    <w:rsid w:val="00A36E26"/>
    <w:rsid w:val="00A36F0A"/>
    <w:rsid w:val="00A37C7E"/>
    <w:rsid w:val="00A4187C"/>
    <w:rsid w:val="00A42EC2"/>
    <w:rsid w:val="00A509F4"/>
    <w:rsid w:val="00A575B2"/>
    <w:rsid w:val="00A6156C"/>
    <w:rsid w:val="00A629AD"/>
    <w:rsid w:val="00A62E35"/>
    <w:rsid w:val="00A65417"/>
    <w:rsid w:val="00A66677"/>
    <w:rsid w:val="00A67253"/>
    <w:rsid w:val="00A6782F"/>
    <w:rsid w:val="00A67978"/>
    <w:rsid w:val="00A73BB6"/>
    <w:rsid w:val="00A744B1"/>
    <w:rsid w:val="00A7625A"/>
    <w:rsid w:val="00A76F20"/>
    <w:rsid w:val="00A77172"/>
    <w:rsid w:val="00A80F3B"/>
    <w:rsid w:val="00A811F9"/>
    <w:rsid w:val="00A817D5"/>
    <w:rsid w:val="00A83379"/>
    <w:rsid w:val="00A83F48"/>
    <w:rsid w:val="00A86B4E"/>
    <w:rsid w:val="00A86C8A"/>
    <w:rsid w:val="00A90168"/>
    <w:rsid w:val="00A9021F"/>
    <w:rsid w:val="00A9060B"/>
    <w:rsid w:val="00A91C48"/>
    <w:rsid w:val="00A921E1"/>
    <w:rsid w:val="00A93121"/>
    <w:rsid w:val="00A940DB"/>
    <w:rsid w:val="00A949E2"/>
    <w:rsid w:val="00A97120"/>
    <w:rsid w:val="00A97124"/>
    <w:rsid w:val="00A97197"/>
    <w:rsid w:val="00A97743"/>
    <w:rsid w:val="00AA0DDB"/>
    <w:rsid w:val="00AA0E64"/>
    <w:rsid w:val="00AA2320"/>
    <w:rsid w:val="00AA297C"/>
    <w:rsid w:val="00AA3050"/>
    <w:rsid w:val="00AA32DC"/>
    <w:rsid w:val="00AA3FD1"/>
    <w:rsid w:val="00AA4D98"/>
    <w:rsid w:val="00AA6480"/>
    <w:rsid w:val="00AB26E9"/>
    <w:rsid w:val="00AB2F75"/>
    <w:rsid w:val="00AB4E95"/>
    <w:rsid w:val="00AB76B6"/>
    <w:rsid w:val="00AC448D"/>
    <w:rsid w:val="00AC6D9A"/>
    <w:rsid w:val="00AD2852"/>
    <w:rsid w:val="00AD5DE4"/>
    <w:rsid w:val="00AD7989"/>
    <w:rsid w:val="00AE15B6"/>
    <w:rsid w:val="00AE2F16"/>
    <w:rsid w:val="00AE3544"/>
    <w:rsid w:val="00AE6A36"/>
    <w:rsid w:val="00AE6B96"/>
    <w:rsid w:val="00AF05B3"/>
    <w:rsid w:val="00AF06EF"/>
    <w:rsid w:val="00AF3F96"/>
    <w:rsid w:val="00AF4D38"/>
    <w:rsid w:val="00AF56FC"/>
    <w:rsid w:val="00B00E30"/>
    <w:rsid w:val="00B01DF1"/>
    <w:rsid w:val="00B02E4B"/>
    <w:rsid w:val="00B03009"/>
    <w:rsid w:val="00B049C0"/>
    <w:rsid w:val="00B05F1F"/>
    <w:rsid w:val="00B07099"/>
    <w:rsid w:val="00B077E5"/>
    <w:rsid w:val="00B078D1"/>
    <w:rsid w:val="00B12063"/>
    <w:rsid w:val="00B15DC8"/>
    <w:rsid w:val="00B1634F"/>
    <w:rsid w:val="00B17674"/>
    <w:rsid w:val="00B20129"/>
    <w:rsid w:val="00B22D9E"/>
    <w:rsid w:val="00B24ED3"/>
    <w:rsid w:val="00B27985"/>
    <w:rsid w:val="00B27F86"/>
    <w:rsid w:val="00B302A0"/>
    <w:rsid w:val="00B323A2"/>
    <w:rsid w:val="00B33983"/>
    <w:rsid w:val="00B33FB4"/>
    <w:rsid w:val="00B3756F"/>
    <w:rsid w:val="00B428DB"/>
    <w:rsid w:val="00B42972"/>
    <w:rsid w:val="00B452CC"/>
    <w:rsid w:val="00B455AF"/>
    <w:rsid w:val="00B4644E"/>
    <w:rsid w:val="00B47D85"/>
    <w:rsid w:val="00B47FA7"/>
    <w:rsid w:val="00B510E3"/>
    <w:rsid w:val="00B5623E"/>
    <w:rsid w:val="00B5761F"/>
    <w:rsid w:val="00B61080"/>
    <w:rsid w:val="00B611A2"/>
    <w:rsid w:val="00B64924"/>
    <w:rsid w:val="00B65016"/>
    <w:rsid w:val="00B7105E"/>
    <w:rsid w:val="00B739A3"/>
    <w:rsid w:val="00B74F71"/>
    <w:rsid w:val="00B7586F"/>
    <w:rsid w:val="00B77A13"/>
    <w:rsid w:val="00B77A36"/>
    <w:rsid w:val="00B77F7B"/>
    <w:rsid w:val="00B80346"/>
    <w:rsid w:val="00B80E14"/>
    <w:rsid w:val="00B861D5"/>
    <w:rsid w:val="00B87A8B"/>
    <w:rsid w:val="00B87F21"/>
    <w:rsid w:val="00B905C6"/>
    <w:rsid w:val="00B9160F"/>
    <w:rsid w:val="00B91F04"/>
    <w:rsid w:val="00B92651"/>
    <w:rsid w:val="00B9491E"/>
    <w:rsid w:val="00B950D2"/>
    <w:rsid w:val="00B96611"/>
    <w:rsid w:val="00B9796C"/>
    <w:rsid w:val="00B97E8D"/>
    <w:rsid w:val="00BA1565"/>
    <w:rsid w:val="00BA1CB3"/>
    <w:rsid w:val="00BA1FBB"/>
    <w:rsid w:val="00BA2D98"/>
    <w:rsid w:val="00BA459F"/>
    <w:rsid w:val="00BA5C4D"/>
    <w:rsid w:val="00BB0B60"/>
    <w:rsid w:val="00BB27A0"/>
    <w:rsid w:val="00BB2D82"/>
    <w:rsid w:val="00BB326C"/>
    <w:rsid w:val="00BB5C3E"/>
    <w:rsid w:val="00BB60A4"/>
    <w:rsid w:val="00BB6189"/>
    <w:rsid w:val="00BB6A71"/>
    <w:rsid w:val="00BB70DC"/>
    <w:rsid w:val="00BC0D97"/>
    <w:rsid w:val="00BC204D"/>
    <w:rsid w:val="00BC32C5"/>
    <w:rsid w:val="00BC4462"/>
    <w:rsid w:val="00BC4B24"/>
    <w:rsid w:val="00BC55E3"/>
    <w:rsid w:val="00BC61E4"/>
    <w:rsid w:val="00BC6841"/>
    <w:rsid w:val="00BC7908"/>
    <w:rsid w:val="00BC7E9D"/>
    <w:rsid w:val="00BD1A72"/>
    <w:rsid w:val="00BD224A"/>
    <w:rsid w:val="00BD67F0"/>
    <w:rsid w:val="00BD7955"/>
    <w:rsid w:val="00BE0D64"/>
    <w:rsid w:val="00BE299B"/>
    <w:rsid w:val="00BE3FA6"/>
    <w:rsid w:val="00BE555E"/>
    <w:rsid w:val="00BF12D5"/>
    <w:rsid w:val="00BF22A9"/>
    <w:rsid w:val="00BF597A"/>
    <w:rsid w:val="00BF6517"/>
    <w:rsid w:val="00BF7C5C"/>
    <w:rsid w:val="00C00260"/>
    <w:rsid w:val="00C002C2"/>
    <w:rsid w:val="00C005F5"/>
    <w:rsid w:val="00C00AA5"/>
    <w:rsid w:val="00C02FD3"/>
    <w:rsid w:val="00C03857"/>
    <w:rsid w:val="00C0465B"/>
    <w:rsid w:val="00C06663"/>
    <w:rsid w:val="00C06837"/>
    <w:rsid w:val="00C07760"/>
    <w:rsid w:val="00C10627"/>
    <w:rsid w:val="00C117B8"/>
    <w:rsid w:val="00C20314"/>
    <w:rsid w:val="00C21699"/>
    <w:rsid w:val="00C22ED5"/>
    <w:rsid w:val="00C269F5"/>
    <w:rsid w:val="00C31311"/>
    <w:rsid w:val="00C33588"/>
    <w:rsid w:val="00C34672"/>
    <w:rsid w:val="00C3511B"/>
    <w:rsid w:val="00C41825"/>
    <w:rsid w:val="00C438CF"/>
    <w:rsid w:val="00C45319"/>
    <w:rsid w:val="00C456FE"/>
    <w:rsid w:val="00C477BC"/>
    <w:rsid w:val="00C50F32"/>
    <w:rsid w:val="00C511B2"/>
    <w:rsid w:val="00C52D5D"/>
    <w:rsid w:val="00C5428A"/>
    <w:rsid w:val="00C604F5"/>
    <w:rsid w:val="00C60B0E"/>
    <w:rsid w:val="00C63BE4"/>
    <w:rsid w:val="00C64F7E"/>
    <w:rsid w:val="00C672BA"/>
    <w:rsid w:val="00C71580"/>
    <w:rsid w:val="00C739B0"/>
    <w:rsid w:val="00C7603B"/>
    <w:rsid w:val="00C82E8F"/>
    <w:rsid w:val="00C83FE5"/>
    <w:rsid w:val="00C841AC"/>
    <w:rsid w:val="00C8505B"/>
    <w:rsid w:val="00C86368"/>
    <w:rsid w:val="00C879D0"/>
    <w:rsid w:val="00C87D93"/>
    <w:rsid w:val="00C9038C"/>
    <w:rsid w:val="00C90968"/>
    <w:rsid w:val="00C91E8D"/>
    <w:rsid w:val="00C95306"/>
    <w:rsid w:val="00C95BA3"/>
    <w:rsid w:val="00C9760B"/>
    <w:rsid w:val="00CA1173"/>
    <w:rsid w:val="00CA16E2"/>
    <w:rsid w:val="00CA2F1B"/>
    <w:rsid w:val="00CA3794"/>
    <w:rsid w:val="00CA3A72"/>
    <w:rsid w:val="00CA3FC9"/>
    <w:rsid w:val="00CA6FD3"/>
    <w:rsid w:val="00CA73E2"/>
    <w:rsid w:val="00CA7490"/>
    <w:rsid w:val="00CB03F7"/>
    <w:rsid w:val="00CB04EE"/>
    <w:rsid w:val="00CB2085"/>
    <w:rsid w:val="00CB4076"/>
    <w:rsid w:val="00CB6B20"/>
    <w:rsid w:val="00CC2B82"/>
    <w:rsid w:val="00CC59E1"/>
    <w:rsid w:val="00CD0C2B"/>
    <w:rsid w:val="00CD0C38"/>
    <w:rsid w:val="00CD2823"/>
    <w:rsid w:val="00CD2B36"/>
    <w:rsid w:val="00CD63C0"/>
    <w:rsid w:val="00CE1501"/>
    <w:rsid w:val="00CE48FF"/>
    <w:rsid w:val="00CE51FB"/>
    <w:rsid w:val="00CE5294"/>
    <w:rsid w:val="00CE5D91"/>
    <w:rsid w:val="00CE7E8C"/>
    <w:rsid w:val="00CF026F"/>
    <w:rsid w:val="00CF05A4"/>
    <w:rsid w:val="00CF4DEB"/>
    <w:rsid w:val="00CF4DF7"/>
    <w:rsid w:val="00CF503A"/>
    <w:rsid w:val="00CF5C18"/>
    <w:rsid w:val="00D00913"/>
    <w:rsid w:val="00D01706"/>
    <w:rsid w:val="00D049B1"/>
    <w:rsid w:val="00D06D67"/>
    <w:rsid w:val="00D06F7C"/>
    <w:rsid w:val="00D112E8"/>
    <w:rsid w:val="00D11318"/>
    <w:rsid w:val="00D1196F"/>
    <w:rsid w:val="00D17A00"/>
    <w:rsid w:val="00D17D5E"/>
    <w:rsid w:val="00D22C29"/>
    <w:rsid w:val="00D23477"/>
    <w:rsid w:val="00D23FA7"/>
    <w:rsid w:val="00D24597"/>
    <w:rsid w:val="00D266F1"/>
    <w:rsid w:val="00D2755F"/>
    <w:rsid w:val="00D3448C"/>
    <w:rsid w:val="00D36D1C"/>
    <w:rsid w:val="00D37EF8"/>
    <w:rsid w:val="00D37F44"/>
    <w:rsid w:val="00D41A72"/>
    <w:rsid w:val="00D51A5D"/>
    <w:rsid w:val="00D543D9"/>
    <w:rsid w:val="00D55E33"/>
    <w:rsid w:val="00D570CF"/>
    <w:rsid w:val="00D60D43"/>
    <w:rsid w:val="00D60EEE"/>
    <w:rsid w:val="00D62AB7"/>
    <w:rsid w:val="00D636C6"/>
    <w:rsid w:val="00D64021"/>
    <w:rsid w:val="00D6461B"/>
    <w:rsid w:val="00D64A2B"/>
    <w:rsid w:val="00D65619"/>
    <w:rsid w:val="00D662B4"/>
    <w:rsid w:val="00D67D61"/>
    <w:rsid w:val="00D71054"/>
    <w:rsid w:val="00D71B51"/>
    <w:rsid w:val="00D7201A"/>
    <w:rsid w:val="00D72C50"/>
    <w:rsid w:val="00D745EA"/>
    <w:rsid w:val="00D75528"/>
    <w:rsid w:val="00D75562"/>
    <w:rsid w:val="00D768E0"/>
    <w:rsid w:val="00D77F0F"/>
    <w:rsid w:val="00D872C3"/>
    <w:rsid w:val="00D911A4"/>
    <w:rsid w:val="00D91DE2"/>
    <w:rsid w:val="00D9251B"/>
    <w:rsid w:val="00D94103"/>
    <w:rsid w:val="00D95FD8"/>
    <w:rsid w:val="00D97C00"/>
    <w:rsid w:val="00DA132B"/>
    <w:rsid w:val="00DA1672"/>
    <w:rsid w:val="00DA1939"/>
    <w:rsid w:val="00DA2D91"/>
    <w:rsid w:val="00DA4D7E"/>
    <w:rsid w:val="00DA77AE"/>
    <w:rsid w:val="00DA788A"/>
    <w:rsid w:val="00DB07F4"/>
    <w:rsid w:val="00DB0E29"/>
    <w:rsid w:val="00DB1077"/>
    <w:rsid w:val="00DC105F"/>
    <w:rsid w:val="00DC192D"/>
    <w:rsid w:val="00DC2A82"/>
    <w:rsid w:val="00DC36B1"/>
    <w:rsid w:val="00DC413B"/>
    <w:rsid w:val="00DC4361"/>
    <w:rsid w:val="00DC461B"/>
    <w:rsid w:val="00DC595E"/>
    <w:rsid w:val="00DC5B36"/>
    <w:rsid w:val="00DC68A1"/>
    <w:rsid w:val="00DC698D"/>
    <w:rsid w:val="00DC6DEA"/>
    <w:rsid w:val="00DD08A7"/>
    <w:rsid w:val="00DD1A60"/>
    <w:rsid w:val="00DD2D33"/>
    <w:rsid w:val="00DD33B0"/>
    <w:rsid w:val="00DD46A0"/>
    <w:rsid w:val="00DD4961"/>
    <w:rsid w:val="00DD4B47"/>
    <w:rsid w:val="00DE34D1"/>
    <w:rsid w:val="00DE5B9D"/>
    <w:rsid w:val="00DE6147"/>
    <w:rsid w:val="00DE7E0B"/>
    <w:rsid w:val="00DF1E74"/>
    <w:rsid w:val="00DF377E"/>
    <w:rsid w:val="00DF45D5"/>
    <w:rsid w:val="00DF6841"/>
    <w:rsid w:val="00DF6860"/>
    <w:rsid w:val="00DF6A57"/>
    <w:rsid w:val="00E04BA3"/>
    <w:rsid w:val="00E05D8E"/>
    <w:rsid w:val="00E0638A"/>
    <w:rsid w:val="00E06721"/>
    <w:rsid w:val="00E10A9E"/>
    <w:rsid w:val="00E1385E"/>
    <w:rsid w:val="00E13AC5"/>
    <w:rsid w:val="00E141D4"/>
    <w:rsid w:val="00E166BC"/>
    <w:rsid w:val="00E17727"/>
    <w:rsid w:val="00E20612"/>
    <w:rsid w:val="00E2113C"/>
    <w:rsid w:val="00E23E7F"/>
    <w:rsid w:val="00E24FF1"/>
    <w:rsid w:val="00E263FA"/>
    <w:rsid w:val="00E26630"/>
    <w:rsid w:val="00E2664D"/>
    <w:rsid w:val="00E26D2E"/>
    <w:rsid w:val="00E306FC"/>
    <w:rsid w:val="00E32CE2"/>
    <w:rsid w:val="00E33A5B"/>
    <w:rsid w:val="00E3460B"/>
    <w:rsid w:val="00E34B5F"/>
    <w:rsid w:val="00E37C2A"/>
    <w:rsid w:val="00E405B4"/>
    <w:rsid w:val="00E40BB6"/>
    <w:rsid w:val="00E40DF4"/>
    <w:rsid w:val="00E4199D"/>
    <w:rsid w:val="00E429A4"/>
    <w:rsid w:val="00E4355C"/>
    <w:rsid w:val="00E44245"/>
    <w:rsid w:val="00E500DA"/>
    <w:rsid w:val="00E532CA"/>
    <w:rsid w:val="00E57733"/>
    <w:rsid w:val="00E57B99"/>
    <w:rsid w:val="00E60E51"/>
    <w:rsid w:val="00E61F9F"/>
    <w:rsid w:val="00E63DA9"/>
    <w:rsid w:val="00E657BE"/>
    <w:rsid w:val="00E659FE"/>
    <w:rsid w:val="00E6726B"/>
    <w:rsid w:val="00E7156B"/>
    <w:rsid w:val="00E71931"/>
    <w:rsid w:val="00E727C8"/>
    <w:rsid w:val="00E73091"/>
    <w:rsid w:val="00E80E0A"/>
    <w:rsid w:val="00E81FDD"/>
    <w:rsid w:val="00E84541"/>
    <w:rsid w:val="00E850BB"/>
    <w:rsid w:val="00E85D19"/>
    <w:rsid w:val="00E91169"/>
    <w:rsid w:val="00E92733"/>
    <w:rsid w:val="00E92C7B"/>
    <w:rsid w:val="00E94BFA"/>
    <w:rsid w:val="00E957FA"/>
    <w:rsid w:val="00E97510"/>
    <w:rsid w:val="00EA07DA"/>
    <w:rsid w:val="00EA0858"/>
    <w:rsid w:val="00EA1F6A"/>
    <w:rsid w:val="00EA30D4"/>
    <w:rsid w:val="00EA4DC1"/>
    <w:rsid w:val="00EA51D3"/>
    <w:rsid w:val="00EA610A"/>
    <w:rsid w:val="00EB6C0E"/>
    <w:rsid w:val="00EB7B75"/>
    <w:rsid w:val="00EB7D52"/>
    <w:rsid w:val="00EC16D5"/>
    <w:rsid w:val="00EC2229"/>
    <w:rsid w:val="00EC27AD"/>
    <w:rsid w:val="00EC2D43"/>
    <w:rsid w:val="00EC3527"/>
    <w:rsid w:val="00EC446F"/>
    <w:rsid w:val="00EC594F"/>
    <w:rsid w:val="00EC63BD"/>
    <w:rsid w:val="00ED23F1"/>
    <w:rsid w:val="00ED2515"/>
    <w:rsid w:val="00ED60D5"/>
    <w:rsid w:val="00EE0219"/>
    <w:rsid w:val="00EE0573"/>
    <w:rsid w:val="00EE146B"/>
    <w:rsid w:val="00EE1529"/>
    <w:rsid w:val="00EE3C72"/>
    <w:rsid w:val="00EE5971"/>
    <w:rsid w:val="00EF0FE1"/>
    <w:rsid w:val="00EF403B"/>
    <w:rsid w:val="00EF6154"/>
    <w:rsid w:val="00EF72EE"/>
    <w:rsid w:val="00EF740A"/>
    <w:rsid w:val="00F00B9D"/>
    <w:rsid w:val="00F01097"/>
    <w:rsid w:val="00F02E71"/>
    <w:rsid w:val="00F054C9"/>
    <w:rsid w:val="00F06783"/>
    <w:rsid w:val="00F06922"/>
    <w:rsid w:val="00F07593"/>
    <w:rsid w:val="00F102A9"/>
    <w:rsid w:val="00F11227"/>
    <w:rsid w:val="00F11D55"/>
    <w:rsid w:val="00F123CC"/>
    <w:rsid w:val="00F1663C"/>
    <w:rsid w:val="00F179E8"/>
    <w:rsid w:val="00F17AB9"/>
    <w:rsid w:val="00F20942"/>
    <w:rsid w:val="00F21A7F"/>
    <w:rsid w:val="00F21F70"/>
    <w:rsid w:val="00F2285F"/>
    <w:rsid w:val="00F2300F"/>
    <w:rsid w:val="00F233D3"/>
    <w:rsid w:val="00F23642"/>
    <w:rsid w:val="00F268A2"/>
    <w:rsid w:val="00F3028D"/>
    <w:rsid w:val="00F31259"/>
    <w:rsid w:val="00F3528C"/>
    <w:rsid w:val="00F36FDD"/>
    <w:rsid w:val="00F417A3"/>
    <w:rsid w:val="00F4433E"/>
    <w:rsid w:val="00F452DA"/>
    <w:rsid w:val="00F465FD"/>
    <w:rsid w:val="00F47E06"/>
    <w:rsid w:val="00F50A19"/>
    <w:rsid w:val="00F51C5C"/>
    <w:rsid w:val="00F528A3"/>
    <w:rsid w:val="00F529D0"/>
    <w:rsid w:val="00F542FE"/>
    <w:rsid w:val="00F55EF5"/>
    <w:rsid w:val="00F56AED"/>
    <w:rsid w:val="00F616CC"/>
    <w:rsid w:val="00F636E4"/>
    <w:rsid w:val="00F63B13"/>
    <w:rsid w:val="00F65D22"/>
    <w:rsid w:val="00F66662"/>
    <w:rsid w:val="00F667F3"/>
    <w:rsid w:val="00F66ADC"/>
    <w:rsid w:val="00F67BF9"/>
    <w:rsid w:val="00F70BBF"/>
    <w:rsid w:val="00F72A38"/>
    <w:rsid w:val="00F731B8"/>
    <w:rsid w:val="00F74CD5"/>
    <w:rsid w:val="00F76C4A"/>
    <w:rsid w:val="00F8275D"/>
    <w:rsid w:val="00F82CA9"/>
    <w:rsid w:val="00F831EE"/>
    <w:rsid w:val="00F84ED1"/>
    <w:rsid w:val="00F87CC3"/>
    <w:rsid w:val="00F924C8"/>
    <w:rsid w:val="00F92BDF"/>
    <w:rsid w:val="00F93B41"/>
    <w:rsid w:val="00F94750"/>
    <w:rsid w:val="00F9786D"/>
    <w:rsid w:val="00FA2F3B"/>
    <w:rsid w:val="00FA352C"/>
    <w:rsid w:val="00FA3592"/>
    <w:rsid w:val="00FA41E8"/>
    <w:rsid w:val="00FA6918"/>
    <w:rsid w:val="00FA6C89"/>
    <w:rsid w:val="00FA7AF2"/>
    <w:rsid w:val="00FA7EC1"/>
    <w:rsid w:val="00FB1852"/>
    <w:rsid w:val="00FB31ED"/>
    <w:rsid w:val="00FB4735"/>
    <w:rsid w:val="00FB595A"/>
    <w:rsid w:val="00FB5D6D"/>
    <w:rsid w:val="00FC0CC8"/>
    <w:rsid w:val="00FC1242"/>
    <w:rsid w:val="00FC1DD3"/>
    <w:rsid w:val="00FC247C"/>
    <w:rsid w:val="00FC2E75"/>
    <w:rsid w:val="00FC2ECE"/>
    <w:rsid w:val="00FC42D7"/>
    <w:rsid w:val="00FC6824"/>
    <w:rsid w:val="00FC7878"/>
    <w:rsid w:val="00FD3B2E"/>
    <w:rsid w:val="00FD3B32"/>
    <w:rsid w:val="00FD5D27"/>
    <w:rsid w:val="00FD5FC4"/>
    <w:rsid w:val="00FE006D"/>
    <w:rsid w:val="00FE09A0"/>
    <w:rsid w:val="00FE0B4C"/>
    <w:rsid w:val="00FE1B43"/>
    <w:rsid w:val="00FE1F94"/>
    <w:rsid w:val="00FE2850"/>
    <w:rsid w:val="00FE439D"/>
    <w:rsid w:val="00FE579B"/>
    <w:rsid w:val="00FE7851"/>
    <w:rsid w:val="00FE7B14"/>
    <w:rsid w:val="00FF087F"/>
    <w:rsid w:val="00FF1A59"/>
    <w:rsid w:val="00FF1A79"/>
    <w:rsid w:val="00FF1BD7"/>
    <w:rsid w:val="00FF3247"/>
    <w:rsid w:val="00FF3CF1"/>
    <w:rsid w:val="00FF403D"/>
    <w:rsid w:val="00FF4566"/>
    <w:rsid w:val="00FF4894"/>
    <w:rsid w:val="00FF48F2"/>
    <w:rsid w:val="00FF57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BDF6D"/>
  <w15:chartTrackingRefBased/>
  <w15:docId w15:val="{4D9B8999-ACA0-4155-9995-4DA965C0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5E33"/>
    <w:pPr>
      <w:jc w:val="both"/>
    </w:pPr>
    <w:rPr>
      <w:rFonts w:ascii="Verdana" w:hAnsi="Verdana"/>
      <w:sz w:val="20"/>
    </w:rPr>
  </w:style>
  <w:style w:type="paragraph" w:styleId="Kop1">
    <w:name w:val="heading 1"/>
    <w:basedOn w:val="Standaard"/>
    <w:next w:val="Standaard"/>
    <w:link w:val="Kop1Char"/>
    <w:uiPriority w:val="9"/>
    <w:qFormat/>
    <w:rsid w:val="00723273"/>
    <w:pPr>
      <w:keepNext/>
      <w:keepLines/>
      <w:spacing w:before="240" w:after="0"/>
      <w:jc w:val="left"/>
      <w:outlineLvl w:val="0"/>
    </w:pPr>
    <w:rPr>
      <w:rFonts w:eastAsiaTheme="majorEastAsia" w:cstheme="majorBidi"/>
      <w:b/>
      <w:sz w:val="22"/>
      <w:szCs w:val="32"/>
    </w:rPr>
  </w:style>
  <w:style w:type="paragraph" w:styleId="Kop2">
    <w:name w:val="heading 2"/>
    <w:basedOn w:val="Standaard"/>
    <w:next w:val="Standaard"/>
    <w:link w:val="Kop2Char"/>
    <w:uiPriority w:val="9"/>
    <w:unhideWhenUsed/>
    <w:qFormat/>
    <w:rsid w:val="000F5E33"/>
    <w:pPr>
      <w:keepNext/>
      <w:keepLines/>
      <w:spacing w:before="40" w:after="0"/>
      <w:jc w:val="left"/>
      <w:outlineLvl w:val="1"/>
    </w:pPr>
    <w:rPr>
      <w:rFonts w:eastAsiaTheme="majorEastAsia" w:cstheme="majorBidi"/>
      <w:b/>
      <w:szCs w:val="26"/>
    </w:rPr>
  </w:style>
  <w:style w:type="paragraph" w:styleId="Kop3">
    <w:name w:val="heading 3"/>
    <w:basedOn w:val="Standaard"/>
    <w:link w:val="Kop3Char"/>
    <w:uiPriority w:val="9"/>
    <w:qFormat/>
    <w:rsid w:val="000F5E33"/>
    <w:pPr>
      <w:spacing w:before="100" w:beforeAutospacing="1" w:after="100" w:afterAutospacing="1" w:line="240" w:lineRule="auto"/>
      <w:outlineLvl w:val="2"/>
    </w:pPr>
    <w:rPr>
      <w:rFonts w:eastAsia="Times New Roman" w:cs="Times New Roman"/>
      <w:b/>
      <w:bCs/>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054C"/>
    <w:pPr>
      <w:ind w:left="720"/>
      <w:contextualSpacing/>
    </w:pPr>
  </w:style>
  <w:style w:type="paragraph" w:styleId="Geenafstand">
    <w:name w:val="No Spacing"/>
    <w:link w:val="GeenafstandChar"/>
    <w:uiPriority w:val="1"/>
    <w:qFormat/>
    <w:rsid w:val="0017054C"/>
    <w:pPr>
      <w:spacing w:after="0" w:line="240" w:lineRule="auto"/>
    </w:pPr>
  </w:style>
  <w:style w:type="character" w:customStyle="1" w:styleId="Kop3Char">
    <w:name w:val="Kop 3 Char"/>
    <w:basedOn w:val="Standaardalinea-lettertype"/>
    <w:link w:val="Kop3"/>
    <w:uiPriority w:val="9"/>
    <w:rsid w:val="000F5E33"/>
    <w:rPr>
      <w:rFonts w:ascii="Verdana" w:eastAsia="Times New Roman" w:hAnsi="Verdana" w:cs="Times New Roman"/>
      <w:b/>
      <w:bCs/>
      <w:sz w:val="20"/>
      <w:szCs w:val="27"/>
      <w:lang w:eastAsia="nl-NL"/>
    </w:rPr>
  </w:style>
  <w:style w:type="character" w:styleId="Nadruk">
    <w:name w:val="Emphasis"/>
    <w:basedOn w:val="Standaardalinea-lettertype"/>
    <w:uiPriority w:val="20"/>
    <w:qFormat/>
    <w:rsid w:val="00283723"/>
    <w:rPr>
      <w:i/>
      <w:iCs/>
    </w:rPr>
  </w:style>
  <w:style w:type="character" w:styleId="Regelnummer">
    <w:name w:val="line number"/>
    <w:basedOn w:val="Standaardalinea-lettertype"/>
    <w:uiPriority w:val="99"/>
    <w:semiHidden/>
    <w:unhideWhenUsed/>
    <w:rsid w:val="00650889"/>
  </w:style>
  <w:style w:type="paragraph" w:styleId="Koptekst">
    <w:name w:val="header"/>
    <w:basedOn w:val="Standaard"/>
    <w:link w:val="KoptekstChar"/>
    <w:uiPriority w:val="99"/>
    <w:unhideWhenUsed/>
    <w:rsid w:val="006B2F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2F6D"/>
  </w:style>
  <w:style w:type="paragraph" w:styleId="Voettekst">
    <w:name w:val="footer"/>
    <w:basedOn w:val="Standaard"/>
    <w:link w:val="VoettekstChar"/>
    <w:uiPriority w:val="99"/>
    <w:unhideWhenUsed/>
    <w:rsid w:val="006B2F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2F6D"/>
  </w:style>
  <w:style w:type="character" w:customStyle="1" w:styleId="Kop1Char">
    <w:name w:val="Kop 1 Char"/>
    <w:basedOn w:val="Standaardalinea-lettertype"/>
    <w:link w:val="Kop1"/>
    <w:uiPriority w:val="9"/>
    <w:rsid w:val="00723273"/>
    <w:rPr>
      <w:rFonts w:ascii="Verdana" w:eastAsiaTheme="majorEastAsia" w:hAnsi="Verdana" w:cstheme="majorBidi"/>
      <w:b/>
      <w:szCs w:val="32"/>
    </w:rPr>
  </w:style>
  <w:style w:type="character" w:customStyle="1" w:styleId="Kop2Char">
    <w:name w:val="Kop 2 Char"/>
    <w:basedOn w:val="Standaardalinea-lettertype"/>
    <w:link w:val="Kop2"/>
    <w:uiPriority w:val="9"/>
    <w:rsid w:val="000F5E33"/>
    <w:rPr>
      <w:rFonts w:ascii="Verdana" w:eastAsiaTheme="majorEastAsia" w:hAnsi="Verdana" w:cstheme="majorBidi"/>
      <w:b/>
      <w:sz w:val="20"/>
      <w:szCs w:val="26"/>
    </w:rPr>
  </w:style>
  <w:style w:type="paragraph" w:styleId="Kopvaninhoudsopgave">
    <w:name w:val="TOC Heading"/>
    <w:basedOn w:val="Kop1"/>
    <w:next w:val="Standaard"/>
    <w:uiPriority w:val="39"/>
    <w:unhideWhenUsed/>
    <w:qFormat/>
    <w:rsid w:val="001666FB"/>
    <w:pPr>
      <w:outlineLvl w:val="9"/>
    </w:pPr>
    <w:rPr>
      <w:lang w:eastAsia="nl-NL"/>
    </w:rPr>
  </w:style>
  <w:style w:type="paragraph" w:styleId="Inhopg1">
    <w:name w:val="toc 1"/>
    <w:basedOn w:val="Standaard"/>
    <w:next w:val="Standaard"/>
    <w:autoRedefine/>
    <w:uiPriority w:val="39"/>
    <w:unhideWhenUsed/>
    <w:rsid w:val="0082357C"/>
    <w:pPr>
      <w:tabs>
        <w:tab w:val="left" w:pos="660"/>
        <w:tab w:val="right" w:leader="dot" w:pos="9062"/>
      </w:tabs>
      <w:spacing w:after="100"/>
    </w:pPr>
    <w:rPr>
      <w:b/>
      <w:noProof/>
      <w:szCs w:val="20"/>
    </w:rPr>
  </w:style>
  <w:style w:type="paragraph" w:styleId="Inhopg2">
    <w:name w:val="toc 2"/>
    <w:basedOn w:val="Standaard"/>
    <w:next w:val="Standaard"/>
    <w:autoRedefine/>
    <w:uiPriority w:val="39"/>
    <w:unhideWhenUsed/>
    <w:rsid w:val="00CF503A"/>
    <w:pPr>
      <w:tabs>
        <w:tab w:val="left" w:pos="1100"/>
        <w:tab w:val="right" w:leader="dot" w:pos="9062"/>
      </w:tabs>
      <w:spacing w:after="100"/>
      <w:ind w:left="220"/>
    </w:pPr>
  </w:style>
  <w:style w:type="character" w:styleId="Hyperlink">
    <w:name w:val="Hyperlink"/>
    <w:basedOn w:val="Standaardalinea-lettertype"/>
    <w:uiPriority w:val="99"/>
    <w:unhideWhenUsed/>
    <w:rsid w:val="001666FB"/>
    <w:rPr>
      <w:color w:val="0563C1" w:themeColor="hyperlink"/>
      <w:u w:val="single"/>
    </w:rPr>
  </w:style>
  <w:style w:type="paragraph" w:styleId="Inhopg3">
    <w:name w:val="toc 3"/>
    <w:basedOn w:val="Standaard"/>
    <w:next w:val="Standaard"/>
    <w:autoRedefine/>
    <w:uiPriority w:val="39"/>
    <w:unhideWhenUsed/>
    <w:rsid w:val="003D0730"/>
    <w:pPr>
      <w:tabs>
        <w:tab w:val="right" w:leader="dot" w:pos="9062"/>
      </w:tabs>
      <w:spacing w:after="100"/>
      <w:ind w:left="284"/>
    </w:pPr>
    <w:rPr>
      <w:rFonts w:eastAsiaTheme="minorEastAsia" w:cs="Times New Roman"/>
      <w:lang w:eastAsia="nl-NL"/>
    </w:rPr>
  </w:style>
  <w:style w:type="paragraph" w:styleId="Voetnoottekst">
    <w:name w:val="footnote text"/>
    <w:basedOn w:val="Standaard"/>
    <w:link w:val="VoetnoottekstChar"/>
    <w:uiPriority w:val="99"/>
    <w:unhideWhenUsed/>
    <w:rsid w:val="00B078D1"/>
    <w:pPr>
      <w:spacing w:after="0" w:line="240" w:lineRule="auto"/>
    </w:pPr>
    <w:rPr>
      <w:szCs w:val="20"/>
    </w:rPr>
  </w:style>
  <w:style w:type="character" w:customStyle="1" w:styleId="VoetnoottekstChar">
    <w:name w:val="Voetnoottekst Char"/>
    <w:basedOn w:val="Standaardalinea-lettertype"/>
    <w:link w:val="Voetnoottekst"/>
    <w:uiPriority w:val="99"/>
    <w:rsid w:val="00B078D1"/>
    <w:rPr>
      <w:sz w:val="20"/>
      <w:szCs w:val="20"/>
    </w:rPr>
  </w:style>
  <w:style w:type="character" w:styleId="Voetnootmarkering">
    <w:name w:val="footnote reference"/>
    <w:basedOn w:val="Standaardalinea-lettertype"/>
    <w:uiPriority w:val="99"/>
    <w:semiHidden/>
    <w:unhideWhenUsed/>
    <w:rsid w:val="00B078D1"/>
    <w:rPr>
      <w:vertAlign w:val="superscript"/>
    </w:rPr>
  </w:style>
  <w:style w:type="table" w:styleId="Tabelraster">
    <w:name w:val="Table Grid"/>
    <w:basedOn w:val="Standaardtabel"/>
    <w:uiPriority w:val="39"/>
    <w:rsid w:val="0066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660419"/>
    <w:pPr>
      <w:spacing w:after="200" w:line="240" w:lineRule="auto"/>
    </w:pPr>
    <w:rPr>
      <w:i/>
      <w:iCs/>
      <w:color w:val="44546A" w:themeColor="text2"/>
      <w:sz w:val="18"/>
      <w:szCs w:val="18"/>
    </w:rPr>
  </w:style>
  <w:style w:type="paragraph" w:styleId="Normaalweb">
    <w:name w:val="Normal (Web)"/>
    <w:basedOn w:val="Standaard"/>
    <w:uiPriority w:val="99"/>
    <w:semiHidden/>
    <w:unhideWhenUsed/>
    <w:rsid w:val="00C8505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235F10"/>
    <w:rPr>
      <w:sz w:val="16"/>
      <w:szCs w:val="16"/>
    </w:rPr>
  </w:style>
  <w:style w:type="paragraph" w:styleId="Tekstopmerking">
    <w:name w:val="annotation text"/>
    <w:basedOn w:val="Standaard"/>
    <w:link w:val="TekstopmerkingChar"/>
    <w:uiPriority w:val="99"/>
    <w:semiHidden/>
    <w:unhideWhenUsed/>
    <w:rsid w:val="00235F10"/>
    <w:pPr>
      <w:spacing w:line="240" w:lineRule="auto"/>
    </w:pPr>
    <w:rPr>
      <w:szCs w:val="20"/>
    </w:rPr>
  </w:style>
  <w:style w:type="character" w:customStyle="1" w:styleId="TekstopmerkingChar">
    <w:name w:val="Tekst opmerking Char"/>
    <w:basedOn w:val="Standaardalinea-lettertype"/>
    <w:link w:val="Tekstopmerking"/>
    <w:uiPriority w:val="99"/>
    <w:semiHidden/>
    <w:rsid w:val="00235F10"/>
    <w:rPr>
      <w:sz w:val="20"/>
      <w:szCs w:val="20"/>
    </w:rPr>
  </w:style>
  <w:style w:type="paragraph" w:styleId="Onderwerpvanopmerking">
    <w:name w:val="annotation subject"/>
    <w:basedOn w:val="Tekstopmerking"/>
    <w:next w:val="Tekstopmerking"/>
    <w:link w:val="OnderwerpvanopmerkingChar"/>
    <w:uiPriority w:val="99"/>
    <w:semiHidden/>
    <w:unhideWhenUsed/>
    <w:rsid w:val="00235F10"/>
    <w:rPr>
      <w:b/>
      <w:bCs/>
    </w:rPr>
  </w:style>
  <w:style w:type="character" w:customStyle="1" w:styleId="OnderwerpvanopmerkingChar">
    <w:name w:val="Onderwerp van opmerking Char"/>
    <w:basedOn w:val="TekstopmerkingChar"/>
    <w:link w:val="Onderwerpvanopmerking"/>
    <w:uiPriority w:val="99"/>
    <w:semiHidden/>
    <w:rsid w:val="00235F10"/>
    <w:rPr>
      <w:b/>
      <w:bCs/>
      <w:sz w:val="20"/>
      <w:szCs w:val="20"/>
    </w:rPr>
  </w:style>
  <w:style w:type="character" w:customStyle="1" w:styleId="Onopgelostemelding1">
    <w:name w:val="Onopgeloste melding1"/>
    <w:basedOn w:val="Standaardalinea-lettertype"/>
    <w:uiPriority w:val="99"/>
    <w:semiHidden/>
    <w:unhideWhenUsed/>
    <w:rsid w:val="00B22D9E"/>
    <w:rPr>
      <w:color w:val="605E5C"/>
      <w:shd w:val="clear" w:color="auto" w:fill="E1DFDD"/>
    </w:rPr>
  </w:style>
  <w:style w:type="character" w:customStyle="1" w:styleId="atomhl">
    <w:name w:val="atomhl"/>
    <w:basedOn w:val="Standaardalinea-lettertype"/>
    <w:rsid w:val="0013358D"/>
  </w:style>
  <w:style w:type="paragraph" w:customStyle="1" w:styleId="ng-scope">
    <w:name w:val="ng-scope"/>
    <w:basedOn w:val="Standaard"/>
    <w:rsid w:val="001335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ab-label">
    <w:name w:val="tab-label"/>
    <w:basedOn w:val="Standaardalinea-lettertype"/>
    <w:rsid w:val="0013358D"/>
  </w:style>
  <w:style w:type="character" w:customStyle="1" w:styleId="counter">
    <w:name w:val="counter"/>
    <w:basedOn w:val="Standaardalinea-lettertype"/>
    <w:rsid w:val="0013358D"/>
  </w:style>
  <w:style w:type="paragraph" w:customStyle="1" w:styleId="help">
    <w:name w:val="help"/>
    <w:basedOn w:val="Standaard"/>
    <w:rsid w:val="001335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knlgeenverwijzing">
    <w:name w:val="wknl_geenverwijzing"/>
    <w:basedOn w:val="Standaardalinea-lettertype"/>
    <w:rsid w:val="00C86368"/>
  </w:style>
  <w:style w:type="character" w:customStyle="1" w:styleId="xcategory-name">
    <w:name w:val="x_category-name"/>
    <w:basedOn w:val="Standaardalinea-lettertype"/>
    <w:rsid w:val="008752AF"/>
  </w:style>
  <w:style w:type="character" w:styleId="GevolgdeHyperlink">
    <w:name w:val="FollowedHyperlink"/>
    <w:basedOn w:val="Standaardalinea-lettertype"/>
    <w:uiPriority w:val="99"/>
    <w:semiHidden/>
    <w:unhideWhenUsed/>
    <w:rsid w:val="00D768E0"/>
    <w:rPr>
      <w:color w:val="954F72" w:themeColor="followedHyperlink"/>
      <w:u w:val="single"/>
    </w:rPr>
  </w:style>
  <w:style w:type="character" w:customStyle="1" w:styleId="Onopgelostemelding2">
    <w:name w:val="Onopgeloste melding2"/>
    <w:basedOn w:val="Standaardalinea-lettertype"/>
    <w:uiPriority w:val="99"/>
    <w:semiHidden/>
    <w:unhideWhenUsed/>
    <w:rsid w:val="00460A0B"/>
    <w:rPr>
      <w:color w:val="605E5C"/>
      <w:shd w:val="clear" w:color="auto" w:fill="E1DFDD"/>
    </w:rPr>
  </w:style>
  <w:style w:type="paragraph" w:customStyle="1" w:styleId="commentcontentpara">
    <w:name w:val="commentcontentpara"/>
    <w:basedOn w:val="Standaard"/>
    <w:rsid w:val="006A5F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eenafstandChar">
    <w:name w:val="Geen afstand Char"/>
    <w:basedOn w:val="Standaardalinea-lettertype"/>
    <w:link w:val="Geenafstand"/>
    <w:uiPriority w:val="1"/>
    <w:rsid w:val="00BB6189"/>
  </w:style>
  <w:style w:type="character" w:styleId="Zwaar">
    <w:name w:val="Strong"/>
    <w:basedOn w:val="Standaardalinea-lettertype"/>
    <w:uiPriority w:val="22"/>
    <w:qFormat/>
    <w:rsid w:val="004D36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61822">
      <w:bodyDiv w:val="1"/>
      <w:marLeft w:val="0"/>
      <w:marRight w:val="0"/>
      <w:marTop w:val="0"/>
      <w:marBottom w:val="0"/>
      <w:divBdr>
        <w:top w:val="none" w:sz="0" w:space="0" w:color="auto"/>
        <w:left w:val="none" w:sz="0" w:space="0" w:color="auto"/>
        <w:bottom w:val="none" w:sz="0" w:space="0" w:color="auto"/>
        <w:right w:val="none" w:sz="0" w:space="0" w:color="auto"/>
      </w:divBdr>
    </w:div>
    <w:div w:id="305010915">
      <w:bodyDiv w:val="1"/>
      <w:marLeft w:val="0"/>
      <w:marRight w:val="0"/>
      <w:marTop w:val="0"/>
      <w:marBottom w:val="0"/>
      <w:divBdr>
        <w:top w:val="none" w:sz="0" w:space="0" w:color="auto"/>
        <w:left w:val="none" w:sz="0" w:space="0" w:color="auto"/>
        <w:bottom w:val="none" w:sz="0" w:space="0" w:color="auto"/>
        <w:right w:val="none" w:sz="0" w:space="0" w:color="auto"/>
      </w:divBdr>
      <w:divsChild>
        <w:div w:id="984285369">
          <w:marLeft w:val="0"/>
          <w:marRight w:val="0"/>
          <w:marTop w:val="0"/>
          <w:marBottom w:val="0"/>
          <w:divBdr>
            <w:top w:val="none" w:sz="0" w:space="0" w:color="auto"/>
            <w:left w:val="none" w:sz="0" w:space="0" w:color="auto"/>
            <w:bottom w:val="none" w:sz="0" w:space="0" w:color="auto"/>
            <w:right w:val="none" w:sz="0" w:space="0" w:color="auto"/>
          </w:divBdr>
        </w:div>
        <w:div w:id="1124543870">
          <w:marLeft w:val="0"/>
          <w:marRight w:val="0"/>
          <w:marTop w:val="0"/>
          <w:marBottom w:val="0"/>
          <w:divBdr>
            <w:top w:val="none" w:sz="0" w:space="0" w:color="auto"/>
            <w:left w:val="none" w:sz="0" w:space="0" w:color="auto"/>
            <w:bottom w:val="none" w:sz="0" w:space="0" w:color="auto"/>
            <w:right w:val="none" w:sz="0" w:space="0" w:color="auto"/>
          </w:divBdr>
        </w:div>
        <w:div w:id="665523312">
          <w:marLeft w:val="0"/>
          <w:marRight w:val="0"/>
          <w:marTop w:val="0"/>
          <w:marBottom w:val="0"/>
          <w:divBdr>
            <w:top w:val="none" w:sz="0" w:space="0" w:color="auto"/>
            <w:left w:val="none" w:sz="0" w:space="0" w:color="auto"/>
            <w:bottom w:val="none" w:sz="0" w:space="0" w:color="auto"/>
            <w:right w:val="none" w:sz="0" w:space="0" w:color="auto"/>
          </w:divBdr>
        </w:div>
      </w:divsChild>
    </w:div>
    <w:div w:id="462621772">
      <w:bodyDiv w:val="1"/>
      <w:marLeft w:val="0"/>
      <w:marRight w:val="0"/>
      <w:marTop w:val="0"/>
      <w:marBottom w:val="0"/>
      <w:divBdr>
        <w:top w:val="none" w:sz="0" w:space="0" w:color="auto"/>
        <w:left w:val="none" w:sz="0" w:space="0" w:color="auto"/>
        <w:bottom w:val="none" w:sz="0" w:space="0" w:color="auto"/>
        <w:right w:val="none" w:sz="0" w:space="0" w:color="auto"/>
      </w:divBdr>
    </w:div>
    <w:div w:id="618486632">
      <w:bodyDiv w:val="1"/>
      <w:marLeft w:val="0"/>
      <w:marRight w:val="0"/>
      <w:marTop w:val="0"/>
      <w:marBottom w:val="0"/>
      <w:divBdr>
        <w:top w:val="none" w:sz="0" w:space="0" w:color="auto"/>
        <w:left w:val="none" w:sz="0" w:space="0" w:color="auto"/>
        <w:bottom w:val="none" w:sz="0" w:space="0" w:color="auto"/>
        <w:right w:val="none" w:sz="0" w:space="0" w:color="auto"/>
      </w:divBdr>
    </w:div>
    <w:div w:id="637496584">
      <w:bodyDiv w:val="1"/>
      <w:marLeft w:val="0"/>
      <w:marRight w:val="0"/>
      <w:marTop w:val="0"/>
      <w:marBottom w:val="0"/>
      <w:divBdr>
        <w:top w:val="none" w:sz="0" w:space="0" w:color="auto"/>
        <w:left w:val="none" w:sz="0" w:space="0" w:color="auto"/>
        <w:bottom w:val="none" w:sz="0" w:space="0" w:color="auto"/>
        <w:right w:val="none" w:sz="0" w:space="0" w:color="auto"/>
      </w:divBdr>
      <w:divsChild>
        <w:div w:id="212621516">
          <w:marLeft w:val="0"/>
          <w:marRight w:val="0"/>
          <w:marTop w:val="0"/>
          <w:marBottom w:val="0"/>
          <w:divBdr>
            <w:top w:val="none" w:sz="0" w:space="0" w:color="auto"/>
            <w:left w:val="none" w:sz="0" w:space="0" w:color="auto"/>
            <w:bottom w:val="none" w:sz="0" w:space="0" w:color="auto"/>
            <w:right w:val="none" w:sz="0" w:space="0" w:color="auto"/>
          </w:divBdr>
        </w:div>
      </w:divsChild>
    </w:div>
    <w:div w:id="638534500">
      <w:bodyDiv w:val="1"/>
      <w:marLeft w:val="0"/>
      <w:marRight w:val="0"/>
      <w:marTop w:val="0"/>
      <w:marBottom w:val="0"/>
      <w:divBdr>
        <w:top w:val="none" w:sz="0" w:space="0" w:color="auto"/>
        <w:left w:val="none" w:sz="0" w:space="0" w:color="auto"/>
        <w:bottom w:val="none" w:sz="0" w:space="0" w:color="auto"/>
        <w:right w:val="none" w:sz="0" w:space="0" w:color="auto"/>
      </w:divBdr>
      <w:divsChild>
        <w:div w:id="770902492">
          <w:marLeft w:val="0"/>
          <w:marRight w:val="0"/>
          <w:marTop w:val="0"/>
          <w:marBottom w:val="0"/>
          <w:divBdr>
            <w:top w:val="none" w:sz="0" w:space="0" w:color="auto"/>
            <w:left w:val="none" w:sz="0" w:space="0" w:color="auto"/>
            <w:bottom w:val="none" w:sz="0" w:space="0" w:color="auto"/>
            <w:right w:val="none" w:sz="0" w:space="0" w:color="auto"/>
          </w:divBdr>
        </w:div>
      </w:divsChild>
    </w:div>
    <w:div w:id="643122666">
      <w:bodyDiv w:val="1"/>
      <w:marLeft w:val="0"/>
      <w:marRight w:val="0"/>
      <w:marTop w:val="0"/>
      <w:marBottom w:val="0"/>
      <w:divBdr>
        <w:top w:val="none" w:sz="0" w:space="0" w:color="auto"/>
        <w:left w:val="none" w:sz="0" w:space="0" w:color="auto"/>
        <w:bottom w:val="none" w:sz="0" w:space="0" w:color="auto"/>
        <w:right w:val="none" w:sz="0" w:space="0" w:color="auto"/>
      </w:divBdr>
    </w:div>
    <w:div w:id="823283231">
      <w:bodyDiv w:val="1"/>
      <w:marLeft w:val="0"/>
      <w:marRight w:val="0"/>
      <w:marTop w:val="0"/>
      <w:marBottom w:val="0"/>
      <w:divBdr>
        <w:top w:val="none" w:sz="0" w:space="0" w:color="auto"/>
        <w:left w:val="none" w:sz="0" w:space="0" w:color="auto"/>
        <w:bottom w:val="none" w:sz="0" w:space="0" w:color="auto"/>
        <w:right w:val="none" w:sz="0" w:space="0" w:color="auto"/>
      </w:divBdr>
    </w:div>
    <w:div w:id="922372517">
      <w:bodyDiv w:val="1"/>
      <w:marLeft w:val="0"/>
      <w:marRight w:val="0"/>
      <w:marTop w:val="0"/>
      <w:marBottom w:val="0"/>
      <w:divBdr>
        <w:top w:val="none" w:sz="0" w:space="0" w:color="auto"/>
        <w:left w:val="none" w:sz="0" w:space="0" w:color="auto"/>
        <w:bottom w:val="none" w:sz="0" w:space="0" w:color="auto"/>
        <w:right w:val="none" w:sz="0" w:space="0" w:color="auto"/>
      </w:divBdr>
    </w:div>
    <w:div w:id="1154953305">
      <w:bodyDiv w:val="1"/>
      <w:marLeft w:val="0"/>
      <w:marRight w:val="0"/>
      <w:marTop w:val="0"/>
      <w:marBottom w:val="0"/>
      <w:divBdr>
        <w:top w:val="none" w:sz="0" w:space="0" w:color="auto"/>
        <w:left w:val="none" w:sz="0" w:space="0" w:color="auto"/>
        <w:bottom w:val="none" w:sz="0" w:space="0" w:color="auto"/>
        <w:right w:val="none" w:sz="0" w:space="0" w:color="auto"/>
      </w:divBdr>
      <w:divsChild>
        <w:div w:id="611015252">
          <w:marLeft w:val="0"/>
          <w:marRight w:val="0"/>
          <w:marTop w:val="0"/>
          <w:marBottom w:val="0"/>
          <w:divBdr>
            <w:top w:val="none" w:sz="0" w:space="0" w:color="auto"/>
            <w:left w:val="none" w:sz="0" w:space="0" w:color="auto"/>
            <w:bottom w:val="none" w:sz="0" w:space="0" w:color="auto"/>
            <w:right w:val="none" w:sz="0" w:space="0" w:color="auto"/>
          </w:divBdr>
          <w:divsChild>
            <w:div w:id="1909877485">
              <w:marLeft w:val="150"/>
              <w:marRight w:val="150"/>
              <w:marTop w:val="0"/>
              <w:marBottom w:val="0"/>
              <w:divBdr>
                <w:top w:val="none" w:sz="0" w:space="0" w:color="auto"/>
                <w:left w:val="none" w:sz="0" w:space="0" w:color="auto"/>
                <w:bottom w:val="none" w:sz="0" w:space="0" w:color="auto"/>
                <w:right w:val="none" w:sz="0" w:space="0" w:color="auto"/>
              </w:divBdr>
            </w:div>
          </w:divsChild>
        </w:div>
        <w:div w:id="1015378847">
          <w:marLeft w:val="0"/>
          <w:marRight w:val="0"/>
          <w:marTop w:val="0"/>
          <w:marBottom w:val="0"/>
          <w:divBdr>
            <w:top w:val="none" w:sz="0" w:space="0" w:color="auto"/>
            <w:left w:val="none" w:sz="0" w:space="0" w:color="auto"/>
            <w:bottom w:val="none" w:sz="0" w:space="0" w:color="auto"/>
            <w:right w:val="none" w:sz="0" w:space="0" w:color="auto"/>
          </w:divBdr>
          <w:divsChild>
            <w:div w:id="1610623317">
              <w:marLeft w:val="150"/>
              <w:marRight w:val="150"/>
              <w:marTop w:val="0"/>
              <w:marBottom w:val="0"/>
              <w:divBdr>
                <w:top w:val="none" w:sz="0" w:space="0" w:color="auto"/>
                <w:left w:val="none" w:sz="0" w:space="0" w:color="auto"/>
                <w:bottom w:val="none" w:sz="0" w:space="0" w:color="auto"/>
                <w:right w:val="none" w:sz="0" w:space="0" w:color="auto"/>
              </w:divBdr>
            </w:div>
          </w:divsChild>
        </w:div>
        <w:div w:id="1497912876">
          <w:marLeft w:val="0"/>
          <w:marRight w:val="0"/>
          <w:marTop w:val="0"/>
          <w:marBottom w:val="0"/>
          <w:divBdr>
            <w:top w:val="none" w:sz="0" w:space="0" w:color="auto"/>
            <w:left w:val="none" w:sz="0" w:space="0" w:color="auto"/>
            <w:bottom w:val="none" w:sz="0" w:space="0" w:color="auto"/>
            <w:right w:val="none" w:sz="0" w:space="0" w:color="auto"/>
          </w:divBdr>
          <w:divsChild>
            <w:div w:id="1453817463">
              <w:marLeft w:val="150"/>
              <w:marRight w:val="150"/>
              <w:marTop w:val="0"/>
              <w:marBottom w:val="0"/>
              <w:divBdr>
                <w:top w:val="none" w:sz="0" w:space="0" w:color="auto"/>
                <w:left w:val="none" w:sz="0" w:space="0" w:color="auto"/>
                <w:bottom w:val="none" w:sz="0" w:space="0" w:color="auto"/>
                <w:right w:val="none" w:sz="0" w:space="0" w:color="auto"/>
              </w:divBdr>
            </w:div>
          </w:divsChild>
        </w:div>
        <w:div w:id="152109240">
          <w:marLeft w:val="0"/>
          <w:marRight w:val="0"/>
          <w:marTop w:val="0"/>
          <w:marBottom w:val="0"/>
          <w:divBdr>
            <w:top w:val="none" w:sz="0" w:space="0" w:color="auto"/>
            <w:left w:val="none" w:sz="0" w:space="0" w:color="auto"/>
            <w:bottom w:val="none" w:sz="0" w:space="0" w:color="auto"/>
            <w:right w:val="none" w:sz="0" w:space="0" w:color="auto"/>
          </w:divBdr>
          <w:divsChild>
            <w:div w:id="1936402558">
              <w:marLeft w:val="150"/>
              <w:marRight w:val="150"/>
              <w:marTop w:val="0"/>
              <w:marBottom w:val="0"/>
              <w:divBdr>
                <w:top w:val="none" w:sz="0" w:space="0" w:color="auto"/>
                <w:left w:val="none" w:sz="0" w:space="0" w:color="auto"/>
                <w:bottom w:val="none" w:sz="0" w:space="0" w:color="auto"/>
                <w:right w:val="none" w:sz="0" w:space="0" w:color="auto"/>
              </w:divBdr>
            </w:div>
          </w:divsChild>
        </w:div>
        <w:div w:id="367098727">
          <w:marLeft w:val="0"/>
          <w:marRight w:val="0"/>
          <w:marTop w:val="0"/>
          <w:marBottom w:val="0"/>
          <w:divBdr>
            <w:top w:val="none" w:sz="0" w:space="0" w:color="auto"/>
            <w:left w:val="none" w:sz="0" w:space="0" w:color="auto"/>
            <w:bottom w:val="none" w:sz="0" w:space="0" w:color="auto"/>
            <w:right w:val="none" w:sz="0" w:space="0" w:color="auto"/>
          </w:divBdr>
          <w:divsChild>
            <w:div w:id="13290920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92767369">
      <w:bodyDiv w:val="1"/>
      <w:marLeft w:val="0"/>
      <w:marRight w:val="0"/>
      <w:marTop w:val="0"/>
      <w:marBottom w:val="0"/>
      <w:divBdr>
        <w:top w:val="none" w:sz="0" w:space="0" w:color="auto"/>
        <w:left w:val="none" w:sz="0" w:space="0" w:color="auto"/>
        <w:bottom w:val="none" w:sz="0" w:space="0" w:color="auto"/>
        <w:right w:val="none" w:sz="0" w:space="0" w:color="auto"/>
      </w:divBdr>
    </w:div>
    <w:div w:id="1214195323">
      <w:bodyDiv w:val="1"/>
      <w:marLeft w:val="0"/>
      <w:marRight w:val="0"/>
      <w:marTop w:val="0"/>
      <w:marBottom w:val="0"/>
      <w:divBdr>
        <w:top w:val="none" w:sz="0" w:space="0" w:color="auto"/>
        <w:left w:val="none" w:sz="0" w:space="0" w:color="auto"/>
        <w:bottom w:val="none" w:sz="0" w:space="0" w:color="auto"/>
        <w:right w:val="none" w:sz="0" w:space="0" w:color="auto"/>
      </w:divBdr>
      <w:divsChild>
        <w:div w:id="1524443602">
          <w:marLeft w:val="0"/>
          <w:marRight w:val="0"/>
          <w:marTop w:val="0"/>
          <w:marBottom w:val="0"/>
          <w:divBdr>
            <w:top w:val="none" w:sz="0" w:space="0" w:color="auto"/>
            <w:left w:val="none" w:sz="0" w:space="0" w:color="auto"/>
            <w:bottom w:val="none" w:sz="0" w:space="0" w:color="auto"/>
            <w:right w:val="none" w:sz="0" w:space="0" w:color="auto"/>
          </w:divBdr>
        </w:div>
        <w:div w:id="888103498">
          <w:marLeft w:val="0"/>
          <w:marRight w:val="0"/>
          <w:marTop w:val="60"/>
          <w:marBottom w:val="120"/>
          <w:divBdr>
            <w:top w:val="single" w:sz="6" w:space="6" w:color="ECF8FF"/>
            <w:left w:val="single" w:sz="6" w:space="12" w:color="ECF8FF"/>
            <w:bottom w:val="single" w:sz="6" w:space="6" w:color="ECF8FF"/>
            <w:right w:val="single" w:sz="6" w:space="12" w:color="ECF8FF"/>
          </w:divBdr>
        </w:div>
        <w:div w:id="1793671302">
          <w:marLeft w:val="0"/>
          <w:marRight w:val="0"/>
          <w:marTop w:val="0"/>
          <w:marBottom w:val="120"/>
          <w:divBdr>
            <w:top w:val="single" w:sz="6" w:space="0" w:color="ECF8FF"/>
            <w:left w:val="single" w:sz="6" w:space="12" w:color="ECF8FF"/>
            <w:bottom w:val="single" w:sz="6" w:space="0" w:color="ECF8FF"/>
            <w:right w:val="single" w:sz="6" w:space="12" w:color="ECF8FF"/>
          </w:divBdr>
          <w:divsChild>
            <w:div w:id="129058453">
              <w:marLeft w:val="0"/>
              <w:marRight w:val="0"/>
              <w:marTop w:val="0"/>
              <w:marBottom w:val="0"/>
              <w:divBdr>
                <w:top w:val="none" w:sz="0" w:space="0" w:color="auto"/>
                <w:left w:val="none" w:sz="0" w:space="0" w:color="auto"/>
                <w:bottom w:val="none" w:sz="0" w:space="0" w:color="auto"/>
                <w:right w:val="none" w:sz="0" w:space="0" w:color="auto"/>
              </w:divBdr>
              <w:divsChild>
                <w:div w:id="816185501">
                  <w:marLeft w:val="0"/>
                  <w:marRight w:val="0"/>
                  <w:marTop w:val="0"/>
                  <w:marBottom w:val="0"/>
                  <w:divBdr>
                    <w:top w:val="none" w:sz="0" w:space="0" w:color="auto"/>
                    <w:left w:val="none" w:sz="0" w:space="0" w:color="auto"/>
                    <w:bottom w:val="none" w:sz="0" w:space="0" w:color="auto"/>
                    <w:right w:val="none" w:sz="0" w:space="0" w:color="auto"/>
                  </w:divBdr>
                  <w:divsChild>
                    <w:div w:id="3655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01173">
          <w:marLeft w:val="0"/>
          <w:marRight w:val="0"/>
          <w:marTop w:val="0"/>
          <w:marBottom w:val="0"/>
          <w:divBdr>
            <w:top w:val="none" w:sz="0" w:space="0" w:color="auto"/>
            <w:left w:val="none" w:sz="0" w:space="0" w:color="auto"/>
            <w:bottom w:val="none" w:sz="0" w:space="0" w:color="auto"/>
            <w:right w:val="none" w:sz="0" w:space="0" w:color="auto"/>
          </w:divBdr>
          <w:divsChild>
            <w:div w:id="444662994">
              <w:marLeft w:val="0"/>
              <w:marRight w:val="0"/>
              <w:marTop w:val="0"/>
              <w:marBottom w:val="0"/>
              <w:divBdr>
                <w:top w:val="none" w:sz="0" w:space="0" w:color="auto"/>
                <w:left w:val="none" w:sz="0" w:space="0" w:color="auto"/>
                <w:bottom w:val="none" w:sz="0" w:space="0" w:color="auto"/>
                <w:right w:val="none" w:sz="0" w:space="0" w:color="auto"/>
              </w:divBdr>
              <w:divsChild>
                <w:div w:id="2117866795">
                  <w:marLeft w:val="0"/>
                  <w:marRight w:val="0"/>
                  <w:marTop w:val="0"/>
                  <w:marBottom w:val="0"/>
                  <w:divBdr>
                    <w:top w:val="none" w:sz="0" w:space="0" w:color="auto"/>
                    <w:left w:val="none" w:sz="0" w:space="0" w:color="auto"/>
                    <w:bottom w:val="none" w:sz="0" w:space="0" w:color="auto"/>
                    <w:right w:val="none" w:sz="0" w:space="0" w:color="auto"/>
                  </w:divBdr>
                  <w:divsChild>
                    <w:div w:id="1857501608">
                      <w:marLeft w:val="0"/>
                      <w:marRight w:val="0"/>
                      <w:marTop w:val="0"/>
                      <w:marBottom w:val="0"/>
                      <w:divBdr>
                        <w:top w:val="none" w:sz="0" w:space="0" w:color="auto"/>
                        <w:left w:val="none" w:sz="0" w:space="0" w:color="auto"/>
                        <w:bottom w:val="none" w:sz="0" w:space="0" w:color="auto"/>
                        <w:right w:val="none" w:sz="0" w:space="0" w:color="auto"/>
                      </w:divBdr>
                      <w:divsChild>
                        <w:div w:id="16298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762224">
      <w:bodyDiv w:val="1"/>
      <w:marLeft w:val="0"/>
      <w:marRight w:val="0"/>
      <w:marTop w:val="0"/>
      <w:marBottom w:val="0"/>
      <w:divBdr>
        <w:top w:val="none" w:sz="0" w:space="0" w:color="auto"/>
        <w:left w:val="none" w:sz="0" w:space="0" w:color="auto"/>
        <w:bottom w:val="none" w:sz="0" w:space="0" w:color="auto"/>
        <w:right w:val="none" w:sz="0" w:space="0" w:color="auto"/>
      </w:divBdr>
    </w:div>
    <w:div w:id="1530218941">
      <w:bodyDiv w:val="1"/>
      <w:marLeft w:val="0"/>
      <w:marRight w:val="0"/>
      <w:marTop w:val="0"/>
      <w:marBottom w:val="0"/>
      <w:divBdr>
        <w:top w:val="none" w:sz="0" w:space="0" w:color="auto"/>
        <w:left w:val="none" w:sz="0" w:space="0" w:color="auto"/>
        <w:bottom w:val="none" w:sz="0" w:space="0" w:color="auto"/>
        <w:right w:val="none" w:sz="0" w:space="0" w:color="auto"/>
      </w:divBdr>
    </w:div>
    <w:div w:id="1592933852">
      <w:bodyDiv w:val="1"/>
      <w:marLeft w:val="0"/>
      <w:marRight w:val="0"/>
      <w:marTop w:val="0"/>
      <w:marBottom w:val="0"/>
      <w:divBdr>
        <w:top w:val="none" w:sz="0" w:space="0" w:color="auto"/>
        <w:left w:val="none" w:sz="0" w:space="0" w:color="auto"/>
        <w:bottom w:val="none" w:sz="0" w:space="0" w:color="auto"/>
        <w:right w:val="none" w:sz="0" w:space="0" w:color="auto"/>
      </w:divBdr>
    </w:div>
    <w:div w:id="1763918435">
      <w:bodyDiv w:val="1"/>
      <w:marLeft w:val="0"/>
      <w:marRight w:val="0"/>
      <w:marTop w:val="0"/>
      <w:marBottom w:val="0"/>
      <w:divBdr>
        <w:top w:val="none" w:sz="0" w:space="0" w:color="auto"/>
        <w:left w:val="none" w:sz="0" w:space="0" w:color="auto"/>
        <w:bottom w:val="none" w:sz="0" w:space="0" w:color="auto"/>
        <w:right w:val="none" w:sz="0" w:space="0" w:color="auto"/>
      </w:divBdr>
      <w:divsChild>
        <w:div w:id="708535069">
          <w:marLeft w:val="0"/>
          <w:marRight w:val="0"/>
          <w:marTop w:val="0"/>
          <w:marBottom w:val="0"/>
          <w:divBdr>
            <w:top w:val="none" w:sz="0" w:space="0" w:color="auto"/>
            <w:left w:val="none" w:sz="0" w:space="0" w:color="auto"/>
            <w:bottom w:val="none" w:sz="0" w:space="0" w:color="auto"/>
            <w:right w:val="none" w:sz="0" w:space="0" w:color="auto"/>
          </w:divBdr>
        </w:div>
      </w:divsChild>
    </w:div>
    <w:div w:id="1922593166">
      <w:bodyDiv w:val="1"/>
      <w:marLeft w:val="0"/>
      <w:marRight w:val="0"/>
      <w:marTop w:val="0"/>
      <w:marBottom w:val="0"/>
      <w:divBdr>
        <w:top w:val="none" w:sz="0" w:space="0" w:color="auto"/>
        <w:left w:val="none" w:sz="0" w:space="0" w:color="auto"/>
        <w:bottom w:val="none" w:sz="0" w:space="0" w:color="auto"/>
        <w:right w:val="none" w:sz="0" w:space="0" w:color="auto"/>
      </w:divBdr>
    </w:div>
    <w:div w:id="2029482196">
      <w:bodyDiv w:val="1"/>
      <w:marLeft w:val="0"/>
      <w:marRight w:val="0"/>
      <w:marTop w:val="0"/>
      <w:marBottom w:val="0"/>
      <w:divBdr>
        <w:top w:val="none" w:sz="0" w:space="0" w:color="auto"/>
        <w:left w:val="none" w:sz="0" w:space="0" w:color="auto"/>
        <w:bottom w:val="none" w:sz="0" w:space="0" w:color="auto"/>
        <w:right w:val="none" w:sz="0" w:space="0" w:color="auto"/>
      </w:divBdr>
    </w:div>
    <w:div w:id="20867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0509A-DE56-4BCE-9F31-61F75C81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14888</Words>
  <Characters>81886</Characters>
  <Application>Microsoft Office Word</Application>
  <DocSecurity>0</DocSecurity>
  <Lines>682</Lines>
  <Paragraphs>193</Paragraphs>
  <ScaleCrop>false</ScaleCrop>
  <HeadingPairs>
    <vt:vector size="2" baseType="variant">
      <vt:variant>
        <vt:lpstr>Titel</vt:lpstr>
      </vt:variant>
      <vt:variant>
        <vt:i4>1</vt:i4>
      </vt:variant>
    </vt:vector>
  </HeadingPairs>
  <TitlesOfParts>
    <vt:vector size="1" baseType="lpstr">
      <vt:lpstr/>
    </vt:vector>
  </TitlesOfParts>
  <Company>DAS</Company>
  <LinksUpToDate>false</LinksUpToDate>
  <CharactersWithSpaces>96581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van der Tuuk</dc:creator>
  <cp:keywords/>
  <dc:description/>
  <cp:lastModifiedBy>Margo van der Tuuk</cp:lastModifiedBy>
  <cp:revision>6</cp:revision>
  <cp:lastPrinted>2021-08-26T12:28:00Z</cp:lastPrinted>
  <dcterms:created xsi:type="dcterms:W3CDTF">2021-08-26T12:34:00Z</dcterms:created>
  <dcterms:modified xsi:type="dcterms:W3CDTF">2021-08-30T11:55:00Z</dcterms:modified>
</cp:coreProperties>
</file>