
<file path=[Content_Types].xml><?xml version="1.0" encoding="utf-8"?>
<Types xmlns="http://schemas.openxmlformats.org/package/2006/content-types">
  <Default Extension="png" ContentType="image/png"/>
  <Default Extension="bin" ContentType="image/x-emf"/>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501E5" w:rsidRDefault="00D501E5"/>
    <w:p w:rsidR="009031D2" w:rsidRDefault="009031D2"/>
    <w:p w:rsidR="005111D9" w:rsidRDefault="005111D9"/>
    <w:p w:rsidR="005111D9" w:rsidRDefault="005111D9"/>
    <w:p w:rsidR="005111D9" w:rsidRDefault="005111D9"/>
    <w:sdt>
      <w:sdtPr>
        <w:id w:val="1231118857"/>
        <w:docPartObj>
          <w:docPartGallery w:val="Cover Pages"/>
          <w:docPartUnique/>
        </w:docPartObj>
      </w:sdtPr>
      <w:sdtEndPr/>
      <w:sdtContent>
        <w:p w:rsidR="002261FB" w:rsidRDefault="006D03C0">
          <w:r>
            <w:rPr>
              <w:noProof/>
            </w:rPr>
            <mc:AlternateContent>
              <mc:Choice Requires="wps">
                <w:drawing>
                  <wp:anchor distT="0" distB="0" distL="114300" distR="114300" simplePos="0" relativeHeight="251668480" behindDoc="0" locked="0" layoutInCell="1" allowOverlap="1">
                    <wp:simplePos x="0" y="0"/>
                    <wp:positionH relativeFrom="column">
                      <wp:posOffset>3124200</wp:posOffset>
                    </wp:positionH>
                    <wp:positionV relativeFrom="paragraph">
                      <wp:posOffset>603885</wp:posOffset>
                    </wp:positionV>
                    <wp:extent cx="2628900" cy="2257425"/>
                    <wp:effectExtent l="0" t="0" r="0" b="9525"/>
                    <wp:wrapNone/>
                    <wp:docPr id="26" name="Text Box 26"/>
                    <wp:cNvGraphicFramePr/>
                    <a:graphic xmlns:a="http://schemas.openxmlformats.org/drawingml/2006/main">
                      <a:graphicData uri="http://schemas.microsoft.com/office/word/2010/wordprocessingShape">
                        <wps:wsp>
                          <wps:cNvSpPr txBox="1"/>
                          <wps:spPr>
                            <a:xfrm>
                              <a:off x="0" y="0"/>
                              <a:ext cx="2628900" cy="225742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E5102E" w:rsidRPr="006D03C0" w:rsidRDefault="00E5102E">
                                <w:pPr>
                                  <w:rPr>
                                    <w:rFonts w:asciiTheme="majorHAnsi" w:hAnsiTheme="majorHAnsi"/>
                                    <w:color w:val="000000" w:themeColor="text1"/>
                                    <w:sz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D03C0">
                                  <w:rPr>
                                    <w:rFonts w:asciiTheme="majorHAnsi" w:hAnsiTheme="majorHAnsi"/>
                                    <w:color w:val="000000" w:themeColor="text1"/>
                                    <w:sz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Analysis on CBD oil, e</w:t>
                                </w:r>
                                <w:r w:rsidRPr="006D03C0">
                                  <w:rPr>
                                    <w:rFonts w:asciiTheme="majorHAnsi" w:hAnsiTheme="majorHAnsi"/>
                                    <w:color w:val="000000" w:themeColor="text1"/>
                                    <w:sz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noBreakHyphen/>
                                  <w:t>liquids and CBD e</w:t>
                                </w:r>
                                <w:r w:rsidRPr="006D03C0">
                                  <w:rPr>
                                    <w:rFonts w:asciiTheme="majorHAnsi" w:hAnsiTheme="majorHAnsi"/>
                                    <w:color w:val="000000" w:themeColor="text1"/>
                                    <w:sz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noBreakHyphen/>
                                  <w:t>liquids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6" o:spid="_x0000_s1026" type="#_x0000_t202" style="position:absolute;margin-left:246pt;margin-top:47.55pt;width:207pt;height:177.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hRCegIAAD8FAAAOAAAAZHJzL2Uyb0RvYy54bWysVEtv2zAMvg/YfxB0X50Y6SuoU2QtOgwo&#10;2mLt0LMiS40xSdQkJnb260fJjtt1OQ27yDL58fWR1MVlZw3bqhAbcBWfHk04U05C3biXin9/uvl0&#10;xllE4WphwKmK71Tkl4uPHy5aP1clrMHUKjBy4uK89RVfI/p5UUS5VlbEI/DKkVJDsALpN7wUdRAt&#10;ebemKCeTk6KFUPsAUsVI0uteyRfZv9ZK4r3WUSEzFafcMJ8hn6t0FosLMX8Jwq8bOaQh/iELKxpH&#10;QUdX1wIF24TmL1e2kQEiaDySYAvQupEq10DVTCfvqnlcC69yLURO9CNN8f+5lXfbh8CauuLlCWdO&#10;WOrRk+qQfYaOkYj4aX2cE+zRExA7klOf9/JIwlR2p4NNXyqIkZ6Y3o3sJm+ShOVJeXY+IZUkXVke&#10;n87K4+SneDX3IeIXBZalS8UDtS+zKra3EXvoHpKiGZdOBzeNMb02SYqUcJ9YvuHOqB79TWkqNaWS&#10;veYhU1cmsK2g8RBSKoe5ZErJOEInM03OR8PpIUODmQ8yGrDJTOXhGw0nhwz/jDha5KjgcDS2jYNw&#10;yEH9Y4zc4/fV9zWn8rFbdUMTV1DvqIcB+i2IXt40xPOtiPggAo099YZWGe/p0AbaisNw42wN4dch&#10;ecLTNJKWs5bWqOLx50YExZn56mhOz6ezWdq7/DM7Pi3pJ7zVrN5q3MZeAbViSo+Gl/ma8Gj2Vx3A&#10;PtPGL1NUUgknKXbFcX+9wn656cWQarnMINo0L/DWPXqZXCd60xQ9dc8i+GHUkKb0DvYLJ+bvJq7H&#10;JksHyw2CbvI4JoJ7VgfiaUvzQA8vSnoG3v5n1Ou7t/gNAAD//wMAUEsDBBQABgAIAAAAIQBqiG+m&#10;3QAAAAoBAAAPAAAAZHJzL2Rvd25yZXYueG1sTI9BT4QwEIXvJv6HZky8uQUiRJCy2RjXu6wmHmdp&#10;BSKdYttd2H/veNLjvPfy5nv1drWTOBsfRkcK0k0CwlDn9Ei9grfD/u4BRIhIGidHRsHFBNg211c1&#10;Vtot9GrObewFl1CoUMEQ41xJGbrBWAwbNxti79N5i5FP30vtceFyO8ksSQppcST+MOBsngbTfbUn&#10;qwCXy8cuT+1z/j5mvj3EYtm/fCt1e7PuHkFEs8a/MPziMzo0zHR0J9JBTAruy4y3RAVlnoLgQJkU&#10;LBzZyZMCZFPL/xOaHwAAAP//AwBQSwECLQAUAAYACAAAACEAtoM4kv4AAADhAQAAEwAAAAAAAAAA&#10;AAAAAAAAAAAAW0NvbnRlbnRfVHlwZXNdLnhtbFBLAQItABQABgAIAAAAIQA4/SH/1gAAAJQBAAAL&#10;AAAAAAAAAAAAAAAAAC8BAABfcmVscy8ucmVsc1BLAQItABQABgAIAAAAIQA0vhRCegIAAD8FAAAO&#10;AAAAAAAAAAAAAAAAAC4CAABkcnMvZTJvRG9jLnhtbFBLAQItABQABgAIAAAAIQBqiG+m3QAAAAoB&#10;AAAPAAAAAAAAAAAAAAAAANQEAABkcnMvZG93bnJldi54bWxQSwUGAAAAAAQABADzAAAA3gUAAAAA&#10;" fillcolor="white [3201]" stroked="f" strokeweight="2pt">
                    <v:textbox>
                      <w:txbxContent>
                        <w:p w:rsidR="00E5102E" w:rsidRPr="006D03C0" w:rsidRDefault="00E5102E">
                          <w:pPr>
                            <w:rPr>
                              <w:rFonts w:asciiTheme="majorHAnsi" w:hAnsiTheme="majorHAnsi"/>
                              <w:color w:val="000000" w:themeColor="text1"/>
                              <w:sz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D03C0">
                            <w:rPr>
                              <w:rFonts w:asciiTheme="majorHAnsi" w:hAnsiTheme="majorHAnsi"/>
                              <w:color w:val="000000" w:themeColor="text1"/>
                              <w:sz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Analysis on CBD oil, e</w:t>
                          </w:r>
                          <w:r w:rsidRPr="006D03C0">
                            <w:rPr>
                              <w:rFonts w:asciiTheme="majorHAnsi" w:hAnsiTheme="majorHAnsi"/>
                              <w:color w:val="000000" w:themeColor="text1"/>
                              <w:sz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noBreakHyphen/>
                            <w:t>liquids and CBD e</w:t>
                          </w:r>
                          <w:r w:rsidRPr="006D03C0">
                            <w:rPr>
                              <w:rFonts w:asciiTheme="majorHAnsi" w:hAnsiTheme="majorHAnsi"/>
                              <w:color w:val="000000" w:themeColor="text1"/>
                              <w:sz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noBreakHyphen/>
                            <w:t>liquids</w:t>
                          </w:r>
                        </w:p>
                      </w:txbxContent>
                    </v:textbox>
                  </v:shape>
                </w:pict>
              </mc:Fallback>
            </mc:AlternateContent>
          </w:r>
          <w:r w:rsidR="005111D9">
            <w:rPr>
              <w:noProof/>
            </w:rPr>
            <mc:AlternateContent>
              <mc:Choice Requires="wps">
                <w:drawing>
                  <wp:anchor distT="0" distB="0" distL="114300" distR="114300" simplePos="0" relativeHeight="251664384" behindDoc="0" locked="0" layoutInCell="1" allowOverlap="1">
                    <wp:simplePos x="0" y="0"/>
                    <wp:positionH relativeFrom="page">
                      <wp:align>center</wp:align>
                    </wp:positionH>
                    <wp:positionV relativeFrom="page">
                      <wp:align>center</wp:align>
                    </wp:positionV>
                    <wp:extent cx="1712890" cy="3840480"/>
                    <wp:effectExtent l="0" t="0" r="0" b="2540"/>
                    <wp:wrapNone/>
                    <wp:docPr id="138" name="Text Box 138"/>
                    <wp:cNvGraphicFramePr/>
                    <a:graphic xmlns:a="http://schemas.openxmlformats.org/drawingml/2006/main">
                      <a:graphicData uri="http://schemas.microsoft.com/office/word/2010/wordprocessingShape">
                        <wps:wsp>
                          <wps:cNvSpPr txBox="1"/>
                          <wps:spPr>
                            <a:xfrm>
                              <a:off x="0" y="0"/>
                              <a:ext cx="1712890" cy="38404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jc w:val="center"/>
                                  <w:tblBorders>
                                    <w:insideV w:val="single" w:sz="12" w:space="0" w:color="C0504D" w:themeColor="accent2"/>
                                  </w:tblBorders>
                                  <w:tblCellMar>
                                    <w:top w:w="1296" w:type="dxa"/>
                                    <w:left w:w="360" w:type="dxa"/>
                                    <w:bottom w:w="1296" w:type="dxa"/>
                                    <w:right w:w="360" w:type="dxa"/>
                                  </w:tblCellMar>
                                  <w:tblLook w:val="04A0" w:firstRow="1" w:lastRow="0" w:firstColumn="1" w:lastColumn="0" w:noHBand="0" w:noVBand="1"/>
                                </w:tblPr>
                                <w:tblGrid>
                                  <w:gridCol w:w="5749"/>
                                  <w:gridCol w:w="5445"/>
                                </w:tblGrid>
                                <w:tr w:rsidR="00E5102E">
                                  <w:trPr>
                                    <w:jc w:val="center"/>
                                  </w:trPr>
                                  <w:tc>
                                    <w:tcPr>
                                      <w:tcW w:w="2568" w:type="pct"/>
                                      <w:vAlign w:val="center"/>
                                    </w:tcPr>
                                    <w:p w:rsidR="00E5102E" w:rsidRDefault="00E5102E">
                                      <w:pPr>
                                        <w:jc w:val="right"/>
                                        <w:rPr>
                                          <w:noProof/>
                                        </w:rPr>
                                      </w:pPr>
                                      <w:r>
                                        <w:rPr>
                                          <w:noProof/>
                                        </w:rPr>
                                        <w:drawing>
                                          <wp:inline distT="0" distB="0" distL="0" distR="0" wp14:anchorId="7882AEC7" wp14:editId="4877FE14">
                                            <wp:extent cx="3085733" cy="4429125"/>
                                            <wp:effectExtent l="0" t="0" r="63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olorcorrectedcbdcapture.PNG"/>
                                                    <pic:cNvPicPr/>
                                                  </pic:nvPicPr>
                                                  <pic:blipFill rotWithShape="1">
                                                    <a:blip r:embed="rId9">
                                                      <a:extLst>
                                                        <a:ext uri="{BEBA8EAE-BF5A-486C-A8C5-ECC9F3942E4B}">
                                                          <a14:imgProps xmlns:a14="http://schemas.microsoft.com/office/drawing/2010/main">
                                                            <a14:imgLayer r:embed="rId10">
                                                              <a14:imgEffect>
                                                                <a14:brightnessContrast bright="10000"/>
                                                              </a14:imgEffect>
                                                            </a14:imgLayer>
                                                          </a14:imgProps>
                                                        </a:ext>
                                                        <a:ext uri="{28A0092B-C50C-407E-A947-70E740481C1C}">
                                                          <a14:useLocalDpi xmlns:a14="http://schemas.microsoft.com/office/drawing/2010/main" val="0"/>
                                                        </a:ext>
                                                      </a:extLst>
                                                    </a:blip>
                                                    <a:srcRect l="7469" r="4062" b="4762"/>
                                                    <a:stretch/>
                                                  </pic:blipFill>
                                                  <pic:spPr bwMode="auto">
                                                    <a:xfrm>
                                                      <a:off x="0" y="0"/>
                                                      <a:ext cx="3101835" cy="4452238"/>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rsidR="00E5102E" w:rsidRDefault="00E5102E">
                                      <w:pPr>
                                        <w:jc w:val="right"/>
                                      </w:pPr>
                                    </w:p>
                                    <w:p w:rsidR="00E5102E" w:rsidRPr="006D03C0" w:rsidRDefault="002E375B" w:rsidP="00B07E3E">
                                      <w:pPr>
                                        <w:rPr>
                                          <w:color w:val="000000" w:themeColor="text1"/>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sdt>
                                        <w:sdtPr>
                                          <w:rPr>
                                            <w:rFonts w:asciiTheme="majorHAnsi" w:hAnsiTheme="majorHAnsi"/>
                                            <w:color w:val="000000" w:themeColor="text1"/>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alias w:val="Abstract"/>
                                          <w:tag w:val=""/>
                                          <w:id w:val="-712962443"/>
                                          <w:dataBinding w:prefixMappings="xmlns:ns0='http://schemas.microsoft.com/office/2006/coverPageProps' " w:xpath="/ns0:CoverPageProperties[1]/ns0:Abstract[1]" w:storeItemID="{55AF091B-3C7A-41E3-B477-F2FDAA23CFDA}"/>
                                          <w:text/>
                                        </w:sdtPr>
                                        <w:sdtEndPr/>
                                        <w:sdtContent>
                                          <w:r w:rsidR="00E5102E" w:rsidRPr="006D03C0">
                                            <w:rPr>
                                              <w:rFonts w:asciiTheme="majorHAnsi" w:hAnsiTheme="majorHAnsi"/>
                                              <w:color w:val="000000" w:themeColor="text1"/>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Development of simple and sensitive methods to analyze the active components and possible impurities in CBD oil, e-liquids and CBD e-liquids</w:t>
                                          </w:r>
                                        </w:sdtContent>
                                      </w:sdt>
                                    </w:p>
                                    <w:p w:rsidR="00E5102E" w:rsidRDefault="00E5102E" w:rsidP="00B07E3E">
                                      <w:pPr>
                                        <w:jc w:val="right"/>
                                        <w:rPr>
                                          <w:sz w:val="24"/>
                                          <w:szCs w:val="24"/>
                                        </w:rPr>
                                      </w:pPr>
                                      <w:r>
                                        <w:rPr>
                                          <w:sz w:val="24"/>
                                          <w:szCs w:val="24"/>
                                        </w:rPr>
                                        <w:t xml:space="preserve"> </w:t>
                                      </w:r>
                                    </w:p>
                                  </w:tc>
                                  <w:tc>
                                    <w:tcPr>
                                      <w:tcW w:w="2432" w:type="pct"/>
                                      <w:vAlign w:val="center"/>
                                    </w:tcPr>
                                    <w:p w:rsidR="00E5102E" w:rsidRPr="00E170F9" w:rsidRDefault="00E5102E">
                                      <w:pPr>
                                        <w:rPr>
                                          <w:color w:val="000000" w:themeColor="text1"/>
                                          <w:sz w:val="36"/>
                                        </w:rPr>
                                      </w:pPr>
                                    </w:p>
                                    <w:sdt>
                                      <w:sdtPr>
                                        <w:rPr>
                                          <w:color w:val="1F497D" w:themeColor="text2"/>
                                          <w:sz w:val="28"/>
                                          <w:szCs w:val="26"/>
                                        </w:rPr>
                                        <w:alias w:val="Author"/>
                                        <w:tag w:val=""/>
                                        <w:id w:val="-279026076"/>
                                        <w:dataBinding w:prefixMappings="xmlns:ns0='http://purl.org/dc/elements/1.1/' xmlns:ns1='http://schemas.openxmlformats.org/package/2006/metadata/core-properties' " w:xpath="/ns1:coreProperties[1]/ns0:creator[1]" w:storeItemID="{6C3C8BC8-F283-45AE-878A-BAB7291924A1}"/>
                                        <w:text/>
                                      </w:sdtPr>
                                      <w:sdtEndPr/>
                                      <w:sdtContent>
                                        <w:p w:rsidR="00E5102E" w:rsidRPr="0027559B" w:rsidRDefault="00E5102E" w:rsidP="0027559B">
                                          <w:pPr>
                                            <w:pStyle w:val="NoSpacing"/>
                                            <w:spacing w:line="276" w:lineRule="auto"/>
                                            <w:rPr>
                                              <w:color w:val="1F497D" w:themeColor="text2"/>
                                              <w:sz w:val="28"/>
                                              <w:szCs w:val="26"/>
                                            </w:rPr>
                                          </w:pPr>
                                          <w:r w:rsidRPr="0027559B">
                                            <w:rPr>
                                              <w:color w:val="1F497D" w:themeColor="text2"/>
                                              <w:sz w:val="28"/>
                                              <w:szCs w:val="26"/>
                                            </w:rPr>
                                            <w:t>Verna Kulomaa</w:t>
                                          </w:r>
                                        </w:p>
                                      </w:sdtContent>
                                    </w:sdt>
                                    <w:p w:rsidR="00E5102E" w:rsidRDefault="002E375B">
                                      <w:pPr>
                                        <w:pStyle w:val="NoSpacing"/>
                                      </w:pPr>
                                      <w:sdt>
                                        <w:sdtPr>
                                          <w:rPr>
                                            <w:color w:val="1F497D" w:themeColor="text2"/>
                                          </w:rPr>
                                          <w:alias w:val="Course"/>
                                          <w:tag w:val="Course"/>
                                          <w:id w:val="-710501431"/>
                                          <w:dataBinding w:prefixMappings="xmlns:ns0='http://purl.org/dc/elements/1.1/' xmlns:ns1='http://schemas.openxmlformats.org/package/2006/metadata/core-properties' " w:xpath="/ns1:coreProperties[1]/ns1:category[1]" w:storeItemID="{6C3C8BC8-F283-45AE-878A-BAB7291924A1}"/>
                                          <w:text/>
                                        </w:sdtPr>
                                        <w:sdtEndPr/>
                                        <w:sdtContent>
                                          <w:r w:rsidR="00E5102E" w:rsidRPr="00E170F9">
                                            <w:rPr>
                                              <w:color w:val="1F497D" w:themeColor="text2"/>
                                            </w:rPr>
                                            <w:t>HZ University of Applied Sciences &amp; Agilent Technologies</w:t>
                                          </w:r>
                                          <w:r>
                                            <w:rPr>
                                              <w:color w:val="1F497D" w:themeColor="text2"/>
                                            </w:rPr>
                                            <w:t xml:space="preserve">                                                                                                          2018       </w:t>
                                          </w:r>
                                        </w:sdtContent>
                                      </w:sdt>
                                    </w:p>
                                  </w:tc>
                                </w:tr>
                              </w:tbl>
                              <w:p w:rsidR="00E5102E" w:rsidRDefault="00E5102E"/>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77300</wp14:pctHeight>
                    </wp14:sizeRelV>
                  </wp:anchor>
                </w:drawing>
              </mc:Choice>
              <mc:Fallback>
                <w:pict>
                  <v:shape id="Text Box 138" o:spid="_x0000_s1027" type="#_x0000_t202" style="position:absolute;margin-left:0;margin-top:0;width:134.85pt;height:302.4pt;z-index:251664384;visibility:visible;mso-wrap-style:square;mso-width-percent:941;mso-height-percent:773;mso-wrap-distance-left:9pt;mso-wrap-distance-top:0;mso-wrap-distance-right:9pt;mso-wrap-distance-bottom:0;mso-position-horizontal:center;mso-position-horizontal-relative:page;mso-position-vertical:center;mso-position-vertical-relative:page;mso-width-percent:941;mso-height-percent:7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17jhwIAAIgFAAAOAAAAZHJzL2Uyb0RvYy54bWysVE1PGzEQvVfqf7B8L5sApWnEBqUgqkoI&#10;UKHi7HhtsqrX49pOsumv59m7m1DKhaqX3bHnzYznzcfpWdsYtlY+1GRLPj4YcaaspKq2jyX/cX/5&#10;YcJZiMJWwpBVJd+qwM9m79+dbtxUHdKSTKU8gxMbphtX8mWMbloUQS5VI8IBOWWh1OQbEXH0j0Xl&#10;xQbeG1McjkYnxYZ85TxJFQJuLzoln2X/WisZb7QOKjJTcrwt5q/P30X6FrNTMX30wi1r2T9D/MMr&#10;GlFbBN25uhBRsJWv/3LV1NJTIB0PJDUFaV1LlXNANuPRi2zulsKpnAvICW5HU/h/buX1+tazukLt&#10;jlAqKxoU6V61kX2hlqU7MLRxYQrgnQM0tlAAPdwHXKbEW+2b9EdKDHpwvd3xm9zJZPRpfDj5DJWE&#10;7mhyPDqe5AoUe3PnQ/yqqGFJKLlHATOvYn0VIp4C6ABJ0QKZurqsjcmH1DTq3Hi2Fii3ifmRsPgD&#10;ZSzblPzk6OMoO7aUzDvPxiY3KrdNHy6l3qWYpbg1KmGM/a40aMuZvhJbSKnsLn5GJ5RGqLcY9vj9&#10;q95i3OUBixyZbNwZN7Uln7PPc7anrPo5UKY7PAh/lncSY7tou34ZOmBB1RaN4akbruDkZY3iXYkQ&#10;b4XHNKHg2BDxBh9tCORTL3G2JP/7tfuER5NDy9kG01ny8GslvOLMfLNo/zTKg+AHYTEIdtWcEzpg&#10;jN3jZBZh4KMZRO2pecDimKcoUAkrEavkMvrhcB67LYHVI9V8nmEYWSfilb1zMjlPvKZmvG8fhHd9&#10;x0Y0+zUNkyumLxq3wyZLS/NVJF3nrk7Mdjz2jGPcc7P3qyntk+fnjNov0NkTAAAA//8DAFBLAwQU&#10;AAYACAAAACEAxv3ro9wAAAAFAQAADwAAAGRycy9kb3ducmV2LnhtbEyPQUvDQBCF74L/YRnBS7Eb&#10;i8Q2ZlOKongS2lR6nWbHbOjubMxu2/jvXb3oZeDxHu99Uy5HZ8WJhtB5VnA7zUAQN1533CrY1s83&#10;cxAhImu0nknBFwVYVpcXJRban3lNp01sRSrhUKACE2NfSBkaQw7D1PfEyfvwg8OY5NBKPeA5lTsr&#10;Z1mWS4cdpwWDPT0aag6bo1PQH3ZvbBqs3+3WfE5Wk6eXV6qVur4aVw8gIo3xLww/+AkdqsS090fW&#10;QVgF6ZH4e5M3yxf3IPYK8uxuDrIq5X/66hsAAP//AwBQSwECLQAUAAYACAAAACEAtoM4kv4AAADh&#10;AQAAEwAAAAAAAAAAAAAAAAAAAAAAW0NvbnRlbnRfVHlwZXNdLnhtbFBLAQItABQABgAIAAAAIQA4&#10;/SH/1gAAAJQBAAALAAAAAAAAAAAAAAAAAC8BAABfcmVscy8ucmVsc1BLAQItABQABgAIAAAAIQBr&#10;A17jhwIAAIgFAAAOAAAAAAAAAAAAAAAAAC4CAABkcnMvZTJvRG9jLnhtbFBLAQItABQABgAIAAAA&#10;IQDG/euj3AAAAAUBAAAPAAAAAAAAAAAAAAAAAOEEAABkcnMvZG93bnJldi54bWxQSwUGAAAAAAQA&#10;BADzAAAA6gUAAAAA&#10;" fillcolor="white [3201]" stroked="f" strokeweight=".5pt">
                    <v:textbox inset="0,0,0,0">
                      <w:txbxContent>
                        <w:tbl>
                          <w:tblPr>
                            <w:tblW w:w="5000" w:type="pct"/>
                            <w:jc w:val="center"/>
                            <w:tblBorders>
                              <w:insideV w:val="single" w:sz="12" w:space="0" w:color="C0504D" w:themeColor="accent2"/>
                            </w:tblBorders>
                            <w:tblCellMar>
                              <w:top w:w="1296" w:type="dxa"/>
                              <w:left w:w="360" w:type="dxa"/>
                              <w:bottom w:w="1296" w:type="dxa"/>
                              <w:right w:w="360" w:type="dxa"/>
                            </w:tblCellMar>
                            <w:tblLook w:val="04A0" w:firstRow="1" w:lastRow="0" w:firstColumn="1" w:lastColumn="0" w:noHBand="0" w:noVBand="1"/>
                          </w:tblPr>
                          <w:tblGrid>
                            <w:gridCol w:w="5749"/>
                            <w:gridCol w:w="5445"/>
                          </w:tblGrid>
                          <w:tr w:rsidR="00E5102E">
                            <w:trPr>
                              <w:jc w:val="center"/>
                            </w:trPr>
                            <w:tc>
                              <w:tcPr>
                                <w:tcW w:w="2568" w:type="pct"/>
                                <w:vAlign w:val="center"/>
                              </w:tcPr>
                              <w:p w:rsidR="00E5102E" w:rsidRDefault="00E5102E">
                                <w:pPr>
                                  <w:jc w:val="right"/>
                                  <w:rPr>
                                    <w:noProof/>
                                  </w:rPr>
                                </w:pPr>
                                <w:r>
                                  <w:rPr>
                                    <w:noProof/>
                                  </w:rPr>
                                  <w:drawing>
                                    <wp:inline distT="0" distB="0" distL="0" distR="0" wp14:anchorId="7882AEC7" wp14:editId="4877FE14">
                                      <wp:extent cx="3085733" cy="4429125"/>
                                      <wp:effectExtent l="0" t="0" r="63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olorcorrectedcbdcapture.PNG"/>
                                              <pic:cNvPicPr/>
                                            </pic:nvPicPr>
                                            <pic:blipFill rotWithShape="1">
                                              <a:blip r:embed="rId9">
                                                <a:extLst>
                                                  <a:ext uri="{BEBA8EAE-BF5A-486C-A8C5-ECC9F3942E4B}">
                                                    <a14:imgProps xmlns:a14="http://schemas.microsoft.com/office/drawing/2010/main">
                                                      <a14:imgLayer r:embed="rId10">
                                                        <a14:imgEffect>
                                                          <a14:brightnessContrast bright="10000"/>
                                                        </a14:imgEffect>
                                                      </a14:imgLayer>
                                                    </a14:imgProps>
                                                  </a:ext>
                                                  <a:ext uri="{28A0092B-C50C-407E-A947-70E740481C1C}">
                                                    <a14:useLocalDpi xmlns:a14="http://schemas.microsoft.com/office/drawing/2010/main" val="0"/>
                                                  </a:ext>
                                                </a:extLst>
                                              </a:blip>
                                              <a:srcRect l="7469" r="4062" b="4762"/>
                                              <a:stretch/>
                                            </pic:blipFill>
                                            <pic:spPr bwMode="auto">
                                              <a:xfrm>
                                                <a:off x="0" y="0"/>
                                                <a:ext cx="3101835" cy="4452238"/>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rsidR="00E5102E" w:rsidRDefault="00E5102E">
                                <w:pPr>
                                  <w:jc w:val="right"/>
                                </w:pPr>
                              </w:p>
                              <w:p w:rsidR="00E5102E" w:rsidRPr="006D03C0" w:rsidRDefault="002E375B" w:rsidP="00B07E3E">
                                <w:pPr>
                                  <w:rPr>
                                    <w:color w:val="000000" w:themeColor="text1"/>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sdt>
                                  <w:sdtPr>
                                    <w:rPr>
                                      <w:rFonts w:asciiTheme="majorHAnsi" w:hAnsiTheme="majorHAnsi"/>
                                      <w:color w:val="000000" w:themeColor="text1"/>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alias w:val="Abstract"/>
                                    <w:tag w:val=""/>
                                    <w:id w:val="-712962443"/>
                                    <w:dataBinding w:prefixMappings="xmlns:ns0='http://schemas.microsoft.com/office/2006/coverPageProps' " w:xpath="/ns0:CoverPageProperties[1]/ns0:Abstract[1]" w:storeItemID="{55AF091B-3C7A-41E3-B477-F2FDAA23CFDA}"/>
                                    <w:text/>
                                  </w:sdtPr>
                                  <w:sdtEndPr/>
                                  <w:sdtContent>
                                    <w:r w:rsidR="00E5102E" w:rsidRPr="006D03C0">
                                      <w:rPr>
                                        <w:rFonts w:asciiTheme="majorHAnsi" w:hAnsiTheme="majorHAnsi"/>
                                        <w:color w:val="000000" w:themeColor="text1"/>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Development of simple and sensitive methods to analyze the active components and possible impurities in CBD oil, e-liquids and CBD e-liquids</w:t>
                                    </w:r>
                                  </w:sdtContent>
                                </w:sdt>
                              </w:p>
                              <w:p w:rsidR="00E5102E" w:rsidRDefault="00E5102E" w:rsidP="00B07E3E">
                                <w:pPr>
                                  <w:jc w:val="right"/>
                                  <w:rPr>
                                    <w:sz w:val="24"/>
                                    <w:szCs w:val="24"/>
                                  </w:rPr>
                                </w:pPr>
                                <w:r>
                                  <w:rPr>
                                    <w:sz w:val="24"/>
                                    <w:szCs w:val="24"/>
                                  </w:rPr>
                                  <w:t xml:space="preserve"> </w:t>
                                </w:r>
                              </w:p>
                            </w:tc>
                            <w:tc>
                              <w:tcPr>
                                <w:tcW w:w="2432" w:type="pct"/>
                                <w:vAlign w:val="center"/>
                              </w:tcPr>
                              <w:p w:rsidR="00E5102E" w:rsidRPr="00E170F9" w:rsidRDefault="00E5102E">
                                <w:pPr>
                                  <w:rPr>
                                    <w:color w:val="000000" w:themeColor="text1"/>
                                    <w:sz w:val="36"/>
                                  </w:rPr>
                                </w:pPr>
                              </w:p>
                              <w:sdt>
                                <w:sdtPr>
                                  <w:rPr>
                                    <w:color w:val="1F497D" w:themeColor="text2"/>
                                    <w:sz w:val="28"/>
                                    <w:szCs w:val="26"/>
                                  </w:rPr>
                                  <w:alias w:val="Author"/>
                                  <w:tag w:val=""/>
                                  <w:id w:val="-279026076"/>
                                  <w:dataBinding w:prefixMappings="xmlns:ns0='http://purl.org/dc/elements/1.1/' xmlns:ns1='http://schemas.openxmlformats.org/package/2006/metadata/core-properties' " w:xpath="/ns1:coreProperties[1]/ns0:creator[1]" w:storeItemID="{6C3C8BC8-F283-45AE-878A-BAB7291924A1}"/>
                                  <w:text/>
                                </w:sdtPr>
                                <w:sdtEndPr/>
                                <w:sdtContent>
                                  <w:p w:rsidR="00E5102E" w:rsidRPr="0027559B" w:rsidRDefault="00E5102E" w:rsidP="0027559B">
                                    <w:pPr>
                                      <w:pStyle w:val="NoSpacing"/>
                                      <w:spacing w:line="276" w:lineRule="auto"/>
                                      <w:rPr>
                                        <w:color w:val="1F497D" w:themeColor="text2"/>
                                        <w:sz w:val="28"/>
                                        <w:szCs w:val="26"/>
                                      </w:rPr>
                                    </w:pPr>
                                    <w:r w:rsidRPr="0027559B">
                                      <w:rPr>
                                        <w:color w:val="1F497D" w:themeColor="text2"/>
                                        <w:sz w:val="28"/>
                                        <w:szCs w:val="26"/>
                                      </w:rPr>
                                      <w:t>Verna Kulomaa</w:t>
                                    </w:r>
                                  </w:p>
                                </w:sdtContent>
                              </w:sdt>
                              <w:p w:rsidR="00E5102E" w:rsidRDefault="002E375B">
                                <w:pPr>
                                  <w:pStyle w:val="NoSpacing"/>
                                </w:pPr>
                                <w:sdt>
                                  <w:sdtPr>
                                    <w:rPr>
                                      <w:color w:val="1F497D" w:themeColor="text2"/>
                                    </w:rPr>
                                    <w:alias w:val="Course"/>
                                    <w:tag w:val="Course"/>
                                    <w:id w:val="-710501431"/>
                                    <w:dataBinding w:prefixMappings="xmlns:ns0='http://purl.org/dc/elements/1.1/' xmlns:ns1='http://schemas.openxmlformats.org/package/2006/metadata/core-properties' " w:xpath="/ns1:coreProperties[1]/ns1:category[1]" w:storeItemID="{6C3C8BC8-F283-45AE-878A-BAB7291924A1}"/>
                                    <w:text/>
                                  </w:sdtPr>
                                  <w:sdtEndPr/>
                                  <w:sdtContent>
                                    <w:r w:rsidR="00E5102E" w:rsidRPr="00E170F9">
                                      <w:rPr>
                                        <w:color w:val="1F497D" w:themeColor="text2"/>
                                      </w:rPr>
                                      <w:t>HZ University of Applied Sciences &amp; Agilent Technologies</w:t>
                                    </w:r>
                                    <w:r>
                                      <w:rPr>
                                        <w:color w:val="1F497D" w:themeColor="text2"/>
                                      </w:rPr>
                                      <w:t xml:space="preserve">                                                                                                          2018       </w:t>
                                    </w:r>
                                  </w:sdtContent>
                                </w:sdt>
                              </w:p>
                            </w:tc>
                          </w:tr>
                        </w:tbl>
                        <w:p w:rsidR="00E5102E" w:rsidRDefault="00E5102E"/>
                      </w:txbxContent>
                    </v:textbox>
                    <w10:wrap anchorx="page" anchory="page"/>
                  </v:shape>
                </w:pict>
              </mc:Fallback>
            </mc:AlternateContent>
          </w:r>
          <w:r w:rsidR="005111D9">
            <w:br w:type="page"/>
          </w:r>
        </w:p>
      </w:sdtContent>
    </w:sdt>
    <w:p w:rsidR="00A34243" w:rsidRPr="00A34243" w:rsidRDefault="00A34243" w:rsidP="000E3381">
      <w:pPr>
        <w:pStyle w:val="Title"/>
        <w:spacing w:line="276" w:lineRule="auto"/>
        <w:jc w:val="center"/>
        <w:rPr>
          <w:sz w:val="40"/>
        </w:rPr>
      </w:pPr>
      <w:r w:rsidRPr="00A34243">
        <w:rPr>
          <w:sz w:val="40"/>
        </w:rPr>
        <w:lastRenderedPageBreak/>
        <w:t>Acknowledgement</w:t>
      </w:r>
    </w:p>
    <w:p w:rsidR="00A34243" w:rsidRDefault="00A34243" w:rsidP="00A34243">
      <w:pPr>
        <w:jc w:val="both"/>
      </w:pPr>
      <w:r>
        <w:t>This research was supported by Agilent Technologies. I would like to thank my supervisor Dr. Reuter and the Global Technical Support team who provided insight and expertise that greatly assisted in the research. I thank you for all the guidance the past year and without it this Bachelor thesis would not have been possible.</w:t>
      </w:r>
    </w:p>
    <w:p w:rsidR="00A34243" w:rsidRDefault="00A34243"/>
    <w:p w:rsidR="00A34243" w:rsidRDefault="00A34243"/>
    <w:p w:rsidR="00A34243" w:rsidRDefault="00A34243"/>
    <w:p w:rsidR="00A34243" w:rsidRDefault="00A34243"/>
    <w:p w:rsidR="00A34243" w:rsidRDefault="00A34243"/>
    <w:p w:rsidR="00A34243" w:rsidRDefault="00A34243"/>
    <w:p w:rsidR="00A34243" w:rsidRDefault="00A34243"/>
    <w:p w:rsidR="000E3381" w:rsidRDefault="000E3381"/>
    <w:p w:rsidR="000E3381" w:rsidRDefault="000E3381"/>
    <w:p w:rsidR="000E3381" w:rsidRDefault="000E3381"/>
    <w:p w:rsidR="000E3381" w:rsidRDefault="000E3381"/>
    <w:p w:rsidR="000E3381" w:rsidRDefault="000E3381"/>
    <w:p w:rsidR="000E3381" w:rsidRDefault="000E3381">
      <w:bookmarkStart w:id="0" w:name="_GoBack"/>
      <w:bookmarkEnd w:id="0"/>
    </w:p>
    <w:p w:rsidR="000E3381" w:rsidRDefault="000E3381"/>
    <w:p w:rsidR="000E3381" w:rsidRDefault="000E3381"/>
    <w:p w:rsidR="000E3381" w:rsidRDefault="000E3381"/>
    <w:p w:rsidR="000E3381" w:rsidRDefault="000E3381"/>
    <w:p w:rsidR="000E3381" w:rsidRDefault="000E3381"/>
    <w:p w:rsidR="000E3381" w:rsidRDefault="000E3381"/>
    <w:p w:rsidR="000E3381" w:rsidRDefault="000E3381"/>
    <w:p w:rsidR="000E3381" w:rsidRDefault="000E3381"/>
    <w:p w:rsidR="00A34243" w:rsidRDefault="00A34243"/>
    <w:p w:rsidR="00A34243" w:rsidRDefault="00A34243"/>
    <w:p w:rsidR="000E3381" w:rsidRPr="009C1372" w:rsidRDefault="000E3381" w:rsidP="000E3381">
      <w:pPr>
        <w:pStyle w:val="Title"/>
        <w:spacing w:line="276" w:lineRule="auto"/>
        <w:jc w:val="center"/>
        <w:rPr>
          <w:sz w:val="40"/>
        </w:rPr>
      </w:pPr>
      <w:r w:rsidRPr="009C1372">
        <w:rPr>
          <w:sz w:val="40"/>
        </w:rPr>
        <w:lastRenderedPageBreak/>
        <w:t>Abstract</w:t>
      </w:r>
    </w:p>
    <w:p w:rsidR="000E3381" w:rsidRDefault="000E3381" w:rsidP="000E3381">
      <w:pPr>
        <w:jc w:val="center"/>
      </w:pPr>
      <w:r>
        <w:t>Relatively new products which are mostly marketed by online communities and online influencers as healthy or having therapeutic effects are being sold across Europe and United States, online or local drugstores, without ensuring that these products go through any quality analysis. This introduces a threat on the consumer as there is no guarantee that the product does not contain toxic impurities. The aim of this research was to find simple methods to analyze CBD oil, e-liquids and CBD e-liquids for impurities and to determine the CBD concentration. E-liquids were analyzed for volatile components by the means of HS-GC/MS and ethanol was quantified by means of HS-GC-FID. For all the products containing CBD, the CBD and CBN was quantified by the means of HPLC-UV. CBD oil was analyzed for its chemical constituents by the means of GC/MS and Intuvo 9000 GC. Ethanol concentration in e-liquids was below trace levels (0.4 %) and from the possible identifications of volatile components, harmful compounds were not found. All CBD products had their CBD content within the optimal level (</w:t>
      </w:r>
      <w:r>
        <w:rPr>
          <w:rFonts w:cstheme="minorHAnsi"/>
        </w:rPr>
        <w:t>≤</w:t>
      </w:r>
      <w:r>
        <w:t xml:space="preserve">10 % difference to what is stated on the label). CBD oil contained also 0.3 mg/mL CBN. For the possible identifications of chemical constituents in CBD oil, no toxic compounds were found. </w:t>
      </w:r>
      <w:r>
        <w:rPr>
          <w:rFonts w:cstheme="minorHAnsi"/>
        </w:rPr>
        <w:t>Δ</w:t>
      </w:r>
      <w:r>
        <w:rPr>
          <w:vertAlign w:val="superscript"/>
        </w:rPr>
        <w:t>9</w:t>
      </w:r>
      <w:r>
        <w:t>-THC was found in the sample; however, the quantity is likely to be low and thus should not cause psychotropic effects to the consumer. The samples analyzed in this research do not contain toxic compounds and CBD products are within the optimal level. Regardless, it is highly recommended that regulations are set on these products and that it is certified that these products undergo quality analysis in order to ensure consumer safety.</w:t>
      </w:r>
    </w:p>
    <w:p w:rsidR="00A34243" w:rsidRDefault="00A34243"/>
    <w:p w:rsidR="00A34243" w:rsidRDefault="00A34243"/>
    <w:p w:rsidR="00A34243" w:rsidRDefault="00A34243"/>
    <w:p w:rsidR="00A34243" w:rsidRDefault="00A34243"/>
    <w:p w:rsidR="00A34243" w:rsidRDefault="00A34243"/>
    <w:p w:rsidR="00A34243" w:rsidRDefault="00A34243"/>
    <w:p w:rsidR="00A34243" w:rsidRDefault="00A34243"/>
    <w:p w:rsidR="00A34243" w:rsidRDefault="00A34243"/>
    <w:p w:rsidR="00A34243" w:rsidRDefault="00A34243"/>
    <w:p w:rsidR="00A34243" w:rsidRDefault="00A34243"/>
    <w:p w:rsidR="00A34243" w:rsidRDefault="00A34243"/>
    <w:p w:rsidR="00A34243" w:rsidRDefault="00A34243"/>
    <w:p w:rsidR="00A34243" w:rsidRDefault="00A34243"/>
    <w:p w:rsidR="000E3381" w:rsidRDefault="000E3381"/>
    <w:p w:rsidR="00A34243" w:rsidRDefault="00A34243"/>
    <w:p w:rsidR="00734392" w:rsidRPr="00715BEF" w:rsidRDefault="00734392" w:rsidP="00C70008">
      <w:pPr>
        <w:pStyle w:val="Title"/>
        <w:spacing w:line="276" w:lineRule="auto"/>
        <w:rPr>
          <w:sz w:val="40"/>
        </w:rPr>
      </w:pPr>
      <w:r w:rsidRPr="00715BEF">
        <w:rPr>
          <w:sz w:val="40"/>
        </w:rPr>
        <w:lastRenderedPageBreak/>
        <w:t>Abbreviations</w:t>
      </w:r>
    </w:p>
    <w:tbl>
      <w:tblPr>
        <w:tblW w:w="7340" w:type="dxa"/>
        <w:tblLook w:val="04A0" w:firstRow="1" w:lastRow="0" w:firstColumn="1" w:lastColumn="0" w:noHBand="0" w:noVBand="1"/>
      </w:tblPr>
      <w:tblGrid>
        <w:gridCol w:w="3100"/>
        <w:gridCol w:w="4240"/>
      </w:tblGrid>
      <w:tr w:rsidR="00715BEF" w:rsidRPr="00715BEF" w:rsidTr="00715BEF">
        <w:trPr>
          <w:trHeight w:val="300"/>
        </w:trPr>
        <w:tc>
          <w:tcPr>
            <w:tcW w:w="3100" w:type="dxa"/>
            <w:tcBorders>
              <w:top w:val="nil"/>
              <w:left w:val="nil"/>
              <w:bottom w:val="nil"/>
              <w:right w:val="nil"/>
            </w:tcBorders>
            <w:shd w:val="clear" w:color="auto" w:fill="auto"/>
            <w:noWrap/>
            <w:vAlign w:val="bottom"/>
            <w:hideMark/>
          </w:tcPr>
          <w:p w:rsidR="00715BEF" w:rsidRPr="00715BEF" w:rsidRDefault="00715BEF" w:rsidP="00715BEF">
            <w:pPr>
              <w:spacing w:after="0" w:line="240" w:lineRule="auto"/>
              <w:rPr>
                <w:rFonts w:ascii="Calibri" w:eastAsia="Times New Roman" w:hAnsi="Calibri" w:cs="Calibri"/>
                <w:color w:val="000000"/>
              </w:rPr>
            </w:pPr>
            <w:r w:rsidRPr="00715BEF">
              <w:rPr>
                <w:rFonts w:ascii="Calibri" w:eastAsia="Times New Roman" w:hAnsi="Calibri" w:cs="Calibri"/>
                <w:color w:val="000000"/>
              </w:rPr>
              <w:t xml:space="preserve">C. Sativa L. </w:t>
            </w:r>
          </w:p>
        </w:tc>
        <w:tc>
          <w:tcPr>
            <w:tcW w:w="4240" w:type="dxa"/>
            <w:tcBorders>
              <w:top w:val="nil"/>
              <w:left w:val="nil"/>
              <w:bottom w:val="nil"/>
              <w:right w:val="nil"/>
            </w:tcBorders>
            <w:shd w:val="clear" w:color="auto" w:fill="auto"/>
            <w:noWrap/>
            <w:vAlign w:val="bottom"/>
            <w:hideMark/>
          </w:tcPr>
          <w:p w:rsidR="00715BEF" w:rsidRPr="00715BEF" w:rsidRDefault="00715BEF" w:rsidP="00715BEF">
            <w:pPr>
              <w:spacing w:after="0" w:line="240" w:lineRule="auto"/>
              <w:rPr>
                <w:rFonts w:ascii="Calibri" w:eastAsia="Times New Roman" w:hAnsi="Calibri" w:cs="Calibri"/>
                <w:color w:val="000000"/>
              </w:rPr>
            </w:pPr>
            <w:r w:rsidRPr="00715BEF">
              <w:rPr>
                <w:rFonts w:ascii="Calibri" w:eastAsia="Times New Roman" w:hAnsi="Calibri" w:cs="Calibri"/>
                <w:color w:val="000000"/>
              </w:rPr>
              <w:t xml:space="preserve">Cannabis Sativa L. </w:t>
            </w:r>
          </w:p>
        </w:tc>
      </w:tr>
      <w:tr w:rsidR="00715BEF" w:rsidRPr="00715BEF" w:rsidTr="00715BEF">
        <w:trPr>
          <w:trHeight w:val="300"/>
        </w:trPr>
        <w:tc>
          <w:tcPr>
            <w:tcW w:w="3100" w:type="dxa"/>
            <w:tcBorders>
              <w:top w:val="nil"/>
              <w:left w:val="nil"/>
              <w:bottom w:val="nil"/>
              <w:right w:val="nil"/>
            </w:tcBorders>
            <w:shd w:val="clear" w:color="auto" w:fill="auto"/>
            <w:noWrap/>
            <w:vAlign w:val="bottom"/>
            <w:hideMark/>
          </w:tcPr>
          <w:p w:rsidR="00715BEF" w:rsidRPr="00715BEF" w:rsidRDefault="00715BEF" w:rsidP="00715BEF">
            <w:pPr>
              <w:spacing w:after="0" w:line="240" w:lineRule="auto"/>
              <w:rPr>
                <w:rFonts w:ascii="Calibri" w:eastAsia="Times New Roman" w:hAnsi="Calibri" w:cs="Calibri"/>
                <w:color w:val="000000"/>
              </w:rPr>
            </w:pPr>
            <w:r w:rsidRPr="00715BEF">
              <w:rPr>
                <w:rFonts w:ascii="Calibri" w:eastAsia="Times New Roman" w:hAnsi="Calibri" w:cs="Calibri"/>
                <w:color w:val="000000"/>
              </w:rPr>
              <w:t>CBC</w:t>
            </w:r>
          </w:p>
        </w:tc>
        <w:tc>
          <w:tcPr>
            <w:tcW w:w="4240" w:type="dxa"/>
            <w:tcBorders>
              <w:top w:val="nil"/>
              <w:left w:val="nil"/>
              <w:bottom w:val="nil"/>
              <w:right w:val="nil"/>
            </w:tcBorders>
            <w:shd w:val="clear" w:color="auto" w:fill="auto"/>
            <w:noWrap/>
            <w:vAlign w:val="bottom"/>
            <w:hideMark/>
          </w:tcPr>
          <w:p w:rsidR="00715BEF" w:rsidRPr="00715BEF" w:rsidRDefault="00715BEF" w:rsidP="00715BEF">
            <w:pPr>
              <w:spacing w:after="0" w:line="240" w:lineRule="auto"/>
              <w:rPr>
                <w:rFonts w:ascii="Calibri" w:eastAsia="Times New Roman" w:hAnsi="Calibri" w:cs="Calibri"/>
                <w:color w:val="000000"/>
              </w:rPr>
            </w:pPr>
            <w:r w:rsidRPr="00715BEF">
              <w:rPr>
                <w:rFonts w:ascii="Calibri" w:eastAsia="Times New Roman" w:hAnsi="Calibri" w:cs="Calibri"/>
                <w:color w:val="000000"/>
              </w:rPr>
              <w:t>Cannabichromene</w:t>
            </w:r>
          </w:p>
        </w:tc>
      </w:tr>
      <w:tr w:rsidR="00715BEF" w:rsidRPr="00715BEF" w:rsidTr="00715BEF">
        <w:trPr>
          <w:trHeight w:val="300"/>
        </w:trPr>
        <w:tc>
          <w:tcPr>
            <w:tcW w:w="3100" w:type="dxa"/>
            <w:tcBorders>
              <w:top w:val="nil"/>
              <w:left w:val="nil"/>
              <w:bottom w:val="nil"/>
              <w:right w:val="nil"/>
            </w:tcBorders>
            <w:shd w:val="clear" w:color="auto" w:fill="auto"/>
            <w:noWrap/>
            <w:vAlign w:val="bottom"/>
            <w:hideMark/>
          </w:tcPr>
          <w:p w:rsidR="00715BEF" w:rsidRPr="00715BEF" w:rsidRDefault="00715BEF" w:rsidP="00715BEF">
            <w:pPr>
              <w:spacing w:after="0" w:line="240" w:lineRule="auto"/>
              <w:rPr>
                <w:rFonts w:ascii="Calibri" w:eastAsia="Times New Roman" w:hAnsi="Calibri" w:cs="Calibri"/>
                <w:color w:val="000000"/>
              </w:rPr>
            </w:pPr>
            <w:r w:rsidRPr="00715BEF">
              <w:rPr>
                <w:rFonts w:ascii="Calibri" w:eastAsia="Times New Roman" w:hAnsi="Calibri" w:cs="Calibri"/>
                <w:color w:val="000000"/>
              </w:rPr>
              <w:t>CBD</w:t>
            </w:r>
          </w:p>
        </w:tc>
        <w:tc>
          <w:tcPr>
            <w:tcW w:w="4240" w:type="dxa"/>
            <w:tcBorders>
              <w:top w:val="nil"/>
              <w:left w:val="nil"/>
              <w:bottom w:val="nil"/>
              <w:right w:val="nil"/>
            </w:tcBorders>
            <w:shd w:val="clear" w:color="auto" w:fill="auto"/>
            <w:noWrap/>
            <w:vAlign w:val="bottom"/>
            <w:hideMark/>
          </w:tcPr>
          <w:p w:rsidR="00715BEF" w:rsidRPr="00715BEF" w:rsidRDefault="00715BEF" w:rsidP="00715BEF">
            <w:pPr>
              <w:spacing w:after="0" w:line="240" w:lineRule="auto"/>
              <w:rPr>
                <w:rFonts w:ascii="Calibri" w:eastAsia="Times New Roman" w:hAnsi="Calibri" w:cs="Calibri"/>
                <w:color w:val="000000"/>
              </w:rPr>
            </w:pPr>
            <w:r w:rsidRPr="00715BEF">
              <w:rPr>
                <w:rFonts w:ascii="Calibri" w:eastAsia="Times New Roman" w:hAnsi="Calibri" w:cs="Calibri"/>
                <w:color w:val="000000"/>
              </w:rPr>
              <w:t>Cannabidiol</w:t>
            </w:r>
          </w:p>
        </w:tc>
      </w:tr>
      <w:tr w:rsidR="00715BEF" w:rsidRPr="00715BEF" w:rsidTr="00715BEF">
        <w:trPr>
          <w:trHeight w:val="300"/>
        </w:trPr>
        <w:tc>
          <w:tcPr>
            <w:tcW w:w="3100" w:type="dxa"/>
            <w:tcBorders>
              <w:top w:val="nil"/>
              <w:left w:val="nil"/>
              <w:bottom w:val="nil"/>
              <w:right w:val="nil"/>
            </w:tcBorders>
            <w:shd w:val="clear" w:color="auto" w:fill="auto"/>
            <w:noWrap/>
            <w:vAlign w:val="bottom"/>
            <w:hideMark/>
          </w:tcPr>
          <w:p w:rsidR="00715BEF" w:rsidRPr="00715BEF" w:rsidRDefault="00715BEF" w:rsidP="00715BEF">
            <w:pPr>
              <w:spacing w:after="0" w:line="240" w:lineRule="auto"/>
              <w:rPr>
                <w:rFonts w:ascii="Calibri" w:eastAsia="Times New Roman" w:hAnsi="Calibri" w:cs="Calibri"/>
                <w:color w:val="000000"/>
              </w:rPr>
            </w:pPr>
            <w:r w:rsidRPr="00715BEF">
              <w:rPr>
                <w:rFonts w:ascii="Calibri" w:eastAsia="Times New Roman" w:hAnsi="Calibri" w:cs="Calibri"/>
                <w:color w:val="000000"/>
              </w:rPr>
              <w:t>CBDA</w:t>
            </w:r>
          </w:p>
        </w:tc>
        <w:tc>
          <w:tcPr>
            <w:tcW w:w="4240" w:type="dxa"/>
            <w:tcBorders>
              <w:top w:val="nil"/>
              <w:left w:val="nil"/>
              <w:bottom w:val="nil"/>
              <w:right w:val="nil"/>
            </w:tcBorders>
            <w:shd w:val="clear" w:color="auto" w:fill="auto"/>
            <w:noWrap/>
            <w:vAlign w:val="bottom"/>
            <w:hideMark/>
          </w:tcPr>
          <w:p w:rsidR="00715BEF" w:rsidRPr="00715BEF" w:rsidRDefault="00715BEF" w:rsidP="00715BEF">
            <w:pPr>
              <w:spacing w:after="0" w:line="240" w:lineRule="auto"/>
              <w:rPr>
                <w:rFonts w:ascii="Calibri" w:eastAsia="Times New Roman" w:hAnsi="Calibri" w:cs="Calibri"/>
                <w:color w:val="000000"/>
              </w:rPr>
            </w:pPr>
            <w:r w:rsidRPr="00715BEF">
              <w:rPr>
                <w:rFonts w:ascii="Calibri" w:eastAsia="Times New Roman" w:hAnsi="Calibri" w:cs="Calibri"/>
                <w:color w:val="000000"/>
              </w:rPr>
              <w:t>Cannabidiolic Acid</w:t>
            </w:r>
          </w:p>
        </w:tc>
      </w:tr>
      <w:tr w:rsidR="00715BEF" w:rsidRPr="00715BEF" w:rsidTr="00715BEF">
        <w:trPr>
          <w:trHeight w:val="300"/>
        </w:trPr>
        <w:tc>
          <w:tcPr>
            <w:tcW w:w="3100" w:type="dxa"/>
            <w:tcBorders>
              <w:top w:val="nil"/>
              <w:left w:val="nil"/>
              <w:bottom w:val="nil"/>
              <w:right w:val="nil"/>
            </w:tcBorders>
            <w:shd w:val="clear" w:color="auto" w:fill="auto"/>
            <w:noWrap/>
            <w:vAlign w:val="bottom"/>
            <w:hideMark/>
          </w:tcPr>
          <w:p w:rsidR="00715BEF" w:rsidRPr="00715BEF" w:rsidRDefault="00715BEF" w:rsidP="00715BEF">
            <w:pPr>
              <w:spacing w:after="0" w:line="240" w:lineRule="auto"/>
              <w:rPr>
                <w:rFonts w:ascii="Calibri" w:eastAsia="Times New Roman" w:hAnsi="Calibri" w:cs="Calibri"/>
                <w:color w:val="000000"/>
              </w:rPr>
            </w:pPr>
            <w:r w:rsidRPr="00715BEF">
              <w:rPr>
                <w:rFonts w:ascii="Calibri" w:eastAsia="Times New Roman" w:hAnsi="Calibri" w:cs="Calibri"/>
                <w:color w:val="000000"/>
              </w:rPr>
              <w:t>CBG</w:t>
            </w:r>
          </w:p>
        </w:tc>
        <w:tc>
          <w:tcPr>
            <w:tcW w:w="4240" w:type="dxa"/>
            <w:tcBorders>
              <w:top w:val="nil"/>
              <w:left w:val="nil"/>
              <w:bottom w:val="nil"/>
              <w:right w:val="nil"/>
            </w:tcBorders>
            <w:shd w:val="clear" w:color="auto" w:fill="auto"/>
            <w:noWrap/>
            <w:vAlign w:val="bottom"/>
            <w:hideMark/>
          </w:tcPr>
          <w:p w:rsidR="00715BEF" w:rsidRPr="00715BEF" w:rsidRDefault="00715BEF" w:rsidP="00715BEF">
            <w:pPr>
              <w:spacing w:after="0" w:line="240" w:lineRule="auto"/>
              <w:rPr>
                <w:rFonts w:ascii="Calibri" w:eastAsia="Times New Roman" w:hAnsi="Calibri" w:cs="Calibri"/>
                <w:color w:val="000000"/>
              </w:rPr>
            </w:pPr>
            <w:r w:rsidRPr="00715BEF">
              <w:rPr>
                <w:rFonts w:ascii="Calibri" w:eastAsia="Times New Roman" w:hAnsi="Calibri" w:cs="Calibri"/>
                <w:color w:val="000000"/>
              </w:rPr>
              <w:t xml:space="preserve">Cannabigerol </w:t>
            </w:r>
          </w:p>
        </w:tc>
      </w:tr>
      <w:tr w:rsidR="00715BEF" w:rsidRPr="00715BEF" w:rsidTr="00715BEF">
        <w:trPr>
          <w:trHeight w:val="300"/>
        </w:trPr>
        <w:tc>
          <w:tcPr>
            <w:tcW w:w="3100" w:type="dxa"/>
            <w:tcBorders>
              <w:top w:val="nil"/>
              <w:left w:val="nil"/>
              <w:bottom w:val="nil"/>
              <w:right w:val="nil"/>
            </w:tcBorders>
            <w:shd w:val="clear" w:color="auto" w:fill="auto"/>
            <w:noWrap/>
            <w:vAlign w:val="bottom"/>
            <w:hideMark/>
          </w:tcPr>
          <w:p w:rsidR="00715BEF" w:rsidRPr="00715BEF" w:rsidRDefault="00715BEF" w:rsidP="00715BEF">
            <w:pPr>
              <w:spacing w:after="0" w:line="240" w:lineRule="auto"/>
              <w:rPr>
                <w:rFonts w:ascii="Calibri" w:eastAsia="Times New Roman" w:hAnsi="Calibri" w:cs="Calibri"/>
                <w:color w:val="000000"/>
              </w:rPr>
            </w:pPr>
            <w:r w:rsidRPr="00715BEF">
              <w:rPr>
                <w:rFonts w:ascii="Calibri" w:eastAsia="Times New Roman" w:hAnsi="Calibri" w:cs="Calibri"/>
                <w:color w:val="000000"/>
              </w:rPr>
              <w:t>CBN</w:t>
            </w:r>
          </w:p>
        </w:tc>
        <w:tc>
          <w:tcPr>
            <w:tcW w:w="4240" w:type="dxa"/>
            <w:tcBorders>
              <w:top w:val="nil"/>
              <w:left w:val="nil"/>
              <w:bottom w:val="nil"/>
              <w:right w:val="nil"/>
            </w:tcBorders>
            <w:shd w:val="clear" w:color="auto" w:fill="auto"/>
            <w:noWrap/>
            <w:vAlign w:val="bottom"/>
            <w:hideMark/>
          </w:tcPr>
          <w:p w:rsidR="00715BEF" w:rsidRPr="00715BEF" w:rsidRDefault="00715BEF" w:rsidP="00715BEF">
            <w:pPr>
              <w:spacing w:after="0" w:line="240" w:lineRule="auto"/>
              <w:rPr>
                <w:rFonts w:ascii="Calibri" w:eastAsia="Times New Roman" w:hAnsi="Calibri" w:cs="Calibri"/>
                <w:color w:val="000000"/>
              </w:rPr>
            </w:pPr>
            <w:r w:rsidRPr="00715BEF">
              <w:rPr>
                <w:rFonts w:ascii="Calibri" w:eastAsia="Times New Roman" w:hAnsi="Calibri" w:cs="Calibri"/>
                <w:color w:val="000000"/>
              </w:rPr>
              <w:t>Cannabinol</w:t>
            </w:r>
          </w:p>
        </w:tc>
      </w:tr>
      <w:tr w:rsidR="00715BEF" w:rsidRPr="00715BEF" w:rsidTr="00715BEF">
        <w:trPr>
          <w:trHeight w:val="300"/>
        </w:trPr>
        <w:tc>
          <w:tcPr>
            <w:tcW w:w="3100" w:type="dxa"/>
            <w:tcBorders>
              <w:top w:val="nil"/>
              <w:left w:val="nil"/>
              <w:bottom w:val="nil"/>
              <w:right w:val="nil"/>
            </w:tcBorders>
            <w:shd w:val="clear" w:color="auto" w:fill="auto"/>
            <w:noWrap/>
            <w:vAlign w:val="bottom"/>
            <w:hideMark/>
          </w:tcPr>
          <w:p w:rsidR="00715BEF" w:rsidRPr="00715BEF" w:rsidRDefault="00715BEF" w:rsidP="00715BEF">
            <w:pPr>
              <w:spacing w:after="0" w:line="240" w:lineRule="auto"/>
              <w:rPr>
                <w:rFonts w:ascii="Calibri" w:eastAsia="Times New Roman" w:hAnsi="Calibri" w:cs="Calibri"/>
                <w:color w:val="000000"/>
              </w:rPr>
            </w:pPr>
            <w:r w:rsidRPr="00715BEF">
              <w:rPr>
                <w:rFonts w:ascii="Calibri" w:eastAsia="Times New Roman" w:hAnsi="Calibri" w:cs="Calibri"/>
                <w:color w:val="000000"/>
              </w:rPr>
              <w:t>E-Cigarette</w:t>
            </w:r>
          </w:p>
        </w:tc>
        <w:tc>
          <w:tcPr>
            <w:tcW w:w="4240" w:type="dxa"/>
            <w:tcBorders>
              <w:top w:val="nil"/>
              <w:left w:val="nil"/>
              <w:bottom w:val="nil"/>
              <w:right w:val="nil"/>
            </w:tcBorders>
            <w:shd w:val="clear" w:color="auto" w:fill="auto"/>
            <w:noWrap/>
            <w:vAlign w:val="bottom"/>
            <w:hideMark/>
          </w:tcPr>
          <w:p w:rsidR="00715BEF" w:rsidRPr="00715BEF" w:rsidRDefault="00715BEF" w:rsidP="00715BEF">
            <w:pPr>
              <w:spacing w:after="0" w:line="240" w:lineRule="auto"/>
              <w:rPr>
                <w:rFonts w:ascii="Calibri" w:eastAsia="Times New Roman" w:hAnsi="Calibri" w:cs="Calibri"/>
                <w:color w:val="000000"/>
              </w:rPr>
            </w:pPr>
            <w:r w:rsidRPr="00715BEF">
              <w:rPr>
                <w:rFonts w:ascii="Calibri" w:eastAsia="Times New Roman" w:hAnsi="Calibri" w:cs="Calibri"/>
                <w:color w:val="000000"/>
              </w:rPr>
              <w:t>Electronic Cigarette</w:t>
            </w:r>
          </w:p>
        </w:tc>
      </w:tr>
      <w:tr w:rsidR="00715BEF" w:rsidRPr="00715BEF" w:rsidTr="00715BEF">
        <w:trPr>
          <w:trHeight w:val="300"/>
        </w:trPr>
        <w:tc>
          <w:tcPr>
            <w:tcW w:w="3100" w:type="dxa"/>
            <w:tcBorders>
              <w:top w:val="nil"/>
              <w:left w:val="nil"/>
              <w:bottom w:val="nil"/>
              <w:right w:val="nil"/>
            </w:tcBorders>
            <w:shd w:val="clear" w:color="auto" w:fill="auto"/>
            <w:noWrap/>
            <w:vAlign w:val="bottom"/>
            <w:hideMark/>
          </w:tcPr>
          <w:p w:rsidR="00715BEF" w:rsidRPr="00715BEF" w:rsidRDefault="00715BEF" w:rsidP="00715BEF">
            <w:pPr>
              <w:spacing w:after="0" w:line="240" w:lineRule="auto"/>
              <w:rPr>
                <w:rFonts w:ascii="Calibri" w:eastAsia="Times New Roman" w:hAnsi="Calibri" w:cs="Calibri"/>
                <w:color w:val="000000"/>
              </w:rPr>
            </w:pPr>
            <w:r w:rsidRPr="00715BEF">
              <w:rPr>
                <w:rFonts w:ascii="Calibri" w:eastAsia="Times New Roman" w:hAnsi="Calibri" w:cs="Calibri"/>
                <w:color w:val="000000"/>
              </w:rPr>
              <w:t>E-Liquid</w:t>
            </w:r>
          </w:p>
        </w:tc>
        <w:tc>
          <w:tcPr>
            <w:tcW w:w="4240" w:type="dxa"/>
            <w:tcBorders>
              <w:top w:val="nil"/>
              <w:left w:val="nil"/>
              <w:bottom w:val="nil"/>
              <w:right w:val="nil"/>
            </w:tcBorders>
            <w:shd w:val="clear" w:color="auto" w:fill="auto"/>
            <w:noWrap/>
            <w:vAlign w:val="bottom"/>
            <w:hideMark/>
          </w:tcPr>
          <w:p w:rsidR="00715BEF" w:rsidRPr="00715BEF" w:rsidRDefault="00715BEF" w:rsidP="00715BEF">
            <w:pPr>
              <w:spacing w:after="0" w:line="240" w:lineRule="auto"/>
              <w:rPr>
                <w:rFonts w:ascii="Calibri" w:eastAsia="Times New Roman" w:hAnsi="Calibri" w:cs="Calibri"/>
                <w:color w:val="000000"/>
              </w:rPr>
            </w:pPr>
            <w:r w:rsidRPr="00715BEF">
              <w:rPr>
                <w:rFonts w:ascii="Calibri" w:eastAsia="Times New Roman" w:hAnsi="Calibri" w:cs="Calibri"/>
                <w:color w:val="000000"/>
              </w:rPr>
              <w:t>Electronic Cigarette Refill Liquid</w:t>
            </w:r>
          </w:p>
        </w:tc>
      </w:tr>
      <w:tr w:rsidR="00715BEF" w:rsidRPr="00715BEF" w:rsidTr="00715BEF">
        <w:trPr>
          <w:trHeight w:val="300"/>
        </w:trPr>
        <w:tc>
          <w:tcPr>
            <w:tcW w:w="3100" w:type="dxa"/>
            <w:tcBorders>
              <w:top w:val="nil"/>
              <w:left w:val="nil"/>
              <w:bottom w:val="nil"/>
              <w:right w:val="nil"/>
            </w:tcBorders>
            <w:shd w:val="clear" w:color="auto" w:fill="auto"/>
            <w:noWrap/>
            <w:vAlign w:val="bottom"/>
            <w:hideMark/>
          </w:tcPr>
          <w:p w:rsidR="00715BEF" w:rsidRPr="00715BEF" w:rsidRDefault="00715BEF" w:rsidP="00715BEF">
            <w:pPr>
              <w:spacing w:after="0" w:line="240" w:lineRule="auto"/>
              <w:rPr>
                <w:rFonts w:ascii="Calibri" w:eastAsia="Times New Roman" w:hAnsi="Calibri" w:cs="Calibri"/>
                <w:color w:val="000000"/>
              </w:rPr>
            </w:pPr>
            <w:r w:rsidRPr="00715BEF">
              <w:rPr>
                <w:rFonts w:ascii="Calibri" w:eastAsia="Times New Roman" w:hAnsi="Calibri" w:cs="Calibri"/>
                <w:color w:val="000000"/>
              </w:rPr>
              <w:t>EU</w:t>
            </w:r>
          </w:p>
        </w:tc>
        <w:tc>
          <w:tcPr>
            <w:tcW w:w="4240" w:type="dxa"/>
            <w:tcBorders>
              <w:top w:val="nil"/>
              <w:left w:val="nil"/>
              <w:bottom w:val="nil"/>
              <w:right w:val="nil"/>
            </w:tcBorders>
            <w:shd w:val="clear" w:color="auto" w:fill="auto"/>
            <w:noWrap/>
            <w:vAlign w:val="bottom"/>
            <w:hideMark/>
          </w:tcPr>
          <w:p w:rsidR="00715BEF" w:rsidRPr="00715BEF" w:rsidRDefault="00715BEF" w:rsidP="00715BEF">
            <w:pPr>
              <w:spacing w:after="0" w:line="240" w:lineRule="auto"/>
              <w:rPr>
                <w:rFonts w:ascii="Calibri" w:eastAsia="Times New Roman" w:hAnsi="Calibri" w:cs="Calibri"/>
                <w:color w:val="000000"/>
              </w:rPr>
            </w:pPr>
            <w:r w:rsidRPr="00715BEF">
              <w:rPr>
                <w:rFonts w:ascii="Calibri" w:eastAsia="Times New Roman" w:hAnsi="Calibri" w:cs="Calibri"/>
                <w:color w:val="000000"/>
              </w:rPr>
              <w:t>European Union</w:t>
            </w:r>
          </w:p>
        </w:tc>
      </w:tr>
      <w:tr w:rsidR="00715BEF" w:rsidRPr="00715BEF" w:rsidTr="00715BEF">
        <w:trPr>
          <w:trHeight w:val="300"/>
        </w:trPr>
        <w:tc>
          <w:tcPr>
            <w:tcW w:w="3100" w:type="dxa"/>
            <w:tcBorders>
              <w:top w:val="nil"/>
              <w:left w:val="nil"/>
              <w:bottom w:val="nil"/>
              <w:right w:val="nil"/>
            </w:tcBorders>
            <w:shd w:val="clear" w:color="auto" w:fill="auto"/>
            <w:noWrap/>
            <w:vAlign w:val="bottom"/>
            <w:hideMark/>
          </w:tcPr>
          <w:p w:rsidR="00715BEF" w:rsidRPr="00715BEF" w:rsidRDefault="00715BEF" w:rsidP="00715BEF">
            <w:pPr>
              <w:spacing w:after="0" w:line="240" w:lineRule="auto"/>
              <w:rPr>
                <w:rFonts w:ascii="Calibri" w:eastAsia="Times New Roman" w:hAnsi="Calibri" w:cs="Calibri"/>
                <w:color w:val="000000"/>
              </w:rPr>
            </w:pPr>
            <w:r w:rsidRPr="00715BEF">
              <w:rPr>
                <w:rFonts w:ascii="Calibri" w:eastAsia="Times New Roman" w:hAnsi="Calibri" w:cs="Calibri"/>
                <w:color w:val="000000"/>
              </w:rPr>
              <w:t>FID</w:t>
            </w:r>
          </w:p>
        </w:tc>
        <w:tc>
          <w:tcPr>
            <w:tcW w:w="4240" w:type="dxa"/>
            <w:tcBorders>
              <w:top w:val="nil"/>
              <w:left w:val="nil"/>
              <w:bottom w:val="nil"/>
              <w:right w:val="nil"/>
            </w:tcBorders>
            <w:shd w:val="clear" w:color="auto" w:fill="auto"/>
            <w:noWrap/>
            <w:vAlign w:val="bottom"/>
            <w:hideMark/>
          </w:tcPr>
          <w:p w:rsidR="00715BEF" w:rsidRPr="00715BEF" w:rsidRDefault="00715BEF" w:rsidP="00715BEF">
            <w:pPr>
              <w:spacing w:after="0" w:line="240" w:lineRule="auto"/>
              <w:rPr>
                <w:rFonts w:ascii="Calibri" w:eastAsia="Times New Roman" w:hAnsi="Calibri" w:cs="Calibri"/>
                <w:color w:val="000000"/>
              </w:rPr>
            </w:pPr>
            <w:r w:rsidRPr="00715BEF">
              <w:rPr>
                <w:rFonts w:ascii="Calibri" w:eastAsia="Times New Roman" w:hAnsi="Calibri" w:cs="Calibri"/>
                <w:color w:val="000000"/>
              </w:rPr>
              <w:t>Flame Ionization Detector</w:t>
            </w:r>
          </w:p>
        </w:tc>
      </w:tr>
      <w:tr w:rsidR="00715BEF" w:rsidRPr="00715BEF" w:rsidTr="00715BEF">
        <w:trPr>
          <w:trHeight w:val="300"/>
        </w:trPr>
        <w:tc>
          <w:tcPr>
            <w:tcW w:w="3100" w:type="dxa"/>
            <w:tcBorders>
              <w:top w:val="nil"/>
              <w:left w:val="nil"/>
              <w:bottom w:val="nil"/>
              <w:right w:val="nil"/>
            </w:tcBorders>
            <w:shd w:val="clear" w:color="auto" w:fill="auto"/>
            <w:noWrap/>
            <w:vAlign w:val="bottom"/>
            <w:hideMark/>
          </w:tcPr>
          <w:p w:rsidR="00715BEF" w:rsidRPr="00715BEF" w:rsidRDefault="00715BEF" w:rsidP="00715BEF">
            <w:pPr>
              <w:spacing w:after="0" w:line="240" w:lineRule="auto"/>
              <w:rPr>
                <w:rFonts w:ascii="Calibri" w:eastAsia="Times New Roman" w:hAnsi="Calibri" w:cs="Calibri"/>
                <w:color w:val="000000"/>
              </w:rPr>
            </w:pPr>
            <w:r w:rsidRPr="00715BEF">
              <w:rPr>
                <w:rFonts w:ascii="Calibri" w:eastAsia="Times New Roman" w:hAnsi="Calibri" w:cs="Calibri"/>
                <w:color w:val="000000"/>
              </w:rPr>
              <w:t>GC</w:t>
            </w:r>
          </w:p>
        </w:tc>
        <w:tc>
          <w:tcPr>
            <w:tcW w:w="4240" w:type="dxa"/>
            <w:tcBorders>
              <w:top w:val="nil"/>
              <w:left w:val="nil"/>
              <w:bottom w:val="nil"/>
              <w:right w:val="nil"/>
            </w:tcBorders>
            <w:shd w:val="clear" w:color="auto" w:fill="auto"/>
            <w:noWrap/>
            <w:vAlign w:val="bottom"/>
            <w:hideMark/>
          </w:tcPr>
          <w:p w:rsidR="00715BEF" w:rsidRPr="00715BEF" w:rsidRDefault="00715BEF" w:rsidP="00715BEF">
            <w:pPr>
              <w:spacing w:after="0" w:line="240" w:lineRule="auto"/>
              <w:rPr>
                <w:rFonts w:ascii="Calibri" w:eastAsia="Times New Roman" w:hAnsi="Calibri" w:cs="Calibri"/>
                <w:color w:val="000000"/>
              </w:rPr>
            </w:pPr>
            <w:r w:rsidRPr="00715BEF">
              <w:rPr>
                <w:rFonts w:ascii="Calibri" w:eastAsia="Times New Roman" w:hAnsi="Calibri" w:cs="Calibri"/>
                <w:color w:val="000000"/>
              </w:rPr>
              <w:t>Gas Chromatography</w:t>
            </w:r>
          </w:p>
        </w:tc>
      </w:tr>
      <w:tr w:rsidR="00715BEF" w:rsidRPr="00715BEF" w:rsidTr="00715BEF">
        <w:trPr>
          <w:trHeight w:val="300"/>
        </w:trPr>
        <w:tc>
          <w:tcPr>
            <w:tcW w:w="3100" w:type="dxa"/>
            <w:tcBorders>
              <w:top w:val="nil"/>
              <w:left w:val="nil"/>
              <w:bottom w:val="nil"/>
              <w:right w:val="nil"/>
            </w:tcBorders>
            <w:shd w:val="clear" w:color="auto" w:fill="auto"/>
            <w:noWrap/>
            <w:vAlign w:val="bottom"/>
            <w:hideMark/>
          </w:tcPr>
          <w:p w:rsidR="00715BEF" w:rsidRPr="00715BEF" w:rsidRDefault="00715BEF" w:rsidP="00715BEF">
            <w:pPr>
              <w:spacing w:after="0" w:line="240" w:lineRule="auto"/>
              <w:rPr>
                <w:rFonts w:ascii="Calibri" w:eastAsia="Times New Roman" w:hAnsi="Calibri" w:cs="Calibri"/>
                <w:color w:val="000000"/>
              </w:rPr>
            </w:pPr>
            <w:r w:rsidRPr="00715BEF">
              <w:rPr>
                <w:rFonts w:ascii="Calibri" w:eastAsia="Times New Roman" w:hAnsi="Calibri" w:cs="Calibri"/>
                <w:color w:val="000000"/>
              </w:rPr>
              <w:t>HPLC</w:t>
            </w:r>
          </w:p>
        </w:tc>
        <w:tc>
          <w:tcPr>
            <w:tcW w:w="4240" w:type="dxa"/>
            <w:tcBorders>
              <w:top w:val="nil"/>
              <w:left w:val="nil"/>
              <w:bottom w:val="nil"/>
              <w:right w:val="nil"/>
            </w:tcBorders>
            <w:shd w:val="clear" w:color="auto" w:fill="auto"/>
            <w:noWrap/>
            <w:vAlign w:val="bottom"/>
            <w:hideMark/>
          </w:tcPr>
          <w:p w:rsidR="00715BEF" w:rsidRPr="00715BEF" w:rsidRDefault="00715BEF" w:rsidP="00715BEF">
            <w:pPr>
              <w:spacing w:after="0" w:line="240" w:lineRule="auto"/>
              <w:rPr>
                <w:rFonts w:ascii="Calibri" w:eastAsia="Times New Roman" w:hAnsi="Calibri" w:cs="Calibri"/>
                <w:color w:val="000000"/>
              </w:rPr>
            </w:pPr>
            <w:r w:rsidRPr="00715BEF">
              <w:rPr>
                <w:rFonts w:ascii="Calibri" w:eastAsia="Times New Roman" w:hAnsi="Calibri" w:cs="Calibri"/>
                <w:color w:val="000000"/>
              </w:rPr>
              <w:t xml:space="preserve">High Performance Liquid Chromatography </w:t>
            </w:r>
          </w:p>
        </w:tc>
      </w:tr>
      <w:tr w:rsidR="00715BEF" w:rsidRPr="00715BEF" w:rsidTr="00715BEF">
        <w:trPr>
          <w:trHeight w:val="300"/>
        </w:trPr>
        <w:tc>
          <w:tcPr>
            <w:tcW w:w="3100" w:type="dxa"/>
            <w:tcBorders>
              <w:top w:val="nil"/>
              <w:left w:val="nil"/>
              <w:bottom w:val="nil"/>
              <w:right w:val="nil"/>
            </w:tcBorders>
            <w:shd w:val="clear" w:color="auto" w:fill="auto"/>
            <w:noWrap/>
            <w:vAlign w:val="bottom"/>
            <w:hideMark/>
          </w:tcPr>
          <w:p w:rsidR="00715BEF" w:rsidRPr="00715BEF" w:rsidRDefault="00715BEF" w:rsidP="00715BEF">
            <w:pPr>
              <w:spacing w:after="0" w:line="240" w:lineRule="auto"/>
              <w:rPr>
                <w:rFonts w:ascii="Calibri" w:eastAsia="Times New Roman" w:hAnsi="Calibri" w:cs="Calibri"/>
                <w:color w:val="000000"/>
              </w:rPr>
            </w:pPr>
            <w:r w:rsidRPr="00715BEF">
              <w:rPr>
                <w:rFonts w:ascii="Calibri" w:eastAsia="Times New Roman" w:hAnsi="Calibri" w:cs="Calibri"/>
                <w:color w:val="000000"/>
              </w:rPr>
              <w:t>HS</w:t>
            </w:r>
          </w:p>
        </w:tc>
        <w:tc>
          <w:tcPr>
            <w:tcW w:w="4240" w:type="dxa"/>
            <w:tcBorders>
              <w:top w:val="nil"/>
              <w:left w:val="nil"/>
              <w:bottom w:val="nil"/>
              <w:right w:val="nil"/>
            </w:tcBorders>
            <w:shd w:val="clear" w:color="auto" w:fill="auto"/>
            <w:noWrap/>
            <w:vAlign w:val="bottom"/>
            <w:hideMark/>
          </w:tcPr>
          <w:p w:rsidR="00715BEF" w:rsidRPr="00715BEF" w:rsidRDefault="00715BEF" w:rsidP="00715BEF">
            <w:pPr>
              <w:spacing w:after="0" w:line="240" w:lineRule="auto"/>
              <w:rPr>
                <w:rFonts w:ascii="Calibri" w:eastAsia="Times New Roman" w:hAnsi="Calibri" w:cs="Calibri"/>
                <w:color w:val="000000"/>
              </w:rPr>
            </w:pPr>
            <w:r w:rsidRPr="00715BEF">
              <w:rPr>
                <w:rFonts w:ascii="Calibri" w:eastAsia="Times New Roman" w:hAnsi="Calibri" w:cs="Calibri"/>
                <w:color w:val="000000"/>
              </w:rPr>
              <w:t>Headspace</w:t>
            </w:r>
          </w:p>
        </w:tc>
      </w:tr>
      <w:tr w:rsidR="00715BEF" w:rsidRPr="00715BEF" w:rsidTr="00715BEF">
        <w:trPr>
          <w:trHeight w:val="300"/>
        </w:trPr>
        <w:tc>
          <w:tcPr>
            <w:tcW w:w="3100" w:type="dxa"/>
            <w:tcBorders>
              <w:top w:val="nil"/>
              <w:left w:val="nil"/>
              <w:bottom w:val="nil"/>
              <w:right w:val="nil"/>
            </w:tcBorders>
            <w:shd w:val="clear" w:color="auto" w:fill="auto"/>
            <w:noWrap/>
            <w:vAlign w:val="bottom"/>
            <w:hideMark/>
          </w:tcPr>
          <w:p w:rsidR="00715BEF" w:rsidRPr="00715BEF" w:rsidRDefault="00715BEF" w:rsidP="00715BEF">
            <w:pPr>
              <w:spacing w:after="0" w:line="240" w:lineRule="auto"/>
              <w:rPr>
                <w:rFonts w:ascii="Calibri" w:eastAsia="Times New Roman" w:hAnsi="Calibri" w:cs="Calibri"/>
                <w:color w:val="000000"/>
              </w:rPr>
            </w:pPr>
            <w:r w:rsidRPr="00715BEF">
              <w:rPr>
                <w:rFonts w:ascii="Calibri" w:eastAsia="Times New Roman" w:hAnsi="Calibri" w:cs="Calibri"/>
                <w:color w:val="000000"/>
              </w:rPr>
              <w:t>IS</w:t>
            </w:r>
          </w:p>
        </w:tc>
        <w:tc>
          <w:tcPr>
            <w:tcW w:w="4240" w:type="dxa"/>
            <w:tcBorders>
              <w:top w:val="nil"/>
              <w:left w:val="nil"/>
              <w:bottom w:val="nil"/>
              <w:right w:val="nil"/>
            </w:tcBorders>
            <w:shd w:val="clear" w:color="auto" w:fill="auto"/>
            <w:noWrap/>
            <w:vAlign w:val="bottom"/>
            <w:hideMark/>
          </w:tcPr>
          <w:p w:rsidR="00715BEF" w:rsidRPr="00715BEF" w:rsidRDefault="00715BEF" w:rsidP="00715BEF">
            <w:pPr>
              <w:spacing w:after="0" w:line="240" w:lineRule="auto"/>
              <w:rPr>
                <w:rFonts w:ascii="Calibri" w:eastAsia="Times New Roman" w:hAnsi="Calibri" w:cs="Calibri"/>
                <w:color w:val="000000"/>
              </w:rPr>
            </w:pPr>
            <w:r w:rsidRPr="00715BEF">
              <w:rPr>
                <w:rFonts w:ascii="Calibri" w:eastAsia="Times New Roman" w:hAnsi="Calibri" w:cs="Calibri"/>
                <w:color w:val="000000"/>
              </w:rPr>
              <w:t>Internal Standard</w:t>
            </w:r>
          </w:p>
        </w:tc>
      </w:tr>
      <w:tr w:rsidR="00715BEF" w:rsidRPr="00715BEF" w:rsidTr="00715BEF">
        <w:trPr>
          <w:trHeight w:val="300"/>
        </w:trPr>
        <w:tc>
          <w:tcPr>
            <w:tcW w:w="3100" w:type="dxa"/>
            <w:tcBorders>
              <w:top w:val="nil"/>
              <w:left w:val="nil"/>
              <w:bottom w:val="nil"/>
              <w:right w:val="nil"/>
            </w:tcBorders>
            <w:shd w:val="clear" w:color="auto" w:fill="auto"/>
            <w:noWrap/>
            <w:vAlign w:val="bottom"/>
            <w:hideMark/>
          </w:tcPr>
          <w:p w:rsidR="00715BEF" w:rsidRPr="00715BEF" w:rsidRDefault="00715BEF" w:rsidP="00715BEF">
            <w:pPr>
              <w:spacing w:after="0" w:line="240" w:lineRule="auto"/>
              <w:rPr>
                <w:rFonts w:ascii="Calibri" w:eastAsia="Times New Roman" w:hAnsi="Calibri" w:cs="Calibri"/>
                <w:color w:val="000000"/>
              </w:rPr>
            </w:pPr>
            <w:r w:rsidRPr="00715BEF">
              <w:rPr>
                <w:rFonts w:ascii="Calibri" w:eastAsia="Times New Roman" w:hAnsi="Calibri" w:cs="Calibri"/>
                <w:color w:val="000000"/>
              </w:rPr>
              <w:t>LC</w:t>
            </w:r>
          </w:p>
        </w:tc>
        <w:tc>
          <w:tcPr>
            <w:tcW w:w="4240" w:type="dxa"/>
            <w:tcBorders>
              <w:top w:val="nil"/>
              <w:left w:val="nil"/>
              <w:bottom w:val="nil"/>
              <w:right w:val="nil"/>
            </w:tcBorders>
            <w:shd w:val="clear" w:color="auto" w:fill="auto"/>
            <w:noWrap/>
            <w:vAlign w:val="bottom"/>
            <w:hideMark/>
          </w:tcPr>
          <w:p w:rsidR="00715BEF" w:rsidRPr="00715BEF" w:rsidRDefault="00715BEF" w:rsidP="00715BEF">
            <w:pPr>
              <w:spacing w:after="0" w:line="240" w:lineRule="auto"/>
              <w:rPr>
                <w:rFonts w:ascii="Calibri" w:eastAsia="Times New Roman" w:hAnsi="Calibri" w:cs="Calibri"/>
                <w:color w:val="000000"/>
              </w:rPr>
            </w:pPr>
            <w:r w:rsidRPr="00715BEF">
              <w:rPr>
                <w:rFonts w:ascii="Calibri" w:eastAsia="Times New Roman" w:hAnsi="Calibri" w:cs="Calibri"/>
                <w:color w:val="000000"/>
              </w:rPr>
              <w:t xml:space="preserve">Liquid Chromatography </w:t>
            </w:r>
          </w:p>
        </w:tc>
      </w:tr>
      <w:tr w:rsidR="00715BEF" w:rsidRPr="00715BEF" w:rsidTr="00715BEF">
        <w:trPr>
          <w:trHeight w:val="300"/>
        </w:trPr>
        <w:tc>
          <w:tcPr>
            <w:tcW w:w="3100" w:type="dxa"/>
            <w:tcBorders>
              <w:top w:val="nil"/>
              <w:left w:val="nil"/>
              <w:bottom w:val="nil"/>
              <w:right w:val="nil"/>
            </w:tcBorders>
            <w:shd w:val="clear" w:color="auto" w:fill="auto"/>
            <w:noWrap/>
            <w:vAlign w:val="bottom"/>
            <w:hideMark/>
          </w:tcPr>
          <w:p w:rsidR="00715BEF" w:rsidRPr="00715BEF" w:rsidRDefault="00715BEF" w:rsidP="00715BEF">
            <w:pPr>
              <w:spacing w:after="0" w:line="240" w:lineRule="auto"/>
              <w:rPr>
                <w:rFonts w:ascii="Calibri" w:eastAsia="Times New Roman" w:hAnsi="Calibri" w:cs="Calibri"/>
                <w:color w:val="000000"/>
              </w:rPr>
            </w:pPr>
            <w:r w:rsidRPr="00715BEF">
              <w:rPr>
                <w:rFonts w:ascii="Calibri" w:eastAsia="Times New Roman" w:hAnsi="Calibri" w:cs="Calibri"/>
                <w:color w:val="000000"/>
              </w:rPr>
              <w:t>LOD</w:t>
            </w:r>
          </w:p>
        </w:tc>
        <w:tc>
          <w:tcPr>
            <w:tcW w:w="4240" w:type="dxa"/>
            <w:tcBorders>
              <w:top w:val="nil"/>
              <w:left w:val="nil"/>
              <w:bottom w:val="nil"/>
              <w:right w:val="nil"/>
            </w:tcBorders>
            <w:shd w:val="clear" w:color="auto" w:fill="auto"/>
            <w:noWrap/>
            <w:vAlign w:val="bottom"/>
            <w:hideMark/>
          </w:tcPr>
          <w:p w:rsidR="00715BEF" w:rsidRPr="00715BEF" w:rsidRDefault="00715BEF" w:rsidP="00715BEF">
            <w:pPr>
              <w:spacing w:after="0" w:line="240" w:lineRule="auto"/>
              <w:rPr>
                <w:rFonts w:ascii="Calibri" w:eastAsia="Times New Roman" w:hAnsi="Calibri" w:cs="Calibri"/>
                <w:color w:val="000000"/>
              </w:rPr>
            </w:pPr>
            <w:r w:rsidRPr="00715BEF">
              <w:rPr>
                <w:rFonts w:ascii="Calibri" w:eastAsia="Times New Roman" w:hAnsi="Calibri" w:cs="Calibri"/>
                <w:color w:val="000000"/>
              </w:rPr>
              <w:t>Limit of Detection</w:t>
            </w:r>
          </w:p>
        </w:tc>
      </w:tr>
      <w:tr w:rsidR="00715BEF" w:rsidRPr="00715BEF" w:rsidTr="00715BEF">
        <w:trPr>
          <w:trHeight w:val="300"/>
        </w:trPr>
        <w:tc>
          <w:tcPr>
            <w:tcW w:w="3100" w:type="dxa"/>
            <w:tcBorders>
              <w:top w:val="nil"/>
              <w:left w:val="nil"/>
              <w:bottom w:val="nil"/>
              <w:right w:val="nil"/>
            </w:tcBorders>
            <w:shd w:val="clear" w:color="auto" w:fill="auto"/>
            <w:noWrap/>
            <w:vAlign w:val="bottom"/>
            <w:hideMark/>
          </w:tcPr>
          <w:p w:rsidR="00715BEF" w:rsidRPr="00715BEF" w:rsidRDefault="00715BEF" w:rsidP="00715BEF">
            <w:pPr>
              <w:spacing w:after="0" w:line="240" w:lineRule="auto"/>
              <w:rPr>
                <w:rFonts w:ascii="Calibri" w:eastAsia="Times New Roman" w:hAnsi="Calibri" w:cs="Calibri"/>
                <w:color w:val="000000"/>
              </w:rPr>
            </w:pPr>
            <w:r w:rsidRPr="00715BEF">
              <w:rPr>
                <w:rFonts w:ascii="Calibri" w:eastAsia="Times New Roman" w:hAnsi="Calibri" w:cs="Calibri"/>
                <w:color w:val="000000"/>
              </w:rPr>
              <w:t>LOQ</w:t>
            </w:r>
          </w:p>
        </w:tc>
        <w:tc>
          <w:tcPr>
            <w:tcW w:w="4240" w:type="dxa"/>
            <w:tcBorders>
              <w:top w:val="nil"/>
              <w:left w:val="nil"/>
              <w:bottom w:val="nil"/>
              <w:right w:val="nil"/>
            </w:tcBorders>
            <w:shd w:val="clear" w:color="auto" w:fill="auto"/>
            <w:noWrap/>
            <w:vAlign w:val="bottom"/>
            <w:hideMark/>
          </w:tcPr>
          <w:p w:rsidR="00715BEF" w:rsidRPr="00715BEF" w:rsidRDefault="00715BEF" w:rsidP="00715BEF">
            <w:pPr>
              <w:spacing w:after="0" w:line="240" w:lineRule="auto"/>
              <w:rPr>
                <w:rFonts w:ascii="Calibri" w:eastAsia="Times New Roman" w:hAnsi="Calibri" w:cs="Calibri"/>
                <w:color w:val="000000"/>
              </w:rPr>
            </w:pPr>
            <w:r w:rsidRPr="00715BEF">
              <w:rPr>
                <w:rFonts w:ascii="Calibri" w:eastAsia="Times New Roman" w:hAnsi="Calibri" w:cs="Calibri"/>
                <w:color w:val="000000"/>
              </w:rPr>
              <w:t xml:space="preserve">Limit of Quantification </w:t>
            </w:r>
          </w:p>
        </w:tc>
      </w:tr>
      <w:tr w:rsidR="00715BEF" w:rsidRPr="00715BEF" w:rsidTr="00715BEF">
        <w:trPr>
          <w:trHeight w:val="300"/>
        </w:trPr>
        <w:tc>
          <w:tcPr>
            <w:tcW w:w="3100" w:type="dxa"/>
            <w:tcBorders>
              <w:top w:val="nil"/>
              <w:left w:val="nil"/>
              <w:bottom w:val="nil"/>
              <w:right w:val="nil"/>
            </w:tcBorders>
            <w:shd w:val="clear" w:color="auto" w:fill="auto"/>
            <w:noWrap/>
            <w:vAlign w:val="bottom"/>
            <w:hideMark/>
          </w:tcPr>
          <w:p w:rsidR="00715BEF" w:rsidRPr="00715BEF" w:rsidRDefault="00715BEF" w:rsidP="00715BEF">
            <w:pPr>
              <w:spacing w:after="0" w:line="240" w:lineRule="auto"/>
              <w:rPr>
                <w:rFonts w:ascii="Calibri" w:eastAsia="Times New Roman" w:hAnsi="Calibri" w:cs="Calibri"/>
                <w:color w:val="000000"/>
              </w:rPr>
            </w:pPr>
            <w:r w:rsidRPr="00715BEF">
              <w:rPr>
                <w:rFonts w:ascii="Calibri" w:eastAsia="Times New Roman" w:hAnsi="Calibri" w:cs="Calibri"/>
                <w:color w:val="000000"/>
              </w:rPr>
              <w:t>MS</w:t>
            </w:r>
          </w:p>
        </w:tc>
        <w:tc>
          <w:tcPr>
            <w:tcW w:w="4240" w:type="dxa"/>
            <w:tcBorders>
              <w:top w:val="nil"/>
              <w:left w:val="nil"/>
              <w:bottom w:val="nil"/>
              <w:right w:val="nil"/>
            </w:tcBorders>
            <w:shd w:val="clear" w:color="auto" w:fill="auto"/>
            <w:noWrap/>
            <w:vAlign w:val="bottom"/>
            <w:hideMark/>
          </w:tcPr>
          <w:p w:rsidR="00715BEF" w:rsidRPr="00715BEF" w:rsidRDefault="00715BEF" w:rsidP="00715BEF">
            <w:pPr>
              <w:spacing w:after="0" w:line="240" w:lineRule="auto"/>
              <w:rPr>
                <w:rFonts w:ascii="Calibri" w:eastAsia="Times New Roman" w:hAnsi="Calibri" w:cs="Calibri"/>
                <w:color w:val="000000"/>
              </w:rPr>
            </w:pPr>
            <w:r w:rsidRPr="00715BEF">
              <w:rPr>
                <w:rFonts w:ascii="Calibri" w:eastAsia="Times New Roman" w:hAnsi="Calibri" w:cs="Calibri"/>
                <w:color w:val="000000"/>
              </w:rPr>
              <w:t>Mass Spectrometry</w:t>
            </w:r>
          </w:p>
        </w:tc>
      </w:tr>
      <w:tr w:rsidR="00715BEF" w:rsidRPr="00715BEF" w:rsidTr="00715BEF">
        <w:trPr>
          <w:trHeight w:val="300"/>
        </w:trPr>
        <w:tc>
          <w:tcPr>
            <w:tcW w:w="3100" w:type="dxa"/>
            <w:tcBorders>
              <w:top w:val="nil"/>
              <w:left w:val="nil"/>
              <w:bottom w:val="nil"/>
              <w:right w:val="nil"/>
            </w:tcBorders>
            <w:shd w:val="clear" w:color="auto" w:fill="auto"/>
            <w:noWrap/>
            <w:vAlign w:val="bottom"/>
            <w:hideMark/>
          </w:tcPr>
          <w:p w:rsidR="00715BEF" w:rsidRPr="00715BEF" w:rsidRDefault="00715BEF" w:rsidP="00715BEF">
            <w:pPr>
              <w:spacing w:after="0" w:line="240" w:lineRule="auto"/>
              <w:rPr>
                <w:rFonts w:ascii="Calibri" w:eastAsia="Times New Roman" w:hAnsi="Calibri" w:cs="Calibri"/>
                <w:color w:val="000000"/>
              </w:rPr>
            </w:pPr>
            <w:r w:rsidRPr="00715BEF">
              <w:rPr>
                <w:rFonts w:ascii="Calibri" w:eastAsia="Times New Roman" w:hAnsi="Calibri" w:cs="Calibri"/>
                <w:color w:val="000000"/>
              </w:rPr>
              <w:t>MSD</w:t>
            </w:r>
          </w:p>
        </w:tc>
        <w:tc>
          <w:tcPr>
            <w:tcW w:w="4240" w:type="dxa"/>
            <w:tcBorders>
              <w:top w:val="nil"/>
              <w:left w:val="nil"/>
              <w:bottom w:val="nil"/>
              <w:right w:val="nil"/>
            </w:tcBorders>
            <w:shd w:val="clear" w:color="auto" w:fill="auto"/>
            <w:noWrap/>
            <w:vAlign w:val="bottom"/>
            <w:hideMark/>
          </w:tcPr>
          <w:p w:rsidR="00715BEF" w:rsidRPr="00715BEF" w:rsidRDefault="00715BEF" w:rsidP="00715BEF">
            <w:pPr>
              <w:spacing w:after="0" w:line="240" w:lineRule="auto"/>
              <w:rPr>
                <w:rFonts w:ascii="Calibri" w:eastAsia="Times New Roman" w:hAnsi="Calibri" w:cs="Calibri"/>
                <w:color w:val="000000"/>
              </w:rPr>
            </w:pPr>
            <w:r w:rsidRPr="00715BEF">
              <w:rPr>
                <w:rFonts w:ascii="Calibri" w:eastAsia="Times New Roman" w:hAnsi="Calibri" w:cs="Calibri"/>
                <w:color w:val="000000"/>
              </w:rPr>
              <w:t>Mass Selective Detector</w:t>
            </w:r>
          </w:p>
        </w:tc>
      </w:tr>
      <w:tr w:rsidR="00715BEF" w:rsidRPr="00715BEF" w:rsidTr="00715BEF">
        <w:trPr>
          <w:trHeight w:val="300"/>
        </w:trPr>
        <w:tc>
          <w:tcPr>
            <w:tcW w:w="3100" w:type="dxa"/>
            <w:tcBorders>
              <w:top w:val="nil"/>
              <w:left w:val="nil"/>
              <w:bottom w:val="nil"/>
              <w:right w:val="nil"/>
            </w:tcBorders>
            <w:shd w:val="clear" w:color="auto" w:fill="auto"/>
            <w:noWrap/>
            <w:vAlign w:val="bottom"/>
            <w:hideMark/>
          </w:tcPr>
          <w:p w:rsidR="00715BEF" w:rsidRPr="00715BEF" w:rsidRDefault="00715BEF" w:rsidP="00715BEF">
            <w:pPr>
              <w:spacing w:after="0" w:line="240" w:lineRule="auto"/>
              <w:rPr>
                <w:rFonts w:ascii="Calibri" w:eastAsia="Times New Roman" w:hAnsi="Calibri" w:cs="Calibri"/>
                <w:color w:val="000000"/>
              </w:rPr>
            </w:pPr>
            <w:r w:rsidRPr="00715BEF">
              <w:rPr>
                <w:rFonts w:ascii="Calibri" w:eastAsia="Times New Roman" w:hAnsi="Calibri" w:cs="Calibri"/>
                <w:color w:val="000000"/>
              </w:rPr>
              <w:t>RS</w:t>
            </w:r>
          </w:p>
        </w:tc>
        <w:tc>
          <w:tcPr>
            <w:tcW w:w="4240" w:type="dxa"/>
            <w:tcBorders>
              <w:top w:val="nil"/>
              <w:left w:val="nil"/>
              <w:bottom w:val="nil"/>
              <w:right w:val="nil"/>
            </w:tcBorders>
            <w:shd w:val="clear" w:color="auto" w:fill="auto"/>
            <w:noWrap/>
            <w:vAlign w:val="bottom"/>
            <w:hideMark/>
          </w:tcPr>
          <w:p w:rsidR="00715BEF" w:rsidRPr="00715BEF" w:rsidRDefault="00715BEF" w:rsidP="00715BEF">
            <w:pPr>
              <w:spacing w:after="0" w:line="240" w:lineRule="auto"/>
              <w:rPr>
                <w:rFonts w:ascii="Calibri" w:eastAsia="Times New Roman" w:hAnsi="Calibri" w:cs="Calibri"/>
                <w:color w:val="000000"/>
              </w:rPr>
            </w:pPr>
            <w:r w:rsidRPr="00715BEF">
              <w:rPr>
                <w:rFonts w:ascii="Calibri" w:eastAsia="Times New Roman" w:hAnsi="Calibri" w:cs="Calibri"/>
                <w:color w:val="000000"/>
              </w:rPr>
              <w:t xml:space="preserve">Residual Solvents </w:t>
            </w:r>
          </w:p>
        </w:tc>
      </w:tr>
      <w:tr w:rsidR="00715BEF" w:rsidRPr="00715BEF" w:rsidTr="00715BEF">
        <w:trPr>
          <w:trHeight w:val="300"/>
        </w:trPr>
        <w:tc>
          <w:tcPr>
            <w:tcW w:w="3100" w:type="dxa"/>
            <w:tcBorders>
              <w:top w:val="nil"/>
              <w:left w:val="nil"/>
              <w:bottom w:val="nil"/>
              <w:right w:val="nil"/>
            </w:tcBorders>
            <w:shd w:val="clear" w:color="auto" w:fill="auto"/>
            <w:noWrap/>
            <w:vAlign w:val="bottom"/>
            <w:hideMark/>
          </w:tcPr>
          <w:p w:rsidR="00715BEF" w:rsidRPr="00715BEF" w:rsidRDefault="00715BEF" w:rsidP="00715BEF">
            <w:pPr>
              <w:spacing w:after="0" w:line="240" w:lineRule="auto"/>
              <w:rPr>
                <w:rFonts w:ascii="Calibri" w:eastAsia="Times New Roman" w:hAnsi="Calibri" w:cs="Calibri"/>
                <w:color w:val="000000"/>
              </w:rPr>
            </w:pPr>
            <w:r w:rsidRPr="00715BEF">
              <w:rPr>
                <w:rFonts w:ascii="Calibri" w:eastAsia="Times New Roman" w:hAnsi="Calibri" w:cs="Calibri"/>
                <w:color w:val="000000"/>
              </w:rPr>
              <w:t>RSD</w:t>
            </w:r>
            <w:r w:rsidR="00ED6949">
              <w:rPr>
                <w:rFonts w:ascii="Calibri" w:eastAsia="Times New Roman" w:hAnsi="Calibri" w:cs="Calibri"/>
                <w:color w:val="000000"/>
              </w:rPr>
              <w:t xml:space="preserve"> </w:t>
            </w:r>
            <w:r w:rsidRPr="00715BEF">
              <w:rPr>
                <w:rFonts w:ascii="Calibri" w:eastAsia="Times New Roman" w:hAnsi="Calibri" w:cs="Calibri"/>
                <w:color w:val="000000"/>
              </w:rPr>
              <w:t>%</w:t>
            </w:r>
          </w:p>
        </w:tc>
        <w:tc>
          <w:tcPr>
            <w:tcW w:w="4240" w:type="dxa"/>
            <w:tcBorders>
              <w:top w:val="nil"/>
              <w:left w:val="nil"/>
              <w:bottom w:val="nil"/>
              <w:right w:val="nil"/>
            </w:tcBorders>
            <w:shd w:val="clear" w:color="auto" w:fill="auto"/>
            <w:noWrap/>
            <w:vAlign w:val="bottom"/>
            <w:hideMark/>
          </w:tcPr>
          <w:p w:rsidR="00715BEF" w:rsidRPr="00715BEF" w:rsidRDefault="00715BEF" w:rsidP="00715BEF">
            <w:pPr>
              <w:spacing w:after="0" w:line="240" w:lineRule="auto"/>
              <w:rPr>
                <w:rFonts w:ascii="Calibri" w:eastAsia="Times New Roman" w:hAnsi="Calibri" w:cs="Calibri"/>
                <w:color w:val="000000"/>
              </w:rPr>
            </w:pPr>
            <w:r w:rsidRPr="00715BEF">
              <w:rPr>
                <w:rFonts w:ascii="Calibri" w:eastAsia="Times New Roman" w:hAnsi="Calibri" w:cs="Calibri"/>
                <w:color w:val="000000"/>
              </w:rPr>
              <w:t>Relative Standard Deviation Percentage</w:t>
            </w:r>
          </w:p>
        </w:tc>
      </w:tr>
      <w:tr w:rsidR="00715BEF" w:rsidRPr="00715BEF" w:rsidTr="00715BEF">
        <w:trPr>
          <w:trHeight w:val="300"/>
        </w:trPr>
        <w:tc>
          <w:tcPr>
            <w:tcW w:w="3100" w:type="dxa"/>
            <w:tcBorders>
              <w:top w:val="nil"/>
              <w:left w:val="nil"/>
              <w:bottom w:val="nil"/>
              <w:right w:val="nil"/>
            </w:tcBorders>
            <w:shd w:val="clear" w:color="auto" w:fill="auto"/>
            <w:noWrap/>
            <w:vAlign w:val="bottom"/>
            <w:hideMark/>
          </w:tcPr>
          <w:p w:rsidR="00715BEF" w:rsidRPr="00715BEF" w:rsidRDefault="00715BEF" w:rsidP="00715BEF">
            <w:pPr>
              <w:spacing w:after="0" w:line="240" w:lineRule="auto"/>
              <w:rPr>
                <w:rFonts w:ascii="Calibri" w:eastAsia="Times New Roman" w:hAnsi="Calibri" w:cs="Calibri"/>
                <w:color w:val="000000"/>
              </w:rPr>
            </w:pPr>
            <w:r w:rsidRPr="00715BEF">
              <w:rPr>
                <w:rFonts w:ascii="Calibri" w:eastAsia="Times New Roman" w:hAnsi="Calibri" w:cs="Calibri"/>
                <w:color w:val="000000"/>
              </w:rPr>
              <w:t>S/N</w:t>
            </w:r>
          </w:p>
        </w:tc>
        <w:tc>
          <w:tcPr>
            <w:tcW w:w="4240" w:type="dxa"/>
            <w:tcBorders>
              <w:top w:val="nil"/>
              <w:left w:val="nil"/>
              <w:bottom w:val="nil"/>
              <w:right w:val="nil"/>
            </w:tcBorders>
            <w:shd w:val="clear" w:color="auto" w:fill="auto"/>
            <w:noWrap/>
            <w:vAlign w:val="bottom"/>
            <w:hideMark/>
          </w:tcPr>
          <w:p w:rsidR="00715BEF" w:rsidRPr="00715BEF" w:rsidRDefault="00715BEF" w:rsidP="00715BEF">
            <w:pPr>
              <w:spacing w:after="0" w:line="240" w:lineRule="auto"/>
              <w:rPr>
                <w:rFonts w:ascii="Calibri" w:eastAsia="Times New Roman" w:hAnsi="Calibri" w:cs="Calibri"/>
                <w:color w:val="000000"/>
              </w:rPr>
            </w:pPr>
            <w:r w:rsidRPr="00715BEF">
              <w:rPr>
                <w:rFonts w:ascii="Calibri" w:eastAsia="Times New Roman" w:hAnsi="Calibri" w:cs="Calibri"/>
                <w:color w:val="000000"/>
              </w:rPr>
              <w:t>signal-to-noise ratio</w:t>
            </w:r>
          </w:p>
        </w:tc>
      </w:tr>
      <w:tr w:rsidR="00715BEF" w:rsidRPr="00715BEF" w:rsidTr="00715BEF">
        <w:trPr>
          <w:trHeight w:val="300"/>
        </w:trPr>
        <w:tc>
          <w:tcPr>
            <w:tcW w:w="3100" w:type="dxa"/>
            <w:tcBorders>
              <w:top w:val="nil"/>
              <w:left w:val="nil"/>
              <w:bottom w:val="nil"/>
              <w:right w:val="nil"/>
            </w:tcBorders>
            <w:shd w:val="clear" w:color="auto" w:fill="auto"/>
            <w:noWrap/>
            <w:vAlign w:val="bottom"/>
            <w:hideMark/>
          </w:tcPr>
          <w:p w:rsidR="00715BEF" w:rsidRPr="00715BEF" w:rsidRDefault="00715BEF" w:rsidP="00715BEF">
            <w:pPr>
              <w:spacing w:after="0" w:line="240" w:lineRule="auto"/>
              <w:rPr>
                <w:rFonts w:ascii="Calibri" w:eastAsia="Times New Roman" w:hAnsi="Calibri" w:cs="Calibri"/>
                <w:color w:val="000000"/>
              </w:rPr>
            </w:pPr>
            <w:r w:rsidRPr="00715BEF">
              <w:rPr>
                <w:rFonts w:ascii="Calibri" w:eastAsia="Times New Roman" w:hAnsi="Calibri" w:cs="Calibri"/>
                <w:color w:val="000000"/>
              </w:rPr>
              <w:t>SVOC/s</w:t>
            </w:r>
          </w:p>
        </w:tc>
        <w:tc>
          <w:tcPr>
            <w:tcW w:w="4240" w:type="dxa"/>
            <w:tcBorders>
              <w:top w:val="nil"/>
              <w:left w:val="nil"/>
              <w:bottom w:val="nil"/>
              <w:right w:val="nil"/>
            </w:tcBorders>
            <w:shd w:val="clear" w:color="auto" w:fill="auto"/>
            <w:noWrap/>
            <w:vAlign w:val="bottom"/>
            <w:hideMark/>
          </w:tcPr>
          <w:p w:rsidR="00715BEF" w:rsidRPr="00715BEF" w:rsidRDefault="00715BEF" w:rsidP="00715BEF">
            <w:pPr>
              <w:spacing w:after="0" w:line="240" w:lineRule="auto"/>
              <w:rPr>
                <w:rFonts w:ascii="Calibri" w:eastAsia="Times New Roman" w:hAnsi="Calibri" w:cs="Calibri"/>
                <w:color w:val="000000"/>
              </w:rPr>
            </w:pPr>
            <w:r w:rsidRPr="00715BEF">
              <w:rPr>
                <w:rFonts w:ascii="Calibri" w:eastAsia="Times New Roman" w:hAnsi="Calibri" w:cs="Calibri"/>
                <w:color w:val="000000"/>
              </w:rPr>
              <w:t xml:space="preserve">Semi Volatile Organic Component/s </w:t>
            </w:r>
          </w:p>
        </w:tc>
      </w:tr>
      <w:tr w:rsidR="00715BEF" w:rsidRPr="00715BEF" w:rsidTr="00715BEF">
        <w:trPr>
          <w:trHeight w:val="300"/>
        </w:trPr>
        <w:tc>
          <w:tcPr>
            <w:tcW w:w="3100" w:type="dxa"/>
            <w:tcBorders>
              <w:top w:val="nil"/>
              <w:left w:val="nil"/>
              <w:bottom w:val="nil"/>
              <w:right w:val="nil"/>
            </w:tcBorders>
            <w:shd w:val="clear" w:color="auto" w:fill="auto"/>
            <w:noWrap/>
            <w:vAlign w:val="bottom"/>
            <w:hideMark/>
          </w:tcPr>
          <w:p w:rsidR="00715BEF" w:rsidRPr="00715BEF" w:rsidRDefault="00715BEF" w:rsidP="00715BEF">
            <w:pPr>
              <w:spacing w:after="0" w:line="240" w:lineRule="auto"/>
              <w:rPr>
                <w:rFonts w:ascii="Calibri" w:eastAsia="Times New Roman" w:hAnsi="Calibri" w:cs="Calibri"/>
                <w:color w:val="000000"/>
              </w:rPr>
            </w:pPr>
            <w:r w:rsidRPr="00715BEF">
              <w:rPr>
                <w:rFonts w:ascii="Calibri" w:eastAsia="Times New Roman" w:hAnsi="Calibri" w:cs="Calibri"/>
                <w:color w:val="000000"/>
              </w:rPr>
              <w:t>THC</w:t>
            </w:r>
          </w:p>
        </w:tc>
        <w:tc>
          <w:tcPr>
            <w:tcW w:w="4240" w:type="dxa"/>
            <w:tcBorders>
              <w:top w:val="nil"/>
              <w:left w:val="nil"/>
              <w:bottom w:val="nil"/>
              <w:right w:val="nil"/>
            </w:tcBorders>
            <w:shd w:val="clear" w:color="auto" w:fill="auto"/>
            <w:noWrap/>
            <w:vAlign w:val="bottom"/>
            <w:hideMark/>
          </w:tcPr>
          <w:p w:rsidR="00715BEF" w:rsidRPr="00715BEF" w:rsidRDefault="00715BEF" w:rsidP="00715BEF">
            <w:pPr>
              <w:spacing w:after="0" w:line="240" w:lineRule="auto"/>
              <w:rPr>
                <w:rFonts w:ascii="Calibri" w:eastAsia="Times New Roman" w:hAnsi="Calibri" w:cs="Calibri"/>
                <w:color w:val="000000"/>
              </w:rPr>
            </w:pPr>
            <w:r w:rsidRPr="00715BEF">
              <w:rPr>
                <w:rFonts w:ascii="Calibri" w:eastAsia="Times New Roman" w:hAnsi="Calibri" w:cs="Calibri"/>
                <w:color w:val="000000"/>
              </w:rPr>
              <w:t>Tetrahydrocannabinol</w:t>
            </w:r>
          </w:p>
        </w:tc>
      </w:tr>
      <w:tr w:rsidR="00715BEF" w:rsidRPr="00715BEF" w:rsidTr="00715BEF">
        <w:trPr>
          <w:trHeight w:val="300"/>
        </w:trPr>
        <w:tc>
          <w:tcPr>
            <w:tcW w:w="3100" w:type="dxa"/>
            <w:tcBorders>
              <w:top w:val="nil"/>
              <w:left w:val="nil"/>
              <w:bottom w:val="nil"/>
              <w:right w:val="nil"/>
            </w:tcBorders>
            <w:shd w:val="clear" w:color="auto" w:fill="auto"/>
            <w:noWrap/>
            <w:vAlign w:val="bottom"/>
            <w:hideMark/>
          </w:tcPr>
          <w:p w:rsidR="00715BEF" w:rsidRPr="00715BEF" w:rsidRDefault="00715BEF" w:rsidP="00715BEF">
            <w:pPr>
              <w:spacing w:after="0" w:line="240" w:lineRule="auto"/>
              <w:rPr>
                <w:rFonts w:ascii="Calibri" w:eastAsia="Times New Roman" w:hAnsi="Calibri" w:cs="Calibri"/>
                <w:color w:val="000000"/>
              </w:rPr>
            </w:pPr>
            <w:r w:rsidRPr="00715BEF">
              <w:rPr>
                <w:rFonts w:ascii="Calibri" w:eastAsia="Times New Roman" w:hAnsi="Calibri" w:cs="Calibri"/>
                <w:color w:val="000000"/>
              </w:rPr>
              <w:t>UI</w:t>
            </w:r>
          </w:p>
        </w:tc>
        <w:tc>
          <w:tcPr>
            <w:tcW w:w="4240" w:type="dxa"/>
            <w:tcBorders>
              <w:top w:val="nil"/>
              <w:left w:val="nil"/>
              <w:bottom w:val="nil"/>
              <w:right w:val="nil"/>
            </w:tcBorders>
            <w:shd w:val="clear" w:color="auto" w:fill="auto"/>
            <w:noWrap/>
            <w:vAlign w:val="bottom"/>
            <w:hideMark/>
          </w:tcPr>
          <w:p w:rsidR="00715BEF" w:rsidRPr="00715BEF" w:rsidRDefault="00715BEF" w:rsidP="00715BEF">
            <w:pPr>
              <w:spacing w:after="0" w:line="240" w:lineRule="auto"/>
              <w:rPr>
                <w:rFonts w:ascii="Calibri" w:eastAsia="Times New Roman" w:hAnsi="Calibri" w:cs="Calibri"/>
                <w:color w:val="000000"/>
              </w:rPr>
            </w:pPr>
            <w:r w:rsidRPr="00715BEF">
              <w:rPr>
                <w:rFonts w:ascii="Calibri" w:eastAsia="Times New Roman" w:hAnsi="Calibri" w:cs="Calibri"/>
                <w:color w:val="000000"/>
              </w:rPr>
              <w:t>Ultra Inert</w:t>
            </w:r>
          </w:p>
        </w:tc>
      </w:tr>
      <w:tr w:rsidR="00715BEF" w:rsidRPr="00715BEF" w:rsidTr="00715BEF">
        <w:trPr>
          <w:trHeight w:val="300"/>
        </w:trPr>
        <w:tc>
          <w:tcPr>
            <w:tcW w:w="3100" w:type="dxa"/>
            <w:tcBorders>
              <w:top w:val="nil"/>
              <w:left w:val="nil"/>
              <w:bottom w:val="nil"/>
              <w:right w:val="nil"/>
            </w:tcBorders>
            <w:shd w:val="clear" w:color="auto" w:fill="auto"/>
            <w:noWrap/>
            <w:vAlign w:val="bottom"/>
            <w:hideMark/>
          </w:tcPr>
          <w:p w:rsidR="00715BEF" w:rsidRPr="00715BEF" w:rsidRDefault="00715BEF" w:rsidP="00715BEF">
            <w:pPr>
              <w:spacing w:after="0" w:line="240" w:lineRule="auto"/>
              <w:rPr>
                <w:rFonts w:ascii="Calibri" w:eastAsia="Times New Roman" w:hAnsi="Calibri" w:cs="Calibri"/>
                <w:color w:val="000000"/>
              </w:rPr>
            </w:pPr>
            <w:r w:rsidRPr="00715BEF">
              <w:rPr>
                <w:rFonts w:ascii="Calibri" w:eastAsia="Times New Roman" w:hAnsi="Calibri" w:cs="Calibri"/>
                <w:color w:val="000000"/>
              </w:rPr>
              <w:t>UK</w:t>
            </w:r>
          </w:p>
        </w:tc>
        <w:tc>
          <w:tcPr>
            <w:tcW w:w="4240" w:type="dxa"/>
            <w:tcBorders>
              <w:top w:val="nil"/>
              <w:left w:val="nil"/>
              <w:bottom w:val="nil"/>
              <w:right w:val="nil"/>
            </w:tcBorders>
            <w:shd w:val="clear" w:color="auto" w:fill="auto"/>
            <w:noWrap/>
            <w:vAlign w:val="bottom"/>
            <w:hideMark/>
          </w:tcPr>
          <w:p w:rsidR="00715BEF" w:rsidRPr="00715BEF" w:rsidRDefault="00715BEF" w:rsidP="00715BEF">
            <w:pPr>
              <w:spacing w:after="0" w:line="240" w:lineRule="auto"/>
              <w:rPr>
                <w:rFonts w:ascii="Calibri" w:eastAsia="Times New Roman" w:hAnsi="Calibri" w:cs="Calibri"/>
                <w:color w:val="000000"/>
              </w:rPr>
            </w:pPr>
            <w:r w:rsidRPr="00715BEF">
              <w:rPr>
                <w:rFonts w:ascii="Calibri" w:eastAsia="Times New Roman" w:hAnsi="Calibri" w:cs="Calibri"/>
                <w:color w:val="000000"/>
              </w:rPr>
              <w:t>United Kingdom</w:t>
            </w:r>
          </w:p>
        </w:tc>
      </w:tr>
      <w:tr w:rsidR="00715BEF" w:rsidRPr="00715BEF" w:rsidTr="00715BEF">
        <w:trPr>
          <w:trHeight w:val="300"/>
        </w:trPr>
        <w:tc>
          <w:tcPr>
            <w:tcW w:w="3100" w:type="dxa"/>
            <w:tcBorders>
              <w:top w:val="nil"/>
              <w:left w:val="nil"/>
              <w:bottom w:val="nil"/>
              <w:right w:val="nil"/>
            </w:tcBorders>
            <w:shd w:val="clear" w:color="auto" w:fill="auto"/>
            <w:noWrap/>
            <w:vAlign w:val="bottom"/>
            <w:hideMark/>
          </w:tcPr>
          <w:p w:rsidR="00715BEF" w:rsidRPr="00715BEF" w:rsidRDefault="00715BEF" w:rsidP="00715BEF">
            <w:pPr>
              <w:spacing w:after="0" w:line="240" w:lineRule="auto"/>
              <w:rPr>
                <w:rFonts w:ascii="Calibri" w:eastAsia="Times New Roman" w:hAnsi="Calibri" w:cs="Calibri"/>
                <w:color w:val="000000"/>
              </w:rPr>
            </w:pPr>
            <w:r w:rsidRPr="00715BEF">
              <w:rPr>
                <w:rFonts w:ascii="Calibri" w:eastAsia="Times New Roman" w:hAnsi="Calibri" w:cs="Calibri"/>
                <w:color w:val="000000"/>
              </w:rPr>
              <w:t>US</w:t>
            </w:r>
          </w:p>
        </w:tc>
        <w:tc>
          <w:tcPr>
            <w:tcW w:w="4240" w:type="dxa"/>
            <w:tcBorders>
              <w:top w:val="nil"/>
              <w:left w:val="nil"/>
              <w:bottom w:val="nil"/>
              <w:right w:val="nil"/>
            </w:tcBorders>
            <w:shd w:val="clear" w:color="auto" w:fill="auto"/>
            <w:noWrap/>
            <w:vAlign w:val="bottom"/>
            <w:hideMark/>
          </w:tcPr>
          <w:p w:rsidR="00715BEF" w:rsidRPr="00715BEF" w:rsidRDefault="00715BEF" w:rsidP="00715BEF">
            <w:pPr>
              <w:spacing w:after="0" w:line="240" w:lineRule="auto"/>
              <w:rPr>
                <w:rFonts w:ascii="Calibri" w:eastAsia="Times New Roman" w:hAnsi="Calibri" w:cs="Calibri"/>
                <w:color w:val="000000"/>
              </w:rPr>
            </w:pPr>
            <w:r w:rsidRPr="00715BEF">
              <w:rPr>
                <w:rFonts w:ascii="Calibri" w:eastAsia="Times New Roman" w:hAnsi="Calibri" w:cs="Calibri"/>
                <w:color w:val="000000"/>
              </w:rPr>
              <w:t xml:space="preserve">United States </w:t>
            </w:r>
          </w:p>
        </w:tc>
      </w:tr>
      <w:tr w:rsidR="00715BEF" w:rsidRPr="00715BEF" w:rsidTr="00715BEF">
        <w:trPr>
          <w:trHeight w:val="300"/>
        </w:trPr>
        <w:tc>
          <w:tcPr>
            <w:tcW w:w="3100" w:type="dxa"/>
            <w:tcBorders>
              <w:top w:val="nil"/>
              <w:left w:val="nil"/>
              <w:bottom w:val="nil"/>
              <w:right w:val="nil"/>
            </w:tcBorders>
            <w:shd w:val="clear" w:color="auto" w:fill="auto"/>
            <w:noWrap/>
            <w:vAlign w:val="bottom"/>
            <w:hideMark/>
          </w:tcPr>
          <w:p w:rsidR="00715BEF" w:rsidRPr="00715BEF" w:rsidRDefault="00715BEF" w:rsidP="00715BEF">
            <w:pPr>
              <w:spacing w:after="0" w:line="240" w:lineRule="auto"/>
              <w:rPr>
                <w:rFonts w:ascii="Calibri" w:eastAsia="Times New Roman" w:hAnsi="Calibri" w:cs="Calibri"/>
                <w:color w:val="000000"/>
              </w:rPr>
            </w:pPr>
            <w:r w:rsidRPr="00715BEF">
              <w:rPr>
                <w:rFonts w:ascii="Calibri" w:eastAsia="Times New Roman" w:hAnsi="Calibri" w:cs="Calibri"/>
                <w:color w:val="000000"/>
              </w:rPr>
              <w:t>UV</w:t>
            </w:r>
          </w:p>
        </w:tc>
        <w:tc>
          <w:tcPr>
            <w:tcW w:w="4240" w:type="dxa"/>
            <w:tcBorders>
              <w:top w:val="nil"/>
              <w:left w:val="nil"/>
              <w:bottom w:val="nil"/>
              <w:right w:val="nil"/>
            </w:tcBorders>
            <w:shd w:val="clear" w:color="auto" w:fill="auto"/>
            <w:noWrap/>
            <w:vAlign w:val="bottom"/>
            <w:hideMark/>
          </w:tcPr>
          <w:p w:rsidR="00715BEF" w:rsidRPr="00715BEF" w:rsidRDefault="00715BEF" w:rsidP="00715BEF">
            <w:pPr>
              <w:spacing w:after="0" w:line="240" w:lineRule="auto"/>
              <w:rPr>
                <w:rFonts w:ascii="Calibri" w:eastAsia="Times New Roman" w:hAnsi="Calibri" w:cs="Calibri"/>
                <w:color w:val="000000"/>
              </w:rPr>
            </w:pPr>
            <w:r w:rsidRPr="00715BEF">
              <w:rPr>
                <w:rFonts w:ascii="Calibri" w:eastAsia="Times New Roman" w:hAnsi="Calibri" w:cs="Calibri"/>
                <w:color w:val="000000"/>
              </w:rPr>
              <w:t>Ultraviolet</w:t>
            </w:r>
          </w:p>
        </w:tc>
      </w:tr>
      <w:tr w:rsidR="00715BEF" w:rsidRPr="00715BEF" w:rsidTr="00715BEF">
        <w:trPr>
          <w:trHeight w:val="300"/>
        </w:trPr>
        <w:tc>
          <w:tcPr>
            <w:tcW w:w="3100" w:type="dxa"/>
            <w:tcBorders>
              <w:top w:val="nil"/>
              <w:left w:val="nil"/>
              <w:bottom w:val="nil"/>
              <w:right w:val="nil"/>
            </w:tcBorders>
            <w:shd w:val="clear" w:color="auto" w:fill="auto"/>
            <w:noWrap/>
            <w:vAlign w:val="bottom"/>
            <w:hideMark/>
          </w:tcPr>
          <w:p w:rsidR="00715BEF" w:rsidRPr="00715BEF" w:rsidRDefault="00715BEF" w:rsidP="00715BEF">
            <w:pPr>
              <w:spacing w:after="0" w:line="240" w:lineRule="auto"/>
              <w:rPr>
                <w:rFonts w:ascii="Calibri" w:eastAsia="Times New Roman" w:hAnsi="Calibri" w:cs="Calibri"/>
                <w:color w:val="000000"/>
              </w:rPr>
            </w:pPr>
            <w:r w:rsidRPr="00715BEF">
              <w:rPr>
                <w:rFonts w:ascii="Calibri" w:eastAsia="Times New Roman" w:hAnsi="Calibri" w:cs="Calibri"/>
                <w:color w:val="000000"/>
              </w:rPr>
              <w:t>VOC/s</w:t>
            </w:r>
          </w:p>
        </w:tc>
        <w:tc>
          <w:tcPr>
            <w:tcW w:w="4240" w:type="dxa"/>
            <w:tcBorders>
              <w:top w:val="nil"/>
              <w:left w:val="nil"/>
              <w:bottom w:val="nil"/>
              <w:right w:val="nil"/>
            </w:tcBorders>
            <w:shd w:val="clear" w:color="auto" w:fill="auto"/>
            <w:noWrap/>
            <w:vAlign w:val="bottom"/>
            <w:hideMark/>
          </w:tcPr>
          <w:p w:rsidR="00715BEF" w:rsidRPr="00715BEF" w:rsidRDefault="00715BEF" w:rsidP="00715BEF">
            <w:pPr>
              <w:spacing w:after="0" w:line="240" w:lineRule="auto"/>
              <w:rPr>
                <w:rFonts w:ascii="Calibri" w:eastAsia="Times New Roman" w:hAnsi="Calibri" w:cs="Calibri"/>
                <w:color w:val="000000"/>
              </w:rPr>
            </w:pPr>
            <w:r w:rsidRPr="00715BEF">
              <w:rPr>
                <w:rFonts w:ascii="Calibri" w:eastAsia="Times New Roman" w:hAnsi="Calibri" w:cs="Calibri"/>
                <w:color w:val="000000"/>
              </w:rPr>
              <w:t>Volatile Organic Component/s</w:t>
            </w:r>
          </w:p>
        </w:tc>
      </w:tr>
      <w:tr w:rsidR="00715BEF" w:rsidRPr="00715BEF" w:rsidTr="00715BEF">
        <w:trPr>
          <w:trHeight w:val="300"/>
        </w:trPr>
        <w:tc>
          <w:tcPr>
            <w:tcW w:w="3100" w:type="dxa"/>
            <w:tcBorders>
              <w:top w:val="nil"/>
              <w:left w:val="nil"/>
              <w:bottom w:val="nil"/>
              <w:right w:val="nil"/>
            </w:tcBorders>
            <w:shd w:val="clear" w:color="auto" w:fill="auto"/>
            <w:noWrap/>
            <w:vAlign w:val="bottom"/>
            <w:hideMark/>
          </w:tcPr>
          <w:p w:rsidR="00715BEF" w:rsidRPr="00715BEF" w:rsidRDefault="00715BEF" w:rsidP="00715BEF">
            <w:pPr>
              <w:spacing w:after="0" w:line="240" w:lineRule="auto"/>
              <w:rPr>
                <w:rFonts w:ascii="Calibri" w:eastAsia="Times New Roman" w:hAnsi="Calibri" w:cs="Calibri"/>
                <w:color w:val="000000"/>
              </w:rPr>
            </w:pPr>
            <w:r w:rsidRPr="00715BEF">
              <w:rPr>
                <w:rFonts w:ascii="Calibri" w:eastAsia="Times New Roman" w:hAnsi="Calibri" w:cs="Calibri"/>
                <w:color w:val="000000"/>
              </w:rPr>
              <w:t>WHO</w:t>
            </w:r>
          </w:p>
        </w:tc>
        <w:tc>
          <w:tcPr>
            <w:tcW w:w="4240" w:type="dxa"/>
            <w:tcBorders>
              <w:top w:val="nil"/>
              <w:left w:val="nil"/>
              <w:bottom w:val="nil"/>
              <w:right w:val="nil"/>
            </w:tcBorders>
            <w:shd w:val="clear" w:color="auto" w:fill="auto"/>
            <w:noWrap/>
            <w:vAlign w:val="bottom"/>
            <w:hideMark/>
          </w:tcPr>
          <w:p w:rsidR="00715BEF" w:rsidRPr="00715BEF" w:rsidRDefault="00715BEF" w:rsidP="00715BEF">
            <w:pPr>
              <w:spacing w:after="0" w:line="240" w:lineRule="auto"/>
              <w:rPr>
                <w:rFonts w:ascii="Calibri" w:eastAsia="Times New Roman" w:hAnsi="Calibri" w:cs="Calibri"/>
                <w:color w:val="000000"/>
              </w:rPr>
            </w:pPr>
            <w:r w:rsidRPr="00715BEF">
              <w:rPr>
                <w:rFonts w:ascii="Calibri" w:eastAsia="Times New Roman" w:hAnsi="Calibri" w:cs="Calibri"/>
                <w:color w:val="000000"/>
              </w:rPr>
              <w:t xml:space="preserve">World Health Organization </w:t>
            </w:r>
          </w:p>
        </w:tc>
      </w:tr>
    </w:tbl>
    <w:p w:rsidR="00CA2AE3" w:rsidRDefault="00CA2AE3"/>
    <w:p w:rsidR="00CA2AE3" w:rsidRDefault="00CA2AE3"/>
    <w:p w:rsidR="00CA2AE3" w:rsidRDefault="00CA2AE3"/>
    <w:p w:rsidR="00CA2AE3" w:rsidRDefault="00CA2AE3"/>
    <w:p w:rsidR="00CA2AE3" w:rsidRDefault="00CA2AE3"/>
    <w:p w:rsidR="00CA2AE3" w:rsidRDefault="00CA2AE3"/>
    <w:p w:rsidR="00CA2AE3" w:rsidRDefault="00CA2AE3"/>
    <w:p w:rsidR="00CA2AE3" w:rsidRDefault="00CA2AE3"/>
    <w:p w:rsidR="00CA2AE3" w:rsidRDefault="00CA2AE3"/>
    <w:sdt>
      <w:sdtPr>
        <w:rPr>
          <w:rFonts w:asciiTheme="minorHAnsi" w:eastAsiaTheme="minorEastAsia" w:hAnsiTheme="minorHAnsi" w:cstheme="minorBidi"/>
          <w:color w:val="auto"/>
          <w:sz w:val="22"/>
          <w:szCs w:val="22"/>
          <w:lang w:eastAsia="zh-TW"/>
        </w:rPr>
        <w:id w:val="-1883860165"/>
        <w:docPartObj>
          <w:docPartGallery w:val="Table of Contents"/>
          <w:docPartUnique/>
        </w:docPartObj>
      </w:sdtPr>
      <w:sdtEndPr>
        <w:rPr>
          <w:b/>
          <w:bCs/>
          <w:noProof/>
        </w:rPr>
      </w:sdtEndPr>
      <w:sdtContent>
        <w:p w:rsidR="00CA2AE3" w:rsidRDefault="00CA2AE3" w:rsidP="00134770">
          <w:pPr>
            <w:pStyle w:val="Heading1"/>
            <w:numPr>
              <w:ilvl w:val="0"/>
              <w:numId w:val="0"/>
            </w:numPr>
            <w:ind w:left="426" w:hanging="426"/>
          </w:pPr>
          <w:r>
            <w:t>Contents</w:t>
          </w:r>
        </w:p>
        <w:p w:rsidR="009C1372" w:rsidRDefault="00CA2AE3">
          <w:pPr>
            <w:pStyle w:val="TOC1"/>
            <w:tabs>
              <w:tab w:val="left" w:pos="440"/>
              <w:tab w:val="right" w:leader="dot" w:pos="9016"/>
            </w:tabs>
            <w:rPr>
              <w:noProof/>
            </w:rPr>
          </w:pPr>
          <w:r>
            <w:fldChar w:fldCharType="begin"/>
          </w:r>
          <w:r>
            <w:instrText xml:space="preserve"> TOC \o "1-3" \h \z \u </w:instrText>
          </w:r>
          <w:r>
            <w:fldChar w:fldCharType="separate"/>
          </w:r>
          <w:hyperlink w:anchor="_Toc515617176" w:history="1">
            <w:r w:rsidR="009C1372" w:rsidRPr="006A67FD">
              <w:rPr>
                <w:rStyle w:val="Hyperlink"/>
                <w:noProof/>
              </w:rPr>
              <w:t>1.</w:t>
            </w:r>
            <w:r w:rsidR="009C1372">
              <w:rPr>
                <w:noProof/>
              </w:rPr>
              <w:tab/>
            </w:r>
            <w:r w:rsidR="009C1372" w:rsidRPr="006A67FD">
              <w:rPr>
                <w:rStyle w:val="Hyperlink"/>
                <w:noProof/>
              </w:rPr>
              <w:t>Introduction</w:t>
            </w:r>
            <w:r w:rsidR="009C1372">
              <w:rPr>
                <w:noProof/>
                <w:webHidden/>
              </w:rPr>
              <w:tab/>
            </w:r>
            <w:r w:rsidR="009C1372">
              <w:rPr>
                <w:noProof/>
                <w:webHidden/>
              </w:rPr>
              <w:fldChar w:fldCharType="begin"/>
            </w:r>
            <w:r w:rsidR="009C1372">
              <w:rPr>
                <w:noProof/>
                <w:webHidden/>
              </w:rPr>
              <w:instrText xml:space="preserve"> PAGEREF _Toc515617176 \h </w:instrText>
            </w:r>
            <w:r w:rsidR="009C1372">
              <w:rPr>
                <w:noProof/>
                <w:webHidden/>
              </w:rPr>
            </w:r>
            <w:r w:rsidR="009C1372">
              <w:rPr>
                <w:noProof/>
                <w:webHidden/>
              </w:rPr>
              <w:fldChar w:fldCharType="separate"/>
            </w:r>
            <w:r w:rsidR="00F1475E">
              <w:rPr>
                <w:noProof/>
                <w:webHidden/>
              </w:rPr>
              <w:t>1</w:t>
            </w:r>
            <w:r w:rsidR="009C1372">
              <w:rPr>
                <w:noProof/>
                <w:webHidden/>
              </w:rPr>
              <w:fldChar w:fldCharType="end"/>
            </w:r>
          </w:hyperlink>
        </w:p>
        <w:p w:rsidR="009C1372" w:rsidRDefault="002E375B">
          <w:pPr>
            <w:pStyle w:val="TOC1"/>
            <w:tabs>
              <w:tab w:val="left" w:pos="440"/>
              <w:tab w:val="right" w:leader="dot" w:pos="9016"/>
            </w:tabs>
            <w:rPr>
              <w:noProof/>
            </w:rPr>
          </w:pPr>
          <w:hyperlink w:anchor="_Toc515617177" w:history="1">
            <w:r w:rsidR="009C1372" w:rsidRPr="006A67FD">
              <w:rPr>
                <w:rStyle w:val="Hyperlink"/>
                <w:noProof/>
              </w:rPr>
              <w:t>2.</w:t>
            </w:r>
            <w:r w:rsidR="009C1372">
              <w:rPr>
                <w:noProof/>
              </w:rPr>
              <w:tab/>
            </w:r>
            <w:r w:rsidR="009C1372" w:rsidRPr="006A67FD">
              <w:rPr>
                <w:rStyle w:val="Hyperlink"/>
                <w:noProof/>
              </w:rPr>
              <w:t>Theoretical framework</w:t>
            </w:r>
            <w:r w:rsidR="009C1372">
              <w:rPr>
                <w:noProof/>
                <w:webHidden/>
              </w:rPr>
              <w:tab/>
            </w:r>
            <w:r w:rsidR="009C1372">
              <w:rPr>
                <w:noProof/>
                <w:webHidden/>
              </w:rPr>
              <w:fldChar w:fldCharType="begin"/>
            </w:r>
            <w:r w:rsidR="009C1372">
              <w:rPr>
                <w:noProof/>
                <w:webHidden/>
              </w:rPr>
              <w:instrText xml:space="preserve"> PAGEREF _Toc515617177 \h </w:instrText>
            </w:r>
            <w:r w:rsidR="009C1372">
              <w:rPr>
                <w:noProof/>
                <w:webHidden/>
              </w:rPr>
            </w:r>
            <w:r w:rsidR="009C1372">
              <w:rPr>
                <w:noProof/>
                <w:webHidden/>
              </w:rPr>
              <w:fldChar w:fldCharType="separate"/>
            </w:r>
            <w:r w:rsidR="00F1475E">
              <w:rPr>
                <w:noProof/>
                <w:webHidden/>
              </w:rPr>
              <w:t>2</w:t>
            </w:r>
            <w:r w:rsidR="009C1372">
              <w:rPr>
                <w:noProof/>
                <w:webHidden/>
              </w:rPr>
              <w:fldChar w:fldCharType="end"/>
            </w:r>
          </w:hyperlink>
        </w:p>
        <w:p w:rsidR="009C1372" w:rsidRDefault="002E375B">
          <w:pPr>
            <w:pStyle w:val="TOC2"/>
            <w:tabs>
              <w:tab w:val="right" w:leader="dot" w:pos="9016"/>
            </w:tabs>
            <w:rPr>
              <w:noProof/>
            </w:rPr>
          </w:pPr>
          <w:hyperlink w:anchor="_Toc515617178" w:history="1">
            <w:r w:rsidR="009C1372" w:rsidRPr="006A67FD">
              <w:rPr>
                <w:rStyle w:val="Hyperlink"/>
                <w:noProof/>
                <w:lang w:eastAsia="en-US"/>
              </w:rPr>
              <w:t>Context</w:t>
            </w:r>
            <w:r w:rsidR="009C1372">
              <w:rPr>
                <w:noProof/>
                <w:webHidden/>
              </w:rPr>
              <w:tab/>
            </w:r>
            <w:r w:rsidR="009C1372">
              <w:rPr>
                <w:noProof/>
                <w:webHidden/>
              </w:rPr>
              <w:fldChar w:fldCharType="begin"/>
            </w:r>
            <w:r w:rsidR="009C1372">
              <w:rPr>
                <w:noProof/>
                <w:webHidden/>
              </w:rPr>
              <w:instrText xml:space="preserve"> PAGEREF _Toc515617178 \h </w:instrText>
            </w:r>
            <w:r w:rsidR="009C1372">
              <w:rPr>
                <w:noProof/>
                <w:webHidden/>
              </w:rPr>
            </w:r>
            <w:r w:rsidR="009C1372">
              <w:rPr>
                <w:noProof/>
                <w:webHidden/>
              </w:rPr>
              <w:fldChar w:fldCharType="separate"/>
            </w:r>
            <w:r w:rsidR="00F1475E">
              <w:rPr>
                <w:noProof/>
                <w:webHidden/>
              </w:rPr>
              <w:t>2</w:t>
            </w:r>
            <w:r w:rsidR="009C1372">
              <w:rPr>
                <w:noProof/>
                <w:webHidden/>
              </w:rPr>
              <w:fldChar w:fldCharType="end"/>
            </w:r>
          </w:hyperlink>
        </w:p>
        <w:p w:rsidR="009C1372" w:rsidRDefault="002E375B">
          <w:pPr>
            <w:pStyle w:val="TOC2"/>
            <w:tabs>
              <w:tab w:val="right" w:leader="dot" w:pos="9016"/>
            </w:tabs>
            <w:rPr>
              <w:noProof/>
            </w:rPr>
          </w:pPr>
          <w:hyperlink w:anchor="_Toc515617179" w:history="1">
            <w:r w:rsidR="009C1372" w:rsidRPr="006A67FD">
              <w:rPr>
                <w:rStyle w:val="Hyperlink"/>
                <w:noProof/>
                <w:lang w:eastAsia="en-US"/>
              </w:rPr>
              <w:t>E-cigarettes hardware schematic drawing</w:t>
            </w:r>
            <w:r w:rsidR="009C1372">
              <w:rPr>
                <w:noProof/>
                <w:webHidden/>
              </w:rPr>
              <w:tab/>
            </w:r>
            <w:r w:rsidR="009C1372">
              <w:rPr>
                <w:noProof/>
                <w:webHidden/>
              </w:rPr>
              <w:fldChar w:fldCharType="begin"/>
            </w:r>
            <w:r w:rsidR="009C1372">
              <w:rPr>
                <w:noProof/>
                <w:webHidden/>
              </w:rPr>
              <w:instrText xml:space="preserve"> PAGEREF _Toc515617179 \h </w:instrText>
            </w:r>
            <w:r w:rsidR="009C1372">
              <w:rPr>
                <w:noProof/>
                <w:webHidden/>
              </w:rPr>
            </w:r>
            <w:r w:rsidR="009C1372">
              <w:rPr>
                <w:noProof/>
                <w:webHidden/>
              </w:rPr>
              <w:fldChar w:fldCharType="separate"/>
            </w:r>
            <w:r w:rsidR="00F1475E">
              <w:rPr>
                <w:noProof/>
                <w:webHidden/>
              </w:rPr>
              <w:t>2</w:t>
            </w:r>
            <w:r w:rsidR="009C1372">
              <w:rPr>
                <w:noProof/>
                <w:webHidden/>
              </w:rPr>
              <w:fldChar w:fldCharType="end"/>
            </w:r>
          </w:hyperlink>
        </w:p>
        <w:p w:rsidR="009C1372" w:rsidRDefault="002E375B">
          <w:pPr>
            <w:pStyle w:val="TOC2"/>
            <w:tabs>
              <w:tab w:val="right" w:leader="dot" w:pos="9016"/>
            </w:tabs>
            <w:rPr>
              <w:noProof/>
            </w:rPr>
          </w:pPr>
          <w:hyperlink w:anchor="_Toc515617180" w:history="1">
            <w:r w:rsidR="009C1372" w:rsidRPr="006A67FD">
              <w:rPr>
                <w:rStyle w:val="Hyperlink"/>
                <w:noProof/>
              </w:rPr>
              <w:t>E-liquids</w:t>
            </w:r>
            <w:r w:rsidR="009C1372">
              <w:rPr>
                <w:noProof/>
                <w:webHidden/>
              </w:rPr>
              <w:tab/>
            </w:r>
            <w:r w:rsidR="009C1372">
              <w:rPr>
                <w:noProof/>
                <w:webHidden/>
              </w:rPr>
              <w:fldChar w:fldCharType="begin"/>
            </w:r>
            <w:r w:rsidR="009C1372">
              <w:rPr>
                <w:noProof/>
                <w:webHidden/>
              </w:rPr>
              <w:instrText xml:space="preserve"> PAGEREF _Toc515617180 \h </w:instrText>
            </w:r>
            <w:r w:rsidR="009C1372">
              <w:rPr>
                <w:noProof/>
                <w:webHidden/>
              </w:rPr>
            </w:r>
            <w:r w:rsidR="009C1372">
              <w:rPr>
                <w:noProof/>
                <w:webHidden/>
              </w:rPr>
              <w:fldChar w:fldCharType="separate"/>
            </w:r>
            <w:r w:rsidR="00F1475E">
              <w:rPr>
                <w:noProof/>
                <w:webHidden/>
              </w:rPr>
              <w:t>3</w:t>
            </w:r>
            <w:r w:rsidR="009C1372">
              <w:rPr>
                <w:noProof/>
                <w:webHidden/>
              </w:rPr>
              <w:fldChar w:fldCharType="end"/>
            </w:r>
          </w:hyperlink>
        </w:p>
        <w:p w:rsidR="009C1372" w:rsidRDefault="002E375B">
          <w:pPr>
            <w:pStyle w:val="TOC2"/>
            <w:tabs>
              <w:tab w:val="right" w:leader="dot" w:pos="9016"/>
            </w:tabs>
            <w:rPr>
              <w:noProof/>
            </w:rPr>
          </w:pPr>
          <w:hyperlink w:anchor="_Toc515617181" w:history="1">
            <w:r w:rsidR="009C1372" w:rsidRPr="006A67FD">
              <w:rPr>
                <w:rStyle w:val="Hyperlink"/>
                <w:noProof/>
                <w:lang w:eastAsia="en-US"/>
              </w:rPr>
              <w:t>Ethanol in electronic cigarettes</w:t>
            </w:r>
            <w:r w:rsidR="009C1372">
              <w:rPr>
                <w:noProof/>
                <w:webHidden/>
              </w:rPr>
              <w:tab/>
            </w:r>
            <w:r w:rsidR="009C1372">
              <w:rPr>
                <w:noProof/>
                <w:webHidden/>
              </w:rPr>
              <w:fldChar w:fldCharType="begin"/>
            </w:r>
            <w:r w:rsidR="009C1372">
              <w:rPr>
                <w:noProof/>
                <w:webHidden/>
              </w:rPr>
              <w:instrText xml:space="preserve"> PAGEREF _Toc515617181 \h </w:instrText>
            </w:r>
            <w:r w:rsidR="009C1372">
              <w:rPr>
                <w:noProof/>
                <w:webHidden/>
              </w:rPr>
            </w:r>
            <w:r w:rsidR="009C1372">
              <w:rPr>
                <w:noProof/>
                <w:webHidden/>
              </w:rPr>
              <w:fldChar w:fldCharType="separate"/>
            </w:r>
            <w:r w:rsidR="00F1475E">
              <w:rPr>
                <w:noProof/>
                <w:webHidden/>
              </w:rPr>
              <w:t>3</w:t>
            </w:r>
            <w:r w:rsidR="009C1372">
              <w:rPr>
                <w:noProof/>
                <w:webHidden/>
              </w:rPr>
              <w:fldChar w:fldCharType="end"/>
            </w:r>
          </w:hyperlink>
        </w:p>
        <w:p w:rsidR="009C1372" w:rsidRDefault="002E375B">
          <w:pPr>
            <w:pStyle w:val="TOC2"/>
            <w:tabs>
              <w:tab w:val="right" w:leader="dot" w:pos="9016"/>
            </w:tabs>
            <w:rPr>
              <w:noProof/>
            </w:rPr>
          </w:pPr>
          <w:hyperlink w:anchor="_Toc515617182" w:history="1">
            <w:r w:rsidR="009C1372" w:rsidRPr="006A67FD">
              <w:rPr>
                <w:rStyle w:val="Hyperlink"/>
                <w:noProof/>
              </w:rPr>
              <w:t>Cannabis Sativa L.</w:t>
            </w:r>
            <w:r w:rsidR="009C1372">
              <w:rPr>
                <w:noProof/>
                <w:webHidden/>
              </w:rPr>
              <w:tab/>
            </w:r>
            <w:r w:rsidR="009C1372">
              <w:rPr>
                <w:noProof/>
                <w:webHidden/>
              </w:rPr>
              <w:fldChar w:fldCharType="begin"/>
            </w:r>
            <w:r w:rsidR="009C1372">
              <w:rPr>
                <w:noProof/>
                <w:webHidden/>
              </w:rPr>
              <w:instrText xml:space="preserve"> PAGEREF _Toc515617182 \h </w:instrText>
            </w:r>
            <w:r w:rsidR="009C1372">
              <w:rPr>
                <w:noProof/>
                <w:webHidden/>
              </w:rPr>
            </w:r>
            <w:r w:rsidR="009C1372">
              <w:rPr>
                <w:noProof/>
                <w:webHidden/>
              </w:rPr>
              <w:fldChar w:fldCharType="separate"/>
            </w:r>
            <w:r w:rsidR="00F1475E">
              <w:rPr>
                <w:noProof/>
                <w:webHidden/>
              </w:rPr>
              <w:t>3</w:t>
            </w:r>
            <w:r w:rsidR="009C1372">
              <w:rPr>
                <w:noProof/>
                <w:webHidden/>
              </w:rPr>
              <w:fldChar w:fldCharType="end"/>
            </w:r>
          </w:hyperlink>
        </w:p>
        <w:p w:rsidR="009C1372" w:rsidRDefault="002E375B">
          <w:pPr>
            <w:pStyle w:val="TOC2"/>
            <w:tabs>
              <w:tab w:val="right" w:leader="dot" w:pos="9016"/>
            </w:tabs>
            <w:rPr>
              <w:noProof/>
            </w:rPr>
          </w:pPr>
          <w:hyperlink w:anchor="_Toc515617183" w:history="1">
            <w:r w:rsidR="009C1372" w:rsidRPr="006A67FD">
              <w:rPr>
                <w:rStyle w:val="Hyperlink"/>
                <w:noProof/>
              </w:rPr>
              <w:t>Cannabinoids ADD Structures of other cannabinoids</w:t>
            </w:r>
            <w:r w:rsidR="009C1372">
              <w:rPr>
                <w:noProof/>
                <w:webHidden/>
              </w:rPr>
              <w:tab/>
            </w:r>
            <w:r w:rsidR="009C1372">
              <w:rPr>
                <w:noProof/>
                <w:webHidden/>
              </w:rPr>
              <w:fldChar w:fldCharType="begin"/>
            </w:r>
            <w:r w:rsidR="009C1372">
              <w:rPr>
                <w:noProof/>
                <w:webHidden/>
              </w:rPr>
              <w:instrText xml:space="preserve"> PAGEREF _Toc515617183 \h </w:instrText>
            </w:r>
            <w:r w:rsidR="009C1372">
              <w:rPr>
                <w:noProof/>
                <w:webHidden/>
              </w:rPr>
            </w:r>
            <w:r w:rsidR="009C1372">
              <w:rPr>
                <w:noProof/>
                <w:webHidden/>
              </w:rPr>
              <w:fldChar w:fldCharType="separate"/>
            </w:r>
            <w:r w:rsidR="00F1475E">
              <w:rPr>
                <w:noProof/>
                <w:webHidden/>
              </w:rPr>
              <w:t>4</w:t>
            </w:r>
            <w:r w:rsidR="009C1372">
              <w:rPr>
                <w:noProof/>
                <w:webHidden/>
              </w:rPr>
              <w:fldChar w:fldCharType="end"/>
            </w:r>
          </w:hyperlink>
        </w:p>
        <w:p w:rsidR="009C1372" w:rsidRDefault="002E375B">
          <w:pPr>
            <w:pStyle w:val="TOC2"/>
            <w:tabs>
              <w:tab w:val="right" w:leader="dot" w:pos="9016"/>
            </w:tabs>
            <w:rPr>
              <w:noProof/>
            </w:rPr>
          </w:pPr>
          <w:hyperlink w:anchor="_Toc515617184" w:history="1">
            <w:r w:rsidR="009C1372" w:rsidRPr="006A67FD">
              <w:rPr>
                <w:rStyle w:val="Hyperlink"/>
                <w:noProof/>
              </w:rPr>
              <w:t>Cannabinoids in the society</w:t>
            </w:r>
            <w:r w:rsidR="009C1372">
              <w:rPr>
                <w:noProof/>
                <w:webHidden/>
              </w:rPr>
              <w:tab/>
            </w:r>
            <w:r w:rsidR="009C1372">
              <w:rPr>
                <w:noProof/>
                <w:webHidden/>
              </w:rPr>
              <w:fldChar w:fldCharType="begin"/>
            </w:r>
            <w:r w:rsidR="009C1372">
              <w:rPr>
                <w:noProof/>
                <w:webHidden/>
              </w:rPr>
              <w:instrText xml:space="preserve"> PAGEREF _Toc515617184 \h </w:instrText>
            </w:r>
            <w:r w:rsidR="009C1372">
              <w:rPr>
                <w:noProof/>
                <w:webHidden/>
              </w:rPr>
            </w:r>
            <w:r w:rsidR="009C1372">
              <w:rPr>
                <w:noProof/>
                <w:webHidden/>
              </w:rPr>
              <w:fldChar w:fldCharType="separate"/>
            </w:r>
            <w:r w:rsidR="00F1475E">
              <w:rPr>
                <w:noProof/>
                <w:webHidden/>
              </w:rPr>
              <w:t>5</w:t>
            </w:r>
            <w:r w:rsidR="009C1372">
              <w:rPr>
                <w:noProof/>
                <w:webHidden/>
              </w:rPr>
              <w:fldChar w:fldCharType="end"/>
            </w:r>
          </w:hyperlink>
        </w:p>
        <w:p w:rsidR="009C1372" w:rsidRDefault="002E375B">
          <w:pPr>
            <w:pStyle w:val="TOC2"/>
            <w:tabs>
              <w:tab w:val="right" w:leader="dot" w:pos="9016"/>
            </w:tabs>
            <w:rPr>
              <w:noProof/>
            </w:rPr>
          </w:pPr>
          <w:hyperlink w:anchor="_Toc515617185" w:history="1">
            <w:r w:rsidR="009C1372" w:rsidRPr="006A67FD">
              <w:rPr>
                <w:rStyle w:val="Hyperlink"/>
                <w:noProof/>
              </w:rPr>
              <w:t>Cannabinoid administration via e-cigarette</w:t>
            </w:r>
            <w:r w:rsidR="009C1372">
              <w:rPr>
                <w:noProof/>
                <w:webHidden/>
              </w:rPr>
              <w:tab/>
            </w:r>
            <w:r w:rsidR="009C1372">
              <w:rPr>
                <w:noProof/>
                <w:webHidden/>
              </w:rPr>
              <w:fldChar w:fldCharType="begin"/>
            </w:r>
            <w:r w:rsidR="009C1372">
              <w:rPr>
                <w:noProof/>
                <w:webHidden/>
              </w:rPr>
              <w:instrText xml:space="preserve"> PAGEREF _Toc515617185 \h </w:instrText>
            </w:r>
            <w:r w:rsidR="009C1372">
              <w:rPr>
                <w:noProof/>
                <w:webHidden/>
              </w:rPr>
            </w:r>
            <w:r w:rsidR="009C1372">
              <w:rPr>
                <w:noProof/>
                <w:webHidden/>
              </w:rPr>
              <w:fldChar w:fldCharType="separate"/>
            </w:r>
            <w:r w:rsidR="00F1475E">
              <w:rPr>
                <w:noProof/>
                <w:webHidden/>
              </w:rPr>
              <w:t>5</w:t>
            </w:r>
            <w:r w:rsidR="009C1372">
              <w:rPr>
                <w:noProof/>
                <w:webHidden/>
              </w:rPr>
              <w:fldChar w:fldCharType="end"/>
            </w:r>
          </w:hyperlink>
        </w:p>
        <w:p w:rsidR="009C1372" w:rsidRDefault="002E375B">
          <w:pPr>
            <w:pStyle w:val="TOC1"/>
            <w:tabs>
              <w:tab w:val="left" w:pos="440"/>
              <w:tab w:val="right" w:leader="dot" w:pos="9016"/>
            </w:tabs>
            <w:rPr>
              <w:noProof/>
            </w:rPr>
          </w:pPr>
          <w:hyperlink w:anchor="_Toc515617186" w:history="1">
            <w:r w:rsidR="009C1372" w:rsidRPr="006A67FD">
              <w:rPr>
                <w:rStyle w:val="Hyperlink"/>
                <w:noProof/>
              </w:rPr>
              <w:t>3.</w:t>
            </w:r>
            <w:r w:rsidR="009C1372">
              <w:rPr>
                <w:noProof/>
              </w:rPr>
              <w:tab/>
            </w:r>
            <w:r w:rsidR="009C1372" w:rsidRPr="006A67FD">
              <w:rPr>
                <w:rStyle w:val="Hyperlink"/>
                <w:noProof/>
              </w:rPr>
              <w:t>Methodology</w:t>
            </w:r>
            <w:r w:rsidR="009C1372">
              <w:rPr>
                <w:noProof/>
                <w:webHidden/>
              </w:rPr>
              <w:tab/>
            </w:r>
            <w:r w:rsidR="009C1372">
              <w:rPr>
                <w:noProof/>
                <w:webHidden/>
              </w:rPr>
              <w:fldChar w:fldCharType="begin"/>
            </w:r>
            <w:r w:rsidR="009C1372">
              <w:rPr>
                <w:noProof/>
                <w:webHidden/>
              </w:rPr>
              <w:instrText xml:space="preserve"> PAGEREF _Toc515617186 \h </w:instrText>
            </w:r>
            <w:r w:rsidR="009C1372">
              <w:rPr>
                <w:noProof/>
                <w:webHidden/>
              </w:rPr>
            </w:r>
            <w:r w:rsidR="009C1372">
              <w:rPr>
                <w:noProof/>
                <w:webHidden/>
              </w:rPr>
              <w:fldChar w:fldCharType="separate"/>
            </w:r>
            <w:r w:rsidR="00F1475E">
              <w:rPr>
                <w:noProof/>
                <w:webHidden/>
              </w:rPr>
              <w:t>6</w:t>
            </w:r>
            <w:r w:rsidR="009C1372">
              <w:rPr>
                <w:noProof/>
                <w:webHidden/>
              </w:rPr>
              <w:fldChar w:fldCharType="end"/>
            </w:r>
          </w:hyperlink>
        </w:p>
        <w:p w:rsidR="009C1372" w:rsidRDefault="002E375B">
          <w:pPr>
            <w:pStyle w:val="TOC2"/>
            <w:tabs>
              <w:tab w:val="right" w:leader="dot" w:pos="9016"/>
            </w:tabs>
            <w:rPr>
              <w:noProof/>
            </w:rPr>
          </w:pPr>
          <w:hyperlink w:anchor="_Toc515617187" w:history="1">
            <w:r w:rsidR="009C1372" w:rsidRPr="006A67FD">
              <w:rPr>
                <w:rStyle w:val="Hyperlink"/>
                <w:noProof/>
              </w:rPr>
              <w:t>Methods for e-liquid samples</w:t>
            </w:r>
            <w:r w:rsidR="009C1372">
              <w:rPr>
                <w:noProof/>
                <w:webHidden/>
              </w:rPr>
              <w:tab/>
            </w:r>
            <w:r w:rsidR="009C1372">
              <w:rPr>
                <w:noProof/>
                <w:webHidden/>
              </w:rPr>
              <w:fldChar w:fldCharType="begin"/>
            </w:r>
            <w:r w:rsidR="009C1372">
              <w:rPr>
                <w:noProof/>
                <w:webHidden/>
              </w:rPr>
              <w:instrText xml:space="preserve"> PAGEREF _Toc515617187 \h </w:instrText>
            </w:r>
            <w:r w:rsidR="009C1372">
              <w:rPr>
                <w:noProof/>
                <w:webHidden/>
              </w:rPr>
            </w:r>
            <w:r w:rsidR="009C1372">
              <w:rPr>
                <w:noProof/>
                <w:webHidden/>
              </w:rPr>
              <w:fldChar w:fldCharType="separate"/>
            </w:r>
            <w:r w:rsidR="00F1475E">
              <w:rPr>
                <w:noProof/>
                <w:webHidden/>
              </w:rPr>
              <w:t>6</w:t>
            </w:r>
            <w:r w:rsidR="009C1372">
              <w:rPr>
                <w:noProof/>
                <w:webHidden/>
              </w:rPr>
              <w:fldChar w:fldCharType="end"/>
            </w:r>
          </w:hyperlink>
        </w:p>
        <w:p w:rsidR="009C1372" w:rsidRDefault="002E375B">
          <w:pPr>
            <w:pStyle w:val="TOC3"/>
            <w:tabs>
              <w:tab w:val="right" w:leader="dot" w:pos="9016"/>
            </w:tabs>
            <w:rPr>
              <w:noProof/>
            </w:rPr>
          </w:pPr>
          <w:hyperlink w:anchor="_Toc515617188" w:history="1">
            <w:r w:rsidR="009C1372" w:rsidRPr="006A67FD">
              <w:rPr>
                <w:rStyle w:val="Hyperlink"/>
                <w:noProof/>
                <w:lang w:eastAsia="en-US"/>
              </w:rPr>
              <w:t>Chemicals and reagents</w:t>
            </w:r>
            <w:r w:rsidR="009C1372">
              <w:rPr>
                <w:noProof/>
                <w:webHidden/>
              </w:rPr>
              <w:tab/>
            </w:r>
            <w:r w:rsidR="009C1372">
              <w:rPr>
                <w:noProof/>
                <w:webHidden/>
              </w:rPr>
              <w:fldChar w:fldCharType="begin"/>
            </w:r>
            <w:r w:rsidR="009C1372">
              <w:rPr>
                <w:noProof/>
                <w:webHidden/>
              </w:rPr>
              <w:instrText xml:space="preserve"> PAGEREF _Toc515617188 \h </w:instrText>
            </w:r>
            <w:r w:rsidR="009C1372">
              <w:rPr>
                <w:noProof/>
                <w:webHidden/>
              </w:rPr>
            </w:r>
            <w:r w:rsidR="009C1372">
              <w:rPr>
                <w:noProof/>
                <w:webHidden/>
              </w:rPr>
              <w:fldChar w:fldCharType="separate"/>
            </w:r>
            <w:r w:rsidR="00F1475E">
              <w:rPr>
                <w:noProof/>
                <w:webHidden/>
              </w:rPr>
              <w:t>6</w:t>
            </w:r>
            <w:r w:rsidR="009C1372">
              <w:rPr>
                <w:noProof/>
                <w:webHidden/>
              </w:rPr>
              <w:fldChar w:fldCharType="end"/>
            </w:r>
          </w:hyperlink>
        </w:p>
        <w:p w:rsidR="009C1372" w:rsidRDefault="002E375B">
          <w:pPr>
            <w:pStyle w:val="TOC3"/>
            <w:tabs>
              <w:tab w:val="right" w:leader="dot" w:pos="9016"/>
            </w:tabs>
            <w:rPr>
              <w:noProof/>
            </w:rPr>
          </w:pPr>
          <w:hyperlink w:anchor="_Toc515617189" w:history="1">
            <w:r w:rsidR="009C1372" w:rsidRPr="006A67FD">
              <w:rPr>
                <w:rStyle w:val="Hyperlink"/>
                <w:noProof/>
                <w:lang w:eastAsia="en-US"/>
              </w:rPr>
              <w:t>Calibration and standards</w:t>
            </w:r>
            <w:r w:rsidR="009C1372">
              <w:rPr>
                <w:noProof/>
                <w:webHidden/>
              </w:rPr>
              <w:tab/>
            </w:r>
            <w:r w:rsidR="009C1372">
              <w:rPr>
                <w:noProof/>
                <w:webHidden/>
              </w:rPr>
              <w:fldChar w:fldCharType="begin"/>
            </w:r>
            <w:r w:rsidR="009C1372">
              <w:rPr>
                <w:noProof/>
                <w:webHidden/>
              </w:rPr>
              <w:instrText xml:space="preserve"> PAGEREF _Toc515617189 \h </w:instrText>
            </w:r>
            <w:r w:rsidR="009C1372">
              <w:rPr>
                <w:noProof/>
                <w:webHidden/>
              </w:rPr>
            </w:r>
            <w:r w:rsidR="009C1372">
              <w:rPr>
                <w:noProof/>
                <w:webHidden/>
              </w:rPr>
              <w:fldChar w:fldCharType="separate"/>
            </w:r>
            <w:r w:rsidR="00F1475E">
              <w:rPr>
                <w:noProof/>
                <w:webHidden/>
              </w:rPr>
              <w:t>6</w:t>
            </w:r>
            <w:r w:rsidR="009C1372">
              <w:rPr>
                <w:noProof/>
                <w:webHidden/>
              </w:rPr>
              <w:fldChar w:fldCharType="end"/>
            </w:r>
          </w:hyperlink>
        </w:p>
        <w:p w:rsidR="009C1372" w:rsidRDefault="002E375B">
          <w:pPr>
            <w:pStyle w:val="TOC3"/>
            <w:tabs>
              <w:tab w:val="right" w:leader="dot" w:pos="9016"/>
            </w:tabs>
            <w:rPr>
              <w:noProof/>
            </w:rPr>
          </w:pPr>
          <w:hyperlink w:anchor="_Toc515617190" w:history="1">
            <w:r w:rsidR="009C1372" w:rsidRPr="006A67FD">
              <w:rPr>
                <w:rStyle w:val="Hyperlink"/>
                <w:noProof/>
                <w:lang w:eastAsia="en-US"/>
              </w:rPr>
              <w:t>Samples</w:t>
            </w:r>
            <w:r w:rsidR="009C1372">
              <w:rPr>
                <w:noProof/>
                <w:webHidden/>
              </w:rPr>
              <w:tab/>
            </w:r>
            <w:r w:rsidR="009C1372">
              <w:rPr>
                <w:noProof/>
                <w:webHidden/>
              </w:rPr>
              <w:fldChar w:fldCharType="begin"/>
            </w:r>
            <w:r w:rsidR="009C1372">
              <w:rPr>
                <w:noProof/>
                <w:webHidden/>
              </w:rPr>
              <w:instrText xml:space="preserve"> PAGEREF _Toc515617190 \h </w:instrText>
            </w:r>
            <w:r w:rsidR="009C1372">
              <w:rPr>
                <w:noProof/>
                <w:webHidden/>
              </w:rPr>
            </w:r>
            <w:r w:rsidR="009C1372">
              <w:rPr>
                <w:noProof/>
                <w:webHidden/>
              </w:rPr>
              <w:fldChar w:fldCharType="separate"/>
            </w:r>
            <w:r w:rsidR="00F1475E">
              <w:rPr>
                <w:noProof/>
                <w:webHidden/>
              </w:rPr>
              <w:t>6</w:t>
            </w:r>
            <w:r w:rsidR="009C1372">
              <w:rPr>
                <w:noProof/>
                <w:webHidden/>
              </w:rPr>
              <w:fldChar w:fldCharType="end"/>
            </w:r>
          </w:hyperlink>
        </w:p>
        <w:p w:rsidR="009C1372" w:rsidRDefault="002E375B">
          <w:pPr>
            <w:pStyle w:val="TOC3"/>
            <w:tabs>
              <w:tab w:val="right" w:leader="dot" w:pos="9016"/>
            </w:tabs>
            <w:rPr>
              <w:noProof/>
            </w:rPr>
          </w:pPr>
          <w:hyperlink w:anchor="_Toc515617191" w:history="1">
            <w:r w:rsidR="009C1372" w:rsidRPr="006A67FD">
              <w:rPr>
                <w:rStyle w:val="Hyperlink"/>
                <w:noProof/>
                <w:lang w:eastAsia="en-US"/>
              </w:rPr>
              <w:t>Sample preparation</w:t>
            </w:r>
            <w:r w:rsidR="009C1372">
              <w:rPr>
                <w:noProof/>
                <w:webHidden/>
              </w:rPr>
              <w:tab/>
            </w:r>
            <w:r w:rsidR="009C1372">
              <w:rPr>
                <w:noProof/>
                <w:webHidden/>
              </w:rPr>
              <w:fldChar w:fldCharType="begin"/>
            </w:r>
            <w:r w:rsidR="009C1372">
              <w:rPr>
                <w:noProof/>
                <w:webHidden/>
              </w:rPr>
              <w:instrText xml:space="preserve"> PAGEREF _Toc515617191 \h </w:instrText>
            </w:r>
            <w:r w:rsidR="009C1372">
              <w:rPr>
                <w:noProof/>
                <w:webHidden/>
              </w:rPr>
            </w:r>
            <w:r w:rsidR="009C1372">
              <w:rPr>
                <w:noProof/>
                <w:webHidden/>
              </w:rPr>
              <w:fldChar w:fldCharType="separate"/>
            </w:r>
            <w:r w:rsidR="00F1475E">
              <w:rPr>
                <w:noProof/>
                <w:webHidden/>
              </w:rPr>
              <w:t>6</w:t>
            </w:r>
            <w:r w:rsidR="009C1372">
              <w:rPr>
                <w:noProof/>
                <w:webHidden/>
              </w:rPr>
              <w:fldChar w:fldCharType="end"/>
            </w:r>
          </w:hyperlink>
        </w:p>
        <w:p w:rsidR="009C1372" w:rsidRDefault="002E375B">
          <w:pPr>
            <w:pStyle w:val="TOC3"/>
            <w:tabs>
              <w:tab w:val="right" w:leader="dot" w:pos="9016"/>
            </w:tabs>
            <w:rPr>
              <w:noProof/>
            </w:rPr>
          </w:pPr>
          <w:hyperlink w:anchor="_Toc515617192" w:history="1">
            <w:r w:rsidR="009C1372" w:rsidRPr="006A67FD">
              <w:rPr>
                <w:rStyle w:val="Hyperlink"/>
                <w:noProof/>
                <w:lang w:eastAsia="en-US"/>
              </w:rPr>
              <w:t>Instrument conditions</w:t>
            </w:r>
            <w:r w:rsidR="009C1372">
              <w:rPr>
                <w:noProof/>
                <w:webHidden/>
              </w:rPr>
              <w:tab/>
            </w:r>
            <w:r w:rsidR="009C1372">
              <w:rPr>
                <w:noProof/>
                <w:webHidden/>
              </w:rPr>
              <w:fldChar w:fldCharType="begin"/>
            </w:r>
            <w:r w:rsidR="009C1372">
              <w:rPr>
                <w:noProof/>
                <w:webHidden/>
              </w:rPr>
              <w:instrText xml:space="preserve"> PAGEREF _Toc515617192 \h </w:instrText>
            </w:r>
            <w:r w:rsidR="009C1372">
              <w:rPr>
                <w:noProof/>
                <w:webHidden/>
              </w:rPr>
            </w:r>
            <w:r w:rsidR="009C1372">
              <w:rPr>
                <w:noProof/>
                <w:webHidden/>
              </w:rPr>
              <w:fldChar w:fldCharType="separate"/>
            </w:r>
            <w:r w:rsidR="00F1475E">
              <w:rPr>
                <w:noProof/>
                <w:webHidden/>
              </w:rPr>
              <w:t>6</w:t>
            </w:r>
            <w:r w:rsidR="009C1372">
              <w:rPr>
                <w:noProof/>
                <w:webHidden/>
              </w:rPr>
              <w:fldChar w:fldCharType="end"/>
            </w:r>
          </w:hyperlink>
        </w:p>
        <w:p w:rsidR="009C1372" w:rsidRDefault="002E375B">
          <w:pPr>
            <w:pStyle w:val="TOC3"/>
            <w:tabs>
              <w:tab w:val="right" w:leader="dot" w:pos="9016"/>
            </w:tabs>
            <w:rPr>
              <w:noProof/>
            </w:rPr>
          </w:pPr>
          <w:hyperlink w:anchor="_Toc515617193" w:history="1">
            <w:r w:rsidR="009C1372" w:rsidRPr="006A67FD">
              <w:rPr>
                <w:rStyle w:val="Hyperlink"/>
                <w:noProof/>
              </w:rPr>
              <w:t>Method validation</w:t>
            </w:r>
            <w:r w:rsidR="009C1372">
              <w:rPr>
                <w:noProof/>
                <w:webHidden/>
              </w:rPr>
              <w:tab/>
            </w:r>
            <w:r w:rsidR="009C1372">
              <w:rPr>
                <w:noProof/>
                <w:webHidden/>
              </w:rPr>
              <w:fldChar w:fldCharType="begin"/>
            </w:r>
            <w:r w:rsidR="009C1372">
              <w:rPr>
                <w:noProof/>
                <w:webHidden/>
              </w:rPr>
              <w:instrText xml:space="preserve"> PAGEREF _Toc515617193 \h </w:instrText>
            </w:r>
            <w:r w:rsidR="009C1372">
              <w:rPr>
                <w:noProof/>
                <w:webHidden/>
              </w:rPr>
            </w:r>
            <w:r w:rsidR="009C1372">
              <w:rPr>
                <w:noProof/>
                <w:webHidden/>
              </w:rPr>
              <w:fldChar w:fldCharType="separate"/>
            </w:r>
            <w:r w:rsidR="00F1475E">
              <w:rPr>
                <w:noProof/>
                <w:webHidden/>
              </w:rPr>
              <w:t>6</w:t>
            </w:r>
            <w:r w:rsidR="009C1372">
              <w:rPr>
                <w:noProof/>
                <w:webHidden/>
              </w:rPr>
              <w:fldChar w:fldCharType="end"/>
            </w:r>
          </w:hyperlink>
        </w:p>
        <w:p w:rsidR="009C1372" w:rsidRDefault="002E375B">
          <w:pPr>
            <w:pStyle w:val="TOC2"/>
            <w:tabs>
              <w:tab w:val="right" w:leader="dot" w:pos="9016"/>
            </w:tabs>
            <w:rPr>
              <w:noProof/>
            </w:rPr>
          </w:pPr>
          <w:hyperlink w:anchor="_Toc515617194" w:history="1">
            <w:r w:rsidR="009C1372" w:rsidRPr="006A67FD">
              <w:rPr>
                <w:rStyle w:val="Hyperlink"/>
                <w:noProof/>
              </w:rPr>
              <w:t>Methods for samples containing cannabidiol</w:t>
            </w:r>
            <w:r w:rsidR="009C1372">
              <w:rPr>
                <w:noProof/>
                <w:webHidden/>
              </w:rPr>
              <w:tab/>
            </w:r>
            <w:r w:rsidR="009C1372">
              <w:rPr>
                <w:noProof/>
                <w:webHidden/>
              </w:rPr>
              <w:fldChar w:fldCharType="begin"/>
            </w:r>
            <w:r w:rsidR="009C1372">
              <w:rPr>
                <w:noProof/>
                <w:webHidden/>
              </w:rPr>
              <w:instrText xml:space="preserve"> PAGEREF _Toc515617194 \h </w:instrText>
            </w:r>
            <w:r w:rsidR="009C1372">
              <w:rPr>
                <w:noProof/>
                <w:webHidden/>
              </w:rPr>
            </w:r>
            <w:r w:rsidR="009C1372">
              <w:rPr>
                <w:noProof/>
                <w:webHidden/>
              </w:rPr>
              <w:fldChar w:fldCharType="separate"/>
            </w:r>
            <w:r w:rsidR="00F1475E">
              <w:rPr>
                <w:noProof/>
                <w:webHidden/>
              </w:rPr>
              <w:t>7</w:t>
            </w:r>
            <w:r w:rsidR="009C1372">
              <w:rPr>
                <w:noProof/>
                <w:webHidden/>
              </w:rPr>
              <w:fldChar w:fldCharType="end"/>
            </w:r>
          </w:hyperlink>
        </w:p>
        <w:p w:rsidR="009C1372" w:rsidRDefault="002E375B">
          <w:pPr>
            <w:pStyle w:val="TOC2"/>
            <w:tabs>
              <w:tab w:val="right" w:leader="dot" w:pos="9016"/>
            </w:tabs>
            <w:rPr>
              <w:noProof/>
            </w:rPr>
          </w:pPr>
          <w:hyperlink w:anchor="_Toc515617195" w:history="1">
            <w:r w:rsidR="009C1372" w:rsidRPr="006A67FD">
              <w:rPr>
                <w:rStyle w:val="Hyperlink"/>
                <w:noProof/>
              </w:rPr>
              <w:t>Cannabidiol and cannabinol quantification from CBD oil and CBD e-liquids</w:t>
            </w:r>
            <w:r w:rsidR="009C1372">
              <w:rPr>
                <w:noProof/>
                <w:webHidden/>
              </w:rPr>
              <w:tab/>
            </w:r>
            <w:r w:rsidR="009C1372">
              <w:rPr>
                <w:noProof/>
                <w:webHidden/>
              </w:rPr>
              <w:fldChar w:fldCharType="begin"/>
            </w:r>
            <w:r w:rsidR="009C1372">
              <w:rPr>
                <w:noProof/>
                <w:webHidden/>
              </w:rPr>
              <w:instrText xml:space="preserve"> PAGEREF _Toc515617195 \h </w:instrText>
            </w:r>
            <w:r w:rsidR="009C1372">
              <w:rPr>
                <w:noProof/>
                <w:webHidden/>
              </w:rPr>
            </w:r>
            <w:r w:rsidR="009C1372">
              <w:rPr>
                <w:noProof/>
                <w:webHidden/>
              </w:rPr>
              <w:fldChar w:fldCharType="separate"/>
            </w:r>
            <w:r w:rsidR="00F1475E">
              <w:rPr>
                <w:noProof/>
                <w:webHidden/>
              </w:rPr>
              <w:t>7</w:t>
            </w:r>
            <w:r w:rsidR="009C1372">
              <w:rPr>
                <w:noProof/>
                <w:webHidden/>
              </w:rPr>
              <w:fldChar w:fldCharType="end"/>
            </w:r>
          </w:hyperlink>
        </w:p>
        <w:p w:rsidR="009C1372" w:rsidRDefault="002E375B">
          <w:pPr>
            <w:pStyle w:val="TOC3"/>
            <w:tabs>
              <w:tab w:val="right" w:leader="dot" w:pos="9016"/>
            </w:tabs>
            <w:rPr>
              <w:noProof/>
            </w:rPr>
          </w:pPr>
          <w:hyperlink w:anchor="_Toc515617196" w:history="1">
            <w:r w:rsidR="009C1372" w:rsidRPr="006A67FD">
              <w:rPr>
                <w:rStyle w:val="Hyperlink"/>
                <w:noProof/>
              </w:rPr>
              <w:t>Chemicals and reagents</w:t>
            </w:r>
            <w:r w:rsidR="009C1372">
              <w:rPr>
                <w:noProof/>
                <w:webHidden/>
              </w:rPr>
              <w:tab/>
            </w:r>
            <w:r w:rsidR="009C1372">
              <w:rPr>
                <w:noProof/>
                <w:webHidden/>
              </w:rPr>
              <w:fldChar w:fldCharType="begin"/>
            </w:r>
            <w:r w:rsidR="009C1372">
              <w:rPr>
                <w:noProof/>
                <w:webHidden/>
              </w:rPr>
              <w:instrText xml:space="preserve"> PAGEREF _Toc515617196 \h </w:instrText>
            </w:r>
            <w:r w:rsidR="009C1372">
              <w:rPr>
                <w:noProof/>
                <w:webHidden/>
              </w:rPr>
            </w:r>
            <w:r w:rsidR="009C1372">
              <w:rPr>
                <w:noProof/>
                <w:webHidden/>
              </w:rPr>
              <w:fldChar w:fldCharType="separate"/>
            </w:r>
            <w:r w:rsidR="00F1475E">
              <w:rPr>
                <w:noProof/>
                <w:webHidden/>
              </w:rPr>
              <w:t>7</w:t>
            </w:r>
            <w:r w:rsidR="009C1372">
              <w:rPr>
                <w:noProof/>
                <w:webHidden/>
              </w:rPr>
              <w:fldChar w:fldCharType="end"/>
            </w:r>
          </w:hyperlink>
        </w:p>
        <w:p w:rsidR="009C1372" w:rsidRDefault="002E375B">
          <w:pPr>
            <w:pStyle w:val="TOC3"/>
            <w:tabs>
              <w:tab w:val="right" w:leader="dot" w:pos="9016"/>
            </w:tabs>
            <w:rPr>
              <w:noProof/>
            </w:rPr>
          </w:pPr>
          <w:hyperlink w:anchor="_Toc515617197" w:history="1">
            <w:r w:rsidR="009C1372" w:rsidRPr="006A67FD">
              <w:rPr>
                <w:rStyle w:val="Hyperlink"/>
                <w:noProof/>
              </w:rPr>
              <w:t>Calibration standards</w:t>
            </w:r>
            <w:r w:rsidR="009C1372">
              <w:rPr>
                <w:noProof/>
                <w:webHidden/>
              </w:rPr>
              <w:tab/>
            </w:r>
            <w:r w:rsidR="009C1372">
              <w:rPr>
                <w:noProof/>
                <w:webHidden/>
              </w:rPr>
              <w:fldChar w:fldCharType="begin"/>
            </w:r>
            <w:r w:rsidR="009C1372">
              <w:rPr>
                <w:noProof/>
                <w:webHidden/>
              </w:rPr>
              <w:instrText xml:space="preserve"> PAGEREF _Toc515617197 \h </w:instrText>
            </w:r>
            <w:r w:rsidR="009C1372">
              <w:rPr>
                <w:noProof/>
                <w:webHidden/>
              </w:rPr>
            </w:r>
            <w:r w:rsidR="009C1372">
              <w:rPr>
                <w:noProof/>
                <w:webHidden/>
              </w:rPr>
              <w:fldChar w:fldCharType="separate"/>
            </w:r>
            <w:r w:rsidR="00F1475E">
              <w:rPr>
                <w:noProof/>
                <w:webHidden/>
              </w:rPr>
              <w:t>7</w:t>
            </w:r>
            <w:r w:rsidR="009C1372">
              <w:rPr>
                <w:noProof/>
                <w:webHidden/>
              </w:rPr>
              <w:fldChar w:fldCharType="end"/>
            </w:r>
          </w:hyperlink>
        </w:p>
        <w:p w:rsidR="009C1372" w:rsidRDefault="002E375B">
          <w:pPr>
            <w:pStyle w:val="TOC3"/>
            <w:tabs>
              <w:tab w:val="right" w:leader="dot" w:pos="9016"/>
            </w:tabs>
            <w:rPr>
              <w:noProof/>
            </w:rPr>
          </w:pPr>
          <w:hyperlink w:anchor="_Toc515617198" w:history="1">
            <w:r w:rsidR="009C1372" w:rsidRPr="006A67FD">
              <w:rPr>
                <w:rStyle w:val="Hyperlink"/>
                <w:noProof/>
              </w:rPr>
              <w:t>Samples</w:t>
            </w:r>
            <w:r w:rsidR="009C1372">
              <w:rPr>
                <w:noProof/>
                <w:webHidden/>
              </w:rPr>
              <w:tab/>
            </w:r>
            <w:r w:rsidR="009C1372">
              <w:rPr>
                <w:noProof/>
                <w:webHidden/>
              </w:rPr>
              <w:fldChar w:fldCharType="begin"/>
            </w:r>
            <w:r w:rsidR="009C1372">
              <w:rPr>
                <w:noProof/>
                <w:webHidden/>
              </w:rPr>
              <w:instrText xml:space="preserve"> PAGEREF _Toc515617198 \h </w:instrText>
            </w:r>
            <w:r w:rsidR="009C1372">
              <w:rPr>
                <w:noProof/>
                <w:webHidden/>
              </w:rPr>
            </w:r>
            <w:r w:rsidR="009C1372">
              <w:rPr>
                <w:noProof/>
                <w:webHidden/>
              </w:rPr>
              <w:fldChar w:fldCharType="separate"/>
            </w:r>
            <w:r w:rsidR="00F1475E">
              <w:rPr>
                <w:noProof/>
                <w:webHidden/>
              </w:rPr>
              <w:t>7</w:t>
            </w:r>
            <w:r w:rsidR="009C1372">
              <w:rPr>
                <w:noProof/>
                <w:webHidden/>
              </w:rPr>
              <w:fldChar w:fldCharType="end"/>
            </w:r>
          </w:hyperlink>
        </w:p>
        <w:p w:rsidR="009C1372" w:rsidRDefault="002E375B">
          <w:pPr>
            <w:pStyle w:val="TOC3"/>
            <w:tabs>
              <w:tab w:val="right" w:leader="dot" w:pos="9016"/>
            </w:tabs>
            <w:rPr>
              <w:noProof/>
            </w:rPr>
          </w:pPr>
          <w:hyperlink w:anchor="_Toc515617199" w:history="1">
            <w:r w:rsidR="009C1372" w:rsidRPr="006A67FD">
              <w:rPr>
                <w:rStyle w:val="Hyperlink"/>
                <w:noProof/>
              </w:rPr>
              <w:t>Sample preparation</w:t>
            </w:r>
            <w:r w:rsidR="009C1372">
              <w:rPr>
                <w:noProof/>
                <w:webHidden/>
              </w:rPr>
              <w:tab/>
            </w:r>
            <w:r w:rsidR="009C1372">
              <w:rPr>
                <w:noProof/>
                <w:webHidden/>
              </w:rPr>
              <w:fldChar w:fldCharType="begin"/>
            </w:r>
            <w:r w:rsidR="009C1372">
              <w:rPr>
                <w:noProof/>
                <w:webHidden/>
              </w:rPr>
              <w:instrText xml:space="preserve"> PAGEREF _Toc515617199 \h </w:instrText>
            </w:r>
            <w:r w:rsidR="009C1372">
              <w:rPr>
                <w:noProof/>
                <w:webHidden/>
              </w:rPr>
            </w:r>
            <w:r w:rsidR="009C1372">
              <w:rPr>
                <w:noProof/>
                <w:webHidden/>
              </w:rPr>
              <w:fldChar w:fldCharType="separate"/>
            </w:r>
            <w:r w:rsidR="00F1475E">
              <w:rPr>
                <w:noProof/>
                <w:webHidden/>
              </w:rPr>
              <w:t>7</w:t>
            </w:r>
            <w:r w:rsidR="009C1372">
              <w:rPr>
                <w:noProof/>
                <w:webHidden/>
              </w:rPr>
              <w:fldChar w:fldCharType="end"/>
            </w:r>
          </w:hyperlink>
        </w:p>
        <w:p w:rsidR="009C1372" w:rsidRDefault="002E375B">
          <w:pPr>
            <w:pStyle w:val="TOC3"/>
            <w:tabs>
              <w:tab w:val="right" w:leader="dot" w:pos="9016"/>
            </w:tabs>
            <w:rPr>
              <w:noProof/>
            </w:rPr>
          </w:pPr>
          <w:hyperlink w:anchor="_Toc515617200" w:history="1">
            <w:r w:rsidR="009C1372" w:rsidRPr="006A67FD">
              <w:rPr>
                <w:rStyle w:val="Hyperlink"/>
                <w:noProof/>
              </w:rPr>
              <w:t>Instrument conditions</w:t>
            </w:r>
            <w:r w:rsidR="009C1372">
              <w:rPr>
                <w:noProof/>
                <w:webHidden/>
              </w:rPr>
              <w:tab/>
            </w:r>
            <w:r w:rsidR="009C1372">
              <w:rPr>
                <w:noProof/>
                <w:webHidden/>
              </w:rPr>
              <w:fldChar w:fldCharType="begin"/>
            </w:r>
            <w:r w:rsidR="009C1372">
              <w:rPr>
                <w:noProof/>
                <w:webHidden/>
              </w:rPr>
              <w:instrText xml:space="preserve"> PAGEREF _Toc515617200 \h </w:instrText>
            </w:r>
            <w:r w:rsidR="009C1372">
              <w:rPr>
                <w:noProof/>
                <w:webHidden/>
              </w:rPr>
            </w:r>
            <w:r w:rsidR="009C1372">
              <w:rPr>
                <w:noProof/>
                <w:webHidden/>
              </w:rPr>
              <w:fldChar w:fldCharType="separate"/>
            </w:r>
            <w:r w:rsidR="00F1475E">
              <w:rPr>
                <w:noProof/>
                <w:webHidden/>
              </w:rPr>
              <w:t>7</w:t>
            </w:r>
            <w:r w:rsidR="009C1372">
              <w:rPr>
                <w:noProof/>
                <w:webHidden/>
              </w:rPr>
              <w:fldChar w:fldCharType="end"/>
            </w:r>
          </w:hyperlink>
        </w:p>
        <w:p w:rsidR="009C1372" w:rsidRDefault="002E375B">
          <w:pPr>
            <w:pStyle w:val="TOC3"/>
            <w:tabs>
              <w:tab w:val="right" w:leader="dot" w:pos="9016"/>
            </w:tabs>
            <w:rPr>
              <w:noProof/>
            </w:rPr>
          </w:pPr>
          <w:hyperlink w:anchor="_Toc515617201" w:history="1">
            <w:r w:rsidR="009C1372" w:rsidRPr="006A67FD">
              <w:rPr>
                <w:rStyle w:val="Hyperlink"/>
                <w:noProof/>
              </w:rPr>
              <w:t>Method validation</w:t>
            </w:r>
            <w:r w:rsidR="009C1372">
              <w:rPr>
                <w:noProof/>
                <w:webHidden/>
              </w:rPr>
              <w:tab/>
            </w:r>
            <w:r w:rsidR="009C1372">
              <w:rPr>
                <w:noProof/>
                <w:webHidden/>
              </w:rPr>
              <w:fldChar w:fldCharType="begin"/>
            </w:r>
            <w:r w:rsidR="009C1372">
              <w:rPr>
                <w:noProof/>
                <w:webHidden/>
              </w:rPr>
              <w:instrText xml:space="preserve"> PAGEREF _Toc515617201 \h </w:instrText>
            </w:r>
            <w:r w:rsidR="009C1372">
              <w:rPr>
                <w:noProof/>
                <w:webHidden/>
              </w:rPr>
            </w:r>
            <w:r w:rsidR="009C1372">
              <w:rPr>
                <w:noProof/>
                <w:webHidden/>
              </w:rPr>
              <w:fldChar w:fldCharType="separate"/>
            </w:r>
            <w:r w:rsidR="00F1475E">
              <w:rPr>
                <w:noProof/>
                <w:webHidden/>
              </w:rPr>
              <w:t>7</w:t>
            </w:r>
            <w:r w:rsidR="009C1372">
              <w:rPr>
                <w:noProof/>
                <w:webHidden/>
              </w:rPr>
              <w:fldChar w:fldCharType="end"/>
            </w:r>
          </w:hyperlink>
        </w:p>
        <w:p w:rsidR="009C1372" w:rsidRDefault="002E375B">
          <w:pPr>
            <w:pStyle w:val="TOC2"/>
            <w:tabs>
              <w:tab w:val="right" w:leader="dot" w:pos="9016"/>
            </w:tabs>
            <w:rPr>
              <w:noProof/>
            </w:rPr>
          </w:pPr>
          <w:hyperlink w:anchor="_Toc515617202" w:history="1">
            <w:r w:rsidR="009C1372" w:rsidRPr="006A67FD">
              <w:rPr>
                <w:rStyle w:val="Hyperlink"/>
                <w:noProof/>
              </w:rPr>
              <w:t>Identification of CBD oil chemical constituents</w:t>
            </w:r>
            <w:r w:rsidR="009C1372">
              <w:rPr>
                <w:noProof/>
                <w:webHidden/>
              </w:rPr>
              <w:tab/>
            </w:r>
            <w:r w:rsidR="009C1372">
              <w:rPr>
                <w:noProof/>
                <w:webHidden/>
              </w:rPr>
              <w:fldChar w:fldCharType="begin"/>
            </w:r>
            <w:r w:rsidR="009C1372">
              <w:rPr>
                <w:noProof/>
                <w:webHidden/>
              </w:rPr>
              <w:instrText xml:space="preserve"> PAGEREF _Toc515617202 \h </w:instrText>
            </w:r>
            <w:r w:rsidR="009C1372">
              <w:rPr>
                <w:noProof/>
                <w:webHidden/>
              </w:rPr>
            </w:r>
            <w:r w:rsidR="009C1372">
              <w:rPr>
                <w:noProof/>
                <w:webHidden/>
              </w:rPr>
              <w:fldChar w:fldCharType="separate"/>
            </w:r>
            <w:r w:rsidR="00F1475E">
              <w:rPr>
                <w:noProof/>
                <w:webHidden/>
              </w:rPr>
              <w:t>8</w:t>
            </w:r>
            <w:r w:rsidR="009C1372">
              <w:rPr>
                <w:noProof/>
                <w:webHidden/>
              </w:rPr>
              <w:fldChar w:fldCharType="end"/>
            </w:r>
          </w:hyperlink>
        </w:p>
        <w:p w:rsidR="009C1372" w:rsidRDefault="002E375B">
          <w:pPr>
            <w:pStyle w:val="TOC3"/>
            <w:tabs>
              <w:tab w:val="right" w:leader="dot" w:pos="9016"/>
            </w:tabs>
            <w:rPr>
              <w:noProof/>
            </w:rPr>
          </w:pPr>
          <w:hyperlink w:anchor="_Toc515617203" w:history="1">
            <w:r w:rsidR="009C1372" w:rsidRPr="006A67FD">
              <w:rPr>
                <w:rStyle w:val="Hyperlink"/>
                <w:noProof/>
              </w:rPr>
              <w:t>Chemicals and reagents</w:t>
            </w:r>
            <w:r w:rsidR="009C1372">
              <w:rPr>
                <w:noProof/>
                <w:webHidden/>
              </w:rPr>
              <w:tab/>
            </w:r>
            <w:r w:rsidR="009C1372">
              <w:rPr>
                <w:noProof/>
                <w:webHidden/>
              </w:rPr>
              <w:fldChar w:fldCharType="begin"/>
            </w:r>
            <w:r w:rsidR="009C1372">
              <w:rPr>
                <w:noProof/>
                <w:webHidden/>
              </w:rPr>
              <w:instrText xml:space="preserve"> PAGEREF _Toc515617203 \h </w:instrText>
            </w:r>
            <w:r w:rsidR="009C1372">
              <w:rPr>
                <w:noProof/>
                <w:webHidden/>
              </w:rPr>
            </w:r>
            <w:r w:rsidR="009C1372">
              <w:rPr>
                <w:noProof/>
                <w:webHidden/>
              </w:rPr>
              <w:fldChar w:fldCharType="separate"/>
            </w:r>
            <w:r w:rsidR="00F1475E">
              <w:rPr>
                <w:noProof/>
                <w:webHidden/>
              </w:rPr>
              <w:t>8</w:t>
            </w:r>
            <w:r w:rsidR="009C1372">
              <w:rPr>
                <w:noProof/>
                <w:webHidden/>
              </w:rPr>
              <w:fldChar w:fldCharType="end"/>
            </w:r>
          </w:hyperlink>
        </w:p>
        <w:p w:rsidR="009C1372" w:rsidRDefault="002E375B">
          <w:pPr>
            <w:pStyle w:val="TOC3"/>
            <w:tabs>
              <w:tab w:val="right" w:leader="dot" w:pos="9016"/>
            </w:tabs>
            <w:rPr>
              <w:noProof/>
            </w:rPr>
          </w:pPr>
          <w:hyperlink w:anchor="_Toc515617204" w:history="1">
            <w:r w:rsidR="009C1372" w:rsidRPr="006A67FD">
              <w:rPr>
                <w:rStyle w:val="Hyperlink"/>
                <w:noProof/>
              </w:rPr>
              <w:t>Internal standard</w:t>
            </w:r>
            <w:r w:rsidR="009C1372">
              <w:rPr>
                <w:noProof/>
                <w:webHidden/>
              </w:rPr>
              <w:tab/>
            </w:r>
            <w:r w:rsidR="009C1372">
              <w:rPr>
                <w:noProof/>
                <w:webHidden/>
              </w:rPr>
              <w:fldChar w:fldCharType="begin"/>
            </w:r>
            <w:r w:rsidR="009C1372">
              <w:rPr>
                <w:noProof/>
                <w:webHidden/>
              </w:rPr>
              <w:instrText xml:space="preserve"> PAGEREF _Toc515617204 \h </w:instrText>
            </w:r>
            <w:r w:rsidR="009C1372">
              <w:rPr>
                <w:noProof/>
                <w:webHidden/>
              </w:rPr>
            </w:r>
            <w:r w:rsidR="009C1372">
              <w:rPr>
                <w:noProof/>
                <w:webHidden/>
              </w:rPr>
              <w:fldChar w:fldCharType="separate"/>
            </w:r>
            <w:r w:rsidR="00F1475E">
              <w:rPr>
                <w:noProof/>
                <w:webHidden/>
              </w:rPr>
              <w:t>8</w:t>
            </w:r>
            <w:r w:rsidR="009C1372">
              <w:rPr>
                <w:noProof/>
                <w:webHidden/>
              </w:rPr>
              <w:fldChar w:fldCharType="end"/>
            </w:r>
          </w:hyperlink>
        </w:p>
        <w:p w:rsidR="009C1372" w:rsidRDefault="002E375B">
          <w:pPr>
            <w:pStyle w:val="TOC3"/>
            <w:tabs>
              <w:tab w:val="right" w:leader="dot" w:pos="9016"/>
            </w:tabs>
            <w:rPr>
              <w:noProof/>
            </w:rPr>
          </w:pPr>
          <w:hyperlink w:anchor="_Toc515617205" w:history="1">
            <w:r w:rsidR="009C1372" w:rsidRPr="006A67FD">
              <w:rPr>
                <w:rStyle w:val="Hyperlink"/>
                <w:noProof/>
              </w:rPr>
              <w:t>Samples</w:t>
            </w:r>
            <w:r w:rsidR="009C1372">
              <w:rPr>
                <w:noProof/>
                <w:webHidden/>
              </w:rPr>
              <w:tab/>
            </w:r>
            <w:r w:rsidR="009C1372">
              <w:rPr>
                <w:noProof/>
                <w:webHidden/>
              </w:rPr>
              <w:fldChar w:fldCharType="begin"/>
            </w:r>
            <w:r w:rsidR="009C1372">
              <w:rPr>
                <w:noProof/>
                <w:webHidden/>
              </w:rPr>
              <w:instrText xml:space="preserve"> PAGEREF _Toc515617205 \h </w:instrText>
            </w:r>
            <w:r w:rsidR="009C1372">
              <w:rPr>
                <w:noProof/>
                <w:webHidden/>
              </w:rPr>
            </w:r>
            <w:r w:rsidR="009C1372">
              <w:rPr>
                <w:noProof/>
                <w:webHidden/>
              </w:rPr>
              <w:fldChar w:fldCharType="separate"/>
            </w:r>
            <w:r w:rsidR="00F1475E">
              <w:rPr>
                <w:noProof/>
                <w:webHidden/>
              </w:rPr>
              <w:t>8</w:t>
            </w:r>
            <w:r w:rsidR="009C1372">
              <w:rPr>
                <w:noProof/>
                <w:webHidden/>
              </w:rPr>
              <w:fldChar w:fldCharType="end"/>
            </w:r>
          </w:hyperlink>
        </w:p>
        <w:p w:rsidR="009C1372" w:rsidRDefault="002E375B">
          <w:pPr>
            <w:pStyle w:val="TOC3"/>
            <w:tabs>
              <w:tab w:val="right" w:leader="dot" w:pos="9016"/>
            </w:tabs>
            <w:rPr>
              <w:noProof/>
            </w:rPr>
          </w:pPr>
          <w:hyperlink w:anchor="_Toc515617206" w:history="1">
            <w:r w:rsidR="009C1372" w:rsidRPr="006A67FD">
              <w:rPr>
                <w:rStyle w:val="Hyperlink"/>
                <w:noProof/>
              </w:rPr>
              <w:t>Sample Preparation</w:t>
            </w:r>
            <w:r w:rsidR="009C1372">
              <w:rPr>
                <w:noProof/>
                <w:webHidden/>
              </w:rPr>
              <w:tab/>
            </w:r>
            <w:r w:rsidR="009C1372">
              <w:rPr>
                <w:noProof/>
                <w:webHidden/>
              </w:rPr>
              <w:fldChar w:fldCharType="begin"/>
            </w:r>
            <w:r w:rsidR="009C1372">
              <w:rPr>
                <w:noProof/>
                <w:webHidden/>
              </w:rPr>
              <w:instrText xml:space="preserve"> PAGEREF _Toc515617206 \h </w:instrText>
            </w:r>
            <w:r w:rsidR="009C1372">
              <w:rPr>
                <w:noProof/>
                <w:webHidden/>
              </w:rPr>
            </w:r>
            <w:r w:rsidR="009C1372">
              <w:rPr>
                <w:noProof/>
                <w:webHidden/>
              </w:rPr>
              <w:fldChar w:fldCharType="separate"/>
            </w:r>
            <w:r w:rsidR="00F1475E">
              <w:rPr>
                <w:noProof/>
                <w:webHidden/>
              </w:rPr>
              <w:t>8</w:t>
            </w:r>
            <w:r w:rsidR="009C1372">
              <w:rPr>
                <w:noProof/>
                <w:webHidden/>
              </w:rPr>
              <w:fldChar w:fldCharType="end"/>
            </w:r>
          </w:hyperlink>
        </w:p>
        <w:p w:rsidR="009C1372" w:rsidRDefault="002E375B">
          <w:pPr>
            <w:pStyle w:val="TOC3"/>
            <w:tabs>
              <w:tab w:val="right" w:leader="dot" w:pos="9016"/>
            </w:tabs>
            <w:rPr>
              <w:noProof/>
            </w:rPr>
          </w:pPr>
          <w:hyperlink w:anchor="_Toc515617207" w:history="1">
            <w:r w:rsidR="009C1372" w:rsidRPr="006A67FD">
              <w:rPr>
                <w:rStyle w:val="Hyperlink"/>
                <w:noProof/>
              </w:rPr>
              <w:t>Instrument conditions</w:t>
            </w:r>
            <w:r w:rsidR="009C1372">
              <w:rPr>
                <w:noProof/>
                <w:webHidden/>
              </w:rPr>
              <w:tab/>
            </w:r>
            <w:r w:rsidR="009C1372">
              <w:rPr>
                <w:noProof/>
                <w:webHidden/>
              </w:rPr>
              <w:fldChar w:fldCharType="begin"/>
            </w:r>
            <w:r w:rsidR="009C1372">
              <w:rPr>
                <w:noProof/>
                <w:webHidden/>
              </w:rPr>
              <w:instrText xml:space="preserve"> PAGEREF _Toc515617207 \h </w:instrText>
            </w:r>
            <w:r w:rsidR="009C1372">
              <w:rPr>
                <w:noProof/>
                <w:webHidden/>
              </w:rPr>
            </w:r>
            <w:r w:rsidR="009C1372">
              <w:rPr>
                <w:noProof/>
                <w:webHidden/>
              </w:rPr>
              <w:fldChar w:fldCharType="separate"/>
            </w:r>
            <w:r w:rsidR="00F1475E">
              <w:rPr>
                <w:noProof/>
                <w:webHidden/>
              </w:rPr>
              <w:t>9</w:t>
            </w:r>
            <w:r w:rsidR="009C1372">
              <w:rPr>
                <w:noProof/>
                <w:webHidden/>
              </w:rPr>
              <w:fldChar w:fldCharType="end"/>
            </w:r>
          </w:hyperlink>
        </w:p>
        <w:p w:rsidR="009C1372" w:rsidRDefault="002E375B">
          <w:pPr>
            <w:pStyle w:val="TOC1"/>
            <w:tabs>
              <w:tab w:val="left" w:pos="440"/>
              <w:tab w:val="right" w:leader="dot" w:pos="9016"/>
            </w:tabs>
            <w:rPr>
              <w:noProof/>
            </w:rPr>
          </w:pPr>
          <w:hyperlink w:anchor="_Toc515617208" w:history="1">
            <w:r w:rsidR="009C1372" w:rsidRPr="006A67FD">
              <w:rPr>
                <w:rStyle w:val="Hyperlink"/>
                <w:noProof/>
              </w:rPr>
              <w:t>4.</w:t>
            </w:r>
            <w:r w:rsidR="009C1372">
              <w:rPr>
                <w:noProof/>
              </w:rPr>
              <w:tab/>
            </w:r>
            <w:r w:rsidR="009C1372" w:rsidRPr="006A67FD">
              <w:rPr>
                <w:rStyle w:val="Hyperlink"/>
                <w:noProof/>
              </w:rPr>
              <w:t>Results</w:t>
            </w:r>
            <w:r w:rsidR="009C1372">
              <w:rPr>
                <w:noProof/>
                <w:webHidden/>
              </w:rPr>
              <w:tab/>
            </w:r>
            <w:r w:rsidR="009C1372">
              <w:rPr>
                <w:noProof/>
                <w:webHidden/>
              </w:rPr>
              <w:fldChar w:fldCharType="begin"/>
            </w:r>
            <w:r w:rsidR="009C1372">
              <w:rPr>
                <w:noProof/>
                <w:webHidden/>
              </w:rPr>
              <w:instrText xml:space="preserve"> PAGEREF _Toc515617208 \h </w:instrText>
            </w:r>
            <w:r w:rsidR="009C1372">
              <w:rPr>
                <w:noProof/>
                <w:webHidden/>
              </w:rPr>
            </w:r>
            <w:r w:rsidR="009C1372">
              <w:rPr>
                <w:noProof/>
                <w:webHidden/>
              </w:rPr>
              <w:fldChar w:fldCharType="separate"/>
            </w:r>
            <w:r w:rsidR="00F1475E">
              <w:rPr>
                <w:noProof/>
                <w:webHidden/>
              </w:rPr>
              <w:t>10</w:t>
            </w:r>
            <w:r w:rsidR="009C1372">
              <w:rPr>
                <w:noProof/>
                <w:webHidden/>
              </w:rPr>
              <w:fldChar w:fldCharType="end"/>
            </w:r>
          </w:hyperlink>
        </w:p>
        <w:p w:rsidR="009C1372" w:rsidRDefault="002E375B">
          <w:pPr>
            <w:pStyle w:val="TOC2"/>
            <w:tabs>
              <w:tab w:val="right" w:leader="dot" w:pos="9016"/>
            </w:tabs>
            <w:rPr>
              <w:noProof/>
            </w:rPr>
          </w:pPr>
          <w:hyperlink w:anchor="_Toc515617209" w:history="1">
            <w:r w:rsidR="009C1372" w:rsidRPr="006A67FD">
              <w:rPr>
                <w:rStyle w:val="Hyperlink"/>
                <w:noProof/>
                <w:lang w:eastAsia="en-US"/>
              </w:rPr>
              <w:t>E-liquid analysis results</w:t>
            </w:r>
            <w:r w:rsidR="009C1372">
              <w:rPr>
                <w:noProof/>
                <w:webHidden/>
              </w:rPr>
              <w:tab/>
            </w:r>
            <w:r w:rsidR="009C1372">
              <w:rPr>
                <w:noProof/>
                <w:webHidden/>
              </w:rPr>
              <w:fldChar w:fldCharType="begin"/>
            </w:r>
            <w:r w:rsidR="009C1372">
              <w:rPr>
                <w:noProof/>
                <w:webHidden/>
              </w:rPr>
              <w:instrText xml:space="preserve"> PAGEREF _Toc515617209 \h </w:instrText>
            </w:r>
            <w:r w:rsidR="009C1372">
              <w:rPr>
                <w:noProof/>
                <w:webHidden/>
              </w:rPr>
            </w:r>
            <w:r w:rsidR="009C1372">
              <w:rPr>
                <w:noProof/>
                <w:webHidden/>
              </w:rPr>
              <w:fldChar w:fldCharType="separate"/>
            </w:r>
            <w:r w:rsidR="00F1475E">
              <w:rPr>
                <w:noProof/>
                <w:webHidden/>
              </w:rPr>
              <w:t>10</w:t>
            </w:r>
            <w:r w:rsidR="009C1372">
              <w:rPr>
                <w:noProof/>
                <w:webHidden/>
              </w:rPr>
              <w:fldChar w:fldCharType="end"/>
            </w:r>
          </w:hyperlink>
        </w:p>
        <w:p w:rsidR="009C1372" w:rsidRDefault="002E375B">
          <w:pPr>
            <w:pStyle w:val="TOC3"/>
            <w:tabs>
              <w:tab w:val="right" w:leader="dot" w:pos="9016"/>
            </w:tabs>
            <w:rPr>
              <w:noProof/>
            </w:rPr>
          </w:pPr>
          <w:hyperlink w:anchor="_Toc515617210" w:history="1">
            <w:r w:rsidR="009C1372" w:rsidRPr="006A67FD">
              <w:rPr>
                <w:rStyle w:val="Hyperlink"/>
                <w:noProof/>
              </w:rPr>
              <w:t>Results of ethanol quantification</w:t>
            </w:r>
            <w:r w:rsidR="009C1372">
              <w:rPr>
                <w:noProof/>
                <w:webHidden/>
              </w:rPr>
              <w:tab/>
            </w:r>
            <w:r w:rsidR="009C1372">
              <w:rPr>
                <w:noProof/>
                <w:webHidden/>
              </w:rPr>
              <w:fldChar w:fldCharType="begin"/>
            </w:r>
            <w:r w:rsidR="009C1372">
              <w:rPr>
                <w:noProof/>
                <w:webHidden/>
              </w:rPr>
              <w:instrText xml:space="preserve"> PAGEREF _Toc515617210 \h </w:instrText>
            </w:r>
            <w:r w:rsidR="009C1372">
              <w:rPr>
                <w:noProof/>
                <w:webHidden/>
              </w:rPr>
            </w:r>
            <w:r w:rsidR="009C1372">
              <w:rPr>
                <w:noProof/>
                <w:webHidden/>
              </w:rPr>
              <w:fldChar w:fldCharType="separate"/>
            </w:r>
            <w:r w:rsidR="00F1475E">
              <w:rPr>
                <w:noProof/>
                <w:webHidden/>
              </w:rPr>
              <w:t>10</w:t>
            </w:r>
            <w:r w:rsidR="009C1372">
              <w:rPr>
                <w:noProof/>
                <w:webHidden/>
              </w:rPr>
              <w:fldChar w:fldCharType="end"/>
            </w:r>
          </w:hyperlink>
        </w:p>
        <w:p w:rsidR="009C1372" w:rsidRDefault="002E375B">
          <w:pPr>
            <w:pStyle w:val="TOC3"/>
            <w:tabs>
              <w:tab w:val="right" w:leader="dot" w:pos="9016"/>
            </w:tabs>
            <w:rPr>
              <w:noProof/>
            </w:rPr>
          </w:pPr>
          <w:hyperlink w:anchor="_Toc515617211" w:history="1">
            <w:r w:rsidR="009C1372" w:rsidRPr="006A67FD">
              <w:rPr>
                <w:rStyle w:val="Hyperlink"/>
                <w:noProof/>
              </w:rPr>
              <w:t>Results of identification of volatile components in e-liquids</w:t>
            </w:r>
            <w:r w:rsidR="009C1372">
              <w:rPr>
                <w:noProof/>
                <w:webHidden/>
              </w:rPr>
              <w:tab/>
            </w:r>
            <w:r w:rsidR="009C1372">
              <w:rPr>
                <w:noProof/>
                <w:webHidden/>
              </w:rPr>
              <w:fldChar w:fldCharType="begin"/>
            </w:r>
            <w:r w:rsidR="009C1372">
              <w:rPr>
                <w:noProof/>
                <w:webHidden/>
              </w:rPr>
              <w:instrText xml:space="preserve"> PAGEREF _Toc515617211 \h </w:instrText>
            </w:r>
            <w:r w:rsidR="009C1372">
              <w:rPr>
                <w:noProof/>
                <w:webHidden/>
              </w:rPr>
            </w:r>
            <w:r w:rsidR="009C1372">
              <w:rPr>
                <w:noProof/>
                <w:webHidden/>
              </w:rPr>
              <w:fldChar w:fldCharType="separate"/>
            </w:r>
            <w:r w:rsidR="00F1475E">
              <w:rPr>
                <w:noProof/>
                <w:webHidden/>
              </w:rPr>
              <w:t>10</w:t>
            </w:r>
            <w:r w:rsidR="009C1372">
              <w:rPr>
                <w:noProof/>
                <w:webHidden/>
              </w:rPr>
              <w:fldChar w:fldCharType="end"/>
            </w:r>
          </w:hyperlink>
        </w:p>
        <w:p w:rsidR="009C1372" w:rsidRDefault="002E375B">
          <w:pPr>
            <w:pStyle w:val="TOC2"/>
            <w:tabs>
              <w:tab w:val="right" w:leader="dot" w:pos="9016"/>
            </w:tabs>
            <w:rPr>
              <w:noProof/>
            </w:rPr>
          </w:pPr>
          <w:hyperlink w:anchor="_Toc515617212" w:history="1">
            <w:r w:rsidR="009C1372" w:rsidRPr="006A67FD">
              <w:rPr>
                <w:rStyle w:val="Hyperlink"/>
                <w:noProof/>
              </w:rPr>
              <w:t>CBD product analysis results</w:t>
            </w:r>
            <w:r w:rsidR="009C1372">
              <w:rPr>
                <w:noProof/>
                <w:webHidden/>
              </w:rPr>
              <w:tab/>
            </w:r>
            <w:r w:rsidR="009C1372">
              <w:rPr>
                <w:noProof/>
                <w:webHidden/>
              </w:rPr>
              <w:fldChar w:fldCharType="begin"/>
            </w:r>
            <w:r w:rsidR="009C1372">
              <w:rPr>
                <w:noProof/>
                <w:webHidden/>
              </w:rPr>
              <w:instrText xml:space="preserve"> PAGEREF _Toc515617212 \h </w:instrText>
            </w:r>
            <w:r w:rsidR="009C1372">
              <w:rPr>
                <w:noProof/>
                <w:webHidden/>
              </w:rPr>
            </w:r>
            <w:r w:rsidR="009C1372">
              <w:rPr>
                <w:noProof/>
                <w:webHidden/>
              </w:rPr>
              <w:fldChar w:fldCharType="separate"/>
            </w:r>
            <w:r w:rsidR="00F1475E">
              <w:rPr>
                <w:noProof/>
                <w:webHidden/>
              </w:rPr>
              <w:t>12</w:t>
            </w:r>
            <w:r w:rsidR="009C1372">
              <w:rPr>
                <w:noProof/>
                <w:webHidden/>
              </w:rPr>
              <w:fldChar w:fldCharType="end"/>
            </w:r>
          </w:hyperlink>
        </w:p>
        <w:p w:rsidR="009C1372" w:rsidRDefault="002E375B">
          <w:pPr>
            <w:pStyle w:val="TOC3"/>
            <w:tabs>
              <w:tab w:val="right" w:leader="dot" w:pos="9016"/>
            </w:tabs>
            <w:rPr>
              <w:noProof/>
            </w:rPr>
          </w:pPr>
          <w:hyperlink w:anchor="_Toc515617213" w:history="1">
            <w:r w:rsidR="009C1372" w:rsidRPr="006A67FD">
              <w:rPr>
                <w:rStyle w:val="Hyperlink"/>
                <w:noProof/>
              </w:rPr>
              <w:t>Results of cannabidiol and cannabinol quantification</w:t>
            </w:r>
            <w:r w:rsidR="009C1372">
              <w:rPr>
                <w:noProof/>
                <w:webHidden/>
              </w:rPr>
              <w:tab/>
            </w:r>
            <w:r w:rsidR="009C1372">
              <w:rPr>
                <w:noProof/>
                <w:webHidden/>
              </w:rPr>
              <w:fldChar w:fldCharType="begin"/>
            </w:r>
            <w:r w:rsidR="009C1372">
              <w:rPr>
                <w:noProof/>
                <w:webHidden/>
              </w:rPr>
              <w:instrText xml:space="preserve"> PAGEREF _Toc515617213 \h </w:instrText>
            </w:r>
            <w:r w:rsidR="009C1372">
              <w:rPr>
                <w:noProof/>
                <w:webHidden/>
              </w:rPr>
            </w:r>
            <w:r w:rsidR="009C1372">
              <w:rPr>
                <w:noProof/>
                <w:webHidden/>
              </w:rPr>
              <w:fldChar w:fldCharType="separate"/>
            </w:r>
            <w:r w:rsidR="00F1475E">
              <w:rPr>
                <w:noProof/>
                <w:webHidden/>
              </w:rPr>
              <w:t>12</w:t>
            </w:r>
            <w:r w:rsidR="009C1372">
              <w:rPr>
                <w:noProof/>
                <w:webHidden/>
              </w:rPr>
              <w:fldChar w:fldCharType="end"/>
            </w:r>
          </w:hyperlink>
        </w:p>
        <w:p w:rsidR="009C1372" w:rsidRDefault="002E375B">
          <w:pPr>
            <w:pStyle w:val="TOC3"/>
            <w:tabs>
              <w:tab w:val="right" w:leader="dot" w:pos="9016"/>
            </w:tabs>
            <w:rPr>
              <w:noProof/>
            </w:rPr>
          </w:pPr>
          <w:hyperlink w:anchor="_Toc515617214" w:history="1">
            <w:r w:rsidR="009C1372" w:rsidRPr="006A67FD">
              <w:rPr>
                <w:rStyle w:val="Hyperlink"/>
                <w:noProof/>
              </w:rPr>
              <w:t>CBD oil chemical constituent possible identification results</w:t>
            </w:r>
            <w:r w:rsidR="009C1372">
              <w:rPr>
                <w:noProof/>
                <w:webHidden/>
              </w:rPr>
              <w:tab/>
            </w:r>
            <w:r w:rsidR="009C1372">
              <w:rPr>
                <w:noProof/>
                <w:webHidden/>
              </w:rPr>
              <w:fldChar w:fldCharType="begin"/>
            </w:r>
            <w:r w:rsidR="009C1372">
              <w:rPr>
                <w:noProof/>
                <w:webHidden/>
              </w:rPr>
              <w:instrText xml:space="preserve"> PAGEREF _Toc515617214 \h </w:instrText>
            </w:r>
            <w:r w:rsidR="009C1372">
              <w:rPr>
                <w:noProof/>
                <w:webHidden/>
              </w:rPr>
            </w:r>
            <w:r w:rsidR="009C1372">
              <w:rPr>
                <w:noProof/>
                <w:webHidden/>
              </w:rPr>
              <w:fldChar w:fldCharType="separate"/>
            </w:r>
            <w:r w:rsidR="00F1475E">
              <w:rPr>
                <w:noProof/>
                <w:webHidden/>
              </w:rPr>
              <w:t>13</w:t>
            </w:r>
            <w:r w:rsidR="009C1372">
              <w:rPr>
                <w:noProof/>
                <w:webHidden/>
              </w:rPr>
              <w:fldChar w:fldCharType="end"/>
            </w:r>
          </w:hyperlink>
        </w:p>
        <w:p w:rsidR="009C1372" w:rsidRDefault="002E375B">
          <w:pPr>
            <w:pStyle w:val="TOC1"/>
            <w:tabs>
              <w:tab w:val="left" w:pos="440"/>
              <w:tab w:val="right" w:leader="dot" w:pos="9016"/>
            </w:tabs>
            <w:rPr>
              <w:noProof/>
            </w:rPr>
          </w:pPr>
          <w:hyperlink w:anchor="_Toc515617215" w:history="1">
            <w:r w:rsidR="009C1372" w:rsidRPr="006A67FD">
              <w:rPr>
                <w:rStyle w:val="Hyperlink"/>
                <w:noProof/>
              </w:rPr>
              <w:t>5.</w:t>
            </w:r>
            <w:r w:rsidR="009C1372">
              <w:rPr>
                <w:noProof/>
              </w:rPr>
              <w:tab/>
            </w:r>
            <w:r w:rsidR="009C1372" w:rsidRPr="006A67FD">
              <w:rPr>
                <w:rStyle w:val="Hyperlink"/>
                <w:noProof/>
              </w:rPr>
              <w:t>Conclusions</w:t>
            </w:r>
            <w:r w:rsidR="009C1372">
              <w:rPr>
                <w:noProof/>
                <w:webHidden/>
              </w:rPr>
              <w:tab/>
            </w:r>
            <w:r w:rsidR="009C1372">
              <w:rPr>
                <w:noProof/>
                <w:webHidden/>
              </w:rPr>
              <w:fldChar w:fldCharType="begin"/>
            </w:r>
            <w:r w:rsidR="009C1372">
              <w:rPr>
                <w:noProof/>
                <w:webHidden/>
              </w:rPr>
              <w:instrText xml:space="preserve"> PAGEREF _Toc515617215 \h </w:instrText>
            </w:r>
            <w:r w:rsidR="009C1372">
              <w:rPr>
                <w:noProof/>
                <w:webHidden/>
              </w:rPr>
            </w:r>
            <w:r w:rsidR="009C1372">
              <w:rPr>
                <w:noProof/>
                <w:webHidden/>
              </w:rPr>
              <w:fldChar w:fldCharType="separate"/>
            </w:r>
            <w:r w:rsidR="00F1475E">
              <w:rPr>
                <w:noProof/>
                <w:webHidden/>
              </w:rPr>
              <w:t>18</w:t>
            </w:r>
            <w:r w:rsidR="009C1372">
              <w:rPr>
                <w:noProof/>
                <w:webHidden/>
              </w:rPr>
              <w:fldChar w:fldCharType="end"/>
            </w:r>
          </w:hyperlink>
        </w:p>
        <w:p w:rsidR="009C1372" w:rsidRDefault="002E375B">
          <w:pPr>
            <w:pStyle w:val="TOC1"/>
            <w:tabs>
              <w:tab w:val="left" w:pos="440"/>
              <w:tab w:val="right" w:leader="dot" w:pos="9016"/>
            </w:tabs>
            <w:rPr>
              <w:noProof/>
            </w:rPr>
          </w:pPr>
          <w:hyperlink w:anchor="_Toc515617216" w:history="1">
            <w:r w:rsidR="009C1372" w:rsidRPr="006A67FD">
              <w:rPr>
                <w:rStyle w:val="Hyperlink"/>
                <w:noProof/>
              </w:rPr>
              <w:t>6.</w:t>
            </w:r>
            <w:r w:rsidR="009C1372">
              <w:rPr>
                <w:noProof/>
              </w:rPr>
              <w:tab/>
            </w:r>
            <w:r w:rsidR="009C1372" w:rsidRPr="006A67FD">
              <w:rPr>
                <w:rStyle w:val="Hyperlink"/>
                <w:noProof/>
              </w:rPr>
              <w:t>Discussion</w:t>
            </w:r>
            <w:r w:rsidR="009C1372">
              <w:rPr>
                <w:noProof/>
                <w:webHidden/>
              </w:rPr>
              <w:tab/>
            </w:r>
            <w:r w:rsidR="009C1372">
              <w:rPr>
                <w:noProof/>
                <w:webHidden/>
              </w:rPr>
              <w:fldChar w:fldCharType="begin"/>
            </w:r>
            <w:r w:rsidR="009C1372">
              <w:rPr>
                <w:noProof/>
                <w:webHidden/>
              </w:rPr>
              <w:instrText xml:space="preserve"> PAGEREF _Toc515617216 \h </w:instrText>
            </w:r>
            <w:r w:rsidR="009C1372">
              <w:rPr>
                <w:noProof/>
                <w:webHidden/>
              </w:rPr>
            </w:r>
            <w:r w:rsidR="009C1372">
              <w:rPr>
                <w:noProof/>
                <w:webHidden/>
              </w:rPr>
              <w:fldChar w:fldCharType="separate"/>
            </w:r>
            <w:r w:rsidR="00F1475E">
              <w:rPr>
                <w:noProof/>
                <w:webHidden/>
              </w:rPr>
              <w:t>19</w:t>
            </w:r>
            <w:r w:rsidR="009C1372">
              <w:rPr>
                <w:noProof/>
                <w:webHidden/>
              </w:rPr>
              <w:fldChar w:fldCharType="end"/>
            </w:r>
          </w:hyperlink>
        </w:p>
        <w:p w:rsidR="009C1372" w:rsidRDefault="002E375B">
          <w:pPr>
            <w:pStyle w:val="TOC1"/>
            <w:tabs>
              <w:tab w:val="left" w:pos="440"/>
              <w:tab w:val="right" w:leader="dot" w:pos="9016"/>
            </w:tabs>
            <w:rPr>
              <w:noProof/>
            </w:rPr>
          </w:pPr>
          <w:hyperlink w:anchor="_Toc515617217" w:history="1">
            <w:r w:rsidR="009C1372" w:rsidRPr="006A67FD">
              <w:rPr>
                <w:rStyle w:val="Hyperlink"/>
                <w:noProof/>
              </w:rPr>
              <w:t>7.</w:t>
            </w:r>
            <w:r w:rsidR="009C1372">
              <w:rPr>
                <w:noProof/>
              </w:rPr>
              <w:tab/>
            </w:r>
            <w:r w:rsidR="009C1372" w:rsidRPr="006A67FD">
              <w:rPr>
                <w:rStyle w:val="Hyperlink"/>
                <w:noProof/>
              </w:rPr>
              <w:t>Recommendations</w:t>
            </w:r>
            <w:r w:rsidR="009C1372">
              <w:rPr>
                <w:noProof/>
                <w:webHidden/>
              </w:rPr>
              <w:tab/>
            </w:r>
            <w:r w:rsidR="009C1372">
              <w:rPr>
                <w:noProof/>
                <w:webHidden/>
              </w:rPr>
              <w:fldChar w:fldCharType="begin"/>
            </w:r>
            <w:r w:rsidR="009C1372">
              <w:rPr>
                <w:noProof/>
                <w:webHidden/>
              </w:rPr>
              <w:instrText xml:space="preserve"> PAGEREF _Toc515617217 \h </w:instrText>
            </w:r>
            <w:r w:rsidR="009C1372">
              <w:rPr>
                <w:noProof/>
                <w:webHidden/>
              </w:rPr>
            </w:r>
            <w:r w:rsidR="009C1372">
              <w:rPr>
                <w:noProof/>
                <w:webHidden/>
              </w:rPr>
              <w:fldChar w:fldCharType="separate"/>
            </w:r>
            <w:r w:rsidR="00F1475E">
              <w:rPr>
                <w:noProof/>
                <w:webHidden/>
              </w:rPr>
              <w:t>21</w:t>
            </w:r>
            <w:r w:rsidR="009C1372">
              <w:rPr>
                <w:noProof/>
                <w:webHidden/>
              </w:rPr>
              <w:fldChar w:fldCharType="end"/>
            </w:r>
          </w:hyperlink>
        </w:p>
        <w:p w:rsidR="009C1372" w:rsidRDefault="002E375B">
          <w:pPr>
            <w:pStyle w:val="TOC1"/>
            <w:tabs>
              <w:tab w:val="right" w:leader="dot" w:pos="9016"/>
            </w:tabs>
            <w:rPr>
              <w:noProof/>
            </w:rPr>
          </w:pPr>
          <w:hyperlink w:anchor="_Toc515617218" w:history="1">
            <w:r w:rsidR="009C1372" w:rsidRPr="006A67FD">
              <w:rPr>
                <w:rStyle w:val="Hyperlink"/>
                <w:noProof/>
              </w:rPr>
              <w:t>Appendices</w:t>
            </w:r>
            <w:r w:rsidR="009C1372">
              <w:rPr>
                <w:noProof/>
                <w:webHidden/>
              </w:rPr>
              <w:tab/>
            </w:r>
            <w:r w:rsidR="009C1372">
              <w:rPr>
                <w:noProof/>
                <w:webHidden/>
              </w:rPr>
              <w:fldChar w:fldCharType="begin"/>
            </w:r>
            <w:r w:rsidR="009C1372">
              <w:rPr>
                <w:noProof/>
                <w:webHidden/>
              </w:rPr>
              <w:instrText xml:space="preserve"> PAGEREF _Toc515617218 \h </w:instrText>
            </w:r>
            <w:r w:rsidR="009C1372">
              <w:rPr>
                <w:noProof/>
                <w:webHidden/>
              </w:rPr>
            </w:r>
            <w:r w:rsidR="009C1372">
              <w:rPr>
                <w:noProof/>
                <w:webHidden/>
              </w:rPr>
              <w:fldChar w:fldCharType="separate"/>
            </w:r>
            <w:r w:rsidR="00F1475E">
              <w:rPr>
                <w:noProof/>
                <w:webHidden/>
              </w:rPr>
              <w:t>22</w:t>
            </w:r>
            <w:r w:rsidR="009C1372">
              <w:rPr>
                <w:noProof/>
                <w:webHidden/>
              </w:rPr>
              <w:fldChar w:fldCharType="end"/>
            </w:r>
          </w:hyperlink>
        </w:p>
        <w:p w:rsidR="009C1372" w:rsidRDefault="002E375B">
          <w:pPr>
            <w:pStyle w:val="TOC1"/>
            <w:tabs>
              <w:tab w:val="right" w:leader="dot" w:pos="9016"/>
            </w:tabs>
            <w:rPr>
              <w:noProof/>
            </w:rPr>
          </w:pPr>
          <w:hyperlink w:anchor="_Toc515617219" w:history="1">
            <w:r w:rsidR="009C1372" w:rsidRPr="006A67FD">
              <w:rPr>
                <w:rStyle w:val="Hyperlink"/>
                <w:noProof/>
              </w:rPr>
              <w:t>Bibliography</w:t>
            </w:r>
            <w:r w:rsidR="009C1372">
              <w:rPr>
                <w:noProof/>
                <w:webHidden/>
              </w:rPr>
              <w:tab/>
            </w:r>
            <w:r w:rsidR="009C1372">
              <w:rPr>
                <w:noProof/>
                <w:webHidden/>
              </w:rPr>
              <w:fldChar w:fldCharType="begin"/>
            </w:r>
            <w:r w:rsidR="009C1372">
              <w:rPr>
                <w:noProof/>
                <w:webHidden/>
              </w:rPr>
              <w:instrText xml:space="preserve"> PAGEREF _Toc515617219 \h </w:instrText>
            </w:r>
            <w:r w:rsidR="009C1372">
              <w:rPr>
                <w:noProof/>
                <w:webHidden/>
              </w:rPr>
            </w:r>
            <w:r w:rsidR="009C1372">
              <w:rPr>
                <w:noProof/>
                <w:webHidden/>
              </w:rPr>
              <w:fldChar w:fldCharType="separate"/>
            </w:r>
            <w:r w:rsidR="00F1475E">
              <w:rPr>
                <w:noProof/>
                <w:webHidden/>
              </w:rPr>
              <w:t>38</w:t>
            </w:r>
            <w:r w:rsidR="009C1372">
              <w:rPr>
                <w:noProof/>
                <w:webHidden/>
              </w:rPr>
              <w:fldChar w:fldCharType="end"/>
            </w:r>
          </w:hyperlink>
        </w:p>
        <w:p w:rsidR="00CA2AE3" w:rsidRDefault="00CA2AE3">
          <w:r>
            <w:rPr>
              <w:b/>
              <w:bCs/>
              <w:noProof/>
            </w:rPr>
            <w:fldChar w:fldCharType="end"/>
          </w:r>
        </w:p>
      </w:sdtContent>
    </w:sdt>
    <w:p w:rsidR="00734392" w:rsidRDefault="00734392"/>
    <w:p w:rsidR="00734392" w:rsidRDefault="00734392"/>
    <w:p w:rsidR="00734392" w:rsidRDefault="00734392"/>
    <w:p w:rsidR="00734392" w:rsidRDefault="00734392"/>
    <w:p w:rsidR="00734392" w:rsidRDefault="00734392"/>
    <w:p w:rsidR="00734392" w:rsidRDefault="00734392"/>
    <w:p w:rsidR="00734392" w:rsidRDefault="00734392"/>
    <w:p w:rsidR="00734392" w:rsidRDefault="00734392"/>
    <w:p w:rsidR="00734392" w:rsidRDefault="00734392"/>
    <w:p w:rsidR="00734392" w:rsidRDefault="00734392"/>
    <w:p w:rsidR="00734392" w:rsidRDefault="00734392"/>
    <w:p w:rsidR="00CA2AE3" w:rsidRDefault="00CA2AE3"/>
    <w:p w:rsidR="00734392" w:rsidRDefault="00734392"/>
    <w:p w:rsidR="00715BEF" w:rsidRDefault="00715BEF"/>
    <w:p w:rsidR="00715BEF" w:rsidRDefault="00715BEF"/>
    <w:p w:rsidR="00B47E56" w:rsidRDefault="00B47E56"/>
    <w:p w:rsidR="004E2CB5" w:rsidRDefault="004E2CB5" w:rsidP="009E4181">
      <w:pPr>
        <w:pStyle w:val="Heading1"/>
        <w:numPr>
          <w:ilvl w:val="0"/>
          <w:numId w:val="2"/>
        </w:numPr>
        <w:sectPr w:rsidR="004E2CB5" w:rsidSect="00C70008">
          <w:footerReference w:type="default" r:id="rId11"/>
          <w:pgSz w:w="11906" w:h="16838" w:code="9"/>
          <w:pgMar w:top="1440" w:right="1440" w:bottom="1440" w:left="1440" w:header="720" w:footer="720" w:gutter="0"/>
          <w:pgNumType w:start="0"/>
          <w:cols w:space="720"/>
          <w:titlePg/>
          <w:docGrid w:linePitch="360"/>
        </w:sectPr>
      </w:pPr>
    </w:p>
    <w:p w:rsidR="007730C3" w:rsidRPr="007730C3" w:rsidRDefault="007730C3" w:rsidP="009E4181">
      <w:pPr>
        <w:pStyle w:val="Heading1"/>
      </w:pPr>
      <w:bookmarkStart w:id="1" w:name="_Toc515617176"/>
      <w:r w:rsidRPr="009E4181">
        <w:lastRenderedPageBreak/>
        <w:t>Introduction</w:t>
      </w:r>
      <w:bookmarkEnd w:id="1"/>
    </w:p>
    <w:p w:rsidR="001D4B36" w:rsidRPr="001D4B36" w:rsidRDefault="001D4B36" w:rsidP="00611C07">
      <w:pPr>
        <w:spacing w:after="160" w:line="259" w:lineRule="auto"/>
        <w:jc w:val="both"/>
        <w:rPr>
          <w:rFonts w:ascii="Calibri" w:eastAsia="Calibri" w:hAnsi="Calibri" w:cs="Times New Roman"/>
          <w:lang w:eastAsia="en-US"/>
        </w:rPr>
      </w:pPr>
      <w:r w:rsidRPr="001D4B36">
        <w:rPr>
          <w:rFonts w:ascii="Calibri" w:eastAsia="Calibri" w:hAnsi="Calibri" w:cs="Times New Roman"/>
          <w:lang w:eastAsia="en-US"/>
        </w:rPr>
        <w:t xml:space="preserve">New products emerge to the international markets which are claimed to be beneficial for health and there are many online personas and communities which extravagantly promote these benefits. The use of e-cigarettes and e-liquids is claimed to be a healthy and harmless. Administration of </w:t>
      </w:r>
      <w:r w:rsidR="006E4E37">
        <w:rPr>
          <w:rFonts w:ascii="Calibri" w:eastAsia="Calibri" w:hAnsi="Calibri" w:cs="Times New Roman"/>
          <w:lang w:eastAsia="en-US"/>
        </w:rPr>
        <w:t>cannabidiol (</w:t>
      </w:r>
      <w:r w:rsidRPr="001D4B36">
        <w:rPr>
          <w:rFonts w:ascii="Calibri" w:eastAsia="Calibri" w:hAnsi="Calibri" w:cs="Times New Roman"/>
          <w:lang w:eastAsia="en-US"/>
        </w:rPr>
        <w:t>CBD</w:t>
      </w:r>
      <w:r w:rsidR="006E4E37">
        <w:rPr>
          <w:rFonts w:ascii="Calibri" w:eastAsia="Calibri" w:hAnsi="Calibri" w:cs="Times New Roman"/>
          <w:lang w:eastAsia="en-US"/>
        </w:rPr>
        <w:t>)</w:t>
      </w:r>
      <w:r w:rsidRPr="001D4B36">
        <w:rPr>
          <w:rFonts w:ascii="Calibri" w:eastAsia="Calibri" w:hAnsi="Calibri" w:cs="Times New Roman"/>
          <w:lang w:eastAsia="en-US"/>
        </w:rPr>
        <w:t xml:space="preserve"> trough CBD oil or CBD e-liquid is claimed to cure acne, epilepsy, cancer, reduce anxiety, protect from neurodegenerative diseases, reduce inflammation, help with insomnia and the list goes on </w:t>
      </w:r>
      <w:sdt>
        <w:sdtPr>
          <w:rPr>
            <w:rFonts w:ascii="Calibri" w:eastAsia="Calibri" w:hAnsi="Calibri" w:cs="Times New Roman"/>
            <w:lang w:eastAsia="en-US"/>
          </w:rPr>
          <w:id w:val="-1721278054"/>
          <w:citation/>
        </w:sdtPr>
        <w:sdtEndPr/>
        <w:sdtContent>
          <w:r w:rsidRPr="001D4B36">
            <w:rPr>
              <w:rFonts w:ascii="Calibri" w:eastAsia="Calibri" w:hAnsi="Calibri" w:cs="Times New Roman"/>
              <w:lang w:eastAsia="en-US"/>
            </w:rPr>
            <w:fldChar w:fldCharType="begin"/>
          </w:r>
          <w:r w:rsidRPr="001D4B36">
            <w:rPr>
              <w:rFonts w:ascii="Calibri" w:eastAsia="Calibri" w:hAnsi="Calibri" w:cs="Times New Roman"/>
              <w:lang w:eastAsia="en-US"/>
            </w:rPr>
            <w:instrText xml:space="preserve"> CITATION Coh18 \l 1033 </w:instrText>
          </w:r>
          <w:r w:rsidRPr="001D4B36">
            <w:rPr>
              <w:rFonts w:ascii="Calibri" w:eastAsia="Calibri" w:hAnsi="Calibri" w:cs="Times New Roman"/>
              <w:lang w:eastAsia="en-US"/>
            </w:rPr>
            <w:fldChar w:fldCharType="separate"/>
          </w:r>
          <w:r w:rsidR="00F1475E" w:rsidRPr="00F1475E">
            <w:rPr>
              <w:rFonts w:ascii="Calibri" w:eastAsia="Calibri" w:hAnsi="Calibri" w:cs="Times New Roman"/>
              <w:noProof/>
              <w:lang w:eastAsia="en-US"/>
            </w:rPr>
            <w:t>(Cohen, 2018)</w:t>
          </w:r>
          <w:r w:rsidRPr="001D4B36">
            <w:rPr>
              <w:rFonts w:ascii="Calibri" w:eastAsia="Calibri" w:hAnsi="Calibri" w:cs="Times New Roman"/>
              <w:lang w:eastAsia="en-US"/>
            </w:rPr>
            <w:fldChar w:fldCharType="end"/>
          </w:r>
        </w:sdtContent>
      </w:sdt>
      <w:r w:rsidRPr="001D4B36">
        <w:rPr>
          <w:rFonts w:ascii="Calibri" w:eastAsia="Calibri" w:hAnsi="Calibri" w:cs="Times New Roman"/>
          <w:lang w:eastAsia="en-US"/>
        </w:rPr>
        <w:t>. However, there are not enough robust scientific or clinical studies available which would confirm all these claims. One of the reasons is that due to these products being so new, there hasn’t been the time for long term scientific studies like with cigarettes for example which were also thought by many to be beneficial for health when they came to the markets</w:t>
      </w:r>
      <w:sdt>
        <w:sdtPr>
          <w:rPr>
            <w:rFonts w:ascii="Calibri" w:eastAsia="Calibri" w:hAnsi="Calibri" w:cs="Times New Roman"/>
            <w:lang w:eastAsia="en-US"/>
          </w:rPr>
          <w:id w:val="1338037049"/>
          <w:citation/>
        </w:sdtPr>
        <w:sdtEndPr/>
        <w:sdtContent>
          <w:r w:rsidRPr="001D4B36">
            <w:rPr>
              <w:rFonts w:ascii="Calibri" w:eastAsia="Calibri" w:hAnsi="Calibri" w:cs="Times New Roman"/>
              <w:lang w:eastAsia="en-US"/>
            </w:rPr>
            <w:fldChar w:fldCharType="begin"/>
          </w:r>
          <w:r w:rsidRPr="001D4B36">
            <w:rPr>
              <w:rFonts w:ascii="Calibri" w:eastAsia="Calibri" w:hAnsi="Calibri" w:cs="Times New Roman"/>
              <w:lang w:eastAsia="en-US"/>
            </w:rPr>
            <w:instrText xml:space="preserve"> CITATION Pro11 \l 1033 </w:instrText>
          </w:r>
          <w:r w:rsidRPr="001D4B36">
            <w:rPr>
              <w:rFonts w:ascii="Calibri" w:eastAsia="Calibri" w:hAnsi="Calibri" w:cs="Times New Roman"/>
              <w:lang w:eastAsia="en-US"/>
            </w:rPr>
            <w:fldChar w:fldCharType="separate"/>
          </w:r>
          <w:r w:rsidR="00F1475E">
            <w:rPr>
              <w:rFonts w:ascii="Calibri" w:eastAsia="Calibri" w:hAnsi="Calibri" w:cs="Times New Roman"/>
              <w:noProof/>
              <w:lang w:eastAsia="en-US"/>
            </w:rPr>
            <w:t xml:space="preserve"> </w:t>
          </w:r>
          <w:r w:rsidR="00F1475E" w:rsidRPr="00F1475E">
            <w:rPr>
              <w:rFonts w:ascii="Calibri" w:eastAsia="Calibri" w:hAnsi="Calibri" w:cs="Times New Roman"/>
              <w:noProof/>
              <w:lang w:eastAsia="en-US"/>
            </w:rPr>
            <w:t>(Proctor, 2011)</w:t>
          </w:r>
          <w:r w:rsidRPr="001D4B36">
            <w:rPr>
              <w:rFonts w:ascii="Calibri" w:eastAsia="Calibri" w:hAnsi="Calibri" w:cs="Times New Roman"/>
              <w:lang w:eastAsia="en-US"/>
            </w:rPr>
            <w:fldChar w:fldCharType="end"/>
          </w:r>
        </w:sdtContent>
      </w:sdt>
      <w:r w:rsidRPr="001D4B36">
        <w:rPr>
          <w:rFonts w:ascii="Calibri" w:eastAsia="Calibri" w:hAnsi="Calibri" w:cs="Times New Roman"/>
          <w:lang w:eastAsia="en-US"/>
        </w:rPr>
        <w:t>. Nonetheless, there are health benefits to these products as the Royal College of General Practitioners and Cancer Research UK have officially stated that e-cigarettes are healthier than regular cigarettes</w:t>
      </w:r>
      <w:sdt>
        <w:sdtPr>
          <w:rPr>
            <w:rFonts w:ascii="Calibri" w:eastAsia="Calibri" w:hAnsi="Calibri" w:cs="Times New Roman"/>
            <w:lang w:eastAsia="en-US"/>
          </w:rPr>
          <w:id w:val="-832753477"/>
          <w:citation/>
        </w:sdtPr>
        <w:sdtEndPr/>
        <w:sdtContent>
          <w:r w:rsidRPr="001D4B36">
            <w:rPr>
              <w:rFonts w:ascii="Calibri" w:eastAsia="Calibri" w:hAnsi="Calibri" w:cs="Times New Roman"/>
              <w:lang w:eastAsia="en-US"/>
            </w:rPr>
            <w:fldChar w:fldCharType="begin"/>
          </w:r>
          <w:r w:rsidRPr="001D4B36">
            <w:rPr>
              <w:rFonts w:ascii="Calibri" w:eastAsia="Calibri" w:hAnsi="Calibri" w:cs="Times New Roman"/>
              <w:lang w:eastAsia="en-US"/>
            </w:rPr>
            <w:instrText xml:space="preserve"> CITATION Can17 \l 1033 </w:instrText>
          </w:r>
          <w:r w:rsidRPr="001D4B36">
            <w:rPr>
              <w:rFonts w:ascii="Calibri" w:eastAsia="Calibri" w:hAnsi="Calibri" w:cs="Times New Roman"/>
              <w:lang w:eastAsia="en-US"/>
            </w:rPr>
            <w:fldChar w:fldCharType="separate"/>
          </w:r>
          <w:r w:rsidR="00F1475E">
            <w:rPr>
              <w:rFonts w:ascii="Calibri" w:eastAsia="Calibri" w:hAnsi="Calibri" w:cs="Times New Roman"/>
              <w:noProof/>
              <w:lang w:eastAsia="en-US"/>
            </w:rPr>
            <w:t xml:space="preserve"> </w:t>
          </w:r>
          <w:r w:rsidR="00F1475E" w:rsidRPr="00F1475E">
            <w:rPr>
              <w:rFonts w:ascii="Calibri" w:eastAsia="Calibri" w:hAnsi="Calibri" w:cs="Times New Roman"/>
              <w:noProof/>
              <w:lang w:eastAsia="en-US"/>
            </w:rPr>
            <w:t>(Cancer Research UK, 2017)</w:t>
          </w:r>
          <w:r w:rsidRPr="001D4B36">
            <w:rPr>
              <w:rFonts w:ascii="Calibri" w:eastAsia="Calibri" w:hAnsi="Calibri" w:cs="Times New Roman"/>
              <w:lang w:eastAsia="en-US"/>
            </w:rPr>
            <w:fldChar w:fldCharType="end"/>
          </w:r>
        </w:sdtContent>
      </w:sdt>
      <w:r w:rsidRPr="001D4B36">
        <w:rPr>
          <w:rFonts w:ascii="Calibri" w:eastAsia="Calibri" w:hAnsi="Calibri" w:cs="Times New Roman"/>
          <w:lang w:eastAsia="en-US"/>
        </w:rPr>
        <w:t xml:space="preserve">. Also, </w:t>
      </w:r>
      <w:r w:rsidR="007730C3">
        <w:rPr>
          <w:rFonts w:ascii="Calibri" w:eastAsia="Calibri" w:hAnsi="Calibri" w:cs="Times New Roman"/>
          <w:lang w:eastAsia="en-US"/>
        </w:rPr>
        <w:t xml:space="preserve">the </w:t>
      </w:r>
      <w:r w:rsidRPr="001D4B36">
        <w:rPr>
          <w:rFonts w:ascii="Calibri" w:eastAsia="Calibri" w:hAnsi="Calibri" w:cs="Times New Roman"/>
          <w:lang w:eastAsia="en-US"/>
        </w:rPr>
        <w:t>CBD medication Epidiolex® is in phase three of clinical trials for the treatment of epilepsy according to the World Health Organization</w:t>
      </w:r>
      <w:sdt>
        <w:sdtPr>
          <w:rPr>
            <w:rFonts w:ascii="Calibri" w:eastAsia="Calibri" w:hAnsi="Calibri" w:cs="Times New Roman"/>
            <w:lang w:eastAsia="en-US"/>
          </w:rPr>
          <w:id w:val="-27420968"/>
          <w:citation/>
        </w:sdtPr>
        <w:sdtEndPr/>
        <w:sdtContent>
          <w:r w:rsidRPr="001D4B36">
            <w:rPr>
              <w:rFonts w:ascii="Calibri" w:eastAsia="Calibri" w:hAnsi="Calibri" w:cs="Times New Roman"/>
              <w:lang w:eastAsia="en-US"/>
            </w:rPr>
            <w:fldChar w:fldCharType="begin"/>
          </w:r>
          <w:r w:rsidRPr="001D4B36">
            <w:rPr>
              <w:rFonts w:ascii="Calibri" w:eastAsia="Calibri" w:hAnsi="Calibri" w:cs="Times New Roman"/>
              <w:lang w:eastAsia="en-US"/>
            </w:rPr>
            <w:instrText xml:space="preserve"> CITATION WHO17 \l 1033 </w:instrText>
          </w:r>
          <w:r w:rsidRPr="001D4B36">
            <w:rPr>
              <w:rFonts w:ascii="Calibri" w:eastAsia="Calibri" w:hAnsi="Calibri" w:cs="Times New Roman"/>
              <w:lang w:eastAsia="en-US"/>
            </w:rPr>
            <w:fldChar w:fldCharType="separate"/>
          </w:r>
          <w:r w:rsidR="00F1475E">
            <w:rPr>
              <w:rFonts w:ascii="Calibri" w:eastAsia="Calibri" w:hAnsi="Calibri" w:cs="Times New Roman"/>
              <w:noProof/>
              <w:lang w:eastAsia="en-US"/>
            </w:rPr>
            <w:t xml:space="preserve"> </w:t>
          </w:r>
          <w:r w:rsidR="00F1475E" w:rsidRPr="00F1475E">
            <w:rPr>
              <w:rFonts w:ascii="Calibri" w:eastAsia="Calibri" w:hAnsi="Calibri" w:cs="Times New Roman"/>
              <w:noProof/>
              <w:lang w:eastAsia="en-US"/>
            </w:rPr>
            <w:t>(WHO, 2017)</w:t>
          </w:r>
          <w:r w:rsidRPr="001D4B36">
            <w:rPr>
              <w:rFonts w:ascii="Calibri" w:eastAsia="Calibri" w:hAnsi="Calibri" w:cs="Times New Roman"/>
              <w:lang w:eastAsia="en-US"/>
            </w:rPr>
            <w:fldChar w:fldCharType="end"/>
          </w:r>
        </w:sdtContent>
      </w:sdt>
      <w:r w:rsidRPr="001D4B36">
        <w:rPr>
          <w:rFonts w:ascii="Calibri" w:eastAsia="Calibri" w:hAnsi="Calibri" w:cs="Times New Roman"/>
          <w:lang w:eastAsia="en-US"/>
        </w:rPr>
        <w:t xml:space="preserve">. The advantages for health are just not as prodigious as many websites make it seem like. </w:t>
      </w:r>
    </w:p>
    <w:p w:rsidR="001D4B36" w:rsidRPr="001D4B36" w:rsidRDefault="001D4B36" w:rsidP="00611C07">
      <w:pPr>
        <w:spacing w:after="160" w:line="259" w:lineRule="auto"/>
        <w:jc w:val="both"/>
        <w:rPr>
          <w:rFonts w:ascii="Calibri" w:eastAsia="Calibri" w:hAnsi="Calibri" w:cs="Times New Roman"/>
          <w:lang w:eastAsia="en-US"/>
        </w:rPr>
      </w:pPr>
      <w:r w:rsidRPr="001D4B36">
        <w:rPr>
          <w:rFonts w:ascii="Calibri" w:eastAsia="Calibri" w:hAnsi="Calibri" w:cs="Times New Roman"/>
          <w:lang w:eastAsia="en-US"/>
        </w:rPr>
        <w:t>The concern with these products is that they might not be true to the</w:t>
      </w:r>
      <w:r w:rsidR="007730C3">
        <w:rPr>
          <w:rFonts w:ascii="Calibri" w:eastAsia="Calibri" w:hAnsi="Calibri" w:cs="Times New Roman"/>
          <w:lang w:eastAsia="en-US"/>
        </w:rPr>
        <w:t>ir labels and the products might</w:t>
      </w:r>
      <w:r w:rsidRPr="001D4B36">
        <w:rPr>
          <w:rFonts w:ascii="Calibri" w:eastAsia="Calibri" w:hAnsi="Calibri" w:cs="Times New Roman"/>
          <w:lang w:eastAsia="en-US"/>
        </w:rPr>
        <w:t xml:space="preserve"> contain toxic substances or impurities </w:t>
      </w:r>
      <w:sdt>
        <w:sdtPr>
          <w:rPr>
            <w:rFonts w:ascii="Calibri" w:eastAsia="Calibri" w:hAnsi="Calibri" w:cs="Times New Roman"/>
            <w:lang w:eastAsia="en-US"/>
          </w:rPr>
          <w:id w:val="-594006976"/>
          <w:citation/>
        </w:sdtPr>
        <w:sdtEndPr/>
        <w:sdtContent>
          <w:r w:rsidRPr="001D4B36">
            <w:rPr>
              <w:rFonts w:ascii="Calibri" w:eastAsia="Calibri" w:hAnsi="Calibri" w:cs="Times New Roman"/>
              <w:lang w:eastAsia="en-US"/>
            </w:rPr>
            <w:fldChar w:fldCharType="begin"/>
          </w:r>
          <w:r w:rsidRPr="001D4B36">
            <w:rPr>
              <w:rFonts w:ascii="Calibri" w:eastAsia="Calibri" w:hAnsi="Calibri" w:cs="Times New Roman"/>
              <w:lang w:eastAsia="en-US"/>
            </w:rPr>
            <w:instrText xml:space="preserve"> CITATION Ett16 \l 1033 </w:instrText>
          </w:r>
          <w:r w:rsidRPr="001D4B36">
            <w:rPr>
              <w:rFonts w:ascii="Calibri" w:eastAsia="Calibri" w:hAnsi="Calibri" w:cs="Times New Roman"/>
              <w:lang w:eastAsia="en-US"/>
            </w:rPr>
            <w:fldChar w:fldCharType="separate"/>
          </w:r>
          <w:r w:rsidR="00F1475E" w:rsidRPr="00F1475E">
            <w:rPr>
              <w:rFonts w:ascii="Calibri" w:eastAsia="Calibri" w:hAnsi="Calibri" w:cs="Times New Roman"/>
              <w:noProof/>
              <w:lang w:eastAsia="en-US"/>
            </w:rPr>
            <w:t>(Etter &amp; Bugey, 2016)</w:t>
          </w:r>
          <w:r w:rsidRPr="001D4B36">
            <w:rPr>
              <w:rFonts w:ascii="Calibri" w:eastAsia="Calibri" w:hAnsi="Calibri" w:cs="Times New Roman"/>
              <w:lang w:eastAsia="en-US"/>
            </w:rPr>
            <w:fldChar w:fldCharType="end"/>
          </w:r>
        </w:sdtContent>
      </w:sdt>
      <w:r w:rsidR="007730C3">
        <w:rPr>
          <w:rFonts w:ascii="Calibri" w:eastAsia="Calibri" w:hAnsi="Calibri" w:cs="Times New Roman"/>
          <w:lang w:eastAsia="en-US"/>
        </w:rPr>
        <w:t>, then t</w:t>
      </w:r>
      <w:r w:rsidRPr="001D4B36">
        <w:rPr>
          <w:rFonts w:ascii="Calibri" w:eastAsia="Calibri" w:hAnsi="Calibri" w:cs="Times New Roman"/>
          <w:lang w:eastAsia="en-US"/>
        </w:rPr>
        <w:t>he potential health benefits have no value assuming that the product would contain harmful impurities. There are many methods developed to determine the nicotine content of the e-liquids. There are also many methods to determine cannabinoids from human samples (to detect illegal use of cannabis). Impurities of e-liquids and e-liquids containing CBD and CBD oil are not yet common</w:t>
      </w:r>
      <w:r w:rsidR="007730C3">
        <w:rPr>
          <w:rFonts w:ascii="Calibri" w:eastAsia="Calibri" w:hAnsi="Calibri" w:cs="Times New Roman"/>
          <w:lang w:eastAsia="en-US"/>
        </w:rPr>
        <w:t>ly</w:t>
      </w:r>
      <w:r w:rsidRPr="001D4B36">
        <w:rPr>
          <w:rFonts w:ascii="Calibri" w:eastAsia="Calibri" w:hAnsi="Calibri" w:cs="Times New Roman"/>
          <w:lang w:eastAsia="en-US"/>
        </w:rPr>
        <w:t xml:space="preserve"> </w:t>
      </w:r>
      <w:r w:rsidR="007730C3">
        <w:rPr>
          <w:rFonts w:ascii="Calibri" w:eastAsia="Calibri" w:hAnsi="Calibri" w:cs="Times New Roman"/>
          <w:lang w:eastAsia="en-US"/>
        </w:rPr>
        <w:t>analyzed. Some CBD oil manufacturers</w:t>
      </w:r>
      <w:r w:rsidRPr="001D4B36">
        <w:rPr>
          <w:rFonts w:ascii="Calibri" w:eastAsia="Calibri" w:hAnsi="Calibri" w:cs="Times New Roman"/>
          <w:lang w:eastAsia="en-US"/>
        </w:rPr>
        <w:t xml:space="preserve"> make quality reports to provide affirmation of their pro</w:t>
      </w:r>
      <w:r w:rsidR="007730C3">
        <w:rPr>
          <w:rFonts w:ascii="Calibri" w:eastAsia="Calibri" w:hAnsi="Calibri" w:cs="Times New Roman"/>
          <w:lang w:eastAsia="en-US"/>
        </w:rPr>
        <w:t>duct to the consumer. These have been</w:t>
      </w:r>
      <w:r w:rsidRPr="001D4B36">
        <w:rPr>
          <w:rFonts w:ascii="Calibri" w:eastAsia="Calibri" w:hAnsi="Calibri" w:cs="Times New Roman"/>
          <w:lang w:eastAsia="en-US"/>
        </w:rPr>
        <w:t xml:space="preserve"> inadequate quality as can be seen in “Appendix 1. Canabidol’s cannabinoid test report analyzed with </w:t>
      </w:r>
      <w:r w:rsidR="00233D7C">
        <w:rPr>
          <w:rFonts w:ascii="Calibri" w:eastAsia="Calibri" w:hAnsi="Calibri" w:cs="Times New Roman"/>
          <w:lang w:eastAsia="en-US"/>
        </w:rPr>
        <w:t>gas chromatography (GC)</w:t>
      </w:r>
      <w:r w:rsidRPr="001D4B36">
        <w:rPr>
          <w:rFonts w:ascii="Calibri" w:eastAsia="Calibri" w:hAnsi="Calibri" w:cs="Times New Roman"/>
          <w:lang w:eastAsia="en-US"/>
        </w:rPr>
        <w:t xml:space="preserve">”. </w:t>
      </w:r>
    </w:p>
    <w:p w:rsidR="001D4B36" w:rsidRPr="001D4B36" w:rsidRDefault="001D4B36" w:rsidP="00611C07">
      <w:pPr>
        <w:spacing w:after="160" w:line="259" w:lineRule="auto"/>
        <w:jc w:val="both"/>
        <w:rPr>
          <w:rFonts w:ascii="Calibri" w:eastAsia="Calibri" w:hAnsi="Calibri" w:cs="Times New Roman"/>
          <w:lang w:eastAsia="en-US"/>
        </w:rPr>
      </w:pPr>
      <w:r w:rsidRPr="001D4B36">
        <w:rPr>
          <w:rFonts w:ascii="Calibri" w:eastAsia="Calibri" w:hAnsi="Calibri" w:cs="Times New Roman"/>
          <w:lang w:eastAsia="en-US"/>
        </w:rPr>
        <w:t xml:space="preserve">Since August 2016, the FDA regulates the e-cigarettes in the US </w:t>
      </w:r>
      <w:sdt>
        <w:sdtPr>
          <w:rPr>
            <w:rFonts w:ascii="Calibri" w:eastAsia="Calibri" w:hAnsi="Calibri" w:cs="Times New Roman"/>
            <w:lang w:eastAsia="en-US"/>
          </w:rPr>
          <w:id w:val="1759096027"/>
          <w:citation/>
        </w:sdtPr>
        <w:sdtEndPr/>
        <w:sdtContent>
          <w:r w:rsidRPr="001D4B36">
            <w:rPr>
              <w:rFonts w:ascii="Calibri" w:eastAsia="Calibri" w:hAnsi="Calibri" w:cs="Times New Roman"/>
              <w:lang w:eastAsia="en-US"/>
            </w:rPr>
            <w:fldChar w:fldCharType="begin"/>
          </w:r>
          <w:r w:rsidRPr="001D4B36">
            <w:rPr>
              <w:rFonts w:ascii="Calibri" w:eastAsia="Calibri" w:hAnsi="Calibri" w:cs="Times New Roman"/>
              <w:lang w:eastAsia="en-US"/>
            </w:rPr>
            <w:instrText xml:space="preserve"> CITATION FDA17 \l 1033 </w:instrText>
          </w:r>
          <w:r w:rsidRPr="001D4B36">
            <w:rPr>
              <w:rFonts w:ascii="Calibri" w:eastAsia="Calibri" w:hAnsi="Calibri" w:cs="Times New Roman"/>
              <w:lang w:eastAsia="en-US"/>
            </w:rPr>
            <w:fldChar w:fldCharType="separate"/>
          </w:r>
          <w:r w:rsidR="00F1475E" w:rsidRPr="00F1475E">
            <w:rPr>
              <w:rFonts w:ascii="Calibri" w:eastAsia="Calibri" w:hAnsi="Calibri" w:cs="Times New Roman"/>
              <w:noProof/>
              <w:lang w:eastAsia="en-US"/>
            </w:rPr>
            <w:t>(FDA, 2017)</w:t>
          </w:r>
          <w:r w:rsidRPr="001D4B36">
            <w:rPr>
              <w:rFonts w:ascii="Calibri" w:eastAsia="Calibri" w:hAnsi="Calibri" w:cs="Times New Roman"/>
              <w:lang w:eastAsia="en-US"/>
            </w:rPr>
            <w:fldChar w:fldCharType="end"/>
          </w:r>
        </w:sdtContent>
      </w:sdt>
      <w:r w:rsidRPr="001D4B36">
        <w:rPr>
          <w:rFonts w:ascii="Calibri" w:eastAsia="Calibri" w:hAnsi="Calibri" w:cs="Times New Roman"/>
          <w:lang w:eastAsia="en-US"/>
        </w:rPr>
        <w:t xml:space="preserve">. The FDA intents to regulate the marketing, labelling and manufacture of devices and e-liquids </w:t>
      </w:r>
      <w:sdt>
        <w:sdtPr>
          <w:rPr>
            <w:rFonts w:ascii="Calibri" w:eastAsia="Calibri" w:hAnsi="Calibri" w:cs="Times New Roman"/>
            <w:lang w:eastAsia="en-US"/>
          </w:rPr>
          <w:id w:val="-1306395337"/>
          <w:citation/>
        </w:sdtPr>
        <w:sdtEndPr/>
        <w:sdtContent>
          <w:r w:rsidRPr="001D4B36">
            <w:rPr>
              <w:rFonts w:ascii="Calibri" w:eastAsia="Calibri" w:hAnsi="Calibri" w:cs="Times New Roman"/>
              <w:lang w:eastAsia="en-US"/>
            </w:rPr>
            <w:fldChar w:fldCharType="begin"/>
          </w:r>
          <w:r w:rsidRPr="001D4B36">
            <w:rPr>
              <w:rFonts w:ascii="Calibri" w:eastAsia="Calibri" w:hAnsi="Calibri" w:cs="Times New Roman"/>
              <w:lang w:eastAsia="en-US"/>
            </w:rPr>
            <w:instrText xml:space="preserve"> CITATION FDA16 \l 1033 </w:instrText>
          </w:r>
          <w:r w:rsidRPr="001D4B36">
            <w:rPr>
              <w:rFonts w:ascii="Calibri" w:eastAsia="Calibri" w:hAnsi="Calibri" w:cs="Times New Roman"/>
              <w:lang w:eastAsia="en-US"/>
            </w:rPr>
            <w:fldChar w:fldCharType="separate"/>
          </w:r>
          <w:r w:rsidR="00F1475E" w:rsidRPr="00F1475E">
            <w:rPr>
              <w:rFonts w:ascii="Calibri" w:eastAsia="Calibri" w:hAnsi="Calibri" w:cs="Times New Roman"/>
              <w:noProof/>
              <w:lang w:eastAsia="en-US"/>
            </w:rPr>
            <w:t>(FDA, 2016)</w:t>
          </w:r>
          <w:r w:rsidRPr="001D4B36">
            <w:rPr>
              <w:rFonts w:ascii="Calibri" w:eastAsia="Calibri" w:hAnsi="Calibri" w:cs="Times New Roman"/>
              <w:lang w:eastAsia="en-US"/>
            </w:rPr>
            <w:fldChar w:fldCharType="end"/>
          </w:r>
        </w:sdtContent>
      </w:sdt>
      <w:r w:rsidRPr="001D4B36">
        <w:rPr>
          <w:rFonts w:ascii="Calibri" w:eastAsia="Calibri" w:hAnsi="Calibri" w:cs="Times New Roman"/>
          <w:lang w:eastAsia="en-US"/>
        </w:rPr>
        <w:t xml:space="preserve">. The European Parliament has set regulations regarding to the e-cigarettes in 2014. European Parliament requires standardization and quality control for the e-cigarettes and e-liquids and to have all the ingredients listed on the e-liquid package </w:t>
      </w:r>
      <w:sdt>
        <w:sdtPr>
          <w:rPr>
            <w:rFonts w:ascii="Calibri" w:eastAsia="Calibri" w:hAnsi="Calibri" w:cs="Times New Roman"/>
            <w:lang w:eastAsia="en-US"/>
          </w:rPr>
          <w:id w:val="937410242"/>
          <w:citation/>
        </w:sdtPr>
        <w:sdtEndPr/>
        <w:sdtContent>
          <w:r w:rsidRPr="001D4B36">
            <w:rPr>
              <w:rFonts w:ascii="Calibri" w:eastAsia="Calibri" w:hAnsi="Calibri" w:cs="Times New Roman"/>
              <w:lang w:eastAsia="en-US"/>
            </w:rPr>
            <w:fldChar w:fldCharType="begin"/>
          </w:r>
          <w:r w:rsidRPr="001D4B36">
            <w:rPr>
              <w:rFonts w:ascii="Calibri" w:eastAsia="Calibri" w:hAnsi="Calibri" w:cs="Times New Roman"/>
              <w:lang w:eastAsia="en-US"/>
            </w:rPr>
            <w:instrText xml:space="preserve"> CITATION Eur14 \l 1033 </w:instrText>
          </w:r>
          <w:r w:rsidRPr="001D4B36">
            <w:rPr>
              <w:rFonts w:ascii="Calibri" w:eastAsia="Calibri" w:hAnsi="Calibri" w:cs="Times New Roman"/>
              <w:lang w:eastAsia="en-US"/>
            </w:rPr>
            <w:fldChar w:fldCharType="separate"/>
          </w:r>
          <w:r w:rsidR="00F1475E" w:rsidRPr="00F1475E">
            <w:rPr>
              <w:rFonts w:ascii="Calibri" w:eastAsia="Calibri" w:hAnsi="Calibri" w:cs="Times New Roman"/>
              <w:noProof/>
              <w:lang w:eastAsia="en-US"/>
            </w:rPr>
            <w:t>(European Commission, 2014)</w:t>
          </w:r>
          <w:r w:rsidRPr="001D4B36">
            <w:rPr>
              <w:rFonts w:ascii="Calibri" w:eastAsia="Calibri" w:hAnsi="Calibri" w:cs="Times New Roman"/>
              <w:lang w:eastAsia="en-US"/>
            </w:rPr>
            <w:fldChar w:fldCharType="end"/>
          </w:r>
        </w:sdtContent>
      </w:sdt>
      <w:r w:rsidRPr="001D4B36">
        <w:rPr>
          <w:rFonts w:ascii="Calibri" w:eastAsia="Calibri" w:hAnsi="Calibri" w:cs="Times New Roman"/>
          <w:lang w:eastAsia="en-US"/>
        </w:rPr>
        <w:t>. However, according to report produced under EU Health programme</w:t>
      </w:r>
      <w:sdt>
        <w:sdtPr>
          <w:rPr>
            <w:rFonts w:ascii="Calibri" w:eastAsia="Calibri" w:hAnsi="Calibri" w:cs="Times New Roman"/>
            <w:lang w:eastAsia="en-US"/>
          </w:rPr>
          <w:id w:val="1743908163"/>
          <w:citation/>
        </w:sdtPr>
        <w:sdtEndPr/>
        <w:sdtContent>
          <w:r w:rsidR="007730C3">
            <w:rPr>
              <w:rFonts w:ascii="Calibri" w:eastAsia="Calibri" w:hAnsi="Calibri" w:cs="Times New Roman"/>
              <w:lang w:eastAsia="en-US"/>
            </w:rPr>
            <w:fldChar w:fldCharType="begin"/>
          </w:r>
          <w:r w:rsidR="007730C3">
            <w:rPr>
              <w:rFonts w:ascii="Calibri" w:eastAsia="Calibri" w:hAnsi="Calibri" w:cs="Times New Roman"/>
              <w:lang w:eastAsia="en-US"/>
            </w:rPr>
            <w:instrText xml:space="preserve"> CITATION Eur16 \l 1033 </w:instrText>
          </w:r>
          <w:r w:rsidR="007730C3">
            <w:rPr>
              <w:rFonts w:ascii="Calibri" w:eastAsia="Calibri" w:hAnsi="Calibri" w:cs="Times New Roman"/>
              <w:lang w:eastAsia="en-US"/>
            </w:rPr>
            <w:fldChar w:fldCharType="separate"/>
          </w:r>
          <w:r w:rsidR="00F1475E">
            <w:rPr>
              <w:rFonts w:ascii="Calibri" w:eastAsia="Calibri" w:hAnsi="Calibri" w:cs="Times New Roman"/>
              <w:noProof/>
              <w:lang w:eastAsia="en-US"/>
            </w:rPr>
            <w:t xml:space="preserve"> </w:t>
          </w:r>
          <w:r w:rsidR="00F1475E" w:rsidRPr="00F1475E">
            <w:rPr>
              <w:rFonts w:ascii="Calibri" w:eastAsia="Calibri" w:hAnsi="Calibri" w:cs="Times New Roman"/>
              <w:noProof/>
              <w:lang w:eastAsia="en-US"/>
            </w:rPr>
            <w:t>(European Comission, 2016)</w:t>
          </w:r>
          <w:r w:rsidR="007730C3">
            <w:rPr>
              <w:rFonts w:ascii="Calibri" w:eastAsia="Calibri" w:hAnsi="Calibri" w:cs="Times New Roman"/>
              <w:lang w:eastAsia="en-US"/>
            </w:rPr>
            <w:fldChar w:fldCharType="end"/>
          </w:r>
        </w:sdtContent>
      </w:sdt>
      <w:r w:rsidRPr="001D4B36">
        <w:rPr>
          <w:rFonts w:ascii="Calibri" w:eastAsia="Calibri" w:hAnsi="Calibri" w:cs="Times New Roman"/>
          <w:lang w:eastAsia="en-US"/>
        </w:rPr>
        <w:t>, very few manufacturers of e-liquids prov</w:t>
      </w:r>
      <w:r w:rsidR="007730C3">
        <w:rPr>
          <w:rFonts w:ascii="Calibri" w:eastAsia="Calibri" w:hAnsi="Calibri" w:cs="Times New Roman"/>
          <w:lang w:eastAsia="en-US"/>
        </w:rPr>
        <w:t>ide any information regarding the</w:t>
      </w:r>
      <w:r w:rsidRPr="001D4B36">
        <w:rPr>
          <w:rFonts w:ascii="Calibri" w:eastAsia="Calibri" w:hAnsi="Calibri" w:cs="Times New Roman"/>
          <w:lang w:eastAsia="en-US"/>
        </w:rPr>
        <w:t xml:space="preserve"> quality control on their products</w:t>
      </w:r>
      <w:r w:rsidR="007730C3">
        <w:rPr>
          <w:rFonts w:ascii="Calibri" w:eastAsia="Calibri" w:hAnsi="Calibri" w:cs="Times New Roman"/>
          <w:lang w:eastAsia="en-US"/>
        </w:rPr>
        <w:t>.</w:t>
      </w:r>
      <w:r w:rsidRPr="001D4B36">
        <w:rPr>
          <w:rFonts w:ascii="Calibri" w:eastAsia="Calibri" w:hAnsi="Calibri" w:cs="Times New Roman"/>
          <w:lang w:eastAsia="en-US"/>
        </w:rPr>
        <w:t xml:space="preserve"> The legality of substances containing CBD is still unclear in many countries because CBD is not considered a narcotic according to the 1988 United Nations Drug Convention, however, it is considered to be the most illicit used drug both in the </w:t>
      </w:r>
      <w:r w:rsidR="00F33B85">
        <w:rPr>
          <w:rFonts w:ascii="Calibri" w:eastAsia="Calibri" w:hAnsi="Calibri" w:cs="Times New Roman"/>
          <w:lang w:eastAsia="en-US"/>
        </w:rPr>
        <w:t>U</w:t>
      </w:r>
      <w:r w:rsidRPr="001D4B36">
        <w:rPr>
          <w:rFonts w:ascii="Calibri" w:eastAsia="Calibri" w:hAnsi="Calibri" w:cs="Times New Roman"/>
          <w:lang w:eastAsia="en-US"/>
        </w:rPr>
        <w:t>S and Europe. There is still indecisiveness regarding to CBD due to it originating from cannabis</w:t>
      </w:r>
      <w:r w:rsidR="007730C3">
        <w:rPr>
          <w:rFonts w:ascii="Calibri" w:eastAsia="Calibri" w:hAnsi="Calibri" w:cs="Times New Roman"/>
          <w:lang w:eastAsia="en-US"/>
        </w:rPr>
        <w:t>;</w:t>
      </w:r>
      <w:r w:rsidRPr="001D4B36">
        <w:rPr>
          <w:rFonts w:ascii="Calibri" w:eastAsia="Calibri" w:hAnsi="Calibri" w:cs="Times New Roman"/>
          <w:lang w:eastAsia="en-US"/>
        </w:rPr>
        <w:t xml:space="preserve"> it has not been decided if it s</w:t>
      </w:r>
      <w:r w:rsidR="007730C3">
        <w:rPr>
          <w:rFonts w:ascii="Calibri" w:eastAsia="Calibri" w:hAnsi="Calibri" w:cs="Times New Roman"/>
          <w:lang w:eastAsia="en-US"/>
        </w:rPr>
        <w:t>hould be considered as illicit drug</w:t>
      </w:r>
      <w:r w:rsidRPr="001D4B36">
        <w:rPr>
          <w:rFonts w:ascii="Calibri" w:eastAsia="Calibri" w:hAnsi="Calibri" w:cs="Times New Roman"/>
          <w:lang w:eastAsia="en-US"/>
        </w:rPr>
        <w:t xml:space="preserve"> even though it does not have psychotropic effects. Due </w:t>
      </w:r>
      <w:r w:rsidR="006E4E37">
        <w:rPr>
          <w:rFonts w:ascii="Calibri" w:eastAsia="Calibri" w:hAnsi="Calibri" w:cs="Times New Roman"/>
          <w:lang w:eastAsia="en-US"/>
        </w:rPr>
        <w:t xml:space="preserve">to </w:t>
      </w:r>
      <w:r w:rsidRPr="001D4B36">
        <w:rPr>
          <w:rFonts w:ascii="Calibri" w:eastAsia="Calibri" w:hAnsi="Calibri" w:cs="Times New Roman"/>
          <w:lang w:eastAsia="en-US"/>
        </w:rPr>
        <w:t xml:space="preserve">the lack or regulations on CBD products, the manufacturers are not obliged </w:t>
      </w:r>
      <w:r w:rsidR="007730C3">
        <w:rPr>
          <w:rFonts w:ascii="Calibri" w:eastAsia="Calibri" w:hAnsi="Calibri" w:cs="Times New Roman"/>
          <w:lang w:eastAsia="en-US"/>
        </w:rPr>
        <w:t>to make quality control analyses</w:t>
      </w:r>
      <w:r w:rsidRPr="001D4B36">
        <w:rPr>
          <w:rFonts w:ascii="Calibri" w:eastAsia="Calibri" w:hAnsi="Calibri" w:cs="Times New Roman"/>
          <w:lang w:eastAsia="en-US"/>
        </w:rPr>
        <w:t xml:space="preserve"> on their products. </w:t>
      </w:r>
    </w:p>
    <w:p w:rsidR="001D4B36" w:rsidRDefault="001D4B36" w:rsidP="00611C07">
      <w:pPr>
        <w:spacing w:after="160" w:line="259" w:lineRule="auto"/>
        <w:jc w:val="both"/>
        <w:rPr>
          <w:rFonts w:ascii="Calibri" w:eastAsia="Calibri" w:hAnsi="Calibri" w:cs="Times New Roman"/>
          <w:lang w:eastAsia="en-US"/>
        </w:rPr>
      </w:pPr>
      <w:r w:rsidRPr="001D4B36">
        <w:rPr>
          <w:rFonts w:ascii="Calibri" w:eastAsia="Calibri" w:hAnsi="Calibri" w:cs="Times New Roman"/>
          <w:lang w:eastAsia="en-US"/>
        </w:rPr>
        <w:t>With all these factors in consideration, the following research question</w:t>
      </w:r>
      <w:r w:rsidR="006E4E37">
        <w:rPr>
          <w:rFonts w:ascii="Calibri" w:eastAsia="Calibri" w:hAnsi="Calibri" w:cs="Times New Roman"/>
          <w:lang w:eastAsia="en-US"/>
        </w:rPr>
        <w:t>s are</w:t>
      </w:r>
      <w:r w:rsidRPr="001D4B36">
        <w:rPr>
          <w:rFonts w:ascii="Calibri" w:eastAsia="Calibri" w:hAnsi="Calibri" w:cs="Times New Roman"/>
          <w:lang w:eastAsia="en-US"/>
        </w:rPr>
        <w:t xml:space="preserve"> proposed:</w:t>
      </w:r>
    </w:p>
    <w:p w:rsidR="006E4E37" w:rsidRPr="002B214D" w:rsidRDefault="006E4E37" w:rsidP="00611C07">
      <w:pPr>
        <w:pStyle w:val="ListParagraph"/>
        <w:numPr>
          <w:ilvl w:val="0"/>
          <w:numId w:val="1"/>
        </w:numPr>
        <w:spacing w:after="160" w:line="259" w:lineRule="auto"/>
        <w:jc w:val="both"/>
        <w:rPr>
          <w:rFonts w:ascii="Calibri" w:eastAsia="Calibri" w:hAnsi="Calibri" w:cs="Times New Roman"/>
          <w:lang w:eastAsia="en-US"/>
        </w:rPr>
      </w:pPr>
      <w:r w:rsidRPr="002B214D">
        <w:rPr>
          <w:rFonts w:ascii="Calibri" w:eastAsia="Calibri" w:hAnsi="Calibri" w:cs="Times New Roman"/>
          <w:lang w:eastAsia="en-US"/>
        </w:rPr>
        <w:t>How to determine the main chemical constituents of CBD oil, e-liquids &amp; CBD e-liquids?</w:t>
      </w:r>
    </w:p>
    <w:p w:rsidR="006E4E37" w:rsidRPr="002B214D" w:rsidRDefault="008F1734" w:rsidP="00611C07">
      <w:pPr>
        <w:pStyle w:val="ListParagraph"/>
        <w:numPr>
          <w:ilvl w:val="1"/>
          <w:numId w:val="1"/>
        </w:numPr>
        <w:spacing w:after="160" w:line="259" w:lineRule="auto"/>
        <w:jc w:val="both"/>
        <w:rPr>
          <w:rFonts w:ascii="Calibri" w:eastAsia="Calibri" w:hAnsi="Calibri" w:cs="Times New Roman"/>
          <w:lang w:eastAsia="en-US"/>
        </w:rPr>
      </w:pPr>
      <w:r w:rsidRPr="002B214D">
        <w:rPr>
          <w:rFonts w:ascii="Calibri" w:eastAsia="Calibri" w:hAnsi="Calibri" w:cs="Times New Roman"/>
          <w:lang w:eastAsia="en-US"/>
        </w:rPr>
        <w:t>How to remove the complex matrix of CBD oil and the propylene glycol and</w:t>
      </w:r>
      <w:r w:rsidR="002B214D" w:rsidRPr="002B214D">
        <w:rPr>
          <w:rFonts w:ascii="Calibri" w:eastAsia="Calibri" w:hAnsi="Calibri" w:cs="Times New Roman"/>
          <w:lang w:eastAsia="en-US"/>
        </w:rPr>
        <w:t xml:space="preserve"> glycerol from e-liquid samples?</w:t>
      </w:r>
    </w:p>
    <w:p w:rsidR="00B91B55" w:rsidRPr="002B214D" w:rsidRDefault="00864A9E" w:rsidP="00611C07">
      <w:pPr>
        <w:pStyle w:val="ListParagraph"/>
        <w:numPr>
          <w:ilvl w:val="1"/>
          <w:numId w:val="1"/>
        </w:numPr>
        <w:spacing w:after="160" w:line="259" w:lineRule="auto"/>
        <w:jc w:val="both"/>
        <w:rPr>
          <w:rFonts w:ascii="Calibri" w:eastAsia="Calibri" w:hAnsi="Calibri" w:cs="Times New Roman"/>
          <w:lang w:eastAsia="en-US"/>
        </w:rPr>
      </w:pPr>
      <w:r w:rsidRPr="002B214D">
        <w:rPr>
          <w:rFonts w:ascii="Calibri" w:eastAsia="Calibri" w:hAnsi="Calibri" w:cs="Times New Roman"/>
          <w:lang w:eastAsia="en-US"/>
        </w:rPr>
        <w:t xml:space="preserve">Are there any toxic impurities in the samples and how are they analyzed? </w:t>
      </w:r>
    </w:p>
    <w:p w:rsidR="003E1FBE" w:rsidRDefault="003E1FBE"/>
    <w:p w:rsidR="001D4B36" w:rsidRPr="001D4B36" w:rsidRDefault="001D4B36" w:rsidP="009E4181">
      <w:pPr>
        <w:pStyle w:val="Heading1"/>
      </w:pPr>
      <w:bookmarkStart w:id="2" w:name="_Toc506545351"/>
      <w:bookmarkStart w:id="3" w:name="_Toc515617177"/>
      <w:r w:rsidRPr="001D4B36">
        <w:lastRenderedPageBreak/>
        <w:t>Theoretical framework</w:t>
      </w:r>
      <w:bookmarkEnd w:id="2"/>
      <w:bookmarkEnd w:id="3"/>
      <w:r w:rsidRPr="001D4B36">
        <w:t xml:space="preserve"> </w:t>
      </w:r>
    </w:p>
    <w:p w:rsidR="001D4B36" w:rsidRPr="001D4B36" w:rsidRDefault="001D4B36" w:rsidP="00D825DE">
      <w:pPr>
        <w:pStyle w:val="Heading2"/>
        <w:rPr>
          <w:lang w:eastAsia="en-US"/>
        </w:rPr>
      </w:pPr>
      <w:bookmarkStart w:id="4" w:name="_Toc515617178"/>
      <w:r w:rsidRPr="001D4B36">
        <w:rPr>
          <w:lang w:eastAsia="en-US"/>
        </w:rPr>
        <w:t>Context</w:t>
      </w:r>
      <w:bookmarkEnd w:id="4"/>
      <w:r w:rsidRPr="001D4B36">
        <w:rPr>
          <w:lang w:eastAsia="en-US"/>
        </w:rPr>
        <w:t xml:space="preserve"> </w:t>
      </w:r>
    </w:p>
    <w:p w:rsidR="001D4B36" w:rsidRPr="001D4B36" w:rsidRDefault="001D4B36" w:rsidP="001D4B36">
      <w:pPr>
        <w:spacing w:after="160" w:line="259" w:lineRule="auto"/>
        <w:jc w:val="both"/>
        <w:rPr>
          <w:rFonts w:ascii="Calibri" w:eastAsia="Calibri" w:hAnsi="Calibri" w:cs="Times New Roman"/>
          <w:lang w:eastAsia="en-US"/>
        </w:rPr>
      </w:pPr>
      <w:r w:rsidRPr="001D4B36">
        <w:rPr>
          <w:rFonts w:ascii="Calibri" w:eastAsia="Calibri" w:hAnsi="Calibri" w:cs="Times New Roman"/>
          <w:lang w:eastAsia="en-US"/>
        </w:rPr>
        <w:t xml:space="preserve">There is a rapid increase in the use of e-cigarettes, e-liquids, CBD oil and e-liquids containing CBD. All </w:t>
      </w:r>
      <w:r w:rsidR="00074309">
        <w:rPr>
          <w:rFonts w:ascii="Calibri" w:eastAsia="Calibri" w:hAnsi="Calibri" w:cs="Times New Roman"/>
          <w:lang w:eastAsia="en-US"/>
        </w:rPr>
        <w:t xml:space="preserve">of </w:t>
      </w:r>
      <w:r w:rsidRPr="001D4B36">
        <w:rPr>
          <w:rFonts w:ascii="Calibri" w:eastAsia="Calibri" w:hAnsi="Calibri" w:cs="Times New Roman"/>
          <w:lang w:eastAsia="en-US"/>
        </w:rPr>
        <w:t>these products are readily available online and in local drugstores, and there are many websites promot</w:t>
      </w:r>
      <w:r w:rsidR="00074309">
        <w:rPr>
          <w:rFonts w:ascii="Calibri" w:eastAsia="Calibri" w:hAnsi="Calibri" w:cs="Times New Roman"/>
          <w:lang w:eastAsia="en-US"/>
        </w:rPr>
        <w:t>ing the health benefits of</w:t>
      </w:r>
      <w:r w:rsidRPr="001D4B36">
        <w:rPr>
          <w:rFonts w:ascii="Calibri" w:eastAsia="Calibri" w:hAnsi="Calibri" w:cs="Times New Roman"/>
          <w:lang w:eastAsia="en-US"/>
        </w:rPr>
        <w:t xml:space="preserve"> these product</w:t>
      </w:r>
      <w:r w:rsidR="00EC6E4B">
        <w:rPr>
          <w:rFonts w:ascii="Calibri" w:eastAsia="Calibri" w:hAnsi="Calibri" w:cs="Times New Roman"/>
          <w:lang w:eastAsia="en-US"/>
        </w:rPr>
        <w:t>s. T</w:t>
      </w:r>
      <w:r w:rsidR="00EC6E4B" w:rsidRPr="001D4B36">
        <w:rPr>
          <w:rFonts w:ascii="Calibri" w:eastAsia="Calibri" w:hAnsi="Calibri" w:cs="Times New Roman"/>
          <w:lang w:eastAsia="en-US"/>
        </w:rPr>
        <w:t>here</w:t>
      </w:r>
      <w:r w:rsidRPr="001D4B36">
        <w:rPr>
          <w:rFonts w:ascii="Calibri" w:eastAsia="Calibri" w:hAnsi="Calibri" w:cs="Times New Roman"/>
          <w:lang w:eastAsia="en-US"/>
        </w:rPr>
        <w:t xml:space="preserve"> has not been done extensive clinical trials and robust scientific studies to back these claims. There are many concerns related to these product’s authenticity, origins, lack of quality control and standardization. The purpose of this research is to find suitable analytical methods to confirm the quality of these products. </w:t>
      </w:r>
    </w:p>
    <w:p w:rsidR="001D4B36" w:rsidRPr="001D4B36" w:rsidRDefault="001D4B36" w:rsidP="00D825DE">
      <w:pPr>
        <w:pStyle w:val="Heading2"/>
        <w:rPr>
          <w:lang w:eastAsia="en-US"/>
        </w:rPr>
      </w:pPr>
      <w:bookmarkStart w:id="5" w:name="_Toc515617179"/>
      <w:r w:rsidRPr="001D4B36">
        <w:rPr>
          <w:lang w:eastAsia="en-US"/>
        </w:rPr>
        <w:t xml:space="preserve">E-cigarettes </w:t>
      </w:r>
      <w:r w:rsidRPr="00C06B6A">
        <w:rPr>
          <w:lang w:eastAsia="en-US"/>
        </w:rPr>
        <w:t xml:space="preserve">hardware </w:t>
      </w:r>
      <w:r w:rsidR="00074309" w:rsidRPr="00C06B6A">
        <w:rPr>
          <w:lang w:eastAsia="en-US"/>
        </w:rPr>
        <w:t>schematic drawing</w:t>
      </w:r>
      <w:bookmarkEnd w:id="5"/>
      <w:r w:rsidR="00074309">
        <w:rPr>
          <w:lang w:eastAsia="en-US"/>
        </w:rPr>
        <w:t xml:space="preserve">  </w:t>
      </w:r>
    </w:p>
    <w:p w:rsidR="001D4B36" w:rsidRDefault="001D4B36" w:rsidP="001D4B36">
      <w:pPr>
        <w:spacing w:after="160" w:line="259" w:lineRule="auto"/>
        <w:jc w:val="both"/>
        <w:rPr>
          <w:rFonts w:ascii="Calibri" w:eastAsia="Calibri" w:hAnsi="Calibri" w:cs="Times New Roman"/>
          <w:lang w:eastAsia="en-US"/>
        </w:rPr>
      </w:pPr>
      <w:r w:rsidRPr="001D4B36">
        <w:rPr>
          <w:rFonts w:ascii="Calibri" w:eastAsia="Calibri" w:hAnsi="Calibri" w:cs="Times New Roman"/>
          <w:lang w:eastAsia="en-US"/>
        </w:rPr>
        <w:t xml:space="preserve">Simply put electronic cigarettes are battery powered vaporizers. The e-cigarette devices consist of a cartridge which holds the liquid, the atomizer which vaporizes the liquid, microprocessor, rechargeable lithium battery, mouthpiece and a switch to activate the heating element. The e-cigarettes are often categorized in three generations. First-generation e-cigarettes which were made to mimic a cigarette were low tech vaporizers with limited settings </w:t>
      </w:r>
      <w:sdt>
        <w:sdtPr>
          <w:rPr>
            <w:rFonts w:ascii="Calibri" w:eastAsia="Calibri" w:hAnsi="Calibri" w:cs="Times New Roman"/>
            <w:lang w:eastAsia="en-US"/>
          </w:rPr>
          <w:id w:val="1609851615"/>
          <w:citation/>
        </w:sdtPr>
        <w:sdtEndPr/>
        <w:sdtContent>
          <w:r w:rsidRPr="001D4B36">
            <w:rPr>
              <w:rFonts w:ascii="Calibri" w:eastAsia="Calibri" w:hAnsi="Calibri" w:cs="Times New Roman"/>
              <w:lang w:eastAsia="en-US"/>
            </w:rPr>
            <w:fldChar w:fldCharType="begin"/>
          </w:r>
          <w:r w:rsidRPr="001D4B36">
            <w:rPr>
              <w:rFonts w:ascii="Calibri" w:eastAsia="Calibri" w:hAnsi="Calibri" w:cs="Times New Roman"/>
              <w:lang w:eastAsia="en-US"/>
            </w:rPr>
            <w:instrText xml:space="preserve"> CITATION Gir15 \l 1033 </w:instrText>
          </w:r>
          <w:r w:rsidRPr="001D4B36">
            <w:rPr>
              <w:rFonts w:ascii="Calibri" w:eastAsia="Calibri" w:hAnsi="Calibri" w:cs="Times New Roman"/>
              <w:lang w:eastAsia="en-US"/>
            </w:rPr>
            <w:fldChar w:fldCharType="separate"/>
          </w:r>
          <w:r w:rsidR="00F1475E" w:rsidRPr="00F1475E">
            <w:rPr>
              <w:rFonts w:ascii="Calibri" w:eastAsia="Calibri" w:hAnsi="Calibri" w:cs="Times New Roman"/>
              <w:noProof/>
              <w:lang w:eastAsia="en-US"/>
            </w:rPr>
            <w:t>(Giroud, et al., 2015)</w:t>
          </w:r>
          <w:r w:rsidRPr="001D4B36">
            <w:rPr>
              <w:rFonts w:ascii="Calibri" w:eastAsia="Calibri" w:hAnsi="Calibri" w:cs="Times New Roman"/>
              <w:lang w:eastAsia="en-US"/>
            </w:rPr>
            <w:fldChar w:fldCharType="end"/>
          </w:r>
        </w:sdtContent>
      </w:sdt>
      <w:r w:rsidRPr="001D4B36">
        <w:rPr>
          <w:rFonts w:ascii="Calibri" w:eastAsia="Calibri" w:hAnsi="Calibri" w:cs="Times New Roman"/>
          <w:lang w:eastAsia="en-US"/>
        </w:rPr>
        <w:t>. The second-generation devices are larger and contain a cartridge which can be filled with e-liquid by the user themselves and replaceable coils and wicks</w:t>
      </w:r>
      <w:sdt>
        <w:sdtPr>
          <w:rPr>
            <w:rFonts w:ascii="Calibri" w:eastAsia="Calibri" w:hAnsi="Calibri" w:cs="Times New Roman"/>
            <w:lang w:eastAsia="en-US"/>
          </w:rPr>
          <w:id w:val="-1319800600"/>
          <w:citation/>
        </w:sdtPr>
        <w:sdtEndPr/>
        <w:sdtContent>
          <w:r w:rsidRPr="001D4B36">
            <w:rPr>
              <w:rFonts w:ascii="Calibri" w:eastAsia="Calibri" w:hAnsi="Calibri" w:cs="Times New Roman"/>
              <w:lang w:eastAsia="en-US"/>
            </w:rPr>
            <w:fldChar w:fldCharType="begin"/>
          </w:r>
          <w:r w:rsidRPr="001D4B36">
            <w:rPr>
              <w:rFonts w:ascii="Calibri" w:eastAsia="Calibri" w:hAnsi="Calibri" w:cs="Times New Roman"/>
              <w:lang w:eastAsia="en-US"/>
            </w:rPr>
            <w:instrText xml:space="preserve"> CITATION McR14 \l 1035 </w:instrText>
          </w:r>
          <w:r w:rsidRPr="001D4B36">
            <w:rPr>
              <w:rFonts w:ascii="Calibri" w:eastAsia="Calibri" w:hAnsi="Calibri" w:cs="Times New Roman"/>
              <w:lang w:eastAsia="en-US"/>
            </w:rPr>
            <w:fldChar w:fldCharType="separate"/>
          </w:r>
          <w:r w:rsidR="00F1475E">
            <w:rPr>
              <w:rFonts w:ascii="Calibri" w:eastAsia="Calibri" w:hAnsi="Calibri" w:cs="Times New Roman"/>
              <w:noProof/>
              <w:lang w:eastAsia="en-US"/>
            </w:rPr>
            <w:t xml:space="preserve"> </w:t>
          </w:r>
          <w:r w:rsidR="00F1475E" w:rsidRPr="00F1475E">
            <w:rPr>
              <w:rFonts w:ascii="Calibri" w:eastAsia="Calibri" w:hAnsi="Calibri" w:cs="Times New Roman"/>
              <w:noProof/>
              <w:lang w:eastAsia="en-US"/>
            </w:rPr>
            <w:t>(McRobbie, 2014)</w:t>
          </w:r>
          <w:r w:rsidRPr="001D4B36">
            <w:rPr>
              <w:rFonts w:ascii="Calibri" w:eastAsia="Calibri" w:hAnsi="Calibri" w:cs="Times New Roman"/>
              <w:lang w:eastAsia="en-US"/>
            </w:rPr>
            <w:fldChar w:fldCharType="end"/>
          </w:r>
        </w:sdtContent>
      </w:sdt>
      <w:r w:rsidRPr="001D4B36">
        <w:rPr>
          <w:rFonts w:ascii="Calibri" w:eastAsia="Calibri" w:hAnsi="Calibri" w:cs="Times New Roman"/>
          <w:lang w:eastAsia="en-US"/>
        </w:rPr>
        <w:t xml:space="preserve">. Third-generation devices contain high-capacity batteries with electronic circuits that provide a high energy to the changeable atomizer </w:t>
      </w:r>
      <w:sdt>
        <w:sdtPr>
          <w:rPr>
            <w:rFonts w:ascii="Calibri" w:eastAsia="Calibri" w:hAnsi="Calibri" w:cs="Times New Roman"/>
            <w:lang w:eastAsia="en-US"/>
          </w:rPr>
          <w:id w:val="-1714803708"/>
          <w:citation/>
        </w:sdtPr>
        <w:sdtEndPr/>
        <w:sdtContent>
          <w:r w:rsidRPr="001D4B36">
            <w:rPr>
              <w:rFonts w:ascii="Calibri" w:eastAsia="Calibri" w:hAnsi="Calibri" w:cs="Times New Roman"/>
              <w:lang w:eastAsia="en-US"/>
            </w:rPr>
            <w:fldChar w:fldCharType="begin"/>
          </w:r>
          <w:r w:rsidRPr="001D4B36">
            <w:rPr>
              <w:rFonts w:ascii="Calibri" w:eastAsia="Calibri" w:hAnsi="Calibri" w:cs="Times New Roman"/>
              <w:lang w:eastAsia="en-US"/>
            </w:rPr>
            <w:instrText xml:space="preserve"> CITATION Far14 \l 1033 </w:instrText>
          </w:r>
          <w:r w:rsidRPr="001D4B36">
            <w:rPr>
              <w:rFonts w:ascii="Calibri" w:eastAsia="Calibri" w:hAnsi="Calibri" w:cs="Times New Roman"/>
              <w:lang w:eastAsia="en-US"/>
            </w:rPr>
            <w:fldChar w:fldCharType="separate"/>
          </w:r>
          <w:r w:rsidR="00F1475E" w:rsidRPr="00F1475E">
            <w:rPr>
              <w:rFonts w:ascii="Calibri" w:eastAsia="Calibri" w:hAnsi="Calibri" w:cs="Times New Roman"/>
              <w:noProof/>
              <w:lang w:eastAsia="en-US"/>
            </w:rPr>
            <w:t>(Farsalinos, et al., 2014)</w:t>
          </w:r>
          <w:r w:rsidRPr="001D4B36">
            <w:rPr>
              <w:rFonts w:ascii="Calibri" w:eastAsia="Calibri" w:hAnsi="Calibri" w:cs="Times New Roman"/>
              <w:lang w:eastAsia="en-US"/>
            </w:rPr>
            <w:fldChar w:fldCharType="end"/>
          </w:r>
        </w:sdtContent>
      </w:sdt>
      <w:r w:rsidRPr="001D4B36">
        <w:rPr>
          <w:rFonts w:ascii="Calibri" w:eastAsia="Calibri" w:hAnsi="Calibri" w:cs="Times New Roman"/>
          <w:lang w:eastAsia="en-US"/>
        </w:rPr>
        <w:t xml:space="preserve">. Regular users of e-cigarettes use the models with refillable cartridges </w:t>
      </w:r>
      <w:sdt>
        <w:sdtPr>
          <w:rPr>
            <w:rFonts w:ascii="Calibri" w:eastAsia="Calibri" w:hAnsi="Calibri" w:cs="Times New Roman"/>
            <w:lang w:eastAsia="en-US"/>
          </w:rPr>
          <w:id w:val="536707839"/>
          <w:citation/>
        </w:sdtPr>
        <w:sdtEndPr/>
        <w:sdtContent>
          <w:r w:rsidRPr="001D4B36">
            <w:rPr>
              <w:rFonts w:ascii="Calibri" w:eastAsia="Calibri" w:hAnsi="Calibri" w:cs="Times New Roman"/>
              <w:lang w:eastAsia="en-US"/>
            </w:rPr>
            <w:fldChar w:fldCharType="begin"/>
          </w:r>
          <w:r w:rsidRPr="001D4B36">
            <w:rPr>
              <w:rFonts w:ascii="Calibri" w:eastAsia="Calibri" w:hAnsi="Calibri" w:cs="Times New Roman"/>
              <w:lang w:eastAsia="en-US"/>
            </w:rPr>
            <w:instrText xml:space="preserve"> CITATION Ett16 \l 1035 </w:instrText>
          </w:r>
          <w:r w:rsidRPr="001D4B36">
            <w:rPr>
              <w:rFonts w:ascii="Calibri" w:eastAsia="Calibri" w:hAnsi="Calibri" w:cs="Times New Roman"/>
              <w:lang w:eastAsia="en-US"/>
            </w:rPr>
            <w:fldChar w:fldCharType="separate"/>
          </w:r>
          <w:r w:rsidR="00F1475E" w:rsidRPr="00F1475E">
            <w:rPr>
              <w:rFonts w:ascii="Calibri" w:eastAsia="Calibri" w:hAnsi="Calibri" w:cs="Times New Roman"/>
              <w:noProof/>
              <w:lang w:eastAsia="en-US"/>
            </w:rPr>
            <w:t>(Etter &amp; Bugey, 2016)</w:t>
          </w:r>
          <w:r w:rsidRPr="001D4B36">
            <w:rPr>
              <w:rFonts w:ascii="Calibri" w:eastAsia="Calibri" w:hAnsi="Calibri" w:cs="Times New Roman"/>
              <w:lang w:eastAsia="en-US"/>
            </w:rPr>
            <w:fldChar w:fldCharType="end"/>
          </w:r>
        </w:sdtContent>
      </w:sdt>
      <w:r w:rsidRPr="001D4B36">
        <w:rPr>
          <w:rFonts w:ascii="Calibri" w:eastAsia="Calibri" w:hAnsi="Calibri" w:cs="Times New Roman"/>
          <w:lang w:eastAsia="en-US"/>
        </w:rPr>
        <w:t xml:space="preserve">. E-cigarettes with the more advanced electronic circuits and replaceable parts can be easily modified to be suitable for cannabinoid vaporization </w:t>
      </w:r>
      <w:sdt>
        <w:sdtPr>
          <w:rPr>
            <w:rFonts w:ascii="Calibri" w:eastAsia="Calibri" w:hAnsi="Calibri" w:cs="Times New Roman"/>
            <w:lang w:eastAsia="en-US"/>
          </w:rPr>
          <w:id w:val="-265852553"/>
          <w:citation/>
        </w:sdtPr>
        <w:sdtEndPr/>
        <w:sdtContent>
          <w:r w:rsidRPr="001D4B36">
            <w:rPr>
              <w:rFonts w:ascii="Calibri" w:eastAsia="Calibri" w:hAnsi="Calibri" w:cs="Times New Roman"/>
              <w:lang w:eastAsia="en-US"/>
            </w:rPr>
            <w:fldChar w:fldCharType="begin"/>
          </w:r>
          <w:r w:rsidRPr="001D4B36">
            <w:rPr>
              <w:rFonts w:ascii="Calibri" w:eastAsia="Calibri" w:hAnsi="Calibri" w:cs="Times New Roman"/>
              <w:lang w:eastAsia="en-US"/>
            </w:rPr>
            <w:instrText xml:space="preserve"> CITATION Gir15 \l 1033 </w:instrText>
          </w:r>
          <w:r w:rsidRPr="001D4B36">
            <w:rPr>
              <w:rFonts w:ascii="Calibri" w:eastAsia="Calibri" w:hAnsi="Calibri" w:cs="Times New Roman"/>
              <w:lang w:eastAsia="en-US"/>
            </w:rPr>
            <w:fldChar w:fldCharType="separate"/>
          </w:r>
          <w:r w:rsidR="00F1475E" w:rsidRPr="00F1475E">
            <w:rPr>
              <w:rFonts w:ascii="Calibri" w:eastAsia="Calibri" w:hAnsi="Calibri" w:cs="Times New Roman"/>
              <w:noProof/>
              <w:lang w:eastAsia="en-US"/>
            </w:rPr>
            <w:t>(Giroud, et al., 2015)</w:t>
          </w:r>
          <w:r w:rsidRPr="001D4B36">
            <w:rPr>
              <w:rFonts w:ascii="Calibri" w:eastAsia="Calibri" w:hAnsi="Calibri" w:cs="Times New Roman"/>
              <w:lang w:eastAsia="en-US"/>
            </w:rPr>
            <w:fldChar w:fldCharType="end"/>
          </w:r>
        </w:sdtContent>
      </w:sdt>
      <w:r w:rsidRPr="001D4B36">
        <w:rPr>
          <w:rFonts w:ascii="Calibri" w:eastAsia="Calibri" w:hAnsi="Calibri" w:cs="Times New Roman"/>
          <w:lang w:eastAsia="en-US"/>
        </w:rPr>
        <w:t xml:space="preserve">. The coil head can be chosen based on if a dry herb, a wax or e-liquid is to be </w:t>
      </w:r>
      <w:r w:rsidR="00074309">
        <w:rPr>
          <w:rFonts w:ascii="Calibri" w:eastAsia="Calibri" w:hAnsi="Calibri" w:cs="Times New Roman"/>
          <w:lang w:eastAsia="en-US"/>
        </w:rPr>
        <w:t>vaporized. I.e.</w:t>
      </w:r>
      <w:r w:rsidRPr="001D4B36">
        <w:rPr>
          <w:rFonts w:ascii="Calibri" w:eastAsia="Calibri" w:hAnsi="Calibri" w:cs="Times New Roman"/>
          <w:lang w:eastAsia="en-US"/>
        </w:rPr>
        <w:t xml:space="preserve">, not only e-liquids can be vaporized and inhaled with e-cigarettes but other mediums as well. Since the e-cigarettes came to the markets, their use has increased rapidly especially among youth aged 12-18 </w:t>
      </w:r>
      <w:sdt>
        <w:sdtPr>
          <w:rPr>
            <w:rFonts w:ascii="Calibri" w:eastAsia="Calibri" w:hAnsi="Calibri" w:cs="Times New Roman"/>
            <w:lang w:eastAsia="en-US"/>
          </w:rPr>
          <w:id w:val="-257213915"/>
          <w:citation/>
        </w:sdtPr>
        <w:sdtEndPr/>
        <w:sdtContent>
          <w:r w:rsidR="00074309" w:rsidRPr="009C1372">
            <w:rPr>
              <w:rFonts w:ascii="Calibri" w:eastAsia="Calibri" w:hAnsi="Calibri" w:cs="Times New Roman"/>
              <w:lang w:eastAsia="en-US"/>
            </w:rPr>
            <w:fldChar w:fldCharType="begin"/>
          </w:r>
          <w:r w:rsidR="00074309" w:rsidRPr="009C1372">
            <w:rPr>
              <w:rFonts w:ascii="Calibri" w:eastAsia="Calibri" w:hAnsi="Calibri" w:cs="Times New Roman"/>
              <w:lang w:eastAsia="en-US"/>
            </w:rPr>
            <w:instrText xml:space="preserve"> CITATION Lef16 \l 1033 </w:instrText>
          </w:r>
          <w:r w:rsidR="00074309" w:rsidRPr="009C1372">
            <w:rPr>
              <w:rFonts w:ascii="Calibri" w:eastAsia="Calibri" w:hAnsi="Calibri" w:cs="Times New Roman"/>
              <w:lang w:eastAsia="en-US"/>
            </w:rPr>
            <w:fldChar w:fldCharType="separate"/>
          </w:r>
          <w:r w:rsidR="00F1475E" w:rsidRPr="00F1475E">
            <w:rPr>
              <w:rFonts w:ascii="Calibri" w:eastAsia="Calibri" w:hAnsi="Calibri" w:cs="Times New Roman"/>
              <w:noProof/>
              <w:lang w:eastAsia="en-US"/>
            </w:rPr>
            <w:t>(Lefever,, et al., 2016)</w:t>
          </w:r>
          <w:r w:rsidR="00074309" w:rsidRPr="009C1372">
            <w:rPr>
              <w:rFonts w:ascii="Calibri" w:eastAsia="Calibri" w:hAnsi="Calibri" w:cs="Times New Roman"/>
              <w:lang w:eastAsia="en-US"/>
            </w:rPr>
            <w:fldChar w:fldCharType="end"/>
          </w:r>
        </w:sdtContent>
      </w:sdt>
      <w:r w:rsidR="00074309" w:rsidRPr="009C1372">
        <w:rPr>
          <w:rFonts w:ascii="Calibri" w:eastAsia="Calibri" w:hAnsi="Calibri" w:cs="Times New Roman"/>
          <w:lang w:eastAsia="en-US"/>
        </w:rPr>
        <w:t>.</w:t>
      </w:r>
    </w:p>
    <w:p w:rsidR="00D538BE" w:rsidRDefault="00D538BE" w:rsidP="001D4B36">
      <w:pPr>
        <w:spacing w:after="160" w:line="259" w:lineRule="auto"/>
        <w:jc w:val="both"/>
        <w:rPr>
          <w:rFonts w:ascii="Calibri" w:eastAsia="Calibri" w:hAnsi="Calibri" w:cs="Times New Roman"/>
          <w:lang w:eastAsia="en-US"/>
        </w:rPr>
      </w:pPr>
    </w:p>
    <w:p w:rsidR="00D10396" w:rsidRDefault="00D10396" w:rsidP="001D4B36">
      <w:pPr>
        <w:spacing w:after="160" w:line="259" w:lineRule="auto"/>
        <w:jc w:val="both"/>
        <w:rPr>
          <w:rFonts w:ascii="Calibri" w:eastAsia="Calibri" w:hAnsi="Calibri" w:cs="Times New Roman"/>
          <w:lang w:eastAsia="en-US"/>
        </w:rPr>
      </w:pPr>
      <w:r w:rsidRPr="00D10396">
        <w:rPr>
          <w:rFonts w:ascii="Calibri" w:eastAsia="Calibri" w:hAnsi="Calibri" w:cs="Times New Roman"/>
          <w:noProof/>
          <w:lang w:eastAsia="en-US"/>
        </w:rPr>
        <w:drawing>
          <wp:inline distT="0" distB="0" distL="0" distR="0">
            <wp:extent cx="5880285" cy="2962275"/>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32817"/>
                    <a:stretch/>
                  </pic:blipFill>
                  <pic:spPr bwMode="auto">
                    <a:xfrm>
                      <a:off x="0" y="0"/>
                      <a:ext cx="5892807" cy="2968583"/>
                    </a:xfrm>
                    <a:prstGeom prst="rect">
                      <a:avLst/>
                    </a:prstGeom>
                    <a:noFill/>
                    <a:ln>
                      <a:noFill/>
                    </a:ln>
                    <a:extLst>
                      <a:ext uri="{53640926-AAD7-44D8-BBD7-CCE9431645EC}">
                        <a14:shadowObscured xmlns:a14="http://schemas.microsoft.com/office/drawing/2010/main"/>
                      </a:ext>
                    </a:extLst>
                  </pic:spPr>
                </pic:pic>
              </a:graphicData>
            </a:graphic>
          </wp:inline>
        </w:drawing>
      </w:r>
    </w:p>
    <w:p w:rsidR="00D10396" w:rsidRDefault="00D10396" w:rsidP="00D10396">
      <w:pPr>
        <w:pStyle w:val="Caption"/>
      </w:pPr>
      <w:r>
        <w:t xml:space="preserve">Figure </w:t>
      </w:r>
      <w:r w:rsidR="002E375B">
        <w:fldChar w:fldCharType="begin"/>
      </w:r>
      <w:r w:rsidR="002E375B">
        <w:instrText xml:space="preserve"> SEQ Figure \* ARABIC </w:instrText>
      </w:r>
      <w:r w:rsidR="002E375B">
        <w:fldChar w:fldCharType="separate"/>
      </w:r>
      <w:r w:rsidR="00D538BE">
        <w:rPr>
          <w:noProof/>
        </w:rPr>
        <w:t>1</w:t>
      </w:r>
      <w:r w:rsidR="002E375B">
        <w:rPr>
          <w:noProof/>
        </w:rPr>
        <w:fldChar w:fldCharType="end"/>
      </w:r>
      <w:r>
        <w:t xml:space="preserve"> </w:t>
      </w:r>
      <w:r w:rsidR="00C06B6A">
        <w:t xml:space="preserve">Schematic of third generation electronic cigarette </w:t>
      </w:r>
      <w:sdt>
        <w:sdtPr>
          <w:id w:val="-95720500"/>
          <w:citation/>
        </w:sdtPr>
        <w:sdtEndPr/>
        <w:sdtContent>
          <w:r w:rsidR="00C06B6A">
            <w:fldChar w:fldCharType="begin"/>
          </w:r>
          <w:r w:rsidR="00C06B6A">
            <w:instrText xml:space="preserve"> CITATION Gir15 \l 1033 </w:instrText>
          </w:r>
          <w:r w:rsidR="00C06B6A">
            <w:fldChar w:fldCharType="separate"/>
          </w:r>
          <w:r w:rsidR="00F1475E">
            <w:rPr>
              <w:noProof/>
            </w:rPr>
            <w:t>(Giroud, et al., 2015)</w:t>
          </w:r>
          <w:r w:rsidR="00C06B6A">
            <w:fldChar w:fldCharType="end"/>
          </w:r>
        </w:sdtContent>
      </w:sdt>
      <w:r w:rsidR="00C06B6A">
        <w:t xml:space="preserve">. </w:t>
      </w:r>
    </w:p>
    <w:p w:rsidR="00C06B6A" w:rsidRPr="00C06B6A" w:rsidRDefault="00C06B6A" w:rsidP="00C06B6A"/>
    <w:p w:rsidR="001D4B36" w:rsidRPr="00D825DE" w:rsidRDefault="001D4B36" w:rsidP="00D825DE">
      <w:pPr>
        <w:pStyle w:val="Heading2"/>
      </w:pPr>
      <w:bookmarkStart w:id="6" w:name="_Toc515617180"/>
      <w:r w:rsidRPr="00D825DE">
        <w:lastRenderedPageBreak/>
        <w:t>E-liquids</w:t>
      </w:r>
      <w:bookmarkEnd w:id="6"/>
    </w:p>
    <w:p w:rsidR="001D4B36" w:rsidRPr="001D4B36" w:rsidRDefault="001D4B36" w:rsidP="001D4B36">
      <w:pPr>
        <w:jc w:val="both"/>
        <w:rPr>
          <w:rFonts w:ascii="Calibri" w:eastAsia="PMingLiU" w:hAnsi="Calibri" w:cs="Times New Roman"/>
        </w:rPr>
      </w:pPr>
      <w:r w:rsidRPr="001D4B36">
        <w:rPr>
          <w:rFonts w:ascii="Calibri" w:eastAsia="PMingLiU" w:hAnsi="Calibri" w:cs="Times New Roman"/>
        </w:rPr>
        <w:t xml:space="preserve">The liquid used in the e-cigarettes does not undergo combustion like in traditional cigarettes. The liquid and the e-cigarette produce an aerosol which mostly consists of humectants (propylene glycol and/or glycerin), flavorings and nicotine </w:t>
      </w:r>
      <w:sdt>
        <w:sdtPr>
          <w:rPr>
            <w:rFonts w:ascii="Calibri" w:eastAsia="PMingLiU" w:hAnsi="Calibri" w:cs="Times New Roman"/>
          </w:rPr>
          <w:id w:val="68466493"/>
          <w:citation/>
        </w:sdtPr>
        <w:sdtEndPr/>
        <w:sdtContent>
          <w:r w:rsidRPr="001D4B36">
            <w:rPr>
              <w:rFonts w:ascii="Calibri" w:eastAsia="PMingLiU" w:hAnsi="Calibri" w:cs="Times New Roman"/>
            </w:rPr>
            <w:fldChar w:fldCharType="begin"/>
          </w:r>
          <w:r w:rsidRPr="001D4B36">
            <w:rPr>
              <w:rFonts w:ascii="Calibri" w:eastAsia="PMingLiU" w:hAnsi="Calibri" w:cs="Times New Roman"/>
            </w:rPr>
            <w:instrText xml:space="preserve"> CITATION Her \l 1033 </w:instrText>
          </w:r>
          <w:r w:rsidRPr="001D4B36">
            <w:rPr>
              <w:rFonts w:ascii="Calibri" w:eastAsia="PMingLiU" w:hAnsi="Calibri" w:cs="Times New Roman"/>
            </w:rPr>
            <w:fldChar w:fldCharType="separate"/>
          </w:r>
          <w:r w:rsidR="00F1475E" w:rsidRPr="00F1475E">
            <w:rPr>
              <w:rFonts w:ascii="Calibri" w:eastAsia="PMingLiU" w:hAnsi="Calibri" w:cs="Times New Roman"/>
              <w:noProof/>
            </w:rPr>
            <w:t>(Herrington, Myers, &amp; Rigdon)</w:t>
          </w:r>
          <w:r w:rsidRPr="001D4B36">
            <w:rPr>
              <w:rFonts w:ascii="Calibri" w:eastAsia="PMingLiU" w:hAnsi="Calibri" w:cs="Times New Roman"/>
            </w:rPr>
            <w:fldChar w:fldCharType="end"/>
          </w:r>
        </w:sdtContent>
      </w:sdt>
      <w:r w:rsidR="00074309">
        <w:rPr>
          <w:rFonts w:ascii="Calibri" w:eastAsia="PMingLiU" w:hAnsi="Calibri" w:cs="Times New Roman"/>
        </w:rPr>
        <w:t>. The humectants ratio</w:t>
      </w:r>
      <w:r w:rsidRPr="001D4B36">
        <w:rPr>
          <w:rFonts w:ascii="Calibri" w:eastAsia="PMingLiU" w:hAnsi="Calibri" w:cs="Times New Roman"/>
        </w:rPr>
        <w:t xml:space="preserve"> to each other are varied to give different sensations in the mouth and throat. In the vaping</w:t>
      </w:r>
      <w:r w:rsidRPr="001D4B36">
        <w:rPr>
          <w:rFonts w:ascii="Calibri" w:eastAsia="PMingLiU" w:hAnsi="Calibri" w:cs="Times New Roman"/>
          <w:vertAlign w:val="superscript"/>
        </w:rPr>
        <w:footnoteReference w:id="1"/>
      </w:r>
      <w:r w:rsidRPr="001D4B36">
        <w:rPr>
          <w:rFonts w:ascii="Calibri" w:eastAsia="PMingLiU" w:hAnsi="Calibri" w:cs="Times New Roman"/>
        </w:rPr>
        <w:t xml:space="preserve"> communities it is said that propylene glycol (together with nicotine) gives the ‘throat hit’ many users appreciate, and vegetable glycerin increases the vapor amount and brings out the flavor </w:t>
      </w:r>
      <w:sdt>
        <w:sdtPr>
          <w:rPr>
            <w:rFonts w:ascii="Calibri" w:eastAsia="PMingLiU" w:hAnsi="Calibri" w:cs="Times New Roman"/>
          </w:rPr>
          <w:id w:val="366884299"/>
          <w:citation/>
        </w:sdtPr>
        <w:sdtEndPr/>
        <w:sdtContent>
          <w:r w:rsidRPr="009A3A56">
            <w:rPr>
              <w:rFonts w:ascii="Calibri" w:eastAsia="PMingLiU" w:hAnsi="Calibri" w:cs="Times New Roman"/>
            </w:rPr>
            <w:fldChar w:fldCharType="begin"/>
          </w:r>
          <w:r w:rsidR="003E711F" w:rsidRPr="009A3A56">
            <w:rPr>
              <w:rFonts w:ascii="Calibri" w:eastAsia="PMingLiU" w:hAnsi="Calibri" w:cs="Times New Roman"/>
            </w:rPr>
            <w:instrText xml:space="preserve">CITATION Vap \y  \l 1035 </w:instrText>
          </w:r>
          <w:r w:rsidRPr="009A3A56">
            <w:rPr>
              <w:rFonts w:ascii="Calibri" w:eastAsia="PMingLiU" w:hAnsi="Calibri" w:cs="Times New Roman"/>
            </w:rPr>
            <w:fldChar w:fldCharType="separate"/>
          </w:r>
          <w:r w:rsidR="00F1475E" w:rsidRPr="00F1475E">
            <w:rPr>
              <w:rFonts w:ascii="Calibri" w:eastAsia="PMingLiU" w:hAnsi="Calibri" w:cs="Times New Roman"/>
              <w:noProof/>
            </w:rPr>
            <w:t>(Vaping Daily Blog)</w:t>
          </w:r>
          <w:r w:rsidRPr="009A3A56">
            <w:rPr>
              <w:rFonts w:ascii="Calibri" w:eastAsia="PMingLiU" w:hAnsi="Calibri" w:cs="Times New Roman"/>
            </w:rPr>
            <w:fldChar w:fldCharType="end"/>
          </w:r>
        </w:sdtContent>
      </w:sdt>
      <w:r w:rsidRPr="009A3A56">
        <w:rPr>
          <w:rFonts w:ascii="Calibri" w:eastAsia="PMingLiU" w:hAnsi="Calibri" w:cs="Times New Roman"/>
        </w:rPr>
        <w:t>.</w:t>
      </w:r>
      <w:r w:rsidRPr="001D4B36">
        <w:rPr>
          <w:rFonts w:ascii="Calibri" w:eastAsia="PMingLiU" w:hAnsi="Calibri" w:cs="Times New Roman"/>
        </w:rPr>
        <w:t xml:space="preserve"> Commonly the nicotine amount in the e-liquids conta</w:t>
      </w:r>
      <w:r w:rsidR="00074309">
        <w:rPr>
          <w:rFonts w:ascii="Calibri" w:eastAsia="PMingLiU" w:hAnsi="Calibri" w:cs="Times New Roman"/>
        </w:rPr>
        <w:t>in are 0, 3, 6, 12, and 18 mg/mL</w:t>
      </w:r>
      <w:sdt>
        <w:sdtPr>
          <w:rPr>
            <w:rFonts w:ascii="Calibri" w:eastAsia="PMingLiU" w:hAnsi="Calibri" w:cs="Times New Roman"/>
          </w:rPr>
          <w:id w:val="-611046460"/>
          <w:citation/>
        </w:sdtPr>
        <w:sdtEndPr/>
        <w:sdtContent>
          <w:r w:rsidRPr="001D4B36">
            <w:rPr>
              <w:rFonts w:ascii="Calibri" w:eastAsia="PMingLiU" w:hAnsi="Calibri" w:cs="Times New Roman"/>
            </w:rPr>
            <w:fldChar w:fldCharType="begin"/>
          </w:r>
          <w:r w:rsidRPr="001D4B36">
            <w:rPr>
              <w:rFonts w:ascii="Calibri" w:eastAsia="PMingLiU" w:hAnsi="Calibri" w:cs="Times New Roman"/>
            </w:rPr>
            <w:instrText xml:space="preserve"> CITATION StH17 \l 1033 </w:instrText>
          </w:r>
          <w:r w:rsidRPr="001D4B36">
            <w:rPr>
              <w:rFonts w:ascii="Calibri" w:eastAsia="PMingLiU" w:hAnsi="Calibri" w:cs="Times New Roman"/>
            </w:rPr>
            <w:fldChar w:fldCharType="separate"/>
          </w:r>
          <w:r w:rsidR="00F1475E">
            <w:rPr>
              <w:rFonts w:ascii="Calibri" w:eastAsia="PMingLiU" w:hAnsi="Calibri" w:cs="Times New Roman"/>
              <w:noProof/>
            </w:rPr>
            <w:t xml:space="preserve"> </w:t>
          </w:r>
          <w:r w:rsidR="00F1475E" w:rsidRPr="00F1475E">
            <w:rPr>
              <w:rFonts w:ascii="Calibri" w:eastAsia="PMingLiU" w:hAnsi="Calibri" w:cs="Times New Roman"/>
              <w:noProof/>
            </w:rPr>
            <w:t>(St.Helen, Dempsey, Havel, Jacob, &amp; Benowitz, 2017)</w:t>
          </w:r>
          <w:r w:rsidRPr="001D4B36">
            <w:rPr>
              <w:rFonts w:ascii="Calibri" w:eastAsia="PMingLiU" w:hAnsi="Calibri" w:cs="Times New Roman"/>
            </w:rPr>
            <w:fldChar w:fldCharType="end"/>
          </w:r>
        </w:sdtContent>
      </w:sdt>
      <w:r w:rsidRPr="001D4B36">
        <w:rPr>
          <w:rFonts w:ascii="Calibri" w:eastAsia="PMingLiU" w:hAnsi="Calibri" w:cs="Times New Roman"/>
        </w:rPr>
        <w:t xml:space="preserve">. The flavorings used in the e-liquids are usually the same as applied in food industry. Most of these compounds are generally regarded as safe for indigestion, but their effect on the human health when inhaled is unknown </w:t>
      </w:r>
      <w:sdt>
        <w:sdtPr>
          <w:rPr>
            <w:rFonts w:ascii="Calibri" w:eastAsia="PMingLiU" w:hAnsi="Calibri" w:cs="Times New Roman"/>
          </w:rPr>
          <w:id w:val="2041702307"/>
          <w:citation/>
        </w:sdtPr>
        <w:sdtEndPr/>
        <w:sdtContent>
          <w:r w:rsidRPr="001D4B36">
            <w:rPr>
              <w:rFonts w:ascii="Calibri" w:eastAsia="PMingLiU" w:hAnsi="Calibri" w:cs="Times New Roman"/>
            </w:rPr>
            <w:fldChar w:fldCharType="begin"/>
          </w:r>
          <w:r w:rsidRPr="001D4B36">
            <w:rPr>
              <w:rFonts w:ascii="Calibri" w:eastAsia="PMingLiU" w:hAnsi="Calibri" w:cs="Times New Roman"/>
            </w:rPr>
            <w:instrText xml:space="preserve"> CITATION Asz17 \l 1033 </w:instrText>
          </w:r>
          <w:r w:rsidRPr="001D4B36">
            <w:rPr>
              <w:rFonts w:ascii="Calibri" w:eastAsia="PMingLiU" w:hAnsi="Calibri" w:cs="Times New Roman"/>
            </w:rPr>
            <w:fldChar w:fldCharType="separate"/>
          </w:r>
          <w:r w:rsidR="00F1475E" w:rsidRPr="00F1475E">
            <w:rPr>
              <w:rFonts w:ascii="Calibri" w:eastAsia="PMingLiU" w:hAnsi="Calibri" w:cs="Times New Roman"/>
              <w:noProof/>
            </w:rPr>
            <w:t>(Aszyk, et al., 2017)</w:t>
          </w:r>
          <w:r w:rsidRPr="001D4B36">
            <w:rPr>
              <w:rFonts w:ascii="Calibri" w:eastAsia="PMingLiU" w:hAnsi="Calibri" w:cs="Times New Roman"/>
            </w:rPr>
            <w:fldChar w:fldCharType="end"/>
          </w:r>
        </w:sdtContent>
      </w:sdt>
      <w:r w:rsidRPr="001D4B36">
        <w:rPr>
          <w:rFonts w:ascii="Calibri" w:eastAsia="PMingLiU" w:hAnsi="Calibri" w:cs="Times New Roman"/>
        </w:rPr>
        <w:t xml:space="preserve">. Flavorings can also change the nicotine pharmacokinetics from e-cigarettes, which brings the possibility of abuse liability </w:t>
      </w:r>
      <w:sdt>
        <w:sdtPr>
          <w:rPr>
            <w:rFonts w:ascii="Calibri" w:eastAsia="PMingLiU" w:hAnsi="Calibri" w:cs="Times New Roman"/>
          </w:rPr>
          <w:id w:val="-1728900026"/>
          <w:citation/>
        </w:sdtPr>
        <w:sdtEndPr/>
        <w:sdtContent>
          <w:r w:rsidRPr="001D4B36">
            <w:rPr>
              <w:rFonts w:ascii="Calibri" w:eastAsia="PMingLiU" w:hAnsi="Calibri" w:cs="Times New Roman"/>
            </w:rPr>
            <w:fldChar w:fldCharType="begin"/>
          </w:r>
          <w:r w:rsidRPr="001D4B36">
            <w:rPr>
              <w:rFonts w:ascii="Calibri" w:eastAsia="PMingLiU" w:hAnsi="Calibri" w:cs="Times New Roman"/>
            </w:rPr>
            <w:instrText xml:space="preserve"> CITATION StH17 \l 1033 </w:instrText>
          </w:r>
          <w:r w:rsidRPr="001D4B36">
            <w:rPr>
              <w:rFonts w:ascii="Calibri" w:eastAsia="PMingLiU" w:hAnsi="Calibri" w:cs="Times New Roman"/>
            </w:rPr>
            <w:fldChar w:fldCharType="separate"/>
          </w:r>
          <w:r w:rsidR="00F1475E" w:rsidRPr="00F1475E">
            <w:rPr>
              <w:rFonts w:ascii="Calibri" w:eastAsia="PMingLiU" w:hAnsi="Calibri" w:cs="Times New Roman"/>
              <w:noProof/>
            </w:rPr>
            <w:t>(St.Helen, Dempsey, Havel, Jacob, &amp; Benowitz, 2017)</w:t>
          </w:r>
          <w:r w:rsidRPr="001D4B36">
            <w:rPr>
              <w:rFonts w:ascii="Calibri" w:eastAsia="PMingLiU" w:hAnsi="Calibri" w:cs="Times New Roman"/>
            </w:rPr>
            <w:fldChar w:fldCharType="end"/>
          </w:r>
        </w:sdtContent>
      </w:sdt>
      <w:r w:rsidRPr="001D4B36">
        <w:rPr>
          <w:rFonts w:ascii="Calibri" w:eastAsia="PMingLiU" w:hAnsi="Calibri" w:cs="Times New Roman"/>
        </w:rPr>
        <w:t xml:space="preserve">. There have been also suggestions that the e-liquids may contain toxins and impurities </w:t>
      </w:r>
      <w:sdt>
        <w:sdtPr>
          <w:rPr>
            <w:rFonts w:ascii="Calibri" w:eastAsia="PMingLiU" w:hAnsi="Calibri" w:cs="Times New Roman"/>
          </w:rPr>
          <w:id w:val="1966850183"/>
          <w:citation/>
        </w:sdtPr>
        <w:sdtEndPr/>
        <w:sdtContent>
          <w:r w:rsidRPr="001D4B36">
            <w:rPr>
              <w:rFonts w:ascii="Calibri" w:eastAsia="PMingLiU" w:hAnsi="Calibri" w:cs="Times New Roman"/>
            </w:rPr>
            <w:fldChar w:fldCharType="begin"/>
          </w:r>
          <w:r w:rsidRPr="001D4B36">
            <w:rPr>
              <w:rFonts w:ascii="Calibri" w:eastAsia="PMingLiU" w:hAnsi="Calibri" w:cs="Times New Roman"/>
            </w:rPr>
            <w:instrText xml:space="preserve"> CITATION Ett16 \l 1035 </w:instrText>
          </w:r>
          <w:r w:rsidRPr="001D4B36">
            <w:rPr>
              <w:rFonts w:ascii="Calibri" w:eastAsia="PMingLiU" w:hAnsi="Calibri" w:cs="Times New Roman"/>
            </w:rPr>
            <w:fldChar w:fldCharType="separate"/>
          </w:r>
          <w:r w:rsidR="00F1475E" w:rsidRPr="00F1475E">
            <w:rPr>
              <w:rFonts w:ascii="Calibri" w:eastAsia="PMingLiU" w:hAnsi="Calibri" w:cs="Times New Roman"/>
              <w:noProof/>
            </w:rPr>
            <w:t>(Etter &amp; Bugey, 2016)</w:t>
          </w:r>
          <w:r w:rsidRPr="001D4B36">
            <w:rPr>
              <w:rFonts w:ascii="Calibri" w:eastAsia="PMingLiU" w:hAnsi="Calibri" w:cs="Times New Roman"/>
            </w:rPr>
            <w:fldChar w:fldCharType="end"/>
          </w:r>
        </w:sdtContent>
      </w:sdt>
      <w:r w:rsidR="00074309">
        <w:rPr>
          <w:rFonts w:ascii="Calibri" w:eastAsia="PMingLiU" w:hAnsi="Calibri" w:cs="Times New Roman"/>
        </w:rPr>
        <w:t>. I</w:t>
      </w:r>
      <w:r w:rsidRPr="001D4B36">
        <w:rPr>
          <w:rFonts w:ascii="Calibri" w:eastAsia="PMingLiU" w:hAnsi="Calibri" w:cs="Times New Roman"/>
        </w:rPr>
        <w:t xml:space="preserve">n response to these concerns there has been research to determine the carcinogens and toxicants from the vapor of the e-liquids where a modified smoking machine was used to generate the vapor </w:t>
      </w:r>
      <w:sdt>
        <w:sdtPr>
          <w:rPr>
            <w:rFonts w:ascii="Calibri" w:eastAsia="PMingLiU" w:hAnsi="Calibri" w:cs="Times New Roman"/>
          </w:rPr>
          <w:id w:val="2025048873"/>
          <w:citation/>
        </w:sdtPr>
        <w:sdtEndPr/>
        <w:sdtContent>
          <w:r w:rsidRPr="001D4B36">
            <w:rPr>
              <w:rFonts w:ascii="Calibri" w:eastAsia="PMingLiU" w:hAnsi="Calibri" w:cs="Times New Roman"/>
            </w:rPr>
            <w:fldChar w:fldCharType="begin"/>
          </w:r>
          <w:r w:rsidRPr="001D4B36">
            <w:rPr>
              <w:rFonts w:ascii="Calibri" w:eastAsia="PMingLiU" w:hAnsi="Calibri" w:cs="Times New Roman"/>
            </w:rPr>
            <w:instrText xml:space="preserve"> CITATION Luk18 \l 1033 </w:instrText>
          </w:r>
          <w:r w:rsidRPr="001D4B36">
            <w:rPr>
              <w:rFonts w:ascii="Calibri" w:eastAsia="PMingLiU" w:hAnsi="Calibri" w:cs="Times New Roman"/>
            </w:rPr>
            <w:fldChar w:fldCharType="separate"/>
          </w:r>
          <w:r w:rsidR="00F1475E" w:rsidRPr="00F1475E">
            <w:rPr>
              <w:rFonts w:ascii="Calibri" w:eastAsia="PMingLiU" w:hAnsi="Calibri" w:cs="Times New Roman"/>
              <w:noProof/>
            </w:rPr>
            <w:t>(Lukasz, et al., 2018)</w:t>
          </w:r>
          <w:r w:rsidRPr="001D4B36">
            <w:rPr>
              <w:rFonts w:ascii="Calibri" w:eastAsia="PMingLiU" w:hAnsi="Calibri" w:cs="Times New Roman"/>
            </w:rPr>
            <w:fldChar w:fldCharType="end"/>
          </w:r>
        </w:sdtContent>
      </w:sdt>
      <w:r w:rsidRPr="001D4B36">
        <w:rPr>
          <w:rFonts w:ascii="Calibri" w:eastAsia="PMingLiU" w:hAnsi="Calibri" w:cs="Times New Roman"/>
        </w:rPr>
        <w:t xml:space="preserve">. These smoking machines are not readily available in most laboratories and therefore gas and liquid chromatographic methods analyzing the liquid sample still tend to be the most common methods to determine the quality of the e-liquids. </w:t>
      </w:r>
    </w:p>
    <w:p w:rsidR="001D4B36" w:rsidRPr="001D4B36" w:rsidRDefault="00B56F86" w:rsidP="001D4B36">
      <w:pPr>
        <w:pStyle w:val="Heading2"/>
        <w:rPr>
          <w:lang w:eastAsia="en-US"/>
        </w:rPr>
      </w:pPr>
      <w:bookmarkStart w:id="7" w:name="_Toc515617181"/>
      <w:r>
        <w:rPr>
          <w:lang w:eastAsia="en-US"/>
        </w:rPr>
        <w:t>Ethanol</w:t>
      </w:r>
      <w:r w:rsidR="001D4B36" w:rsidRPr="001D4B36">
        <w:rPr>
          <w:lang w:eastAsia="en-US"/>
        </w:rPr>
        <w:t xml:space="preserve"> in electronic cigarettes</w:t>
      </w:r>
      <w:bookmarkEnd w:id="7"/>
      <w:r w:rsidR="001D4B36" w:rsidRPr="001D4B36">
        <w:rPr>
          <w:lang w:eastAsia="en-US"/>
        </w:rPr>
        <w:t xml:space="preserve"> </w:t>
      </w:r>
    </w:p>
    <w:p w:rsidR="00734392" w:rsidRPr="001D4B36" w:rsidRDefault="001D4B36" w:rsidP="00715BEF">
      <w:pPr>
        <w:spacing w:after="160" w:line="259" w:lineRule="auto"/>
        <w:jc w:val="both"/>
        <w:rPr>
          <w:rFonts w:ascii="Calibri" w:eastAsia="Calibri" w:hAnsi="Calibri" w:cs="Times New Roman"/>
          <w:lang w:eastAsia="en-US"/>
        </w:rPr>
      </w:pPr>
      <w:r w:rsidRPr="001D4B36">
        <w:rPr>
          <w:rFonts w:ascii="Calibri" w:eastAsia="Calibri" w:hAnsi="Calibri" w:cs="Times New Roman"/>
          <w:lang w:eastAsia="en-US"/>
        </w:rPr>
        <w:t>In a research conducted by Varlet et al. on toxicity of e-liquids, 30 out of 42 wer</w:t>
      </w:r>
      <w:r w:rsidR="00B56F86">
        <w:rPr>
          <w:rFonts w:ascii="Calibri" w:eastAsia="Calibri" w:hAnsi="Calibri" w:cs="Times New Roman"/>
          <w:lang w:eastAsia="en-US"/>
        </w:rPr>
        <w:t>e found to contain ethanol</w:t>
      </w:r>
      <w:r w:rsidRPr="001D4B36">
        <w:rPr>
          <w:rFonts w:ascii="Calibri" w:eastAsia="Calibri" w:hAnsi="Calibri" w:cs="Times New Roman"/>
          <w:lang w:eastAsia="en-US"/>
        </w:rPr>
        <w:t>. A research was then conducted by Valentine et al. to see the effects of alcohol containing e-liquids on young adults. It w</w:t>
      </w:r>
      <w:r w:rsidR="003E711F">
        <w:rPr>
          <w:rFonts w:ascii="Calibri" w:eastAsia="Calibri" w:hAnsi="Calibri" w:cs="Times New Roman"/>
          <w:lang w:eastAsia="en-US"/>
        </w:rPr>
        <w:t>as found that trace (0.</w:t>
      </w:r>
      <w:r w:rsidRPr="001D4B36">
        <w:rPr>
          <w:rFonts w:ascii="Calibri" w:eastAsia="Calibri" w:hAnsi="Calibri" w:cs="Times New Roman"/>
          <w:lang w:eastAsia="en-US"/>
        </w:rPr>
        <w:t>4</w:t>
      </w:r>
      <w:r w:rsidR="00ED6949">
        <w:rPr>
          <w:rFonts w:ascii="Calibri" w:eastAsia="Calibri" w:hAnsi="Calibri" w:cs="Times New Roman"/>
          <w:lang w:eastAsia="en-US"/>
        </w:rPr>
        <w:t xml:space="preserve"> </w:t>
      </w:r>
      <w:r w:rsidRPr="001D4B36">
        <w:rPr>
          <w:rFonts w:ascii="Calibri" w:eastAsia="Calibri" w:hAnsi="Calibri" w:cs="Times New Roman"/>
          <w:lang w:eastAsia="en-US"/>
        </w:rPr>
        <w:t xml:space="preserve">%) alcohol did not influence the participants and neither it could be detected from blood </w:t>
      </w:r>
      <w:r w:rsidR="00B56F86">
        <w:rPr>
          <w:rFonts w:ascii="Calibri" w:eastAsia="Calibri" w:hAnsi="Calibri" w:cs="Times New Roman"/>
          <w:lang w:eastAsia="en-US"/>
        </w:rPr>
        <w:t>nor urine samples. Ethanol</w:t>
      </w:r>
      <w:r w:rsidRPr="001D4B36">
        <w:rPr>
          <w:rFonts w:ascii="Calibri" w:eastAsia="Calibri" w:hAnsi="Calibri" w:cs="Times New Roman"/>
          <w:lang w:eastAsia="en-US"/>
        </w:rPr>
        <w:t xml:space="preserve"> </w:t>
      </w:r>
      <w:r w:rsidRPr="009A3A56">
        <w:rPr>
          <w:rFonts w:ascii="Calibri" w:eastAsia="Calibri" w:hAnsi="Calibri" w:cs="Times New Roman"/>
          <w:lang w:eastAsia="en-US"/>
        </w:rPr>
        <w:t>metabolite</w:t>
      </w:r>
      <w:r w:rsidR="003B13C9" w:rsidRPr="009A3A56">
        <w:rPr>
          <w:rFonts w:ascii="Calibri" w:eastAsia="Calibri" w:hAnsi="Calibri" w:cs="Times New Roman"/>
          <w:lang w:eastAsia="en-US"/>
        </w:rPr>
        <w:t>s</w:t>
      </w:r>
      <w:r w:rsidR="009A3A56">
        <w:rPr>
          <w:rFonts w:ascii="Calibri" w:eastAsia="Calibri" w:hAnsi="Calibri" w:cs="Times New Roman"/>
          <w:lang w:eastAsia="en-US"/>
        </w:rPr>
        <w:t xml:space="preserve"> (acetaldehyde, acetic acid)</w:t>
      </w:r>
      <w:r w:rsidRPr="001D4B36">
        <w:rPr>
          <w:rFonts w:ascii="Calibri" w:eastAsia="Calibri" w:hAnsi="Calibri" w:cs="Times New Roman"/>
          <w:lang w:eastAsia="en-US"/>
        </w:rPr>
        <w:t xml:space="preserve"> could be detected from urine from three participants when they inhale</w:t>
      </w:r>
      <w:r w:rsidR="003B13C9">
        <w:rPr>
          <w:rFonts w:ascii="Calibri" w:eastAsia="Calibri" w:hAnsi="Calibri" w:cs="Times New Roman"/>
          <w:lang w:eastAsia="en-US"/>
        </w:rPr>
        <w:t>d e-liquids containing high (23.</w:t>
      </w:r>
      <w:r w:rsidRPr="001D4B36">
        <w:rPr>
          <w:rFonts w:ascii="Calibri" w:eastAsia="Calibri" w:hAnsi="Calibri" w:cs="Times New Roman"/>
          <w:lang w:eastAsia="en-US"/>
        </w:rPr>
        <w:t>5</w:t>
      </w:r>
      <w:r w:rsidR="00ED6949">
        <w:rPr>
          <w:rFonts w:ascii="Calibri" w:eastAsia="Calibri" w:hAnsi="Calibri" w:cs="Times New Roman"/>
          <w:lang w:eastAsia="en-US"/>
        </w:rPr>
        <w:t xml:space="preserve"> </w:t>
      </w:r>
      <w:r w:rsidRPr="001D4B36">
        <w:rPr>
          <w:rFonts w:ascii="Calibri" w:eastAsia="Calibri" w:hAnsi="Calibri" w:cs="Times New Roman"/>
          <w:lang w:eastAsia="en-US"/>
        </w:rPr>
        <w:t>%) amounts of alcohol. It was concluded that inhaling high amounts o</w:t>
      </w:r>
      <w:r w:rsidR="00B56F86">
        <w:rPr>
          <w:rFonts w:ascii="Calibri" w:eastAsia="Calibri" w:hAnsi="Calibri" w:cs="Times New Roman"/>
          <w:lang w:eastAsia="en-US"/>
        </w:rPr>
        <w:t>f ethanol</w:t>
      </w:r>
      <w:r w:rsidRPr="001D4B36">
        <w:rPr>
          <w:rFonts w:ascii="Calibri" w:eastAsia="Calibri" w:hAnsi="Calibri" w:cs="Times New Roman"/>
          <w:lang w:eastAsia="en-US"/>
        </w:rPr>
        <w:t xml:space="preserve"> can negatively impact psychomotor performance</w:t>
      </w:r>
      <w:r w:rsidR="003E711F">
        <w:rPr>
          <w:rStyle w:val="FootnoteReference"/>
          <w:rFonts w:ascii="Calibri" w:eastAsia="Calibri" w:hAnsi="Calibri" w:cs="Times New Roman"/>
          <w:lang w:eastAsia="en-US"/>
        </w:rPr>
        <w:footnoteReference w:id="2"/>
      </w:r>
      <w:sdt>
        <w:sdtPr>
          <w:rPr>
            <w:rFonts w:ascii="Calibri" w:eastAsia="Calibri" w:hAnsi="Calibri" w:cs="Times New Roman"/>
            <w:lang w:eastAsia="en-US"/>
          </w:rPr>
          <w:id w:val="-1651352787"/>
          <w:citation/>
        </w:sdtPr>
        <w:sdtEndPr/>
        <w:sdtContent>
          <w:r w:rsidR="006C5343">
            <w:rPr>
              <w:rFonts w:ascii="Calibri" w:eastAsia="Calibri" w:hAnsi="Calibri" w:cs="Times New Roman"/>
              <w:lang w:eastAsia="en-US"/>
            </w:rPr>
            <w:fldChar w:fldCharType="begin"/>
          </w:r>
          <w:r w:rsidR="006C5343">
            <w:rPr>
              <w:rFonts w:ascii="Calibri" w:eastAsia="Calibri" w:hAnsi="Calibri" w:cs="Times New Roman"/>
              <w:lang w:eastAsia="en-US"/>
            </w:rPr>
            <w:instrText xml:space="preserve"> CITATION Val15 \l 1033 </w:instrText>
          </w:r>
          <w:r w:rsidR="006C5343">
            <w:rPr>
              <w:rFonts w:ascii="Calibri" w:eastAsia="Calibri" w:hAnsi="Calibri" w:cs="Times New Roman"/>
              <w:lang w:eastAsia="en-US"/>
            </w:rPr>
            <w:fldChar w:fldCharType="separate"/>
          </w:r>
          <w:r w:rsidR="00F1475E">
            <w:rPr>
              <w:rFonts w:ascii="Calibri" w:eastAsia="Calibri" w:hAnsi="Calibri" w:cs="Times New Roman"/>
              <w:noProof/>
              <w:lang w:eastAsia="en-US"/>
            </w:rPr>
            <w:t xml:space="preserve"> </w:t>
          </w:r>
          <w:r w:rsidR="00F1475E" w:rsidRPr="00F1475E">
            <w:rPr>
              <w:rFonts w:ascii="Calibri" w:eastAsia="Calibri" w:hAnsi="Calibri" w:cs="Times New Roman"/>
              <w:noProof/>
              <w:lang w:eastAsia="en-US"/>
            </w:rPr>
            <w:t>(Valentine, et al., 2015)</w:t>
          </w:r>
          <w:r w:rsidR="006C5343">
            <w:rPr>
              <w:rFonts w:ascii="Calibri" w:eastAsia="Calibri" w:hAnsi="Calibri" w:cs="Times New Roman"/>
              <w:lang w:eastAsia="en-US"/>
            </w:rPr>
            <w:fldChar w:fldCharType="end"/>
          </w:r>
        </w:sdtContent>
      </w:sdt>
      <w:r w:rsidRPr="001D4B36">
        <w:rPr>
          <w:rFonts w:ascii="Calibri" w:eastAsia="Calibri" w:hAnsi="Calibri" w:cs="Times New Roman"/>
          <w:lang w:eastAsia="en-US"/>
        </w:rPr>
        <w:t>. The motivation for ma</w:t>
      </w:r>
      <w:r w:rsidR="00B56F86">
        <w:rPr>
          <w:rFonts w:ascii="Calibri" w:eastAsia="Calibri" w:hAnsi="Calibri" w:cs="Times New Roman"/>
          <w:lang w:eastAsia="en-US"/>
        </w:rPr>
        <w:t>nufacturers to add ethanol</w:t>
      </w:r>
      <w:r w:rsidRPr="001D4B36">
        <w:rPr>
          <w:rFonts w:ascii="Calibri" w:eastAsia="Calibri" w:hAnsi="Calibri" w:cs="Times New Roman"/>
          <w:lang w:eastAsia="en-US"/>
        </w:rPr>
        <w:t xml:space="preserve"> is due to its availability and utility as a solvent </w:t>
      </w:r>
      <w:sdt>
        <w:sdtPr>
          <w:rPr>
            <w:rFonts w:ascii="Calibri" w:eastAsia="Calibri" w:hAnsi="Calibri" w:cs="Times New Roman"/>
            <w:lang w:eastAsia="en-US"/>
          </w:rPr>
          <w:id w:val="422689135"/>
          <w:citation/>
        </w:sdtPr>
        <w:sdtEndPr/>
        <w:sdtContent>
          <w:r w:rsidR="006C5343">
            <w:rPr>
              <w:rFonts w:ascii="Calibri" w:eastAsia="Calibri" w:hAnsi="Calibri" w:cs="Times New Roman"/>
              <w:lang w:eastAsia="en-US"/>
            </w:rPr>
            <w:fldChar w:fldCharType="begin"/>
          </w:r>
          <w:r w:rsidR="006C5343">
            <w:rPr>
              <w:rFonts w:ascii="Calibri" w:eastAsia="Calibri" w:hAnsi="Calibri" w:cs="Times New Roman"/>
              <w:lang w:eastAsia="en-US"/>
            </w:rPr>
            <w:instrText xml:space="preserve"> CITATION Val15 \l 1033 </w:instrText>
          </w:r>
          <w:r w:rsidR="006C5343">
            <w:rPr>
              <w:rFonts w:ascii="Calibri" w:eastAsia="Calibri" w:hAnsi="Calibri" w:cs="Times New Roman"/>
              <w:lang w:eastAsia="en-US"/>
            </w:rPr>
            <w:fldChar w:fldCharType="separate"/>
          </w:r>
          <w:r w:rsidR="00F1475E" w:rsidRPr="00F1475E">
            <w:rPr>
              <w:rFonts w:ascii="Calibri" w:eastAsia="Calibri" w:hAnsi="Calibri" w:cs="Times New Roman"/>
              <w:noProof/>
              <w:lang w:eastAsia="en-US"/>
            </w:rPr>
            <w:t>(Valentine, et al., 2015)</w:t>
          </w:r>
          <w:r w:rsidR="006C5343">
            <w:rPr>
              <w:rFonts w:ascii="Calibri" w:eastAsia="Calibri" w:hAnsi="Calibri" w:cs="Times New Roman"/>
              <w:lang w:eastAsia="en-US"/>
            </w:rPr>
            <w:fldChar w:fldCharType="end"/>
          </w:r>
        </w:sdtContent>
      </w:sdt>
      <w:r w:rsidR="006C5343">
        <w:rPr>
          <w:rFonts w:ascii="Calibri" w:eastAsia="Calibri" w:hAnsi="Calibri" w:cs="Times New Roman"/>
          <w:lang w:eastAsia="en-US"/>
        </w:rPr>
        <w:t>.</w:t>
      </w:r>
    </w:p>
    <w:p w:rsidR="0038477B" w:rsidRPr="0038477B" w:rsidRDefault="001D4B36" w:rsidP="00D538BE">
      <w:pPr>
        <w:pStyle w:val="Heading2"/>
      </w:pPr>
      <w:bookmarkStart w:id="8" w:name="_Toc515617182"/>
      <w:r w:rsidRPr="001D4B36">
        <w:t>Cannabis Sativa L.</w:t>
      </w:r>
      <w:bookmarkEnd w:id="8"/>
      <w:r w:rsidR="00D538BE">
        <w:t xml:space="preserve"> </w:t>
      </w:r>
    </w:p>
    <w:p w:rsidR="001D4B36" w:rsidRPr="001D4B36" w:rsidRDefault="00D538BE" w:rsidP="00715BEF">
      <w:pPr>
        <w:jc w:val="both"/>
      </w:pPr>
      <w:r>
        <w:rPr>
          <w:noProof/>
        </w:rPr>
        <mc:AlternateContent>
          <mc:Choice Requires="wps">
            <w:drawing>
              <wp:anchor distT="0" distB="0" distL="114300" distR="114300" simplePos="0" relativeHeight="251667456" behindDoc="0" locked="0" layoutInCell="1" allowOverlap="1" wp14:anchorId="19A19BD9" wp14:editId="67E49192">
                <wp:simplePos x="0" y="0"/>
                <wp:positionH relativeFrom="margin">
                  <wp:align>right</wp:align>
                </wp:positionH>
                <wp:positionV relativeFrom="paragraph">
                  <wp:posOffset>1824990</wp:posOffset>
                </wp:positionV>
                <wp:extent cx="2208530" cy="635"/>
                <wp:effectExtent l="0" t="0" r="1270" b="0"/>
                <wp:wrapSquare wrapText="bothSides"/>
                <wp:docPr id="8" name="Text Box 8"/>
                <wp:cNvGraphicFramePr/>
                <a:graphic xmlns:a="http://schemas.openxmlformats.org/drawingml/2006/main">
                  <a:graphicData uri="http://schemas.microsoft.com/office/word/2010/wordprocessingShape">
                    <wps:wsp>
                      <wps:cNvSpPr txBox="1"/>
                      <wps:spPr>
                        <a:xfrm>
                          <a:off x="0" y="0"/>
                          <a:ext cx="2208530" cy="635"/>
                        </a:xfrm>
                        <a:prstGeom prst="rect">
                          <a:avLst/>
                        </a:prstGeom>
                        <a:solidFill>
                          <a:prstClr val="white"/>
                        </a:solidFill>
                        <a:ln>
                          <a:noFill/>
                        </a:ln>
                      </wps:spPr>
                      <wps:txbx>
                        <w:txbxContent>
                          <w:p w:rsidR="00E5102E" w:rsidRPr="0038477B" w:rsidRDefault="00E5102E" w:rsidP="0038477B">
                            <w:pPr>
                              <w:pStyle w:val="Caption"/>
                              <w:rPr>
                                <w:noProof/>
                              </w:rPr>
                            </w:pPr>
                            <w:r>
                              <w:t xml:space="preserve">Figure </w:t>
                            </w:r>
                            <w:r w:rsidR="002E375B">
                              <w:fldChar w:fldCharType="begin"/>
                            </w:r>
                            <w:r w:rsidR="002E375B">
                              <w:instrText xml:space="preserve"> SEQ Figure \* ARABIC </w:instrText>
                            </w:r>
                            <w:r w:rsidR="002E375B">
                              <w:fldChar w:fldCharType="separate"/>
                            </w:r>
                            <w:r>
                              <w:rPr>
                                <w:noProof/>
                              </w:rPr>
                              <w:t>2</w:t>
                            </w:r>
                            <w:r w:rsidR="002E375B">
                              <w:rPr>
                                <w:noProof/>
                              </w:rPr>
                              <w:fldChar w:fldCharType="end"/>
                            </w:r>
                            <w:r>
                              <w:t xml:space="preserve"> </w:t>
                            </w:r>
                            <w:r>
                              <w:rPr>
                                <w:rFonts w:cstheme="minorHAnsi"/>
                              </w:rPr>
                              <w:t>Δ</w:t>
                            </w:r>
                            <w:r>
                              <w:rPr>
                                <w:vertAlign w:val="superscript"/>
                              </w:rPr>
                              <w:t>9</w:t>
                            </w:r>
                            <w:r>
                              <w:t>-THC structure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9A19BD9" id="Text Box 8" o:spid="_x0000_s1028" type="#_x0000_t202" style="position:absolute;left:0;text-align:left;margin-left:122.7pt;margin-top:143.7pt;width:173.9pt;height:.05pt;z-index:251667456;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mb6LQIAAGQEAAAOAAAAZHJzL2Uyb0RvYy54bWysVMFu2zAMvQ/YPwi6L05StAiMOEWWIsOA&#10;oC3QDD0rshwbkESNUmJnXz9KttOt22nYRaZIitJ7j/TyvjOanRX6BmzBZ5MpZ8pKKBt7LPi3/fbT&#10;gjMfhC2FBqsKflGe368+fli2LldzqEGXChkVsT5vXcHrEFyeZV7Wygg/AacsBStAIwJt8ZiVKFqq&#10;bnQ2n07vshawdAhSeU/ehz7IV6l+VSkZnqrKq8B0weltIa2Y1kNcs9VS5EcUrm7k8AzxD68worF0&#10;6bXUgwiCnbD5o5RpJIKHKkwkmAyqqpEqYSA0s+k7NC+1cCphIXK8u9Lk/19Z+Xh+RtaUBSehrDAk&#10;0V51gX2Gji0iO63zOSW9OEoLHblJ5dHvyRlBdxWa+CU4jOLE8+XKbSwmyTmfTxe3NxSSFLu7uY01&#10;srejDn34osCwaBQcSbjEpzjvfOhTx5R4kwfdlNtG67iJgY1GdhYkcls3QQ3Ff8vSNuZaiKf6gtGT&#10;RXw9jmiF7tAlNuYjxgOUF4KO0LeOd3Lb0H074cOzQOoVgkT9H55oqTS0BYfB4qwG/PE3f8wnCSnK&#10;WUu9V3D//SRQcaa/WhI3Nupo4GgcRsOezAYI6Ywmy8lk0gEMejQrBPNKY7GOt1BIWEl3FTyM5ib0&#10;E0BjJdV6nZKoHZ0IO/viZCw98rrvXgW6QZVAYj7C2JUifydOn5vkcetTIKaTcpHXnsWBbmrlpP0w&#10;dnFWft2nrLefw+onAAAA//8DAFBLAwQUAAYACAAAACEAvXZB098AAAAIAQAADwAAAGRycy9kb3du&#10;cmV2LnhtbEyPwU7DMAyG70i8Q2QkLoilbGWbuqbTNMEBLhNlF25Z4zUdjVM16VbeHsMFjvZv/f6+&#10;fD26VpyxD40nBQ+TBARS5U1DtYL9+/P9EkSImoxuPaGCLwywLq6vcp0Zf6E3PJexFlxCIdMKbIxd&#10;JmWoLDodJr5D4uzoe6cjj30tTa8vXO5aOU2SuXS6If5gdYdbi9VnOTgFu/RjZ++G49PrJp31L/th&#10;Oz/VpVK3N+NmBSLiGP+O4Qef0aFgpoMfyATRKmCRqGC6XKQgOJ6lCzY5/G4eQRa5/C9QfAMAAP//&#10;AwBQSwECLQAUAAYACAAAACEAtoM4kv4AAADhAQAAEwAAAAAAAAAAAAAAAAAAAAAAW0NvbnRlbnRf&#10;VHlwZXNdLnhtbFBLAQItABQABgAIAAAAIQA4/SH/1gAAAJQBAAALAAAAAAAAAAAAAAAAAC8BAABf&#10;cmVscy8ucmVsc1BLAQItABQABgAIAAAAIQCkHmb6LQIAAGQEAAAOAAAAAAAAAAAAAAAAAC4CAABk&#10;cnMvZTJvRG9jLnhtbFBLAQItABQABgAIAAAAIQC9dkHT3wAAAAgBAAAPAAAAAAAAAAAAAAAAAIcE&#10;AABkcnMvZG93bnJldi54bWxQSwUGAAAAAAQABADzAAAAkwUAAAAA&#10;" stroked="f">
                <v:textbox style="mso-fit-shape-to-text:t" inset="0,0,0,0">
                  <w:txbxContent>
                    <w:p w:rsidR="00E5102E" w:rsidRPr="0038477B" w:rsidRDefault="00E5102E" w:rsidP="0038477B">
                      <w:pPr>
                        <w:pStyle w:val="Caption"/>
                        <w:rPr>
                          <w:noProof/>
                        </w:rPr>
                      </w:pPr>
                      <w:r>
                        <w:t xml:space="preserve">Figure </w:t>
                      </w:r>
                      <w:r w:rsidR="002E375B">
                        <w:fldChar w:fldCharType="begin"/>
                      </w:r>
                      <w:r w:rsidR="002E375B">
                        <w:instrText xml:space="preserve"> SEQ Figure \* ARABIC </w:instrText>
                      </w:r>
                      <w:r w:rsidR="002E375B">
                        <w:fldChar w:fldCharType="separate"/>
                      </w:r>
                      <w:r>
                        <w:rPr>
                          <w:noProof/>
                        </w:rPr>
                        <w:t>2</w:t>
                      </w:r>
                      <w:r w:rsidR="002E375B">
                        <w:rPr>
                          <w:noProof/>
                        </w:rPr>
                        <w:fldChar w:fldCharType="end"/>
                      </w:r>
                      <w:r>
                        <w:t xml:space="preserve"> </w:t>
                      </w:r>
                      <w:r>
                        <w:rPr>
                          <w:rFonts w:cstheme="minorHAnsi"/>
                        </w:rPr>
                        <w:t>Δ</w:t>
                      </w:r>
                      <w:r>
                        <w:rPr>
                          <w:vertAlign w:val="superscript"/>
                        </w:rPr>
                        <w:t>9</w:t>
                      </w:r>
                      <w:r>
                        <w:t>-THC structure</w:t>
                      </w:r>
                    </w:p>
                  </w:txbxContent>
                </v:textbox>
                <w10:wrap type="square" anchorx="margin"/>
              </v:shape>
            </w:pict>
          </mc:Fallback>
        </mc:AlternateContent>
      </w:r>
      <w:r w:rsidR="0038477B">
        <w:rPr>
          <w:noProof/>
        </w:rPr>
        <w:drawing>
          <wp:anchor distT="0" distB="0" distL="114300" distR="114300" simplePos="0" relativeHeight="251665408" behindDoc="0" locked="0" layoutInCell="1" allowOverlap="1">
            <wp:simplePos x="0" y="0"/>
            <wp:positionH relativeFrom="margin">
              <wp:align>right</wp:align>
            </wp:positionH>
            <wp:positionV relativeFrom="margin">
              <wp:posOffset>6506210</wp:posOffset>
            </wp:positionV>
            <wp:extent cx="2217600" cy="124560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HC.png"/>
                    <pic:cNvPicPr/>
                  </pic:nvPicPr>
                  <pic:blipFill>
                    <a:blip r:embed="rId13">
                      <a:extLst>
                        <a:ext uri="{28A0092B-C50C-407E-A947-70E740481C1C}">
                          <a14:useLocalDpi xmlns:a14="http://schemas.microsoft.com/office/drawing/2010/main" val="0"/>
                        </a:ext>
                      </a:extLst>
                    </a:blip>
                    <a:stretch>
                      <a:fillRect/>
                    </a:stretch>
                  </pic:blipFill>
                  <pic:spPr>
                    <a:xfrm>
                      <a:off x="0" y="0"/>
                      <a:ext cx="2217600" cy="1245600"/>
                    </a:xfrm>
                    <a:prstGeom prst="rect">
                      <a:avLst/>
                    </a:prstGeom>
                  </pic:spPr>
                </pic:pic>
              </a:graphicData>
            </a:graphic>
            <wp14:sizeRelH relativeFrom="margin">
              <wp14:pctWidth>0</wp14:pctWidth>
            </wp14:sizeRelH>
            <wp14:sizeRelV relativeFrom="margin">
              <wp14:pctHeight>0</wp14:pctHeight>
            </wp14:sizeRelV>
          </wp:anchor>
        </w:drawing>
      </w:r>
      <w:r w:rsidR="001D4B36" w:rsidRPr="001D4B36">
        <w:t xml:space="preserve">Cannabis Sativa L. is an annual plant belonging to the cannabaceae family. </w:t>
      </w:r>
      <w:r w:rsidR="001D4B36" w:rsidRPr="001D4B36">
        <w:rPr>
          <w:i/>
        </w:rPr>
        <w:t>C. Sativa</w:t>
      </w:r>
      <w:r w:rsidR="001D4B36" w:rsidRPr="001D4B36">
        <w:t xml:space="preserve"> L. has been used by humans for food, medicine, fiber and for psychoactive drug </w:t>
      </w:r>
      <w:r w:rsidR="003B13C9">
        <w:t xml:space="preserve">use </w:t>
      </w:r>
      <w:r w:rsidR="001D4B36" w:rsidRPr="001D4B36">
        <w:t xml:space="preserve">since ancient times </w:t>
      </w:r>
      <w:sdt>
        <w:sdtPr>
          <w:id w:val="-479615462"/>
          <w:citation/>
        </w:sdtPr>
        <w:sdtEndPr/>
        <w:sdtContent>
          <w:r w:rsidR="001D4B36" w:rsidRPr="001D4B36">
            <w:fldChar w:fldCharType="begin"/>
          </w:r>
          <w:r w:rsidR="001D4B36" w:rsidRPr="001D4B36">
            <w:instrText xml:space="preserve"> CITATION Zho18 \l 1033 </w:instrText>
          </w:r>
          <w:r w:rsidR="001D4B36" w:rsidRPr="001D4B36">
            <w:fldChar w:fldCharType="separate"/>
          </w:r>
          <w:r w:rsidR="00F1475E">
            <w:rPr>
              <w:noProof/>
            </w:rPr>
            <w:t>(Zhou, Wang, Lou, &amp; Fan, 2018)</w:t>
          </w:r>
          <w:r w:rsidR="001D4B36" w:rsidRPr="001D4B36">
            <w:fldChar w:fldCharType="end"/>
          </w:r>
        </w:sdtContent>
      </w:sdt>
      <w:r w:rsidR="001D4B36" w:rsidRPr="001D4B36">
        <w:t xml:space="preserve">. The non-drug varieties for industrial use are also collectively called hemp </w:t>
      </w:r>
      <w:sdt>
        <w:sdtPr>
          <w:id w:val="83492369"/>
          <w:citation/>
        </w:sdtPr>
        <w:sdtEndPr/>
        <w:sdtContent>
          <w:r w:rsidR="001D4B36" w:rsidRPr="001D4B36">
            <w:fldChar w:fldCharType="begin"/>
          </w:r>
          <w:r w:rsidR="001D4B36" w:rsidRPr="001D4B36">
            <w:instrText xml:space="preserve"> CITATION Mon14 \l 1033 </w:instrText>
          </w:r>
          <w:r w:rsidR="001D4B36" w:rsidRPr="001D4B36">
            <w:fldChar w:fldCharType="separate"/>
          </w:r>
          <w:r w:rsidR="00F1475E">
            <w:rPr>
              <w:noProof/>
            </w:rPr>
            <w:t>(Montserrat-de la Paz, Marín-Aguilar, García-Giménez, &amp; Fernández-Arche, 2014)</w:t>
          </w:r>
          <w:r w:rsidR="001D4B36" w:rsidRPr="001D4B36">
            <w:fldChar w:fldCharType="end"/>
          </w:r>
        </w:sdtContent>
      </w:sdt>
      <w:r w:rsidR="001D4B36" w:rsidRPr="001D4B36">
        <w:t xml:space="preserve">. </w:t>
      </w:r>
      <w:r w:rsidR="001D4B36" w:rsidRPr="001D4B36">
        <w:rPr>
          <w:i/>
        </w:rPr>
        <w:t>C. Sativa</w:t>
      </w:r>
      <w:r w:rsidR="001D4B36" w:rsidRPr="001D4B36">
        <w:t xml:space="preserve"> L. seed oil consists of </w:t>
      </w:r>
      <w:bookmarkStart w:id="9" w:name="_Hlk506375960"/>
      <w:r w:rsidR="001D4B36" w:rsidRPr="001D4B36">
        <w:t>polyunsaturated fatty acids, proteins, terpenes and cannabinoids</w:t>
      </w:r>
      <w:bookmarkEnd w:id="9"/>
      <w:sdt>
        <w:sdtPr>
          <w:id w:val="440958984"/>
          <w:citation/>
        </w:sdtPr>
        <w:sdtEndPr/>
        <w:sdtContent>
          <w:r w:rsidR="001D4B36" w:rsidRPr="001D4B36">
            <w:fldChar w:fldCharType="begin"/>
          </w:r>
          <w:r w:rsidR="001D4B36" w:rsidRPr="001D4B36">
            <w:instrText xml:space="preserve"> CITATION Cit18 \l 1033 </w:instrText>
          </w:r>
          <w:r w:rsidR="001D4B36" w:rsidRPr="001D4B36">
            <w:fldChar w:fldCharType="separate"/>
          </w:r>
          <w:r w:rsidR="00F1475E">
            <w:rPr>
              <w:noProof/>
            </w:rPr>
            <w:t xml:space="preserve"> (Citti , Pacchetti, Vandelli, Forni, &amp; Cannazza, 2018)</w:t>
          </w:r>
          <w:r w:rsidR="001D4B36" w:rsidRPr="001D4B36">
            <w:fldChar w:fldCharType="end"/>
          </w:r>
        </w:sdtContent>
      </w:sdt>
      <w:r w:rsidR="001D4B36" w:rsidRPr="001D4B36">
        <w:t xml:space="preserve">. Due to many years of humans changing the chemistry of cannabis plant it is impossible to know if the unaltered ancestral population of cannabis still exists. It is recommended according to </w:t>
      </w:r>
      <w:r w:rsidR="001D4B36" w:rsidRPr="001D4B36">
        <w:lastRenderedPageBreak/>
        <w:t xml:space="preserve">botanical classification that cannabis sativa is recognized as a single species within which sub-species contain high and low amounts of </w:t>
      </w:r>
      <w:r w:rsidR="00F33B85">
        <w:t>tetrahydrocannabinol (</w:t>
      </w:r>
      <w:r w:rsidR="001D4B36" w:rsidRPr="001D4B36">
        <w:t>THC</w:t>
      </w:r>
      <w:r w:rsidR="00F33B85">
        <w:t>)</w:t>
      </w:r>
      <w:r w:rsidR="001D4B36" w:rsidRPr="001D4B36">
        <w:t xml:space="preserve"> exist </w:t>
      </w:r>
      <w:sdt>
        <w:sdtPr>
          <w:id w:val="-1464499057"/>
          <w:citation/>
        </w:sdtPr>
        <w:sdtEndPr/>
        <w:sdtContent>
          <w:r w:rsidR="001D4B36" w:rsidRPr="001D4B36">
            <w:fldChar w:fldCharType="begin"/>
          </w:r>
          <w:r w:rsidR="001D4B36" w:rsidRPr="001D4B36">
            <w:instrText xml:space="preserve"> CITATION Cha17 \l 1033 </w:instrText>
          </w:r>
          <w:r w:rsidR="001D4B36" w:rsidRPr="001D4B36">
            <w:fldChar w:fldCharType="separate"/>
          </w:r>
          <w:r w:rsidR="00F1475E">
            <w:rPr>
              <w:noProof/>
            </w:rPr>
            <w:t>(Chandra, Lata, &amp; ElSohly, 2017)</w:t>
          </w:r>
          <w:r w:rsidR="001D4B36" w:rsidRPr="001D4B36">
            <w:fldChar w:fldCharType="end"/>
          </w:r>
        </w:sdtContent>
      </w:sdt>
      <w:r w:rsidR="001D4B36" w:rsidRPr="001D4B36">
        <w:t>. Currently over 700 cannabis genotypes are being bred and new genotypes are emerging</w:t>
      </w:r>
      <w:sdt>
        <w:sdtPr>
          <w:id w:val="-1138255414"/>
          <w:citation/>
        </w:sdtPr>
        <w:sdtEndPr/>
        <w:sdtContent>
          <w:r w:rsidR="001D4B36" w:rsidRPr="001D4B36">
            <w:fldChar w:fldCharType="begin"/>
          </w:r>
          <w:r w:rsidR="001D4B36" w:rsidRPr="001D4B36">
            <w:instrText xml:space="preserve"> CITATION Jan17 \l 1033 </w:instrText>
          </w:r>
          <w:r w:rsidR="001D4B36" w:rsidRPr="001D4B36">
            <w:fldChar w:fldCharType="separate"/>
          </w:r>
          <w:r w:rsidR="00F1475E">
            <w:rPr>
              <w:noProof/>
            </w:rPr>
            <w:t xml:space="preserve"> (Janatová, et al., 2017)</w:t>
          </w:r>
          <w:r w:rsidR="001D4B36" w:rsidRPr="001D4B36">
            <w:fldChar w:fldCharType="end"/>
          </w:r>
        </w:sdtContent>
      </w:sdt>
      <w:r w:rsidR="001D4B36" w:rsidRPr="001D4B36">
        <w:t xml:space="preserve">. </w:t>
      </w:r>
      <w:r w:rsidR="001D4B36" w:rsidRPr="001D4B36">
        <w:rPr>
          <w:i/>
        </w:rPr>
        <w:t>C. Sativa</w:t>
      </w:r>
      <w:r w:rsidR="001D4B36" w:rsidRPr="001D4B36">
        <w:t xml:space="preserve"> L. is has had controversy over its pharmacological classification, but “psychoactive” and “psychotropic” are both appropriate</w:t>
      </w:r>
      <w:sdt>
        <w:sdtPr>
          <w:id w:val="-1275556486"/>
          <w:citation/>
        </w:sdtPr>
        <w:sdtEndPr/>
        <w:sdtContent>
          <w:r w:rsidR="001D4B36" w:rsidRPr="001D4B36">
            <w:fldChar w:fldCharType="begin"/>
          </w:r>
          <w:r w:rsidR="001D4B36" w:rsidRPr="001D4B36">
            <w:instrText xml:space="preserve"> CITATION Cha17 \l 1033 </w:instrText>
          </w:r>
          <w:r w:rsidR="001D4B36" w:rsidRPr="001D4B36">
            <w:fldChar w:fldCharType="separate"/>
          </w:r>
          <w:r w:rsidR="00F1475E">
            <w:rPr>
              <w:noProof/>
            </w:rPr>
            <w:t xml:space="preserve"> (Chandra, Lata, &amp; ElSohly, 2017)</w:t>
          </w:r>
          <w:r w:rsidR="001D4B36" w:rsidRPr="001D4B36">
            <w:fldChar w:fldCharType="end"/>
          </w:r>
        </w:sdtContent>
      </w:sdt>
      <w:r w:rsidR="001D4B36" w:rsidRPr="001D4B36">
        <w:t xml:space="preserve">. The famous psychotropic compound </w:t>
      </w:r>
      <w:bookmarkStart w:id="10" w:name="_Hlk506055627"/>
      <w:r w:rsidR="001D4B36" w:rsidRPr="001D4B36">
        <w:t>∆</w:t>
      </w:r>
      <w:r w:rsidR="001D4B36" w:rsidRPr="001D4B36">
        <w:rPr>
          <w:vertAlign w:val="superscript"/>
        </w:rPr>
        <w:t>9</w:t>
      </w:r>
      <w:r w:rsidR="001D4B36" w:rsidRPr="001D4B36">
        <w:t>-THC</w:t>
      </w:r>
      <w:bookmarkEnd w:id="10"/>
      <w:r w:rsidR="001D4B36" w:rsidRPr="001D4B36">
        <w:t xml:space="preserve"> is the most abundant in the female plant of </w:t>
      </w:r>
      <w:r w:rsidR="001D4B36" w:rsidRPr="001D4B36">
        <w:rPr>
          <w:i/>
        </w:rPr>
        <w:t>C. Sativa</w:t>
      </w:r>
      <w:r w:rsidR="001D4B36" w:rsidRPr="001D4B36">
        <w:t xml:space="preserve"> L. </w:t>
      </w:r>
      <w:sdt>
        <w:sdtPr>
          <w:id w:val="-313108380"/>
          <w:citation/>
        </w:sdtPr>
        <w:sdtEndPr/>
        <w:sdtContent>
          <w:r w:rsidR="001D4B36" w:rsidRPr="001D4B36">
            <w:fldChar w:fldCharType="begin"/>
          </w:r>
          <w:r w:rsidR="001D4B36" w:rsidRPr="001D4B36">
            <w:instrText xml:space="preserve"> CITATION DiM04 \l 1035 </w:instrText>
          </w:r>
          <w:r w:rsidR="001D4B36" w:rsidRPr="001D4B36">
            <w:fldChar w:fldCharType="separate"/>
          </w:r>
          <w:r w:rsidR="00F1475E" w:rsidRPr="00F1475E">
            <w:rPr>
              <w:noProof/>
            </w:rPr>
            <w:t>(Di Marzo, 2004)</w:t>
          </w:r>
          <w:r w:rsidR="001D4B36" w:rsidRPr="001D4B36">
            <w:fldChar w:fldCharType="end"/>
          </w:r>
        </w:sdtContent>
      </w:sdt>
      <w:r w:rsidR="001D4B36" w:rsidRPr="001D4B36">
        <w:t xml:space="preserve">. Over 500 different compounds have been identified in </w:t>
      </w:r>
      <w:r w:rsidR="001D4B36" w:rsidRPr="001D4B36">
        <w:rPr>
          <w:i/>
        </w:rPr>
        <w:t>C. Sativa</w:t>
      </w:r>
      <w:r w:rsidR="001D4B36" w:rsidRPr="001D4B36">
        <w:t xml:space="preserve"> L., and that includes 113 phytocannabinoids and 120 terpenes</w:t>
      </w:r>
      <w:sdt>
        <w:sdtPr>
          <w:id w:val="-2010059070"/>
          <w:citation/>
        </w:sdtPr>
        <w:sdtEndPr/>
        <w:sdtContent>
          <w:r w:rsidR="001D4B36" w:rsidRPr="001D4B36">
            <w:fldChar w:fldCharType="begin"/>
          </w:r>
          <w:r w:rsidR="001D4B36" w:rsidRPr="001D4B36">
            <w:instrText xml:space="preserve"> CITATION Cal18 \l 1033 </w:instrText>
          </w:r>
          <w:r w:rsidR="001D4B36" w:rsidRPr="001D4B36">
            <w:fldChar w:fldCharType="separate"/>
          </w:r>
          <w:r w:rsidR="00F1475E">
            <w:rPr>
              <w:noProof/>
            </w:rPr>
            <w:t xml:space="preserve"> (Calvi, et al., 2018)</w:t>
          </w:r>
          <w:r w:rsidR="001D4B36" w:rsidRPr="001D4B36">
            <w:fldChar w:fldCharType="end"/>
          </w:r>
        </w:sdtContent>
      </w:sdt>
      <w:r w:rsidR="001D4B36" w:rsidRPr="001D4B36">
        <w:t xml:space="preserve">. The </w:t>
      </w:r>
      <w:r w:rsidR="001D4B36" w:rsidRPr="001D4B36">
        <w:rPr>
          <w:i/>
        </w:rPr>
        <w:t>C. Sativa</w:t>
      </w:r>
      <w:r w:rsidR="001D4B36" w:rsidRPr="001D4B36">
        <w:t xml:space="preserve"> L. plant consists of terpenes, flavonoids, stilbenoids, fatty acids, alkaloids, carbohydrates and polyphenols</w:t>
      </w:r>
      <w:sdt>
        <w:sdtPr>
          <w:id w:val="1269127435"/>
          <w:citation/>
        </w:sdtPr>
        <w:sdtEndPr/>
        <w:sdtContent>
          <w:r w:rsidR="001D4B36" w:rsidRPr="001D4B36">
            <w:fldChar w:fldCharType="begin"/>
          </w:r>
          <w:r w:rsidR="001D4B36" w:rsidRPr="001D4B36">
            <w:instrText xml:space="preserve"> CITATION Cal18 \l 1033 </w:instrText>
          </w:r>
          <w:r w:rsidR="001D4B36" w:rsidRPr="001D4B36">
            <w:fldChar w:fldCharType="separate"/>
          </w:r>
          <w:r w:rsidR="00F1475E">
            <w:rPr>
              <w:noProof/>
            </w:rPr>
            <w:t xml:space="preserve"> (Calvi, et al., 2018)</w:t>
          </w:r>
          <w:r w:rsidR="001D4B36" w:rsidRPr="001D4B36">
            <w:fldChar w:fldCharType="end"/>
          </w:r>
        </w:sdtContent>
      </w:sdt>
      <w:r w:rsidR="001D4B36" w:rsidRPr="001D4B36">
        <w:t xml:space="preserve">. </w:t>
      </w:r>
      <w:r w:rsidR="001D4B36" w:rsidRPr="001D4B36">
        <w:rPr>
          <w:i/>
        </w:rPr>
        <w:t>C. Sativa</w:t>
      </w:r>
      <w:r w:rsidR="001D4B36" w:rsidRPr="001D4B36">
        <w:t xml:space="preserve"> L. is used for medicinal purposes and in some countries, doctors can prescribe cannabis to be used by vaporization, in herbal tea or oils </w:t>
      </w:r>
      <w:sdt>
        <w:sdtPr>
          <w:id w:val="1784376435"/>
          <w:citation/>
        </w:sdtPr>
        <w:sdtEndPr/>
        <w:sdtContent>
          <w:r w:rsidR="001D4B36" w:rsidRPr="001D4B36">
            <w:fldChar w:fldCharType="begin"/>
          </w:r>
          <w:r w:rsidR="001D4B36" w:rsidRPr="001D4B36">
            <w:instrText xml:space="preserve"> CITATION Cal18 \l 1033 </w:instrText>
          </w:r>
          <w:r w:rsidR="001D4B36" w:rsidRPr="001D4B36">
            <w:fldChar w:fldCharType="separate"/>
          </w:r>
          <w:r w:rsidR="00F1475E">
            <w:rPr>
              <w:noProof/>
            </w:rPr>
            <w:t>(Calvi, et al., 2018)</w:t>
          </w:r>
          <w:r w:rsidR="001D4B36" w:rsidRPr="001D4B36">
            <w:fldChar w:fldCharType="end"/>
          </w:r>
        </w:sdtContent>
      </w:sdt>
      <w:r w:rsidR="001D4B36" w:rsidRPr="001D4B36">
        <w:t xml:space="preserve">. </w:t>
      </w:r>
    </w:p>
    <w:p w:rsidR="001D4B36" w:rsidRPr="001D4B36" w:rsidRDefault="001D4B36" w:rsidP="001D4B36">
      <w:pPr>
        <w:pStyle w:val="Heading2"/>
      </w:pPr>
      <w:bookmarkStart w:id="11" w:name="_Toc515617183"/>
      <w:r w:rsidRPr="001D4B36">
        <w:t>Cannabinoids</w:t>
      </w:r>
      <w:bookmarkEnd w:id="11"/>
    </w:p>
    <w:p w:rsidR="001D4B36" w:rsidRDefault="001D4B36" w:rsidP="00715BEF">
      <w:pPr>
        <w:jc w:val="both"/>
      </w:pPr>
      <w:r w:rsidRPr="001D4B36">
        <w:t xml:space="preserve">Cannabinoids are naturally occurring chemical compounds in the </w:t>
      </w:r>
      <w:r w:rsidRPr="001D4B36">
        <w:rPr>
          <w:i/>
        </w:rPr>
        <w:t>C. Sativa</w:t>
      </w:r>
      <w:r w:rsidRPr="001D4B36">
        <w:t xml:space="preserve"> L. The chemical composition of </w:t>
      </w:r>
      <w:r w:rsidRPr="001D4B36">
        <w:rPr>
          <w:i/>
        </w:rPr>
        <w:t>C. Sativa</w:t>
      </w:r>
      <w:r w:rsidRPr="001D4B36">
        <w:t xml:space="preserve"> L. depends on the type, age and part such as the root, fiber, flower, leaf and the different cannabinoid amounts depend on the growing conditions which includes humidity, temperature and soil nutrients </w:t>
      </w:r>
      <w:sdt>
        <w:sdtPr>
          <w:id w:val="-1783262051"/>
          <w:citation/>
        </w:sdtPr>
        <w:sdtEndPr/>
        <w:sdtContent>
          <w:r w:rsidRPr="001D4B36">
            <w:fldChar w:fldCharType="begin"/>
          </w:r>
          <w:r w:rsidRPr="001D4B36">
            <w:instrText xml:space="preserve"> CITATION DiM04 \l 1035 </w:instrText>
          </w:r>
          <w:r w:rsidRPr="001D4B36">
            <w:fldChar w:fldCharType="separate"/>
          </w:r>
          <w:r w:rsidR="00F1475E" w:rsidRPr="00F1475E">
            <w:rPr>
              <w:noProof/>
            </w:rPr>
            <w:t>(Di Marzo, 2004)</w:t>
          </w:r>
          <w:r w:rsidRPr="001D4B36">
            <w:fldChar w:fldCharType="end"/>
          </w:r>
        </w:sdtContent>
      </w:sdt>
      <w:r w:rsidRPr="001D4B36">
        <w:t>. The most relevant cannabinoids are ∆</w:t>
      </w:r>
      <w:r w:rsidRPr="001D4B36">
        <w:rPr>
          <w:vertAlign w:val="superscript"/>
        </w:rPr>
        <w:t>9</w:t>
      </w:r>
      <w:r w:rsidRPr="001D4B36">
        <w:t xml:space="preserve">-THC, CBD, </w:t>
      </w:r>
      <w:r w:rsidR="00F33B85">
        <w:t>cannabigerol (</w:t>
      </w:r>
      <w:r w:rsidRPr="001D4B36">
        <w:t>CBG</w:t>
      </w:r>
      <w:r w:rsidR="00F33B85">
        <w:t>)</w:t>
      </w:r>
      <w:r w:rsidRPr="001D4B36">
        <w:t xml:space="preserve">, </w:t>
      </w:r>
      <w:r w:rsidR="00F33B85">
        <w:t>cannabichromene (</w:t>
      </w:r>
      <w:r w:rsidRPr="001D4B36">
        <w:t>CBC</w:t>
      </w:r>
      <w:r w:rsidR="00F33B85">
        <w:t>)</w:t>
      </w:r>
      <w:r w:rsidRPr="001D4B36">
        <w:t xml:space="preserve"> and</w:t>
      </w:r>
      <w:r w:rsidR="00F33B85">
        <w:t xml:space="preserve"> cannabinol</w:t>
      </w:r>
      <w:r w:rsidRPr="001D4B36">
        <w:t xml:space="preserve"> </w:t>
      </w:r>
      <w:r w:rsidR="00F33B85">
        <w:t>(</w:t>
      </w:r>
      <w:r w:rsidRPr="001D4B36">
        <w:t>CBN</w:t>
      </w:r>
      <w:r w:rsidR="00233D7C">
        <w:t>)</w:t>
      </w:r>
      <w:sdt>
        <w:sdtPr>
          <w:id w:val="2040862400"/>
          <w:citation/>
        </w:sdtPr>
        <w:sdtEndPr/>
        <w:sdtContent>
          <w:r w:rsidR="00907834">
            <w:fldChar w:fldCharType="begin"/>
          </w:r>
          <w:r w:rsidR="00907834">
            <w:instrText xml:space="preserve"> CITATION Cal18 \l 1033 </w:instrText>
          </w:r>
          <w:r w:rsidR="00907834">
            <w:fldChar w:fldCharType="separate"/>
          </w:r>
          <w:r w:rsidR="00F1475E">
            <w:rPr>
              <w:noProof/>
            </w:rPr>
            <w:t xml:space="preserve"> (Calvi, et al., 2018)</w:t>
          </w:r>
          <w:r w:rsidR="00907834">
            <w:fldChar w:fldCharType="end"/>
          </w:r>
        </w:sdtContent>
      </w:sdt>
      <w:r w:rsidRPr="001D4B36">
        <w:t>. ∆</w:t>
      </w:r>
      <w:r w:rsidRPr="001D4B36">
        <w:rPr>
          <w:vertAlign w:val="superscript"/>
        </w:rPr>
        <w:t>9</w:t>
      </w:r>
      <w:r w:rsidRPr="001D4B36">
        <w:t>-THC is a viscous and volatile oil which is soluble in lipids</w:t>
      </w:r>
      <w:sdt>
        <w:sdtPr>
          <w:id w:val="1108090560"/>
          <w:citation/>
        </w:sdtPr>
        <w:sdtEndPr/>
        <w:sdtContent>
          <w:r w:rsidRPr="001D4B36">
            <w:fldChar w:fldCharType="begin"/>
          </w:r>
          <w:r w:rsidRPr="001D4B36">
            <w:instrText xml:space="preserve"> CITATION Sha12 \l 1033 </w:instrText>
          </w:r>
          <w:r w:rsidRPr="001D4B36">
            <w:fldChar w:fldCharType="separate"/>
          </w:r>
          <w:r w:rsidR="00F1475E">
            <w:rPr>
              <w:noProof/>
            </w:rPr>
            <w:t xml:space="preserve"> (Sharma, Murthy, &amp; Bharath, 2012)</w:t>
          </w:r>
          <w:r w:rsidRPr="001D4B36">
            <w:fldChar w:fldCharType="end"/>
          </w:r>
        </w:sdtContent>
      </w:sdt>
      <w:r w:rsidRPr="001D4B36">
        <w:t>. ∆</w:t>
      </w:r>
      <w:r w:rsidRPr="001D4B36">
        <w:rPr>
          <w:vertAlign w:val="superscript"/>
        </w:rPr>
        <w:t>9</w:t>
      </w:r>
      <w:r w:rsidR="003B13C9">
        <w:t>-THC, which is a tri</w:t>
      </w:r>
      <w:r w:rsidRPr="001D4B36">
        <w:t>cyclic 21 carbon structure, binds cannabinoid receptors CB</w:t>
      </w:r>
      <w:r w:rsidRPr="001D4B36">
        <w:rPr>
          <w:vertAlign w:val="subscript"/>
        </w:rPr>
        <w:t>1</w:t>
      </w:r>
      <w:r w:rsidRPr="001D4B36">
        <w:t xml:space="preserve"> and CB</w:t>
      </w:r>
      <w:r w:rsidRPr="001D4B36">
        <w:rPr>
          <w:vertAlign w:val="subscript"/>
        </w:rPr>
        <w:t>2</w:t>
      </w:r>
      <w:r w:rsidRPr="001D4B36">
        <w:t xml:space="preserve"> in the body which are activated by endogenous compounds (endocannabinoids) and ar</w:t>
      </w:r>
      <w:r w:rsidR="003B13C9">
        <w:t>e involved in variety of physio-</w:t>
      </w:r>
      <w:r w:rsidRPr="001D4B36">
        <w:t>pathological processes. For example, modulation of neurotransmitter release, regulation of pain receptors and of cardiovascular, gastrointestinal and liver functions</w:t>
      </w:r>
      <w:sdt>
        <w:sdtPr>
          <w:id w:val="1355072884"/>
          <w:citation/>
        </w:sdtPr>
        <w:sdtEndPr/>
        <w:sdtContent>
          <w:r w:rsidRPr="001D4B36">
            <w:fldChar w:fldCharType="begin"/>
          </w:r>
          <w:r w:rsidRPr="001D4B36">
            <w:instrText xml:space="preserve"> CITATION Izz09 \l 1033 </w:instrText>
          </w:r>
          <w:r w:rsidRPr="001D4B36">
            <w:fldChar w:fldCharType="separate"/>
          </w:r>
          <w:r w:rsidR="00F1475E">
            <w:rPr>
              <w:noProof/>
            </w:rPr>
            <w:t xml:space="preserve"> (Izzo, Borrelli, Capasso, Di Marzo, &amp; Mechoulam, 2009)</w:t>
          </w:r>
          <w:r w:rsidRPr="001D4B36">
            <w:fldChar w:fldCharType="end"/>
          </w:r>
        </w:sdtContent>
      </w:sdt>
      <w:r w:rsidRPr="001D4B36">
        <w:t>.</w:t>
      </w:r>
    </w:p>
    <w:p w:rsidR="00D538BE" w:rsidRDefault="0038477B" w:rsidP="00D538BE">
      <w:pPr>
        <w:keepNext/>
        <w:jc w:val="both"/>
      </w:pPr>
      <w:r>
        <w:rPr>
          <w:noProof/>
        </w:rPr>
        <w:drawing>
          <wp:inline distT="0" distB="0" distL="0" distR="0">
            <wp:extent cx="2206800" cy="1126800"/>
            <wp:effectExtent l="0" t="0" r="317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BD.png"/>
                    <pic:cNvPicPr/>
                  </pic:nvPicPr>
                  <pic:blipFill>
                    <a:blip r:embed="rId14">
                      <a:extLst>
                        <a:ext uri="{28A0092B-C50C-407E-A947-70E740481C1C}">
                          <a14:useLocalDpi xmlns:a14="http://schemas.microsoft.com/office/drawing/2010/main" val="0"/>
                        </a:ext>
                      </a:extLst>
                    </a:blip>
                    <a:stretch>
                      <a:fillRect/>
                    </a:stretch>
                  </pic:blipFill>
                  <pic:spPr>
                    <a:xfrm>
                      <a:off x="0" y="0"/>
                      <a:ext cx="2206800" cy="1126800"/>
                    </a:xfrm>
                    <a:prstGeom prst="rect">
                      <a:avLst/>
                    </a:prstGeom>
                  </pic:spPr>
                </pic:pic>
              </a:graphicData>
            </a:graphic>
          </wp:inline>
        </w:drawing>
      </w:r>
      <w:r w:rsidR="00D538BE">
        <w:rPr>
          <w:noProof/>
        </w:rPr>
        <w:t xml:space="preserve">              </w:t>
      </w:r>
      <w:r w:rsidR="00D538BE">
        <w:rPr>
          <w:noProof/>
        </w:rPr>
        <w:drawing>
          <wp:inline distT="0" distB="0" distL="0" distR="0" wp14:anchorId="5D872DB3" wp14:editId="25F10B1D">
            <wp:extent cx="2217600" cy="12456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BN.png"/>
                    <pic:cNvPicPr/>
                  </pic:nvPicPr>
                  <pic:blipFill>
                    <a:blip r:embed="rId15">
                      <a:extLst>
                        <a:ext uri="{28A0092B-C50C-407E-A947-70E740481C1C}">
                          <a14:useLocalDpi xmlns:a14="http://schemas.microsoft.com/office/drawing/2010/main" val="0"/>
                        </a:ext>
                      </a:extLst>
                    </a:blip>
                    <a:stretch>
                      <a:fillRect/>
                    </a:stretch>
                  </pic:blipFill>
                  <pic:spPr>
                    <a:xfrm>
                      <a:off x="0" y="0"/>
                      <a:ext cx="2217600" cy="1245600"/>
                    </a:xfrm>
                    <a:prstGeom prst="rect">
                      <a:avLst/>
                    </a:prstGeom>
                  </pic:spPr>
                </pic:pic>
              </a:graphicData>
            </a:graphic>
          </wp:inline>
        </w:drawing>
      </w:r>
    </w:p>
    <w:p w:rsidR="0038477B" w:rsidRPr="001D4B36" w:rsidRDefault="00D538BE" w:rsidP="00D538BE">
      <w:pPr>
        <w:pStyle w:val="Caption"/>
        <w:jc w:val="both"/>
      </w:pPr>
      <w:r>
        <w:t xml:space="preserve">Figure </w:t>
      </w:r>
      <w:r w:rsidR="002E375B">
        <w:fldChar w:fldCharType="begin"/>
      </w:r>
      <w:r w:rsidR="002E375B">
        <w:instrText xml:space="preserve"> SEQ Figure \* ARABIC </w:instrText>
      </w:r>
      <w:r w:rsidR="002E375B">
        <w:fldChar w:fldCharType="separate"/>
      </w:r>
      <w:r>
        <w:rPr>
          <w:noProof/>
        </w:rPr>
        <w:t>3</w:t>
      </w:r>
      <w:r w:rsidR="002E375B">
        <w:rPr>
          <w:noProof/>
        </w:rPr>
        <w:fldChar w:fldCharType="end"/>
      </w:r>
      <w:r>
        <w:t xml:space="preserve"> CBD structure</w:t>
      </w:r>
      <w:r>
        <w:tab/>
      </w:r>
      <w:r>
        <w:tab/>
      </w:r>
      <w:r>
        <w:tab/>
      </w:r>
      <w:r>
        <w:tab/>
      </w:r>
      <w:r>
        <w:tab/>
        <w:t xml:space="preserve">Figure </w:t>
      </w:r>
      <w:r w:rsidR="002E375B">
        <w:fldChar w:fldCharType="begin"/>
      </w:r>
      <w:r w:rsidR="002E375B">
        <w:instrText xml:space="preserve"> SEQ Figure \* ARABIC </w:instrText>
      </w:r>
      <w:r w:rsidR="002E375B">
        <w:fldChar w:fldCharType="separate"/>
      </w:r>
      <w:r>
        <w:rPr>
          <w:noProof/>
        </w:rPr>
        <w:t>4</w:t>
      </w:r>
      <w:r w:rsidR="002E375B">
        <w:rPr>
          <w:noProof/>
        </w:rPr>
        <w:fldChar w:fldCharType="end"/>
      </w:r>
      <w:r>
        <w:t xml:space="preserve"> CBN structure</w:t>
      </w:r>
    </w:p>
    <w:p w:rsidR="001D4B36" w:rsidRDefault="001D4B36" w:rsidP="00715BEF">
      <w:pPr>
        <w:jc w:val="both"/>
      </w:pPr>
      <w:r w:rsidRPr="001D4B36">
        <w:t xml:space="preserve">CDB does not seem to bind to </w:t>
      </w:r>
      <w:r w:rsidR="003B13C9">
        <w:t xml:space="preserve">the </w:t>
      </w:r>
      <w:r w:rsidRPr="001D4B36">
        <w:t>CB</w:t>
      </w:r>
      <w:r w:rsidRPr="001D4B36">
        <w:rPr>
          <w:vertAlign w:val="subscript"/>
        </w:rPr>
        <w:t>1</w:t>
      </w:r>
      <w:r w:rsidRPr="001D4B36">
        <w:t xml:space="preserve"> receptor at all and a low affinity to bind on </w:t>
      </w:r>
      <w:r w:rsidR="003B13C9">
        <w:t xml:space="preserve">the </w:t>
      </w:r>
      <w:r w:rsidRPr="001D4B36">
        <w:t>CB</w:t>
      </w:r>
      <w:r w:rsidRPr="001D4B36">
        <w:rPr>
          <w:vertAlign w:val="subscript"/>
        </w:rPr>
        <w:t>2</w:t>
      </w:r>
      <w:r w:rsidRPr="001D4B36">
        <w:t xml:space="preserve"> receptors. Across a range of tests in humans and animals it has been show that CBD works in a different way than THC </w:t>
      </w:r>
      <w:sdt>
        <w:sdtPr>
          <w:id w:val="-787510927"/>
          <w:citation/>
        </w:sdtPr>
        <w:sdtEndPr/>
        <w:sdtContent>
          <w:r w:rsidRPr="001D4B36">
            <w:fldChar w:fldCharType="begin"/>
          </w:r>
          <w:r w:rsidRPr="001D4B36">
            <w:instrText xml:space="preserve"> CITATION WHO17 \l 1035 </w:instrText>
          </w:r>
          <w:r w:rsidRPr="001D4B36">
            <w:fldChar w:fldCharType="separate"/>
          </w:r>
          <w:r w:rsidR="00F1475E" w:rsidRPr="00F1475E">
            <w:rPr>
              <w:noProof/>
            </w:rPr>
            <w:t>(WHO, 2017)</w:t>
          </w:r>
          <w:r w:rsidRPr="001D4B36">
            <w:fldChar w:fldCharType="end"/>
          </w:r>
        </w:sdtContent>
      </w:sdt>
      <w:r w:rsidRPr="001D4B36">
        <w:t>. CDB has not shown any potential for dependency and is low toxic</w:t>
      </w:r>
      <w:sdt>
        <w:sdtPr>
          <w:id w:val="1440031103"/>
          <w:citation/>
        </w:sdtPr>
        <w:sdtEndPr/>
        <w:sdtContent>
          <w:r w:rsidRPr="001D4B36">
            <w:fldChar w:fldCharType="begin"/>
          </w:r>
          <w:r w:rsidRPr="001D4B36">
            <w:instrText xml:space="preserve"> CITATION WHO17 \l 1033 </w:instrText>
          </w:r>
          <w:r w:rsidRPr="001D4B36">
            <w:fldChar w:fldCharType="separate"/>
          </w:r>
          <w:r w:rsidR="00F1475E">
            <w:rPr>
              <w:noProof/>
            </w:rPr>
            <w:t xml:space="preserve"> (WHO, 2017)</w:t>
          </w:r>
          <w:r w:rsidRPr="001D4B36">
            <w:fldChar w:fldCharType="end"/>
          </w:r>
        </w:sdtContent>
      </w:sdt>
      <w:r w:rsidRPr="001D4B36">
        <w:t>. Under experimental conditions CBD can be converted to THC. This can be done by heating the CBD in an acidic solution, however the yield and purity of the THC vary</w:t>
      </w:r>
      <w:sdt>
        <w:sdtPr>
          <w:id w:val="1048104418"/>
          <w:citation/>
        </w:sdtPr>
        <w:sdtEndPr/>
        <w:sdtContent>
          <w:r w:rsidRPr="001D4B36">
            <w:fldChar w:fldCharType="begin"/>
          </w:r>
          <w:r w:rsidRPr="001D4B36">
            <w:instrText xml:space="preserve"> CITATION WHO17 \l 1033 </w:instrText>
          </w:r>
          <w:r w:rsidRPr="001D4B36">
            <w:fldChar w:fldCharType="separate"/>
          </w:r>
          <w:r w:rsidR="00F1475E">
            <w:rPr>
              <w:noProof/>
            </w:rPr>
            <w:t xml:space="preserve"> (WHO, 2017)</w:t>
          </w:r>
          <w:r w:rsidRPr="001D4B36">
            <w:fldChar w:fldCharType="end"/>
          </w:r>
        </w:sdtContent>
      </w:sdt>
      <w:r w:rsidRPr="001D4B36">
        <w:t>. This is probably one of the contributing reasons for why the use and sell of CBD has controversy with authorities. In the plant cannabidiolic acid (CBDA) is converted to ∆</w:t>
      </w:r>
      <w:r w:rsidRPr="001D4B36">
        <w:rPr>
          <w:vertAlign w:val="superscript"/>
        </w:rPr>
        <w:t>9</w:t>
      </w:r>
      <w:r w:rsidRPr="001D4B36">
        <w:t xml:space="preserve">-THC, CBD and CBN trough phytochemical processes </w:t>
      </w:r>
      <w:sdt>
        <w:sdtPr>
          <w:id w:val="2787505"/>
          <w:citation/>
        </w:sdtPr>
        <w:sdtEndPr/>
        <w:sdtContent>
          <w:r w:rsidRPr="001D4B36">
            <w:fldChar w:fldCharType="begin"/>
          </w:r>
          <w:r w:rsidRPr="001D4B36">
            <w:instrText xml:space="preserve"> CITATION DiM04 \l 1035 </w:instrText>
          </w:r>
          <w:r w:rsidRPr="001D4B36">
            <w:fldChar w:fldCharType="separate"/>
          </w:r>
          <w:r w:rsidR="00F1475E" w:rsidRPr="00F1475E">
            <w:rPr>
              <w:noProof/>
            </w:rPr>
            <w:t>(Di Marzo, 2004)</w:t>
          </w:r>
          <w:r w:rsidRPr="001D4B36">
            <w:fldChar w:fldCharType="end"/>
          </w:r>
        </w:sdtContent>
      </w:sdt>
      <w:r w:rsidRPr="001D4B36">
        <w:t>. ∆</w:t>
      </w:r>
      <w:r w:rsidRPr="001D4B36">
        <w:rPr>
          <w:vertAlign w:val="superscript"/>
        </w:rPr>
        <w:t>9</w:t>
      </w:r>
      <w:r w:rsidR="000E3381">
        <w:t>-THC is an u</w:t>
      </w:r>
      <w:r w:rsidRPr="001D4B36">
        <w:t xml:space="preserve">nstable substance and therefore laboratories monitoring THC content often use CBD and/or CBN as reference standard </w:t>
      </w:r>
      <w:sdt>
        <w:sdtPr>
          <w:id w:val="1405954919"/>
          <w:citation/>
        </w:sdtPr>
        <w:sdtEndPr/>
        <w:sdtContent>
          <w:r w:rsidRPr="001D4B36">
            <w:fldChar w:fldCharType="begin"/>
          </w:r>
          <w:r w:rsidRPr="001D4B36">
            <w:instrText xml:space="preserve"> CITATION Suu10 \l 1033 </w:instrText>
          </w:r>
          <w:r w:rsidRPr="001D4B36">
            <w:fldChar w:fldCharType="separate"/>
          </w:r>
          <w:r w:rsidR="00F1475E">
            <w:rPr>
              <w:noProof/>
            </w:rPr>
            <w:t>(Suurkuusk, 2010)</w:t>
          </w:r>
          <w:r w:rsidRPr="001D4B36">
            <w:fldChar w:fldCharType="end"/>
          </w:r>
        </w:sdtContent>
      </w:sdt>
      <w:r w:rsidRPr="001D4B36">
        <w:t>. When consumption of THC is to be determined the metabolites 11-hydroxy-Δ⁹-/11</w:t>
      </w:r>
      <w:r w:rsidRPr="001D4B36">
        <w:noBreakHyphen/>
        <w:t>nor</w:t>
      </w:r>
      <w:r w:rsidRPr="001D4B36">
        <w:noBreakHyphen/>
        <w:t>9</w:t>
      </w:r>
      <w:r w:rsidRPr="001D4B36">
        <w:noBreakHyphen/>
        <w:t>carboxyΔ⁹</w:t>
      </w:r>
      <w:r w:rsidRPr="001D4B36">
        <w:noBreakHyphen/>
        <w:t>tetrahydrocann</w:t>
      </w:r>
      <w:r w:rsidR="000E3381">
        <w:t xml:space="preserve">abinol are quantified from biological samples. </w:t>
      </w:r>
    </w:p>
    <w:p w:rsidR="00D538BE" w:rsidRDefault="00D538BE" w:rsidP="00715BEF">
      <w:pPr>
        <w:jc w:val="both"/>
      </w:pPr>
      <w:r>
        <w:rPr>
          <w:noProof/>
        </w:rPr>
        <w:lastRenderedPageBreak/>
        <w:drawing>
          <wp:inline distT="0" distB="0" distL="0" distR="0">
            <wp:extent cx="2881399" cy="8953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BC.png"/>
                    <pic:cNvPicPr/>
                  </pic:nvPicPr>
                  <pic:blipFill>
                    <a:blip r:embed="rId16">
                      <a:extLst>
                        <a:ext uri="{28A0092B-C50C-407E-A947-70E740481C1C}">
                          <a14:useLocalDpi xmlns:a14="http://schemas.microsoft.com/office/drawing/2010/main" val="0"/>
                        </a:ext>
                      </a:extLst>
                    </a:blip>
                    <a:stretch>
                      <a:fillRect/>
                    </a:stretch>
                  </pic:blipFill>
                  <pic:spPr>
                    <a:xfrm>
                      <a:off x="0" y="0"/>
                      <a:ext cx="2900692" cy="901345"/>
                    </a:xfrm>
                    <a:prstGeom prst="rect">
                      <a:avLst/>
                    </a:prstGeom>
                  </pic:spPr>
                </pic:pic>
              </a:graphicData>
            </a:graphic>
          </wp:inline>
        </w:drawing>
      </w:r>
      <w:r>
        <w:rPr>
          <w:noProof/>
        </w:rPr>
        <w:drawing>
          <wp:inline distT="0" distB="0" distL="0" distR="0" wp14:anchorId="14287A5B" wp14:editId="6FEABB0A">
            <wp:extent cx="2831203" cy="1076325"/>
            <wp:effectExtent l="0" t="0" r="762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BG.png"/>
                    <pic:cNvPicPr/>
                  </pic:nvPicPr>
                  <pic:blipFill>
                    <a:blip r:embed="rId17">
                      <a:extLst>
                        <a:ext uri="{28A0092B-C50C-407E-A947-70E740481C1C}">
                          <a14:useLocalDpi xmlns:a14="http://schemas.microsoft.com/office/drawing/2010/main" val="0"/>
                        </a:ext>
                      </a:extLst>
                    </a:blip>
                    <a:stretch>
                      <a:fillRect/>
                    </a:stretch>
                  </pic:blipFill>
                  <pic:spPr>
                    <a:xfrm>
                      <a:off x="0" y="0"/>
                      <a:ext cx="2864770" cy="1089086"/>
                    </a:xfrm>
                    <a:prstGeom prst="rect">
                      <a:avLst/>
                    </a:prstGeom>
                  </pic:spPr>
                </pic:pic>
              </a:graphicData>
            </a:graphic>
          </wp:inline>
        </w:drawing>
      </w:r>
    </w:p>
    <w:p w:rsidR="00D538BE" w:rsidRDefault="00D538BE" w:rsidP="00D538BE">
      <w:pPr>
        <w:pStyle w:val="Caption"/>
      </w:pPr>
      <w:r>
        <w:t xml:space="preserve">Figure </w:t>
      </w:r>
      <w:r w:rsidR="002E375B">
        <w:fldChar w:fldCharType="begin"/>
      </w:r>
      <w:r w:rsidR="002E375B">
        <w:instrText xml:space="preserve"> SEQ Figure \* ARABIC </w:instrText>
      </w:r>
      <w:r w:rsidR="002E375B">
        <w:fldChar w:fldCharType="separate"/>
      </w:r>
      <w:r>
        <w:rPr>
          <w:noProof/>
        </w:rPr>
        <w:t>5</w:t>
      </w:r>
      <w:r w:rsidR="002E375B">
        <w:rPr>
          <w:noProof/>
        </w:rPr>
        <w:fldChar w:fldCharType="end"/>
      </w:r>
      <w:r>
        <w:t xml:space="preserve"> CBC structure</w:t>
      </w:r>
      <w:r>
        <w:tab/>
      </w:r>
      <w:r>
        <w:tab/>
      </w:r>
      <w:r>
        <w:tab/>
      </w:r>
      <w:r>
        <w:tab/>
      </w:r>
      <w:r>
        <w:tab/>
      </w:r>
      <w:r w:rsidRPr="00D538BE">
        <w:t xml:space="preserve"> </w:t>
      </w:r>
      <w:r>
        <w:t xml:space="preserve">Figure </w:t>
      </w:r>
      <w:r w:rsidR="002E375B">
        <w:fldChar w:fldCharType="begin"/>
      </w:r>
      <w:r w:rsidR="002E375B">
        <w:instrText xml:space="preserve"> SEQ Figure \* ARABIC </w:instrText>
      </w:r>
      <w:r w:rsidR="002E375B">
        <w:fldChar w:fldCharType="separate"/>
      </w:r>
      <w:r>
        <w:rPr>
          <w:noProof/>
        </w:rPr>
        <w:t>6</w:t>
      </w:r>
      <w:r w:rsidR="002E375B">
        <w:rPr>
          <w:noProof/>
        </w:rPr>
        <w:fldChar w:fldCharType="end"/>
      </w:r>
      <w:r>
        <w:t xml:space="preserve"> CBG structure</w:t>
      </w:r>
    </w:p>
    <w:p w:rsidR="00591807" w:rsidRPr="001D4B36" w:rsidRDefault="000573D5" w:rsidP="000573D5">
      <w:pPr>
        <w:pStyle w:val="Heading2"/>
      </w:pPr>
      <w:bookmarkStart w:id="12" w:name="_Toc515617184"/>
      <w:r>
        <w:t>Cannabinoids in the</w:t>
      </w:r>
      <w:r w:rsidR="00591807">
        <w:t xml:space="preserve"> society</w:t>
      </w:r>
      <w:bookmarkEnd w:id="12"/>
      <w:r w:rsidR="00591807">
        <w:t xml:space="preserve"> </w:t>
      </w:r>
    </w:p>
    <w:p w:rsidR="001D4B36" w:rsidRPr="001D4B36" w:rsidRDefault="001D4B36" w:rsidP="00715BEF">
      <w:pPr>
        <w:jc w:val="both"/>
      </w:pPr>
      <w:r w:rsidRPr="00E21188">
        <w:t>CBD and THC a</w:t>
      </w:r>
      <w:r w:rsidR="003B13C9">
        <w:t>re both used for self-medication</w:t>
      </w:r>
      <w:r w:rsidRPr="00E21188">
        <w:t xml:space="preserve"> and online communities claim endless health benefits such as CBD reduces anxiety, inflammation, depression, is a cure for cancer, diabetes, acne, arthritis</w:t>
      </w:r>
      <w:sdt>
        <w:sdtPr>
          <w:id w:val="1229884271"/>
          <w:citation/>
        </w:sdtPr>
        <w:sdtEndPr/>
        <w:sdtContent>
          <w:r w:rsidRPr="00E21188">
            <w:fldChar w:fldCharType="begin"/>
          </w:r>
          <w:r w:rsidRPr="00E21188">
            <w:instrText xml:space="preserve"> CITATION Fra17 \l 1033 </w:instrText>
          </w:r>
          <w:r w:rsidRPr="00E21188">
            <w:fldChar w:fldCharType="separate"/>
          </w:r>
          <w:r w:rsidR="00F1475E">
            <w:rPr>
              <w:noProof/>
            </w:rPr>
            <w:t xml:space="preserve"> (Franciosi, 2017)</w:t>
          </w:r>
          <w:r w:rsidRPr="00E21188">
            <w:fldChar w:fldCharType="end"/>
          </w:r>
        </w:sdtContent>
      </w:sdt>
      <w:r w:rsidRPr="00E21188">
        <w:t>. The social media platform YouTube has many videos that claim that using cannabis will cure cancer</w:t>
      </w:r>
      <w:r w:rsidR="00E146BE" w:rsidRPr="00E21188">
        <w:t>, however, this is not a reliable source as anyone can upload any information to the popular video sharing website.</w:t>
      </w:r>
      <w:r w:rsidRPr="00E21188">
        <w:t xml:space="preserve"> These strong claims of CBD curing cancer have led to extreme acts such as a man refusing doctors to treat his son who was diagnosed with leukemia. The man wanted to use hemp oil to treat his son as he heard from online communities that cancer can be cured with CBD </w:t>
      </w:r>
      <w:sdt>
        <w:sdtPr>
          <w:id w:val="478892931"/>
          <w:citation/>
        </w:sdtPr>
        <w:sdtEndPr/>
        <w:sdtContent>
          <w:r w:rsidRPr="00E21188">
            <w:fldChar w:fldCharType="begin"/>
          </w:r>
          <w:r w:rsidRPr="00E21188">
            <w:instrText xml:space="preserve"> CITATION Woo14 \l 1035 </w:instrText>
          </w:r>
          <w:r w:rsidRPr="00E21188">
            <w:fldChar w:fldCharType="separate"/>
          </w:r>
          <w:r w:rsidR="00F1475E" w:rsidRPr="00F1475E">
            <w:rPr>
              <w:noProof/>
            </w:rPr>
            <w:t>(Woods, 2014)</w:t>
          </w:r>
          <w:r w:rsidRPr="00E21188">
            <w:fldChar w:fldCharType="end"/>
          </w:r>
        </w:sdtContent>
      </w:sdt>
      <w:r w:rsidRPr="00E21188">
        <w:t xml:space="preserve">. It is true that CBD can be used for medicinal purposes and CDB has been shown to help patients with some forms of epilepsy and the drug </w:t>
      </w:r>
      <w:bookmarkStart w:id="13" w:name="_Hlk506292457"/>
      <w:r w:rsidRPr="00E21188">
        <w:t xml:space="preserve">Epidiolex® </w:t>
      </w:r>
      <w:bookmarkEnd w:id="13"/>
      <w:r w:rsidRPr="00E21188">
        <w:t>is currently in phase three of clinical trials</w:t>
      </w:r>
      <w:sdt>
        <w:sdtPr>
          <w:id w:val="-267550120"/>
          <w:citation/>
        </w:sdtPr>
        <w:sdtEndPr/>
        <w:sdtContent>
          <w:r w:rsidRPr="00E21188">
            <w:fldChar w:fldCharType="begin"/>
          </w:r>
          <w:r w:rsidRPr="00E21188">
            <w:instrText xml:space="preserve"> CITATION WHO17 \l 1033 </w:instrText>
          </w:r>
          <w:r w:rsidRPr="00E21188">
            <w:fldChar w:fldCharType="separate"/>
          </w:r>
          <w:r w:rsidR="00F1475E">
            <w:rPr>
              <w:noProof/>
            </w:rPr>
            <w:t xml:space="preserve"> (WHO, 2017)</w:t>
          </w:r>
          <w:r w:rsidRPr="00E21188">
            <w:fldChar w:fldCharType="end"/>
          </w:r>
        </w:sdtContent>
      </w:sdt>
      <w:r w:rsidRPr="00E21188">
        <w:t xml:space="preserve">. </w:t>
      </w:r>
      <w:r w:rsidR="00E146BE" w:rsidRPr="00E21188">
        <w:t>The belief that CBD and other cannabinoids have mul</w:t>
      </w:r>
      <w:r w:rsidR="00E21188" w:rsidRPr="00E21188">
        <w:t>tiple therapeutic uses is prevalent in multiple countries</w:t>
      </w:r>
      <w:sdt>
        <w:sdtPr>
          <w:id w:val="220254379"/>
          <w:citation/>
        </w:sdtPr>
        <w:sdtEndPr/>
        <w:sdtContent>
          <w:r w:rsidR="00907834">
            <w:fldChar w:fldCharType="begin"/>
          </w:r>
          <w:r w:rsidR="00907834">
            <w:instrText xml:space="preserve"> CITATION Pav \l 1033 </w:instrText>
          </w:r>
          <w:r w:rsidR="00907834">
            <w:fldChar w:fldCharType="separate"/>
          </w:r>
          <w:r w:rsidR="00F1475E">
            <w:rPr>
              <w:noProof/>
            </w:rPr>
            <w:t xml:space="preserve"> (Pavlovic, et al., 2018)</w:t>
          </w:r>
          <w:r w:rsidR="00907834">
            <w:fldChar w:fldCharType="end"/>
          </w:r>
        </w:sdtContent>
      </w:sdt>
      <w:r w:rsidR="00E21188" w:rsidRPr="00E21188">
        <w:t>;</w:t>
      </w:r>
      <w:sdt>
        <w:sdtPr>
          <w:id w:val="-1461253200"/>
          <w:citation/>
        </w:sdtPr>
        <w:sdtEndPr/>
        <w:sdtContent>
          <w:r w:rsidR="00E21188" w:rsidRPr="00E21188">
            <w:fldChar w:fldCharType="begin"/>
          </w:r>
          <w:r w:rsidR="00E21188" w:rsidRPr="00E21188">
            <w:rPr>
              <w:lang w:val="en-GB"/>
            </w:rPr>
            <w:instrText xml:space="preserve"> CITATION Izz09 \l 1035 </w:instrText>
          </w:r>
          <w:r w:rsidR="00E21188" w:rsidRPr="00E21188">
            <w:fldChar w:fldCharType="separate"/>
          </w:r>
          <w:r w:rsidR="00F1475E">
            <w:rPr>
              <w:noProof/>
              <w:lang w:val="en-GB"/>
            </w:rPr>
            <w:t xml:space="preserve"> </w:t>
          </w:r>
          <w:r w:rsidR="00F1475E" w:rsidRPr="00F1475E">
            <w:rPr>
              <w:noProof/>
              <w:lang w:val="en-GB"/>
            </w:rPr>
            <w:t>(Izzo;Borrelli;Capasso;Di Marzo;&amp; Mechoulam, 2009)</w:t>
          </w:r>
          <w:r w:rsidR="00E21188" w:rsidRPr="00E21188">
            <w:fldChar w:fldCharType="end"/>
          </w:r>
        </w:sdtContent>
      </w:sdt>
      <w:r w:rsidR="00E21188" w:rsidRPr="00E21188">
        <w:t>.</w:t>
      </w:r>
      <w:r w:rsidR="00E21188">
        <w:t xml:space="preserve"> </w:t>
      </w:r>
    </w:p>
    <w:p w:rsidR="001D4B36" w:rsidRPr="001D4B36" w:rsidRDefault="003B13C9" w:rsidP="001D4B36">
      <w:pPr>
        <w:pStyle w:val="Heading2"/>
      </w:pPr>
      <w:bookmarkStart w:id="14" w:name="_Toc515617185"/>
      <w:r>
        <w:t>Cannabinoid administration via</w:t>
      </w:r>
      <w:r w:rsidR="001D4B36" w:rsidRPr="001D4B36">
        <w:t xml:space="preserve"> e-cigarette</w:t>
      </w:r>
      <w:bookmarkEnd w:id="14"/>
    </w:p>
    <w:p w:rsidR="00B91B55" w:rsidRDefault="001D4B36" w:rsidP="00715BEF">
      <w:pPr>
        <w:jc w:val="both"/>
      </w:pPr>
      <w:r w:rsidRPr="001D4B36">
        <w:t xml:space="preserve">Cannabis use and the administration of THC is most often done by inhalation and smoking the combusted plant material continues to be </w:t>
      </w:r>
      <w:r w:rsidR="003B13C9">
        <w:t>the most popular method, nonetheless</w:t>
      </w:r>
      <w:r w:rsidRPr="001D4B36">
        <w:t xml:space="preserve">, inhalation by non-combusted methods is increasing in popularity </w:t>
      </w:r>
      <w:sdt>
        <w:sdtPr>
          <w:id w:val="674777082"/>
          <w:citation/>
        </w:sdtPr>
        <w:sdtEndPr/>
        <w:sdtContent>
          <w:r w:rsidRPr="001D4B36">
            <w:fldChar w:fldCharType="begin"/>
          </w:r>
          <w:r w:rsidRPr="001D4B36">
            <w:instrText xml:space="preserve"> CITATION Ngu16 \l 1033 </w:instrText>
          </w:r>
          <w:r w:rsidRPr="001D4B36">
            <w:fldChar w:fldCharType="separate"/>
          </w:r>
          <w:r w:rsidR="00F1475E">
            <w:rPr>
              <w:noProof/>
            </w:rPr>
            <w:t>(Nguyen, et al., 2016)</w:t>
          </w:r>
          <w:r w:rsidRPr="001D4B36">
            <w:fldChar w:fldCharType="end"/>
          </w:r>
        </w:sdtContent>
      </w:sdt>
      <w:r w:rsidRPr="001D4B36">
        <w:t>. The principle is the same as with nicotine administration t</w:t>
      </w:r>
      <w:r w:rsidR="003B13C9">
        <w:t>h</w:t>
      </w:r>
      <w:r w:rsidRPr="001D4B36">
        <w:t>rough vapor, c</w:t>
      </w:r>
      <w:r w:rsidR="003B13C9">
        <w:t xml:space="preserve">annabinoids are aerosolized at </w:t>
      </w:r>
      <w:r w:rsidR="003B13C9" w:rsidRPr="001D4B36">
        <w:t>lower</w:t>
      </w:r>
      <w:r w:rsidRPr="001D4B36">
        <w:t xml:space="preserve"> temperature</w:t>
      </w:r>
      <w:r w:rsidR="003B13C9">
        <w:t>s</w:t>
      </w:r>
      <w:r w:rsidRPr="001D4B36">
        <w:t xml:space="preserve"> than with combustion of a marihuana cigarette and administered to the body quickly through </w:t>
      </w:r>
      <w:r w:rsidR="003B13C9">
        <w:t xml:space="preserve">the </w:t>
      </w:r>
      <w:r w:rsidRPr="001D4B36">
        <w:t>lungs. These e-liquids are readily available in the internet containing THC and/or CBD. However, there are several concerns such as the lac</w:t>
      </w:r>
      <w:r w:rsidR="003B13C9">
        <w:t>k of quality control, expiration</w:t>
      </w:r>
      <w:r w:rsidRPr="001D4B36">
        <w:t xml:space="preserve"> date, conditions of preservation and above all, toxicological and clinical assessment </w:t>
      </w:r>
      <w:sdt>
        <w:sdtPr>
          <w:id w:val="2063975564"/>
          <w:citation/>
        </w:sdtPr>
        <w:sdtEndPr/>
        <w:sdtContent>
          <w:r w:rsidRPr="001D4B36">
            <w:fldChar w:fldCharType="begin"/>
          </w:r>
          <w:r w:rsidRPr="001D4B36">
            <w:instrText xml:space="preserve"> CITATION Gir15 \l 1033 </w:instrText>
          </w:r>
          <w:r w:rsidRPr="001D4B36">
            <w:fldChar w:fldCharType="separate"/>
          </w:r>
          <w:r w:rsidR="00F1475E">
            <w:rPr>
              <w:noProof/>
            </w:rPr>
            <w:t>(Giroud, et al., 2015)</w:t>
          </w:r>
          <w:r w:rsidRPr="001D4B36">
            <w:fldChar w:fldCharType="end"/>
          </w:r>
        </w:sdtContent>
      </w:sdt>
      <w:r w:rsidRPr="001D4B36">
        <w:t xml:space="preserve">. The health effects of vaping THC or CBD remain mostly unknown due to the lack of extensive, robust scientific studies </w:t>
      </w:r>
      <w:sdt>
        <w:sdtPr>
          <w:id w:val="1152565771"/>
          <w:citation/>
        </w:sdtPr>
        <w:sdtEndPr/>
        <w:sdtContent>
          <w:r w:rsidRPr="001D4B36">
            <w:fldChar w:fldCharType="begin"/>
          </w:r>
          <w:r w:rsidRPr="001D4B36">
            <w:instrText xml:space="preserve"> CITATION Gir15 \l 1033 </w:instrText>
          </w:r>
          <w:r w:rsidRPr="001D4B36">
            <w:fldChar w:fldCharType="separate"/>
          </w:r>
          <w:r w:rsidR="00F1475E">
            <w:rPr>
              <w:noProof/>
            </w:rPr>
            <w:t>(Giroud, et al., 2015)</w:t>
          </w:r>
          <w:r w:rsidRPr="001D4B36">
            <w:fldChar w:fldCharType="end"/>
          </w:r>
        </w:sdtContent>
      </w:sdt>
      <w:r w:rsidRPr="001D4B36">
        <w:t>. A new synthetic cannabinoid designer drug MDMB-FUBINACA</w:t>
      </w:r>
      <w:r w:rsidR="003B13C9">
        <w:rPr>
          <w:rStyle w:val="FootnoteReference"/>
        </w:rPr>
        <w:footnoteReference w:id="3"/>
      </w:r>
      <w:r w:rsidRPr="001D4B36">
        <w:t xml:space="preserve"> was also detected in e-liquids from buzz-juice.com and it seems that it acts in an analogous way as THC </w:t>
      </w:r>
      <w:sdt>
        <w:sdtPr>
          <w:id w:val="-181438942"/>
          <w:citation/>
        </w:sdtPr>
        <w:sdtEndPr/>
        <w:sdtContent>
          <w:r w:rsidRPr="001D4B36">
            <w:fldChar w:fldCharType="begin"/>
          </w:r>
          <w:r w:rsidRPr="001D4B36">
            <w:instrText xml:space="preserve"> CITATION Pea16 \l 1033 </w:instrText>
          </w:r>
          <w:r w:rsidRPr="001D4B36">
            <w:fldChar w:fldCharType="separate"/>
          </w:r>
          <w:r w:rsidR="00F1475E">
            <w:rPr>
              <w:noProof/>
            </w:rPr>
            <w:t>(Peace, Krakowiak, Wolf, Poklis, &amp; Poklis, 2016)</w:t>
          </w:r>
          <w:r w:rsidRPr="001D4B36">
            <w:fldChar w:fldCharType="end"/>
          </w:r>
        </w:sdtContent>
      </w:sdt>
      <w:r w:rsidRPr="001D4B36">
        <w:t xml:space="preserve">. E-liquids which contain CBD are sold in the US and in EU. In the EU such brands as CanOil, Cali Terpenes, Enecta and Harmony. In the US such as CBD Genesis, Entourage and Pure CBD Vapors. These e-liquids contain most of the time 50 mg, 100 mg or 200 mg of CBD. For the vaporization of the CBD e-liquid, often specific e-cigarettes are promoted for them to be sold together. </w:t>
      </w:r>
    </w:p>
    <w:p w:rsidR="00734392" w:rsidRDefault="00734392" w:rsidP="009E4181">
      <w:pPr>
        <w:pStyle w:val="Heading1"/>
      </w:pPr>
      <w:bookmarkStart w:id="15" w:name="_Toc515617186"/>
      <w:bookmarkStart w:id="16" w:name="_Hlk514751260"/>
      <w:r>
        <w:lastRenderedPageBreak/>
        <w:t>Methodology</w:t>
      </w:r>
      <w:bookmarkEnd w:id="15"/>
      <w:r>
        <w:t xml:space="preserve"> </w:t>
      </w:r>
    </w:p>
    <w:p w:rsidR="00AD2C91" w:rsidRPr="00FE25B2" w:rsidRDefault="00AD2C91" w:rsidP="00B91B55">
      <w:pPr>
        <w:pStyle w:val="Heading2"/>
        <w:rPr>
          <w:sz w:val="28"/>
        </w:rPr>
      </w:pPr>
      <w:bookmarkStart w:id="17" w:name="_Toc515617187"/>
      <w:r w:rsidRPr="00FE25B2">
        <w:rPr>
          <w:sz w:val="28"/>
        </w:rPr>
        <w:t>Methods for e-liquid samples</w:t>
      </w:r>
      <w:bookmarkEnd w:id="17"/>
      <w:r w:rsidRPr="00FE25B2">
        <w:rPr>
          <w:sz w:val="28"/>
        </w:rPr>
        <w:t xml:space="preserve"> </w:t>
      </w:r>
    </w:p>
    <w:p w:rsidR="00E83A4B" w:rsidRPr="00E83A4B" w:rsidRDefault="007D278A" w:rsidP="00715BEF">
      <w:pPr>
        <w:spacing w:after="160" w:line="259" w:lineRule="auto"/>
        <w:jc w:val="both"/>
        <w:rPr>
          <w:rFonts w:ascii="Calibri" w:eastAsia="Calibri" w:hAnsi="Calibri" w:cs="Times New Roman"/>
          <w:lang w:eastAsia="en-US"/>
        </w:rPr>
      </w:pPr>
      <w:r>
        <w:rPr>
          <w:rFonts w:ascii="Calibri" w:eastAsia="Calibri" w:hAnsi="Calibri" w:cs="Times New Roman"/>
          <w:lang w:eastAsia="en-US"/>
        </w:rPr>
        <w:t>Ethanol</w:t>
      </w:r>
      <w:r w:rsidR="00E83A4B" w:rsidRPr="00E83A4B">
        <w:rPr>
          <w:rFonts w:ascii="Calibri" w:eastAsia="Calibri" w:hAnsi="Calibri" w:cs="Times New Roman"/>
          <w:lang w:eastAsia="en-US"/>
        </w:rPr>
        <w:t xml:space="preserve"> was quantified from the e-liquids and </w:t>
      </w:r>
      <w:r w:rsidR="00B56F86">
        <w:rPr>
          <w:rFonts w:ascii="Calibri" w:eastAsia="Calibri" w:hAnsi="Calibri" w:cs="Times New Roman"/>
          <w:lang w:eastAsia="en-US"/>
        </w:rPr>
        <w:t xml:space="preserve">the CBD e-liquids </w:t>
      </w:r>
      <w:r w:rsidR="003B13C9">
        <w:rPr>
          <w:rFonts w:ascii="Calibri" w:eastAsia="Calibri" w:hAnsi="Calibri" w:cs="Times New Roman"/>
          <w:lang w:eastAsia="en-US"/>
        </w:rPr>
        <w:t>with</w:t>
      </w:r>
      <w:r w:rsidR="00B56F86">
        <w:rPr>
          <w:rFonts w:ascii="Calibri" w:eastAsia="Calibri" w:hAnsi="Calibri" w:cs="Times New Roman"/>
          <w:lang w:eastAsia="en-US"/>
        </w:rPr>
        <w:t xml:space="preserve"> Headspace</w:t>
      </w:r>
      <w:r w:rsidR="00233D7C">
        <w:rPr>
          <w:rFonts w:ascii="Calibri" w:eastAsia="Calibri" w:hAnsi="Calibri" w:cs="Times New Roman"/>
          <w:lang w:eastAsia="en-US"/>
        </w:rPr>
        <w:t xml:space="preserve"> (HS)</w:t>
      </w:r>
      <w:r w:rsidR="00E83A4B" w:rsidRPr="00E83A4B">
        <w:rPr>
          <w:rFonts w:ascii="Calibri" w:eastAsia="Calibri" w:hAnsi="Calibri" w:cs="Times New Roman"/>
          <w:lang w:eastAsia="en-US"/>
        </w:rPr>
        <w:t>-GC-</w:t>
      </w:r>
      <w:r w:rsidR="00233D7C">
        <w:rPr>
          <w:rFonts w:ascii="Calibri" w:eastAsia="Calibri" w:hAnsi="Calibri" w:cs="Times New Roman"/>
          <w:lang w:eastAsia="en-US"/>
        </w:rPr>
        <w:t>flame ionization detector (</w:t>
      </w:r>
      <w:r w:rsidR="00E83A4B" w:rsidRPr="00E83A4B">
        <w:rPr>
          <w:rFonts w:ascii="Calibri" w:eastAsia="Calibri" w:hAnsi="Calibri" w:cs="Times New Roman"/>
          <w:lang w:eastAsia="en-US"/>
        </w:rPr>
        <w:t>FID</w:t>
      </w:r>
      <w:r w:rsidR="00233D7C">
        <w:rPr>
          <w:rFonts w:ascii="Calibri" w:eastAsia="Calibri" w:hAnsi="Calibri" w:cs="Times New Roman"/>
          <w:lang w:eastAsia="en-US"/>
        </w:rPr>
        <w:t>)</w:t>
      </w:r>
      <w:r w:rsidR="00E83A4B" w:rsidRPr="00E83A4B">
        <w:rPr>
          <w:rFonts w:ascii="Calibri" w:eastAsia="Calibri" w:hAnsi="Calibri" w:cs="Times New Roman"/>
          <w:lang w:eastAsia="en-US"/>
        </w:rPr>
        <w:t>. The flavor components and possible impurities were</w:t>
      </w:r>
      <w:r w:rsidR="00B56F86">
        <w:rPr>
          <w:rFonts w:ascii="Calibri" w:eastAsia="Calibri" w:hAnsi="Calibri" w:cs="Times New Roman"/>
          <w:lang w:eastAsia="en-US"/>
        </w:rPr>
        <w:t xml:space="preserve"> identified with </w:t>
      </w:r>
      <w:r w:rsidR="00233D7C">
        <w:rPr>
          <w:rFonts w:ascii="Calibri" w:eastAsia="Calibri" w:hAnsi="Calibri" w:cs="Times New Roman"/>
          <w:lang w:eastAsia="en-US"/>
        </w:rPr>
        <w:t>HS</w:t>
      </w:r>
      <w:r w:rsidR="00134770">
        <w:rPr>
          <w:rFonts w:ascii="Calibri" w:eastAsia="Calibri" w:hAnsi="Calibri" w:cs="Times New Roman"/>
          <w:lang w:eastAsia="en-US"/>
        </w:rPr>
        <w:noBreakHyphen/>
      </w:r>
      <w:r w:rsidR="00B56F86">
        <w:rPr>
          <w:rFonts w:ascii="Calibri" w:eastAsia="Calibri" w:hAnsi="Calibri" w:cs="Times New Roman"/>
          <w:lang w:eastAsia="en-US"/>
        </w:rPr>
        <w:t>GC/</w:t>
      </w:r>
      <w:r w:rsidR="00233D7C">
        <w:rPr>
          <w:rFonts w:ascii="Calibri" w:eastAsia="Calibri" w:hAnsi="Calibri" w:cs="Times New Roman"/>
          <w:lang w:eastAsia="en-US"/>
        </w:rPr>
        <w:t>mass spectrometer (</w:t>
      </w:r>
      <w:r w:rsidR="00E83A4B" w:rsidRPr="00E83A4B">
        <w:rPr>
          <w:rFonts w:ascii="Calibri" w:eastAsia="Calibri" w:hAnsi="Calibri" w:cs="Times New Roman"/>
          <w:lang w:eastAsia="en-US"/>
        </w:rPr>
        <w:t>MS</w:t>
      </w:r>
      <w:r w:rsidR="00233D7C">
        <w:rPr>
          <w:rFonts w:ascii="Calibri" w:eastAsia="Calibri" w:hAnsi="Calibri" w:cs="Times New Roman"/>
          <w:lang w:eastAsia="en-US"/>
        </w:rPr>
        <w:t>)</w:t>
      </w:r>
      <w:r w:rsidR="00E83A4B" w:rsidRPr="00E83A4B">
        <w:rPr>
          <w:rFonts w:ascii="Calibri" w:eastAsia="Calibri" w:hAnsi="Calibri" w:cs="Times New Roman"/>
          <w:lang w:eastAsia="en-US"/>
        </w:rPr>
        <w:t xml:space="preserve">. </w:t>
      </w:r>
    </w:p>
    <w:p w:rsidR="00E83A4B" w:rsidRPr="00E83A4B" w:rsidRDefault="00E83A4B" w:rsidP="00BE4A9F">
      <w:pPr>
        <w:pStyle w:val="Heading3"/>
        <w:rPr>
          <w:lang w:eastAsia="en-US"/>
        </w:rPr>
      </w:pPr>
      <w:bookmarkStart w:id="18" w:name="_Toc515617188"/>
      <w:r w:rsidRPr="00E83A4B">
        <w:rPr>
          <w:lang w:eastAsia="en-US"/>
        </w:rPr>
        <w:t xml:space="preserve">Chemicals and </w:t>
      </w:r>
      <w:r w:rsidR="00FE25B2">
        <w:rPr>
          <w:lang w:eastAsia="en-US"/>
        </w:rPr>
        <w:t>r</w:t>
      </w:r>
      <w:r w:rsidRPr="00E83A4B">
        <w:rPr>
          <w:lang w:eastAsia="en-US"/>
        </w:rPr>
        <w:t>eagents</w:t>
      </w:r>
      <w:bookmarkEnd w:id="18"/>
    </w:p>
    <w:p w:rsidR="00E83A4B" w:rsidRPr="00E83A4B" w:rsidRDefault="00E83A4B" w:rsidP="00715BEF">
      <w:pPr>
        <w:spacing w:after="160" w:line="259" w:lineRule="auto"/>
        <w:jc w:val="both"/>
        <w:rPr>
          <w:rFonts w:ascii="Calibri" w:eastAsia="Calibri" w:hAnsi="Calibri" w:cs="Times New Roman"/>
          <w:lang w:eastAsia="en-US"/>
        </w:rPr>
      </w:pPr>
      <w:r w:rsidRPr="00E83A4B">
        <w:rPr>
          <w:rFonts w:ascii="Calibri" w:eastAsia="Calibri" w:hAnsi="Calibri" w:cs="Times New Roman"/>
          <w:lang w:eastAsia="en-US"/>
        </w:rPr>
        <w:t>Ethanol Absolute (</w:t>
      </w:r>
      <w:r w:rsidRPr="00E83A4B">
        <w:rPr>
          <w:rFonts w:ascii="Calibri" w:eastAsia="Calibri" w:hAnsi="Calibri" w:cs="Calibri"/>
          <w:lang w:eastAsia="en-US"/>
        </w:rPr>
        <w:t>≥</w:t>
      </w:r>
      <w:r w:rsidRPr="00E83A4B">
        <w:rPr>
          <w:rFonts w:ascii="Calibri" w:eastAsia="Calibri" w:hAnsi="Calibri" w:cs="Times New Roman"/>
          <w:lang w:eastAsia="en-US"/>
        </w:rPr>
        <w:t>99.9</w:t>
      </w:r>
      <w:r w:rsidR="000D25F3">
        <w:rPr>
          <w:rFonts w:ascii="Calibri" w:eastAsia="Calibri" w:hAnsi="Calibri" w:cs="Times New Roman"/>
          <w:lang w:eastAsia="en-US"/>
        </w:rPr>
        <w:t xml:space="preserve"> </w:t>
      </w:r>
      <w:r w:rsidRPr="00E83A4B">
        <w:rPr>
          <w:rFonts w:ascii="Calibri" w:eastAsia="Calibri" w:hAnsi="Calibri" w:cs="Times New Roman"/>
          <w:lang w:eastAsia="en-US"/>
        </w:rPr>
        <w:t xml:space="preserve">%) and </w:t>
      </w:r>
      <w:r w:rsidRPr="00450E27">
        <w:rPr>
          <w:rFonts w:ascii="Calibri" w:eastAsia="Calibri" w:hAnsi="Calibri" w:cs="Times New Roman"/>
          <w:lang w:eastAsia="en-US"/>
        </w:rPr>
        <w:t>1-propanol</w:t>
      </w:r>
      <w:r w:rsidR="00450E27">
        <w:rPr>
          <w:rFonts w:ascii="Calibri" w:eastAsia="Calibri" w:hAnsi="Calibri" w:cs="Times New Roman"/>
          <w:lang w:eastAsia="en-US"/>
        </w:rPr>
        <w:t xml:space="preserve"> </w:t>
      </w:r>
      <w:r w:rsidR="00450E27">
        <w:rPr>
          <w:rFonts w:ascii="Calibri" w:eastAsia="Calibri" w:hAnsi="Calibri" w:cs="Calibri"/>
          <w:lang w:eastAsia="en-US"/>
        </w:rPr>
        <w:t>≥</w:t>
      </w:r>
      <w:r w:rsidR="00450E27">
        <w:rPr>
          <w:rFonts w:ascii="Calibri" w:eastAsia="Calibri" w:hAnsi="Calibri" w:cs="Times New Roman"/>
          <w:lang w:eastAsia="en-US"/>
        </w:rPr>
        <w:t>99.5</w:t>
      </w:r>
      <w:r w:rsidR="000D25F3">
        <w:rPr>
          <w:rFonts w:ascii="Calibri" w:eastAsia="Calibri" w:hAnsi="Calibri" w:cs="Times New Roman"/>
          <w:lang w:eastAsia="en-US"/>
        </w:rPr>
        <w:t xml:space="preserve"> </w:t>
      </w:r>
      <w:r w:rsidR="00450E27">
        <w:rPr>
          <w:rFonts w:ascii="Calibri" w:eastAsia="Calibri" w:hAnsi="Calibri" w:cs="Times New Roman"/>
          <w:lang w:eastAsia="en-US"/>
        </w:rPr>
        <w:t>%</w:t>
      </w:r>
      <w:r w:rsidR="00783735">
        <w:rPr>
          <w:rFonts w:ascii="Calibri" w:eastAsia="Calibri" w:hAnsi="Calibri" w:cs="Times New Roman"/>
          <w:lang w:eastAsia="en-US"/>
        </w:rPr>
        <w:t xml:space="preserve"> from Merck</w:t>
      </w:r>
      <w:r w:rsidRPr="00E83A4B">
        <w:rPr>
          <w:rFonts w:ascii="Calibri" w:eastAsia="Calibri" w:hAnsi="Calibri" w:cs="Times New Roman"/>
          <w:lang w:eastAsia="en-US"/>
        </w:rPr>
        <w:t xml:space="preserve"> were used to prepare the standards. MilliQ water was used for diluting the standards and samples. </w:t>
      </w:r>
    </w:p>
    <w:p w:rsidR="00E83A4B" w:rsidRPr="00E83A4B" w:rsidRDefault="00E83A4B" w:rsidP="00BE4A9F">
      <w:pPr>
        <w:pStyle w:val="Heading3"/>
        <w:rPr>
          <w:lang w:eastAsia="en-US"/>
        </w:rPr>
      </w:pPr>
      <w:bookmarkStart w:id="19" w:name="_Toc515617189"/>
      <w:r w:rsidRPr="00E83A4B">
        <w:rPr>
          <w:lang w:eastAsia="en-US"/>
        </w:rPr>
        <w:t>Calibration and standards</w:t>
      </w:r>
      <w:bookmarkEnd w:id="19"/>
    </w:p>
    <w:p w:rsidR="00E83A4B" w:rsidRPr="00E83A4B" w:rsidRDefault="00B56F86" w:rsidP="00715BEF">
      <w:pPr>
        <w:spacing w:after="160" w:line="259" w:lineRule="auto"/>
        <w:jc w:val="both"/>
        <w:rPr>
          <w:rFonts w:ascii="Calibri" w:eastAsia="Calibri" w:hAnsi="Calibri" w:cs="Times New Roman"/>
          <w:lang w:eastAsia="en-US"/>
        </w:rPr>
      </w:pPr>
      <w:r>
        <w:rPr>
          <w:rFonts w:ascii="Calibri" w:eastAsia="Calibri" w:hAnsi="Calibri" w:cs="Times New Roman"/>
          <w:lang w:eastAsia="en-US"/>
        </w:rPr>
        <w:t>Ethanol</w:t>
      </w:r>
      <w:r w:rsidR="00E83A4B" w:rsidRPr="00E83A4B">
        <w:rPr>
          <w:rFonts w:ascii="Calibri" w:eastAsia="Calibri" w:hAnsi="Calibri" w:cs="Times New Roman"/>
          <w:lang w:eastAsia="en-US"/>
        </w:rPr>
        <w:t xml:space="preserve"> calibration standards were prepared in seven different concentrations (n=3) and diluted with MilliQ water. Internal standard </w:t>
      </w:r>
      <w:r>
        <w:rPr>
          <w:rFonts w:ascii="Calibri" w:eastAsia="Calibri" w:hAnsi="Calibri" w:cs="Times New Roman"/>
          <w:lang w:eastAsia="en-US"/>
        </w:rPr>
        <w:t>was prepared from 1-propanol</w:t>
      </w:r>
      <w:r w:rsidR="00E83A4B" w:rsidRPr="00E83A4B">
        <w:rPr>
          <w:rFonts w:ascii="Calibri" w:eastAsia="Calibri" w:hAnsi="Calibri" w:cs="Times New Roman"/>
          <w:lang w:eastAsia="en-US"/>
        </w:rPr>
        <w:t xml:space="preserve"> to be 40</w:t>
      </w:r>
      <w:r w:rsidR="003B13C9">
        <w:rPr>
          <w:rFonts w:ascii="Calibri" w:eastAsia="Calibri" w:hAnsi="Calibri" w:cs="Times New Roman"/>
          <w:lang w:eastAsia="en-US"/>
        </w:rPr>
        <w:t>1.5 mg/L</w:t>
      </w:r>
      <w:r>
        <w:rPr>
          <w:rFonts w:ascii="Calibri" w:eastAsia="Calibri" w:hAnsi="Calibri" w:cs="Times New Roman"/>
          <w:lang w:eastAsia="en-US"/>
        </w:rPr>
        <w:t>. From the ethanol</w:t>
      </w:r>
      <w:r w:rsidR="00E83A4B" w:rsidRPr="00E83A4B">
        <w:rPr>
          <w:rFonts w:ascii="Calibri" w:eastAsia="Calibri" w:hAnsi="Calibri" w:cs="Times New Roman"/>
          <w:lang w:eastAsia="en-US"/>
        </w:rPr>
        <w:t xml:space="preserve"> dilutions 100 </w:t>
      </w:r>
      <w:r w:rsidR="00E83A4B" w:rsidRPr="00E83A4B">
        <w:rPr>
          <w:rFonts w:ascii="Calibri" w:eastAsia="Calibri" w:hAnsi="Calibri" w:cs="Calibri"/>
          <w:lang w:eastAsia="en-US"/>
        </w:rPr>
        <w:t>µ</w:t>
      </w:r>
      <w:r w:rsidR="003B13C9">
        <w:rPr>
          <w:rFonts w:ascii="Calibri" w:eastAsia="Calibri" w:hAnsi="Calibri" w:cs="Times New Roman"/>
          <w:lang w:eastAsia="en-US"/>
        </w:rPr>
        <w:t>L</w:t>
      </w:r>
      <w:r w:rsidR="00E83A4B" w:rsidRPr="00E83A4B">
        <w:rPr>
          <w:rFonts w:ascii="Calibri" w:eastAsia="Calibri" w:hAnsi="Calibri" w:cs="Times New Roman"/>
          <w:lang w:eastAsia="en-US"/>
        </w:rPr>
        <w:t xml:space="preserve"> was pipetted to the HS vials along with 900 </w:t>
      </w:r>
      <w:r w:rsidR="00E83A4B" w:rsidRPr="00E83A4B">
        <w:rPr>
          <w:rFonts w:ascii="Calibri" w:eastAsia="Calibri" w:hAnsi="Calibri" w:cs="Calibri"/>
          <w:lang w:eastAsia="en-US"/>
        </w:rPr>
        <w:t>µ</w:t>
      </w:r>
      <w:r w:rsidR="003B13C9">
        <w:rPr>
          <w:rFonts w:ascii="Calibri" w:eastAsia="Calibri" w:hAnsi="Calibri" w:cs="Times New Roman"/>
          <w:lang w:eastAsia="en-US"/>
        </w:rPr>
        <w:t>L</w:t>
      </w:r>
      <w:r>
        <w:rPr>
          <w:rFonts w:ascii="Calibri" w:eastAsia="Calibri" w:hAnsi="Calibri" w:cs="Times New Roman"/>
          <w:lang w:eastAsia="en-US"/>
        </w:rPr>
        <w:t xml:space="preserve"> of internal standard</w:t>
      </w:r>
      <w:r w:rsidR="00E83A4B" w:rsidRPr="00E83A4B">
        <w:rPr>
          <w:rFonts w:ascii="Calibri" w:eastAsia="Calibri" w:hAnsi="Calibri" w:cs="Times New Roman"/>
          <w:lang w:eastAsia="en-US"/>
        </w:rPr>
        <w:t xml:space="preserve"> solution and 900 </w:t>
      </w:r>
      <w:r w:rsidR="00E83A4B" w:rsidRPr="00E83A4B">
        <w:rPr>
          <w:rFonts w:ascii="Calibri" w:eastAsia="Calibri" w:hAnsi="Calibri" w:cs="Calibri"/>
          <w:lang w:eastAsia="en-US"/>
        </w:rPr>
        <w:t>µ</w:t>
      </w:r>
      <w:r w:rsidR="003B13C9">
        <w:rPr>
          <w:rFonts w:ascii="Calibri" w:eastAsia="Calibri" w:hAnsi="Calibri" w:cs="Times New Roman"/>
          <w:lang w:eastAsia="en-US"/>
        </w:rPr>
        <w:t>L</w:t>
      </w:r>
      <w:r w:rsidR="00E83A4B" w:rsidRPr="00E83A4B">
        <w:rPr>
          <w:rFonts w:ascii="Calibri" w:eastAsia="Calibri" w:hAnsi="Calibri" w:cs="Times New Roman"/>
          <w:lang w:eastAsia="en-US"/>
        </w:rPr>
        <w:t xml:space="preserve"> MilliQ water. The final</w:t>
      </w:r>
      <w:r>
        <w:rPr>
          <w:rFonts w:ascii="Calibri" w:eastAsia="Calibri" w:hAnsi="Calibri" w:cs="Times New Roman"/>
          <w:lang w:eastAsia="en-US"/>
        </w:rPr>
        <w:t xml:space="preserve"> concentrations of ethanol</w:t>
      </w:r>
      <w:r w:rsidR="00E83A4B" w:rsidRPr="00E83A4B">
        <w:rPr>
          <w:rFonts w:ascii="Calibri" w:eastAsia="Calibri" w:hAnsi="Calibri" w:cs="Times New Roman"/>
          <w:lang w:eastAsia="en-US"/>
        </w:rPr>
        <w:t xml:space="preserve"> were 0.42,</w:t>
      </w:r>
      <w:r w:rsidR="003B13C9">
        <w:rPr>
          <w:rFonts w:ascii="Calibri" w:eastAsia="Calibri" w:hAnsi="Calibri" w:cs="Times New Roman"/>
          <w:lang w:eastAsia="en-US"/>
        </w:rPr>
        <w:t xml:space="preserve"> 4.2, 21, 42, 104, 208, 415 mg/L</w:t>
      </w:r>
      <w:r w:rsidR="00E83A4B" w:rsidRPr="00E83A4B">
        <w:rPr>
          <w:rFonts w:ascii="Calibri" w:eastAsia="Calibri" w:hAnsi="Calibri" w:cs="Times New Roman"/>
          <w:lang w:eastAsia="en-US"/>
        </w:rPr>
        <w:t xml:space="preserve">. </w:t>
      </w:r>
    </w:p>
    <w:p w:rsidR="00E83A4B" w:rsidRPr="00E83A4B" w:rsidRDefault="00E83A4B" w:rsidP="00BE4A9F">
      <w:pPr>
        <w:pStyle w:val="Heading3"/>
        <w:rPr>
          <w:lang w:eastAsia="en-US"/>
        </w:rPr>
      </w:pPr>
      <w:bookmarkStart w:id="20" w:name="_Toc515617190"/>
      <w:r w:rsidRPr="00E83A4B">
        <w:rPr>
          <w:lang w:eastAsia="en-US"/>
        </w:rPr>
        <w:t>Samples</w:t>
      </w:r>
      <w:bookmarkEnd w:id="20"/>
    </w:p>
    <w:p w:rsidR="00E83A4B" w:rsidRPr="00E83A4B" w:rsidRDefault="00E83A4B" w:rsidP="00715BEF">
      <w:pPr>
        <w:spacing w:after="160" w:line="259" w:lineRule="auto"/>
        <w:jc w:val="both"/>
        <w:rPr>
          <w:rFonts w:ascii="Calibri" w:eastAsia="Calibri" w:hAnsi="Calibri" w:cs="Times New Roman"/>
          <w:lang w:eastAsia="en-US"/>
        </w:rPr>
      </w:pPr>
      <w:r w:rsidRPr="00E83A4B">
        <w:rPr>
          <w:rFonts w:ascii="Calibri" w:eastAsia="Calibri" w:hAnsi="Calibri" w:cs="Times New Roman"/>
          <w:lang w:eastAsia="en-US"/>
        </w:rPr>
        <w:t>Commercially available e-liquids were purchased from</w:t>
      </w:r>
      <w:r w:rsidR="00B56F86">
        <w:rPr>
          <w:rFonts w:ascii="Calibri" w:eastAsia="Calibri" w:hAnsi="Calibri" w:cs="Times New Roman"/>
          <w:lang w:eastAsia="en-US"/>
        </w:rPr>
        <w:t xml:space="preserve"> </w:t>
      </w:r>
      <w:r w:rsidR="003B13C9">
        <w:rPr>
          <w:rFonts w:ascii="Calibri" w:eastAsia="Calibri" w:hAnsi="Calibri" w:cs="Times New Roman"/>
          <w:lang w:eastAsia="en-US"/>
        </w:rPr>
        <w:t xml:space="preserve">a </w:t>
      </w:r>
      <w:r w:rsidR="00B56F86">
        <w:rPr>
          <w:rFonts w:ascii="Calibri" w:eastAsia="Calibri" w:hAnsi="Calibri" w:cs="Times New Roman"/>
          <w:lang w:eastAsia="en-US"/>
        </w:rPr>
        <w:t>local drugstore</w:t>
      </w:r>
      <w:r w:rsidRPr="00E83A4B">
        <w:rPr>
          <w:rFonts w:ascii="Calibri" w:eastAsia="Calibri" w:hAnsi="Calibri" w:cs="Times New Roman"/>
          <w:lang w:eastAsia="en-US"/>
        </w:rPr>
        <w:t xml:space="preserve"> Vlissingen, Netherlands. </w:t>
      </w:r>
      <w:r w:rsidR="00B56F86">
        <w:rPr>
          <w:rFonts w:ascii="Calibri" w:eastAsia="Calibri" w:hAnsi="Calibri" w:cs="Times New Roman"/>
          <w:lang w:eastAsia="en-US"/>
        </w:rPr>
        <w:t xml:space="preserve">The selection of samples was based on the popularity of the flavor to be sold. </w:t>
      </w:r>
      <w:r w:rsidRPr="00E83A4B">
        <w:rPr>
          <w:rFonts w:ascii="Calibri" w:eastAsia="Calibri" w:hAnsi="Calibri" w:cs="Times New Roman"/>
          <w:lang w:eastAsia="en-US"/>
        </w:rPr>
        <w:t>Five different flavored e-liquids</w:t>
      </w:r>
      <w:r w:rsidR="00B56F86">
        <w:rPr>
          <w:rFonts w:ascii="Calibri" w:eastAsia="Calibri" w:hAnsi="Calibri" w:cs="Times New Roman"/>
          <w:lang w:eastAsia="en-US"/>
        </w:rPr>
        <w:t xml:space="preserve"> were chosen</w:t>
      </w:r>
      <w:r w:rsidRPr="00E83A4B">
        <w:rPr>
          <w:rFonts w:ascii="Calibri" w:eastAsia="Calibri" w:hAnsi="Calibri" w:cs="Times New Roman"/>
          <w:lang w:eastAsia="en-US"/>
        </w:rPr>
        <w:t xml:space="preserve">; Mystic Island, Apple Shisha, Juicy Peach, Watermelon and American Blend. Also, two e-liquids containing CBD were chosen to be the following: CBD Classic and CBD Fruitmix. More information about the samples can be found </w:t>
      </w:r>
      <w:r w:rsidRPr="00B91B55">
        <w:rPr>
          <w:rFonts w:ascii="Calibri" w:eastAsia="Calibri" w:hAnsi="Calibri" w:cs="Times New Roman"/>
          <w:lang w:eastAsia="en-US"/>
        </w:rPr>
        <w:t xml:space="preserve">in appendix </w:t>
      </w:r>
      <w:r w:rsidR="00B91B55" w:rsidRPr="00B91B55">
        <w:rPr>
          <w:rFonts w:ascii="Calibri" w:eastAsia="Calibri" w:hAnsi="Calibri" w:cs="Times New Roman"/>
          <w:lang w:eastAsia="en-US"/>
        </w:rPr>
        <w:t>2</w:t>
      </w:r>
      <w:r w:rsidRPr="00B91B55">
        <w:rPr>
          <w:rFonts w:ascii="Calibri" w:eastAsia="Calibri" w:hAnsi="Calibri" w:cs="Times New Roman"/>
          <w:lang w:eastAsia="en-US"/>
        </w:rPr>
        <w:t>.</w:t>
      </w:r>
      <w:r w:rsidRPr="00E83A4B">
        <w:rPr>
          <w:rFonts w:ascii="Calibri" w:eastAsia="Calibri" w:hAnsi="Calibri" w:cs="Times New Roman"/>
          <w:lang w:eastAsia="en-US"/>
        </w:rPr>
        <w:t xml:space="preserve"> </w:t>
      </w:r>
    </w:p>
    <w:p w:rsidR="00E83A4B" w:rsidRPr="00E83A4B" w:rsidRDefault="00E83A4B" w:rsidP="00BE4A9F">
      <w:pPr>
        <w:pStyle w:val="Heading3"/>
        <w:rPr>
          <w:lang w:eastAsia="en-US"/>
        </w:rPr>
      </w:pPr>
      <w:bookmarkStart w:id="21" w:name="_Toc515617191"/>
      <w:r w:rsidRPr="00E83A4B">
        <w:rPr>
          <w:lang w:eastAsia="en-US"/>
        </w:rPr>
        <w:t>Sample preparation</w:t>
      </w:r>
      <w:bookmarkEnd w:id="21"/>
    </w:p>
    <w:p w:rsidR="00E83A4B" w:rsidRDefault="00E83A4B" w:rsidP="00715BEF">
      <w:pPr>
        <w:jc w:val="both"/>
        <w:rPr>
          <w:rFonts w:ascii="Calibri" w:eastAsia="Calibri" w:hAnsi="Calibri" w:cs="Times New Roman"/>
          <w:lang w:eastAsia="en-US"/>
        </w:rPr>
      </w:pPr>
      <w:r w:rsidRPr="00E83A4B">
        <w:rPr>
          <w:rFonts w:ascii="Calibri" w:eastAsia="Calibri" w:hAnsi="Calibri" w:cs="Times New Roman"/>
          <w:lang w:eastAsia="en-US"/>
        </w:rPr>
        <w:t xml:space="preserve">From each e-liquid 100 </w:t>
      </w:r>
      <w:r w:rsidRPr="00E83A4B">
        <w:rPr>
          <w:rFonts w:ascii="Calibri" w:eastAsia="Calibri" w:hAnsi="Calibri" w:cs="Calibri"/>
          <w:lang w:eastAsia="en-US"/>
        </w:rPr>
        <w:t>µ</w:t>
      </w:r>
      <w:r w:rsidRPr="00E83A4B">
        <w:rPr>
          <w:rFonts w:ascii="Calibri" w:eastAsia="Calibri" w:hAnsi="Calibri" w:cs="Times New Roman"/>
          <w:lang w:eastAsia="en-US"/>
        </w:rPr>
        <w:t>l of sample (n=3) was pip</w:t>
      </w:r>
      <w:r w:rsidR="009A3A56">
        <w:rPr>
          <w:rFonts w:ascii="Calibri" w:eastAsia="Calibri" w:hAnsi="Calibri" w:cs="Times New Roman"/>
          <w:lang w:eastAsia="en-US"/>
        </w:rPr>
        <w:t>etted to the headspace</w:t>
      </w:r>
      <w:r w:rsidRPr="00E83A4B">
        <w:rPr>
          <w:rFonts w:ascii="Calibri" w:eastAsia="Calibri" w:hAnsi="Calibri" w:cs="Times New Roman"/>
          <w:lang w:eastAsia="en-US"/>
        </w:rPr>
        <w:t xml:space="preserve"> vial. The sample is very viscous and as positive displacement pipettes were not available, regular pipette tips were used, however, the pipette tip was cut to make the pipetting possible. To each vial also 900 µl of internal standard solutio</w:t>
      </w:r>
      <w:r w:rsidR="009A3A56">
        <w:rPr>
          <w:rFonts w:ascii="Calibri" w:eastAsia="Calibri" w:hAnsi="Calibri" w:cs="Times New Roman"/>
          <w:lang w:eastAsia="en-US"/>
        </w:rPr>
        <w:t>n and 900 µl of MilliQ water were</w:t>
      </w:r>
      <w:r w:rsidRPr="00E83A4B">
        <w:rPr>
          <w:rFonts w:ascii="Calibri" w:eastAsia="Calibri" w:hAnsi="Calibri" w:cs="Times New Roman"/>
          <w:lang w:eastAsia="en-US"/>
        </w:rPr>
        <w:t xml:space="preserve"> added and vortexed</w:t>
      </w:r>
      <w:r w:rsidR="00AD2C91">
        <w:rPr>
          <w:rFonts w:ascii="Calibri" w:eastAsia="Calibri" w:hAnsi="Calibri" w:cs="Times New Roman"/>
          <w:lang w:eastAsia="en-US"/>
        </w:rPr>
        <w:t xml:space="preserve">. Samples were prepared in the same manner for both </w:t>
      </w:r>
      <w:r w:rsidR="00B56F86">
        <w:rPr>
          <w:rFonts w:ascii="Calibri" w:eastAsia="Calibri" w:hAnsi="Calibri" w:cs="Times New Roman"/>
          <w:lang w:eastAsia="en-US"/>
        </w:rPr>
        <w:t>ethanol</w:t>
      </w:r>
      <w:r w:rsidR="00AD2C91">
        <w:rPr>
          <w:rFonts w:ascii="Calibri" w:eastAsia="Calibri" w:hAnsi="Calibri" w:cs="Times New Roman"/>
          <w:lang w:eastAsia="en-US"/>
        </w:rPr>
        <w:t xml:space="preserve"> quantification analysis and identification of volatile components. </w:t>
      </w:r>
    </w:p>
    <w:p w:rsidR="00AD2C91" w:rsidRPr="00BE4A9F" w:rsidRDefault="00AD2C91" w:rsidP="00BE4A9F">
      <w:pPr>
        <w:pStyle w:val="Heading3"/>
        <w:rPr>
          <w:lang w:eastAsia="en-US"/>
        </w:rPr>
      </w:pPr>
      <w:bookmarkStart w:id="22" w:name="_Toc515617192"/>
      <w:r>
        <w:rPr>
          <w:lang w:eastAsia="en-US"/>
        </w:rPr>
        <w:t>Instrument conditions</w:t>
      </w:r>
      <w:bookmarkEnd w:id="22"/>
      <w:r>
        <w:rPr>
          <w:lang w:eastAsia="en-US"/>
        </w:rPr>
        <w:t xml:space="preserve"> </w:t>
      </w:r>
    </w:p>
    <w:p w:rsidR="00734392" w:rsidRDefault="009A3A56" w:rsidP="00715BEF">
      <w:pPr>
        <w:jc w:val="both"/>
      </w:pPr>
      <w:r>
        <w:t>For both analyse</w:t>
      </w:r>
      <w:r w:rsidR="00B56CB7">
        <w:t xml:space="preserve">s separation was achieved with </w:t>
      </w:r>
      <w:r>
        <w:t xml:space="preserve">a </w:t>
      </w:r>
      <w:r w:rsidR="00B56CB7">
        <w:t>789</w:t>
      </w:r>
      <w:r w:rsidR="00B56F86">
        <w:t>0</w:t>
      </w:r>
      <w:r w:rsidR="00B56CB7">
        <w:t xml:space="preserve">A GC systems (Agilent Technologies). </w:t>
      </w:r>
      <w:r w:rsidR="006244C6">
        <w:t xml:space="preserve">The HS-GC-FID was equipped with </w:t>
      </w:r>
      <w:r>
        <w:t xml:space="preserve">a </w:t>
      </w:r>
      <w:r w:rsidR="006244C6">
        <w:t>VF-WAXms column</w:t>
      </w:r>
      <w:r>
        <w:t>,</w:t>
      </w:r>
      <w:r w:rsidR="006244C6">
        <w:t xml:space="preserve"> which is</w:t>
      </w:r>
      <w:r w:rsidR="00B56F86">
        <w:t xml:space="preserve"> polar and suitable for ethanol quantification. The HS-GC/</w:t>
      </w:r>
      <w:r w:rsidR="006244C6">
        <w:t>MS was equipped with</w:t>
      </w:r>
      <w:r w:rsidR="00B56F86">
        <w:t xml:space="preserve"> a</w:t>
      </w:r>
      <w:r>
        <w:t xml:space="preserve"> DB-35ms UI column which has</w:t>
      </w:r>
      <w:r w:rsidR="006244C6">
        <w:t xml:space="preserve"> mid polarity and can separate the volatile components from e-liquids. The ins</w:t>
      </w:r>
      <w:r w:rsidR="00B56F86">
        <w:t>trument conditions are listed</w:t>
      </w:r>
      <w:r w:rsidR="002175FD">
        <w:t xml:space="preserve"> in detail in appendices</w:t>
      </w:r>
      <w:r w:rsidR="006244C6">
        <w:t xml:space="preserve"> </w:t>
      </w:r>
      <w:r w:rsidR="000354E1">
        <w:t>3</w:t>
      </w:r>
      <w:r w:rsidR="002175FD">
        <w:t> </w:t>
      </w:r>
      <w:r w:rsidR="000354E1">
        <w:t>&amp;</w:t>
      </w:r>
      <w:r w:rsidR="002175FD">
        <w:t> </w:t>
      </w:r>
      <w:r w:rsidR="000354E1">
        <w:t xml:space="preserve">4. </w:t>
      </w:r>
    </w:p>
    <w:p w:rsidR="00043A44" w:rsidRDefault="00043A44" w:rsidP="00C372B3">
      <w:pPr>
        <w:pStyle w:val="Heading3"/>
      </w:pPr>
      <w:bookmarkStart w:id="23" w:name="_Toc515617193"/>
      <w:r>
        <w:t xml:space="preserve">Method </w:t>
      </w:r>
      <w:r w:rsidR="00FE25B2">
        <w:t>v</w:t>
      </w:r>
      <w:r>
        <w:t>alidation</w:t>
      </w:r>
      <w:bookmarkEnd w:id="23"/>
    </w:p>
    <w:p w:rsidR="00764050" w:rsidRDefault="00B56F86" w:rsidP="00715BEF">
      <w:pPr>
        <w:jc w:val="both"/>
      </w:pPr>
      <w:r>
        <w:t>For the ethanol</w:t>
      </w:r>
      <w:r w:rsidR="003D7F7C" w:rsidRPr="00612B29">
        <w:t xml:space="preserve"> quantification</w:t>
      </w:r>
      <w:r w:rsidR="00C02A84" w:rsidRPr="00612B29">
        <w:t>,</w:t>
      </w:r>
      <w:r w:rsidR="003D7F7C" w:rsidRPr="00612B29">
        <w:t xml:space="preserve"> </w:t>
      </w:r>
      <w:r w:rsidR="009A3A56">
        <w:t xml:space="preserve">the </w:t>
      </w:r>
      <w:r w:rsidR="00C02A84" w:rsidRPr="00612B29">
        <w:t>l</w:t>
      </w:r>
      <w:r w:rsidR="00043A44" w:rsidRPr="00612B29">
        <w:t>inearity of cal</w:t>
      </w:r>
      <w:r w:rsidR="009A3A56">
        <w:t>ibration curve was assessed by</w:t>
      </w:r>
      <w:r w:rsidR="00043A44" w:rsidRPr="00612B29">
        <w:t xml:space="preserve"> the correlation coefficient (R</w:t>
      </w:r>
      <w:r w:rsidR="00043A44" w:rsidRPr="00612B29">
        <w:rPr>
          <w:vertAlign w:val="superscript"/>
        </w:rPr>
        <w:t>2</w:t>
      </w:r>
      <w:r w:rsidR="00043A44" w:rsidRPr="00612B29">
        <w:t xml:space="preserve">). The limit of detection of the method was calculated </w:t>
      </w:r>
      <w:r w:rsidR="00C02A84" w:rsidRPr="00612B29">
        <w:t xml:space="preserve">with </w:t>
      </w:r>
      <w:r w:rsidR="00612B29" w:rsidRPr="00612B29">
        <w:t>the following formula LOD=</w:t>
      </w:r>
      <w:r w:rsidR="008C3004" w:rsidRPr="00612B29">
        <w:t>3</w:t>
      </w:r>
      <w:r w:rsidR="00043A44" w:rsidRPr="00612B29">
        <w:t>*σ/</w:t>
      </w:r>
      <w:r w:rsidR="00C02A84" w:rsidRPr="00612B29">
        <w:t>s. Limit of quantification was calculated</w:t>
      </w:r>
      <w:r w:rsidR="00612B29" w:rsidRPr="00612B29">
        <w:t xml:space="preserve"> with the following formula LOQ=10*</w:t>
      </w:r>
      <w:r w:rsidR="00C02A84" w:rsidRPr="00612B29">
        <w:t>σ/s. Where σ</w:t>
      </w:r>
      <w:r w:rsidR="00612B29" w:rsidRPr="00612B29">
        <w:rPr>
          <w:vertAlign w:val="subscript"/>
        </w:rPr>
        <w:t xml:space="preserve"> </w:t>
      </w:r>
      <w:r w:rsidR="00C02A84" w:rsidRPr="00612B29">
        <w:t xml:space="preserve">is the </w:t>
      </w:r>
      <w:r w:rsidR="00612B29" w:rsidRPr="00612B29">
        <w:t xml:space="preserve">standard deviation of y </w:t>
      </w:r>
      <w:r w:rsidR="00C02A84" w:rsidRPr="00612B29">
        <w:t xml:space="preserve">and s in the slope of the calibration curve. The LOD and LOQ for the instrument were calculated by </w:t>
      </w:r>
      <w:r w:rsidR="009A3A56">
        <w:t xml:space="preserve">the </w:t>
      </w:r>
      <w:r w:rsidR="00C02A84" w:rsidRPr="00612B29">
        <w:t xml:space="preserve">standard deviation of the baseline and the average of the </w:t>
      </w:r>
      <w:r w:rsidR="00D10CAB" w:rsidRPr="00612B29">
        <w:t xml:space="preserve">instrument </w:t>
      </w:r>
      <w:r w:rsidR="00C02A84" w:rsidRPr="00612B29">
        <w:t>baseline with the following formulas, LOD = 3*</w:t>
      </w:r>
      <w:r w:rsidR="00C02A84" w:rsidRPr="00612B29">
        <w:rPr>
          <w:rFonts w:cstheme="minorHAnsi"/>
        </w:rPr>
        <w:t>σ</w:t>
      </w:r>
      <w:r w:rsidR="00C02A84" w:rsidRPr="00612B29">
        <w:rPr>
          <w:vertAlign w:val="subscript"/>
        </w:rPr>
        <w:t>b</w:t>
      </w:r>
      <w:r w:rsidR="00C02A84" w:rsidRPr="00612B29">
        <w:t>+avg and LOQ = 10*</w:t>
      </w:r>
      <w:r w:rsidR="00C02A84" w:rsidRPr="00612B29">
        <w:rPr>
          <w:rFonts w:cstheme="minorHAnsi"/>
        </w:rPr>
        <w:t xml:space="preserve"> σ</w:t>
      </w:r>
      <w:r w:rsidR="00C02A84" w:rsidRPr="00612B29">
        <w:rPr>
          <w:vertAlign w:val="subscript"/>
        </w:rPr>
        <w:t>b</w:t>
      </w:r>
      <w:r w:rsidR="00C02A84" w:rsidRPr="00612B29">
        <w:t xml:space="preserve">+avg. </w:t>
      </w:r>
      <w:r w:rsidR="00612B29" w:rsidRPr="00612B29">
        <w:t xml:space="preserve">Uncertainties of the various factors in the method were taken into consideration and </w:t>
      </w:r>
      <w:r w:rsidR="009A3A56">
        <w:t xml:space="preserve">added to </w:t>
      </w:r>
      <w:r w:rsidR="00612B29" w:rsidRPr="00612B29">
        <w:t xml:space="preserve">the calibration curves. </w:t>
      </w:r>
    </w:p>
    <w:p w:rsidR="00CF628A" w:rsidRDefault="00CF628A" w:rsidP="00715BEF">
      <w:pPr>
        <w:jc w:val="both"/>
      </w:pPr>
    </w:p>
    <w:p w:rsidR="00764050" w:rsidRPr="00CF628A" w:rsidRDefault="00770C5D" w:rsidP="00CF628A">
      <w:pPr>
        <w:pStyle w:val="Heading2"/>
        <w:rPr>
          <w:sz w:val="28"/>
        </w:rPr>
      </w:pPr>
      <w:bookmarkStart w:id="24" w:name="_Toc515617194"/>
      <w:bookmarkEnd w:id="16"/>
      <w:r w:rsidRPr="00FE25B2">
        <w:rPr>
          <w:sz w:val="28"/>
        </w:rPr>
        <w:lastRenderedPageBreak/>
        <w:t>Methods for samples containing cannabidiol</w:t>
      </w:r>
      <w:bookmarkEnd w:id="24"/>
      <w:r w:rsidRPr="00FE25B2">
        <w:rPr>
          <w:sz w:val="28"/>
        </w:rPr>
        <w:t xml:space="preserve"> </w:t>
      </w:r>
    </w:p>
    <w:p w:rsidR="00764050" w:rsidRPr="00764050" w:rsidRDefault="00770C5D" w:rsidP="00CF628A">
      <w:pPr>
        <w:pStyle w:val="Heading2"/>
      </w:pPr>
      <w:bookmarkStart w:id="25" w:name="_Toc515617195"/>
      <w:r>
        <w:t>Cannabidiol and cannabinol quantification from CBD oil and CBD e-liquids</w:t>
      </w:r>
      <w:bookmarkEnd w:id="25"/>
      <w:r w:rsidR="00764050">
        <w:t xml:space="preserve">  </w:t>
      </w:r>
    </w:p>
    <w:p w:rsidR="00606942" w:rsidRDefault="00317AC6" w:rsidP="00CF628A">
      <w:pPr>
        <w:spacing w:before="240"/>
        <w:jc w:val="both"/>
      </w:pPr>
      <w:r>
        <w:t xml:space="preserve">CBD and CBN were quantified by means of Infinity 1260 HPLC-UV system. </w:t>
      </w:r>
    </w:p>
    <w:p w:rsidR="003D3DF3" w:rsidRDefault="003D3DF3" w:rsidP="00FE25B2">
      <w:pPr>
        <w:pStyle w:val="Heading3"/>
      </w:pPr>
      <w:bookmarkStart w:id="26" w:name="_Toc515617196"/>
      <w:r>
        <w:t>Chemicals and reagents</w:t>
      </w:r>
      <w:bookmarkEnd w:id="26"/>
    </w:p>
    <w:p w:rsidR="003D3DF3" w:rsidRDefault="003D3DF3" w:rsidP="00715BEF">
      <w:pPr>
        <w:jc w:val="both"/>
      </w:pPr>
      <w:r>
        <w:t xml:space="preserve">For the calibration standards methanol </w:t>
      </w:r>
      <w:r>
        <w:rPr>
          <w:rFonts w:cstheme="minorHAnsi"/>
        </w:rPr>
        <w:t>≥</w:t>
      </w:r>
      <w:r w:rsidR="00764050">
        <w:t>99.9</w:t>
      </w:r>
      <w:r w:rsidR="000D25F3">
        <w:t xml:space="preserve"> </w:t>
      </w:r>
      <w:r w:rsidR="00764050">
        <w:t>%</w:t>
      </w:r>
      <w:r w:rsidR="00302BC8">
        <w:t xml:space="preserve"> </w:t>
      </w:r>
      <w:r>
        <w:t>was used as a solvent</w:t>
      </w:r>
      <w:r w:rsidR="00302BC8">
        <w:t>. Ca</w:t>
      </w:r>
      <w:r w:rsidR="00074309">
        <w:t>nnabinol and cannabidiol 1 mg/mL</w:t>
      </w:r>
      <w:r w:rsidR="00302BC8">
        <w:t xml:space="preserve"> dissolved in methanol</w:t>
      </w:r>
      <w:r w:rsidR="00764050">
        <w:t xml:space="preserve"> were used for the calibration standards</w:t>
      </w:r>
      <w:r w:rsidR="00302BC8">
        <w:t xml:space="preserve">. </w:t>
      </w:r>
      <w:r w:rsidR="00090818">
        <w:t xml:space="preserve">2-Propanol </w:t>
      </w:r>
      <w:r w:rsidR="00090818">
        <w:rPr>
          <w:rFonts w:cstheme="minorHAnsi"/>
        </w:rPr>
        <w:t>≥</w:t>
      </w:r>
      <w:r w:rsidR="00090818">
        <w:t>99.5</w:t>
      </w:r>
      <w:r w:rsidR="000D25F3">
        <w:t xml:space="preserve"> </w:t>
      </w:r>
      <w:r w:rsidR="00090818">
        <w:t xml:space="preserve">% was used for sample dilution. </w:t>
      </w:r>
      <w:r w:rsidR="007867EE">
        <w:t xml:space="preserve">MilliQ water and acetonitrile </w:t>
      </w:r>
      <w:r w:rsidR="007867EE">
        <w:rPr>
          <w:rFonts w:cstheme="minorHAnsi"/>
        </w:rPr>
        <w:t>≥</w:t>
      </w:r>
      <w:r w:rsidR="007867EE">
        <w:t>99.8</w:t>
      </w:r>
      <w:r w:rsidR="000D25F3">
        <w:t xml:space="preserve"> </w:t>
      </w:r>
      <w:r w:rsidR="007867EE">
        <w:t xml:space="preserve">% from were used as mobile phase. </w:t>
      </w:r>
      <w:r w:rsidR="00764050">
        <w:t xml:space="preserve">All chemicals were bought from Merck. </w:t>
      </w:r>
    </w:p>
    <w:p w:rsidR="007867EE" w:rsidRDefault="007867EE" w:rsidP="00FE25B2">
      <w:pPr>
        <w:pStyle w:val="Heading3"/>
      </w:pPr>
      <w:bookmarkStart w:id="27" w:name="_Toc515617197"/>
      <w:r>
        <w:t>Calibration standards</w:t>
      </w:r>
      <w:bookmarkEnd w:id="27"/>
    </w:p>
    <w:p w:rsidR="008640A2" w:rsidRDefault="007867EE" w:rsidP="00715BEF">
      <w:pPr>
        <w:jc w:val="both"/>
      </w:pPr>
      <w:r>
        <w:t>For both CBD and CBN calibration standards were made in 11 different concentrations (n=3</w:t>
      </w:r>
      <w:r w:rsidR="00090818">
        <w:t xml:space="preserve"> and diluted with methanol</w:t>
      </w:r>
      <w:r>
        <w:t xml:space="preserve">. The samples were transferred to brown vials and </w:t>
      </w:r>
      <w:r w:rsidRPr="00B4168E">
        <w:t xml:space="preserve">stored in the freezer </w:t>
      </w:r>
      <w:r w:rsidR="00B4168E" w:rsidRPr="00B4168E">
        <w:t>(</w:t>
      </w:r>
      <w:r w:rsidR="00B4168E">
        <w:t>-20</w:t>
      </w:r>
      <w:r w:rsidR="00ED6949">
        <w:t xml:space="preserve"> </w:t>
      </w:r>
      <w:r w:rsidR="00B4168E">
        <w:rPr>
          <w:rFonts w:cstheme="minorHAnsi"/>
        </w:rPr>
        <w:t>°</w:t>
      </w:r>
      <w:r w:rsidR="00B4168E">
        <w:t>C</w:t>
      </w:r>
      <w:r w:rsidRPr="00B4168E">
        <w:t>) prior</w:t>
      </w:r>
      <w:r w:rsidR="00764050">
        <w:t xml:space="preserve"> to</w:t>
      </w:r>
      <w:r>
        <w:t xml:space="preserve"> the analysis. The final concentrations of both CBD and CBN were 0.01,</w:t>
      </w:r>
      <w:r w:rsidR="00157555">
        <w:t xml:space="preserve"> </w:t>
      </w:r>
      <w:r>
        <w:t>0.1</w:t>
      </w:r>
      <w:r w:rsidR="008640A2">
        <w:t xml:space="preserve">, 0.2, 0.5, 1, 10, 25, 50, 100, 500, 1000 mg/l. </w:t>
      </w:r>
    </w:p>
    <w:p w:rsidR="008640A2" w:rsidRDefault="008640A2" w:rsidP="00FE25B2">
      <w:pPr>
        <w:pStyle w:val="Heading3"/>
      </w:pPr>
      <w:bookmarkStart w:id="28" w:name="_Toc515617198"/>
      <w:r>
        <w:t>Samples</w:t>
      </w:r>
      <w:bookmarkEnd w:id="28"/>
    </w:p>
    <w:p w:rsidR="008640A2" w:rsidRDefault="008640A2" w:rsidP="00715BEF">
      <w:pPr>
        <w:jc w:val="both"/>
      </w:pPr>
      <w:r>
        <w:t>Commercially available CBD products were purchased from</w:t>
      </w:r>
      <w:r w:rsidR="00AD6B2C">
        <w:t xml:space="preserve"> a local drugstore in</w:t>
      </w:r>
      <w:r>
        <w:t xml:space="preserve"> Vlissingen, Netherlands. Two CBD e-liquids which are stated to </w:t>
      </w:r>
      <w:r w:rsidR="00074309">
        <w:t>contain 5 mg/mL</w:t>
      </w:r>
      <w:r>
        <w:t xml:space="preserve"> of CBD and CBD oil which is stated to have 2.75</w:t>
      </w:r>
      <w:r w:rsidR="000D25F3">
        <w:t xml:space="preserve"> </w:t>
      </w:r>
      <w:r>
        <w:t xml:space="preserve">% CBD were used for the analysis. More information from CBD e-liquid samples can be found in appendix 2 and from CBD oil can be found in appendix </w:t>
      </w:r>
      <w:r w:rsidR="00FE25B2">
        <w:t xml:space="preserve">7. </w:t>
      </w:r>
    </w:p>
    <w:p w:rsidR="007867EE" w:rsidRDefault="00FE25B2" w:rsidP="00AD6B2C">
      <w:pPr>
        <w:pStyle w:val="Heading3"/>
      </w:pPr>
      <w:bookmarkStart w:id="29" w:name="_Toc515617199"/>
      <w:r>
        <w:t>Sample preparation</w:t>
      </w:r>
      <w:bookmarkEnd w:id="29"/>
      <w:r>
        <w:t xml:space="preserve"> </w:t>
      </w:r>
    </w:p>
    <w:p w:rsidR="008C4214" w:rsidRPr="008C4214" w:rsidRDefault="008C4214" w:rsidP="00715BEF">
      <w:pPr>
        <w:jc w:val="both"/>
      </w:pPr>
      <w:r w:rsidRPr="008C4214">
        <w:t>All samples w</w:t>
      </w:r>
      <w:r w:rsidR="00090818">
        <w:t>ere diluted in isopropanol</w:t>
      </w:r>
      <w:r w:rsidRPr="008C4214">
        <w:t xml:space="preserve"> 50 time</w:t>
      </w:r>
      <w:r w:rsidR="00AD6B2C">
        <w:t>s</w:t>
      </w:r>
      <w:r w:rsidRPr="008C4214">
        <w:t>.</w:t>
      </w:r>
      <w:r w:rsidR="002C2252">
        <w:t xml:space="preserve"> The pipette tips were cut again for the e-liquid sample pipetting.</w:t>
      </w:r>
      <w:r w:rsidRPr="008C4214">
        <w:t xml:space="preserve"> </w:t>
      </w:r>
      <w:r w:rsidR="00E21188" w:rsidRPr="008C4214">
        <w:t>Th</w:t>
      </w:r>
      <w:r w:rsidR="00E21188">
        <w:t>us,</w:t>
      </w:r>
      <w:r w:rsidRPr="008C4214">
        <w:t xml:space="preserve"> the CBD e-</w:t>
      </w:r>
      <w:r w:rsidR="00AD6B2C">
        <w:t>liquid samples should contain</w:t>
      </w:r>
      <w:r w:rsidRPr="008C4214">
        <w:t xml:space="preserve"> approximately 100 mg/l of </w:t>
      </w:r>
      <w:r w:rsidR="00AD6B2C">
        <w:t xml:space="preserve">CBD and the CBD oil should contain </w:t>
      </w:r>
      <w:r w:rsidRPr="008C4214">
        <w:t>approximately 55</w:t>
      </w:r>
      <w:r w:rsidR="002C2252">
        <w:t>0</w:t>
      </w:r>
      <w:r w:rsidRPr="008C4214">
        <w:t xml:space="preserve"> mg/l. Both concentrations are within the calib</w:t>
      </w:r>
      <w:r w:rsidR="00AD6B2C">
        <w:t>ration standard concentration range.</w:t>
      </w:r>
    </w:p>
    <w:p w:rsidR="00FE25B2" w:rsidRDefault="00FE25B2" w:rsidP="0089375F">
      <w:pPr>
        <w:pStyle w:val="Heading3"/>
      </w:pPr>
      <w:bookmarkStart w:id="30" w:name="_Toc515617200"/>
      <w:r>
        <w:t>Instrument conditions</w:t>
      </w:r>
      <w:bookmarkEnd w:id="30"/>
      <w:r>
        <w:t xml:space="preserve"> </w:t>
      </w:r>
    </w:p>
    <w:p w:rsidR="00FE25B2" w:rsidRDefault="00B56CB7" w:rsidP="00715BEF">
      <w:pPr>
        <w:jc w:val="both"/>
      </w:pPr>
      <w:r w:rsidRPr="00B56CB7">
        <w:t xml:space="preserve">The liquid chromatography was accomplished with a </w:t>
      </w:r>
      <w:r>
        <w:t xml:space="preserve">1260 Infinity </w:t>
      </w:r>
      <w:r w:rsidRPr="00B56CB7">
        <w:t>H</w:t>
      </w:r>
      <w:r w:rsidR="00764050">
        <w:t>PLC system (Agilent</w:t>
      </w:r>
      <w:r w:rsidRPr="00B56CB7">
        <w:t>).</w:t>
      </w:r>
      <w:r w:rsidR="002A2284">
        <w:t xml:space="preserve"> </w:t>
      </w:r>
      <w:r w:rsidR="00F02671">
        <w:t xml:space="preserve">For separation </w:t>
      </w:r>
      <w:r w:rsidR="00BF5D6F">
        <w:t xml:space="preserve">a Poroshell 120 </w:t>
      </w:r>
      <w:r w:rsidR="008A4E79">
        <w:t>EC-C18</w:t>
      </w:r>
      <w:r w:rsidR="00764050">
        <w:t xml:space="preserve">, 50 mm x 2.1 mm x </w:t>
      </w:r>
      <w:r w:rsidR="008A4E79">
        <w:t xml:space="preserve">2.7 </w:t>
      </w:r>
      <w:r w:rsidR="008A4E79">
        <w:rPr>
          <w:rFonts w:cstheme="minorHAnsi"/>
        </w:rPr>
        <w:t>µ</w:t>
      </w:r>
      <w:r w:rsidR="008A4E79">
        <w:t xml:space="preserve">m column with EC-C18 </w:t>
      </w:r>
      <w:r w:rsidR="00764050">
        <w:t xml:space="preserve">5 mm x 4.6 </w:t>
      </w:r>
      <w:r w:rsidR="009E4181">
        <w:t xml:space="preserve">mm </w:t>
      </w:r>
      <w:r w:rsidR="00764050">
        <w:t xml:space="preserve">x </w:t>
      </w:r>
      <w:r w:rsidR="008A4E79">
        <w:t xml:space="preserve">2.7 </w:t>
      </w:r>
      <w:r w:rsidR="00764050">
        <w:rPr>
          <w:rFonts w:cstheme="minorHAnsi"/>
        </w:rPr>
        <w:t>µ</w:t>
      </w:r>
      <w:r w:rsidR="00764050">
        <w:t xml:space="preserve">m </w:t>
      </w:r>
      <w:r w:rsidR="008A4E79">
        <w:t xml:space="preserve">guard column was used. Water and acetonitrile were used as a mobile phase. Further information of instrument set up can be found in appendix </w:t>
      </w:r>
      <w:r w:rsidR="0089375F">
        <w:t xml:space="preserve">8 and information about instrument parameters in appendix 9. </w:t>
      </w:r>
    </w:p>
    <w:p w:rsidR="0089375F" w:rsidRDefault="0089375F" w:rsidP="0089375F">
      <w:pPr>
        <w:pStyle w:val="Heading3"/>
      </w:pPr>
      <w:bookmarkStart w:id="31" w:name="_Toc515617201"/>
      <w:r>
        <w:t>Method validation</w:t>
      </w:r>
      <w:bookmarkEnd w:id="31"/>
    </w:p>
    <w:p w:rsidR="0089375F" w:rsidRDefault="0089375F" w:rsidP="00715BEF">
      <w:pPr>
        <w:jc w:val="both"/>
      </w:pPr>
      <w:r>
        <w:t xml:space="preserve">For CBD and CBN the linearity of </w:t>
      </w:r>
      <w:r w:rsidR="00373E18">
        <w:t xml:space="preserve">the </w:t>
      </w:r>
      <w:r>
        <w:t>calibration curve</w:t>
      </w:r>
      <w:r w:rsidR="00BB1BFF">
        <w:t>s were</w:t>
      </w:r>
      <w:r>
        <w:t xml:space="preserve"> assessed by the correlation coefficient (R</w:t>
      </w:r>
      <w:r>
        <w:rPr>
          <w:vertAlign w:val="superscript"/>
        </w:rPr>
        <w:t>2</w:t>
      </w:r>
      <w:r>
        <w:t>). the LOD a</w:t>
      </w:r>
      <w:r w:rsidR="00BB1BFF">
        <w:t>nd LOQ were calculated as described</w:t>
      </w:r>
      <w:r>
        <w:t xml:space="preserve"> </w:t>
      </w:r>
      <w:r w:rsidR="00BF4DF5">
        <w:t xml:space="preserve">in </w:t>
      </w:r>
      <w:r w:rsidR="00BB1BFF">
        <w:t xml:space="preserve">the </w:t>
      </w:r>
      <w:r w:rsidR="00BF4DF5">
        <w:t>ethan</w:t>
      </w:r>
      <w:r w:rsidR="003F5B73">
        <w:t>ol method validation section</w:t>
      </w:r>
      <w:r>
        <w:t xml:space="preserve">, for both the method and the instrument. </w:t>
      </w:r>
    </w:p>
    <w:p w:rsidR="005E4C0C" w:rsidRDefault="005E4C0C"/>
    <w:p w:rsidR="00CF628A" w:rsidRDefault="00CF628A"/>
    <w:p w:rsidR="00AD6B2C" w:rsidRDefault="00AD6B2C"/>
    <w:p w:rsidR="005E4C0C" w:rsidRPr="00CC0C6A" w:rsidRDefault="005E4C0C" w:rsidP="00CC0C6A">
      <w:pPr>
        <w:pStyle w:val="Heading2"/>
      </w:pPr>
      <w:bookmarkStart w:id="32" w:name="_Toc515617202"/>
      <w:r w:rsidRPr="00CC0C6A">
        <w:lastRenderedPageBreak/>
        <w:t>Identification of CBD oil chemical constituents</w:t>
      </w:r>
      <w:bookmarkEnd w:id="32"/>
      <w:r w:rsidRPr="00CC0C6A">
        <w:t xml:space="preserve"> </w:t>
      </w:r>
    </w:p>
    <w:p w:rsidR="005E4C0C" w:rsidRPr="00CC0C6A" w:rsidRDefault="005E4C0C" w:rsidP="00715BEF">
      <w:pPr>
        <w:jc w:val="both"/>
      </w:pPr>
      <w:r w:rsidRPr="00CC0C6A">
        <w:t xml:space="preserve">To determine the chemical constituents of CBD oil, the sample </w:t>
      </w:r>
      <w:r w:rsidR="00FE529B" w:rsidRPr="00CC0C6A">
        <w:t xml:space="preserve">preparation </w:t>
      </w:r>
      <w:r w:rsidRPr="00CC0C6A">
        <w:t>needed</w:t>
      </w:r>
      <w:r w:rsidR="00FE529B" w:rsidRPr="00CC0C6A">
        <w:t xml:space="preserve"> to be treated with the QuEChERS</w:t>
      </w:r>
      <w:r w:rsidRPr="00CC0C6A">
        <w:t xml:space="preserve"> method, the solvent evaporated and </w:t>
      </w:r>
      <w:r w:rsidR="00901426">
        <w:t xml:space="preserve">the remaining sample </w:t>
      </w:r>
      <w:r w:rsidRPr="00CC0C6A">
        <w:t>derivatized before introducing it to the GC-MS system</w:t>
      </w:r>
      <w:r w:rsidR="001B4A04" w:rsidRPr="00CC0C6A">
        <w:t>. The samples were also run on the Intuvo 9000 GC system t</w:t>
      </w:r>
      <w:r w:rsidR="00901426">
        <w:t>o see</w:t>
      </w:r>
      <w:r w:rsidR="00057313" w:rsidRPr="00CC0C6A">
        <w:t xml:space="preserve"> how the method would transfer to another GC system.  </w:t>
      </w:r>
    </w:p>
    <w:p w:rsidR="005E4C0C" w:rsidRPr="00CC0C6A" w:rsidRDefault="005E4C0C" w:rsidP="00CC0C6A">
      <w:pPr>
        <w:pStyle w:val="Heading3"/>
      </w:pPr>
      <w:bookmarkStart w:id="33" w:name="_Toc515617203"/>
      <w:r w:rsidRPr="00CC0C6A">
        <w:t>Chemicals and reagents</w:t>
      </w:r>
      <w:bookmarkEnd w:id="33"/>
    </w:p>
    <w:p w:rsidR="005E4C0C" w:rsidRPr="00CC0C6A" w:rsidRDefault="00057313" w:rsidP="00715BEF">
      <w:pPr>
        <w:jc w:val="both"/>
      </w:pPr>
      <w:r w:rsidRPr="00CC0C6A">
        <w:t xml:space="preserve">For sample preparation </w:t>
      </w:r>
      <w:r w:rsidR="00C461B0" w:rsidRPr="00CC0C6A">
        <w:t>QuEChERS</w:t>
      </w:r>
      <w:r w:rsidRPr="00CC0C6A">
        <w:t xml:space="preserve"> EN</w:t>
      </w:r>
      <w:r w:rsidR="00C461B0" w:rsidRPr="00CC0C6A">
        <w:t xml:space="preserve"> </w:t>
      </w:r>
      <w:r w:rsidR="003F2851" w:rsidRPr="00CC0C6A">
        <w:t>pack</w:t>
      </w:r>
      <w:r w:rsidRPr="00CC0C6A">
        <w:t xml:space="preserve"> were used.</w:t>
      </w:r>
      <w:r w:rsidR="003F2851" w:rsidRPr="00CC0C6A">
        <w:t xml:space="preserve"> </w:t>
      </w:r>
      <w:r w:rsidR="009C1585" w:rsidRPr="00CC0C6A">
        <w:t xml:space="preserve"> For further sample preparation EMR lipid tubes, polish salts, and Captiva</w:t>
      </w:r>
      <w:r w:rsidR="00B65300" w:rsidRPr="00CC0C6A">
        <w:t xml:space="preserve"> EMR lipids cartridges </w:t>
      </w:r>
      <w:r w:rsidR="003F2851" w:rsidRPr="00CC0C6A">
        <w:t xml:space="preserve">from Agilent Technologies were used along with acetonitrile </w:t>
      </w:r>
      <w:r w:rsidR="003F2851" w:rsidRPr="00CC0C6A">
        <w:rPr>
          <w:rFonts w:cstheme="minorHAnsi"/>
        </w:rPr>
        <w:t>≥</w:t>
      </w:r>
      <w:r w:rsidR="003F2851" w:rsidRPr="00CC0C6A">
        <w:t>99.8</w:t>
      </w:r>
      <w:r w:rsidR="000D25F3">
        <w:t xml:space="preserve"> </w:t>
      </w:r>
      <w:r w:rsidR="003F2851" w:rsidRPr="00CC0C6A">
        <w:t xml:space="preserve">% from </w:t>
      </w:r>
      <w:r w:rsidR="00901426">
        <w:t>Merck</w:t>
      </w:r>
      <w:r w:rsidR="003F2851" w:rsidRPr="00CC0C6A">
        <w:t xml:space="preserve">. </w:t>
      </w:r>
      <w:r w:rsidR="005E4C0C" w:rsidRPr="00CC0C6A">
        <w:t>N,O-Bis(trimethylsilyl)trifluoroacetamide</w:t>
      </w:r>
      <w:r w:rsidR="003F2851" w:rsidRPr="00CC0C6A">
        <w:t xml:space="preserve"> (BSTFA)</w:t>
      </w:r>
      <w:r w:rsidR="005E4C0C" w:rsidRPr="00CC0C6A">
        <w:t xml:space="preserve"> ≥99.9</w:t>
      </w:r>
      <w:r w:rsidR="000D25F3">
        <w:t xml:space="preserve"> </w:t>
      </w:r>
      <w:r w:rsidR="005E4C0C" w:rsidRPr="00CC0C6A">
        <w:t xml:space="preserve">% </w:t>
      </w:r>
      <w:r w:rsidR="00901426">
        <w:t>from Merck</w:t>
      </w:r>
      <w:r w:rsidR="003F2851" w:rsidRPr="00CC0C6A">
        <w:t xml:space="preserve"> and toluene from </w:t>
      </w:r>
      <w:r w:rsidR="00B65300" w:rsidRPr="00CC0C6A">
        <w:t>Honeywell</w:t>
      </w:r>
      <w:r w:rsidR="003F2851" w:rsidRPr="00CC0C6A">
        <w:t xml:space="preserve"> was used for derivatization of cannabinoids.</w:t>
      </w:r>
      <w:r w:rsidR="00A74759" w:rsidRPr="00CC0C6A">
        <w:t xml:space="preserve"> Methyl oleate 99</w:t>
      </w:r>
      <w:r w:rsidR="000D25F3">
        <w:t xml:space="preserve"> </w:t>
      </w:r>
      <w:r w:rsidR="00A74759" w:rsidRPr="00CC0C6A">
        <w:t xml:space="preserve">% </w:t>
      </w:r>
      <w:r w:rsidR="00901426">
        <w:t>from Merck</w:t>
      </w:r>
      <w:r w:rsidR="00461920" w:rsidRPr="00CC0C6A">
        <w:t xml:space="preserve"> was used as an internal standard. </w:t>
      </w:r>
    </w:p>
    <w:p w:rsidR="009D5179" w:rsidRPr="00CC0C6A" w:rsidRDefault="009D5179" w:rsidP="00CC0C6A">
      <w:pPr>
        <w:pStyle w:val="Heading3"/>
      </w:pPr>
      <w:bookmarkStart w:id="34" w:name="_Toc515617204"/>
      <w:r w:rsidRPr="00CC0C6A">
        <w:t>Internal standard</w:t>
      </w:r>
      <w:bookmarkEnd w:id="34"/>
      <w:r w:rsidRPr="00CC0C6A">
        <w:t xml:space="preserve"> </w:t>
      </w:r>
    </w:p>
    <w:p w:rsidR="00057313" w:rsidRPr="00CC0C6A" w:rsidRDefault="00D803E1" w:rsidP="00715BEF">
      <w:pPr>
        <w:jc w:val="both"/>
      </w:pPr>
      <w:r w:rsidRPr="00CC0C6A">
        <w:t xml:space="preserve">4730 </w:t>
      </w:r>
      <w:r w:rsidRPr="00CC0C6A">
        <w:rPr>
          <w:rFonts w:cstheme="minorHAnsi"/>
        </w:rPr>
        <w:t>µ</w:t>
      </w:r>
      <w:r w:rsidR="00852911">
        <w:t>L</w:t>
      </w:r>
      <w:r w:rsidRPr="00CC0C6A">
        <w:t xml:space="preserve"> of m</w:t>
      </w:r>
      <w:r w:rsidR="00852911">
        <w:t>ethyl oleate were</w:t>
      </w:r>
      <w:r w:rsidR="009D5179" w:rsidRPr="00CC0C6A">
        <w:t xml:space="preserve"> </w:t>
      </w:r>
      <w:r w:rsidR="00074309">
        <w:t>pipetted to</w:t>
      </w:r>
      <w:r w:rsidR="00852911">
        <w:t xml:space="preserve"> a</w:t>
      </w:r>
      <w:r w:rsidR="00074309">
        <w:t xml:space="preserve"> 100 mL</w:t>
      </w:r>
      <w:r w:rsidRPr="00CC0C6A">
        <w:t xml:space="preserve"> volumetric flask and filled to </w:t>
      </w:r>
      <w:r w:rsidR="00852911">
        <w:t xml:space="preserve">the </w:t>
      </w:r>
      <w:r w:rsidRPr="00CC0C6A">
        <w:t>mark with ac</w:t>
      </w:r>
      <w:r w:rsidR="00057313" w:rsidRPr="00CC0C6A">
        <w:t xml:space="preserve">etonitrile. From this solution 200 </w:t>
      </w:r>
      <w:r w:rsidR="00057313" w:rsidRPr="00CC0C6A">
        <w:rPr>
          <w:rFonts w:cstheme="minorHAnsi"/>
        </w:rPr>
        <w:t>µ</w:t>
      </w:r>
      <w:r w:rsidR="00057313" w:rsidRPr="00CC0C6A">
        <w:t>l</w:t>
      </w:r>
      <w:r w:rsidR="00852911">
        <w:t xml:space="preserve"> were</w:t>
      </w:r>
      <w:r w:rsidRPr="00CC0C6A">
        <w:t xml:space="preserve"> added to each centrifuge tube at the initial weighing of sample. </w:t>
      </w:r>
      <w:r w:rsidR="00057313" w:rsidRPr="00CC0C6A">
        <w:t xml:space="preserve">The methyl oleate solution was </w:t>
      </w:r>
      <w:r w:rsidR="00134ADE" w:rsidRPr="00CC0C6A">
        <w:t xml:space="preserve">further </w:t>
      </w:r>
      <w:r w:rsidR="00057313" w:rsidRPr="00CC0C6A">
        <w:t xml:space="preserve">diluted </w:t>
      </w:r>
      <w:r w:rsidR="00B63FE0" w:rsidRPr="00CC0C6A">
        <w:t>t</w:t>
      </w:r>
      <w:r w:rsidR="00074309">
        <w:t>o 755 mg/L</w:t>
      </w:r>
      <w:r w:rsidR="00B63FE0" w:rsidRPr="00CC0C6A">
        <w:t xml:space="preserve"> </w:t>
      </w:r>
      <w:r w:rsidR="00057313" w:rsidRPr="00CC0C6A">
        <w:t>with acetonitrile by pipetting 155</w:t>
      </w:r>
      <w:r w:rsidR="00852911">
        <w:t> </w:t>
      </w:r>
      <w:r w:rsidR="00057313" w:rsidRPr="00CC0C6A">
        <w:rPr>
          <w:rFonts w:cstheme="minorHAnsi"/>
        </w:rPr>
        <w:t>µ</w:t>
      </w:r>
      <w:r w:rsidR="00852911">
        <w:t>L</w:t>
      </w:r>
      <w:r w:rsidR="00074309">
        <w:t xml:space="preserve"> </w:t>
      </w:r>
      <w:r w:rsidR="00852911">
        <w:t>in</w:t>
      </w:r>
      <w:r w:rsidR="00074309">
        <w:t>to a 10 mL</w:t>
      </w:r>
      <w:r w:rsidR="00057313" w:rsidRPr="00CC0C6A">
        <w:t xml:space="preserve"> volumetric flask. From the diluted solution 200 </w:t>
      </w:r>
      <w:r w:rsidR="00057313" w:rsidRPr="00CC0C6A">
        <w:rPr>
          <w:rFonts w:cstheme="minorHAnsi"/>
        </w:rPr>
        <w:t>µ</w:t>
      </w:r>
      <w:r w:rsidR="00852911">
        <w:t>L</w:t>
      </w:r>
      <w:r w:rsidR="00057313" w:rsidRPr="00CC0C6A">
        <w:t xml:space="preserve"> was pipetted to vials with </w:t>
      </w:r>
      <w:r w:rsidR="00134ADE" w:rsidRPr="00CC0C6A">
        <w:t xml:space="preserve">vial inserts </w:t>
      </w:r>
      <w:r w:rsidR="00057313" w:rsidRPr="00CC0C6A">
        <w:t xml:space="preserve">from which the </w:t>
      </w:r>
      <w:r w:rsidR="00B65300" w:rsidRPr="00CC0C6A">
        <w:t>solvent</w:t>
      </w:r>
      <w:r w:rsidR="00852911">
        <w:t xml:space="preserve"> was evaporated</w:t>
      </w:r>
      <w:r w:rsidR="00057313" w:rsidRPr="00CC0C6A">
        <w:t>.</w:t>
      </w:r>
      <w:r w:rsidR="00852911">
        <w:t xml:space="preserve"> The methyl oleate was derivatized </w:t>
      </w:r>
      <w:r w:rsidR="003D7F68">
        <w:t>in similar manner as the samples.</w:t>
      </w:r>
      <w:r w:rsidR="00057313" w:rsidRPr="00CC0C6A">
        <w:t xml:space="preserve"> </w:t>
      </w:r>
    </w:p>
    <w:p w:rsidR="003F2851" w:rsidRPr="00CC0C6A" w:rsidRDefault="003F2851" w:rsidP="00CC0C6A">
      <w:pPr>
        <w:pStyle w:val="Heading3"/>
      </w:pPr>
      <w:bookmarkStart w:id="35" w:name="_Toc515617205"/>
      <w:r w:rsidRPr="00CC0C6A">
        <w:t>Samples</w:t>
      </w:r>
      <w:bookmarkEnd w:id="35"/>
    </w:p>
    <w:p w:rsidR="003F2851" w:rsidRPr="00CC0C6A" w:rsidRDefault="003F2851" w:rsidP="00715BEF">
      <w:pPr>
        <w:jc w:val="both"/>
      </w:pPr>
      <w:r w:rsidRPr="00CC0C6A">
        <w:t>The commercially available CBD oil was purchased from</w:t>
      </w:r>
      <w:r w:rsidR="00B65300" w:rsidRPr="00CC0C6A">
        <w:t xml:space="preserve"> a local drugstore</w:t>
      </w:r>
      <w:r w:rsidRPr="00CC0C6A">
        <w:t xml:space="preserve"> Vlissingen</w:t>
      </w:r>
      <w:r w:rsidR="00B65300" w:rsidRPr="00CC0C6A">
        <w:t>,</w:t>
      </w:r>
      <w:r w:rsidRPr="00CC0C6A">
        <w:t xml:space="preserve"> Netherlands. More information about the sample can be found in appendix 7.</w:t>
      </w:r>
    </w:p>
    <w:p w:rsidR="003F2851" w:rsidRPr="00CC0C6A" w:rsidRDefault="003F2851" w:rsidP="00CC0C6A">
      <w:pPr>
        <w:pStyle w:val="Heading3"/>
      </w:pPr>
      <w:bookmarkStart w:id="36" w:name="_Toc515617206"/>
      <w:r w:rsidRPr="00CC0C6A">
        <w:t>Sample Preparation</w:t>
      </w:r>
      <w:bookmarkEnd w:id="36"/>
      <w:r w:rsidRPr="00CC0C6A">
        <w:t xml:space="preserve"> </w:t>
      </w:r>
    </w:p>
    <w:p w:rsidR="007E552A" w:rsidRPr="00CC0C6A" w:rsidRDefault="00074309" w:rsidP="00715BEF">
      <w:pPr>
        <w:jc w:val="both"/>
      </w:pPr>
      <w:r>
        <w:t>In four centrifuge tubes (50 mL</w:t>
      </w:r>
      <w:r w:rsidR="00B65300" w:rsidRPr="00CC0C6A">
        <w:t xml:space="preserve">) approximately 3 g of sample was </w:t>
      </w:r>
      <w:r w:rsidR="006F0AF7">
        <w:t>weighed in, additionally</w:t>
      </w:r>
      <w:r w:rsidR="00B65300" w:rsidRPr="00CC0C6A">
        <w:t xml:space="preserve"> </w:t>
      </w:r>
      <w:r w:rsidR="006F0AF7">
        <w:t xml:space="preserve">to </w:t>
      </w:r>
      <w:r w:rsidR="00B65300" w:rsidRPr="00CC0C6A">
        <w:t xml:space="preserve">each </w:t>
      </w:r>
      <w:r w:rsidR="006F0AF7">
        <w:t xml:space="preserve">tube </w:t>
      </w:r>
      <w:r w:rsidR="00B65300" w:rsidRPr="00CC0C6A">
        <w:t xml:space="preserve">200 </w:t>
      </w:r>
      <w:r w:rsidR="00B65300" w:rsidRPr="00CC0C6A">
        <w:rPr>
          <w:rFonts w:cstheme="minorHAnsi"/>
        </w:rPr>
        <w:t>µ</w:t>
      </w:r>
      <w:r w:rsidR="006F0AF7">
        <w:t>L</w:t>
      </w:r>
      <w:r w:rsidR="00B65300" w:rsidRPr="00CC0C6A">
        <w:t xml:space="preserve"> of the internal standard solution was pipetted in. </w:t>
      </w:r>
      <w:r>
        <w:t>10 mL</w:t>
      </w:r>
      <w:r w:rsidR="007C4AAC" w:rsidRPr="00CC0C6A">
        <w:t xml:space="preserve"> of acetonitr</w:t>
      </w:r>
      <w:r w:rsidR="006F0AF7">
        <w:t>ile were</w:t>
      </w:r>
      <w:r w:rsidR="007C4AAC" w:rsidRPr="00CC0C6A">
        <w:t xml:space="preserve"> pipetted, vortexed, the pouch of extraction salts and ceramic bars added. </w:t>
      </w:r>
      <w:r w:rsidR="00544AF4" w:rsidRPr="00CC0C6A">
        <w:t>Shaken</w:t>
      </w:r>
      <w:r w:rsidR="007C4AAC" w:rsidRPr="00CC0C6A">
        <w:t xml:space="preserve"> for 20 seconds and centrifuged at 4400 rpm for 5 minutes. </w:t>
      </w:r>
      <w:r w:rsidR="007E552A" w:rsidRPr="00CC0C6A">
        <w:t>Supernatants from two</w:t>
      </w:r>
      <w:r w:rsidR="00693749" w:rsidRPr="00CC0C6A">
        <w:t xml:space="preserve"> tubes were combined and mixed together. One was used for </w:t>
      </w:r>
      <w:r w:rsidR="006F0AF7">
        <w:t xml:space="preserve">the </w:t>
      </w:r>
      <w:r w:rsidR="00693749" w:rsidRPr="00CC0C6A">
        <w:t xml:space="preserve">EMR Lipid </w:t>
      </w:r>
      <w:r w:rsidR="006F0AF7">
        <w:t xml:space="preserve">sorbent </w:t>
      </w:r>
      <w:r w:rsidR="00693749" w:rsidRPr="00CC0C6A">
        <w:t xml:space="preserve">clean up and </w:t>
      </w:r>
      <w:r w:rsidR="006F0AF7">
        <w:t xml:space="preserve">the other </w:t>
      </w:r>
      <w:r w:rsidR="00693749" w:rsidRPr="00CC0C6A">
        <w:t xml:space="preserve">one for </w:t>
      </w:r>
      <w:r w:rsidR="006F0AF7">
        <w:t xml:space="preserve">the </w:t>
      </w:r>
      <w:r w:rsidR="00693749" w:rsidRPr="00CC0C6A">
        <w:t>Captiva EMR Lipids</w:t>
      </w:r>
      <w:r w:rsidR="006F0AF7">
        <w:t xml:space="preserve"> cartridge</w:t>
      </w:r>
      <w:r w:rsidR="00693749" w:rsidRPr="00CC0C6A">
        <w:t xml:space="preserve"> clean up. </w:t>
      </w:r>
    </w:p>
    <w:p w:rsidR="00693749" w:rsidRPr="00CC0C6A" w:rsidRDefault="00074309" w:rsidP="00715BEF">
      <w:pPr>
        <w:jc w:val="both"/>
      </w:pPr>
      <w:r>
        <w:t>To a 15 mL</w:t>
      </w:r>
      <w:r w:rsidR="006F0AF7">
        <w:t xml:space="preserve"> EMR lipid tube 5 mL</w:t>
      </w:r>
      <w:r w:rsidR="00693749" w:rsidRPr="00CC0C6A">
        <w:t xml:space="preserve"> of wa</w:t>
      </w:r>
      <w:r w:rsidR="006F0AF7">
        <w:t>ter were</w:t>
      </w:r>
      <w:r>
        <w:t xml:space="preserve"> added and vortexed. 5 mL</w:t>
      </w:r>
      <w:r w:rsidR="006F0AF7">
        <w:t xml:space="preserve"> supernatant were</w:t>
      </w:r>
      <w:r w:rsidR="00693749" w:rsidRPr="00CC0C6A">
        <w:t xml:space="preserve"> added and vortexed</w:t>
      </w:r>
      <w:r w:rsidR="006F0AF7">
        <w:t xml:space="preserve"> for one minute, i</w:t>
      </w:r>
      <w:r w:rsidR="00693749" w:rsidRPr="00CC0C6A">
        <w:t>t was then centrifuged at 4400 rpm for 5 minutes. The supern</w:t>
      </w:r>
      <w:r>
        <w:t>atant was transferred to a 50 mL</w:t>
      </w:r>
      <w:r w:rsidR="00693749" w:rsidRPr="00CC0C6A">
        <w:t xml:space="preserve"> centrifuge tube long with drying salt and vortexed </w:t>
      </w:r>
      <w:r w:rsidR="0077181B" w:rsidRPr="00CC0C6A">
        <w:t>for one minute. Centrifuged at 4400 rpm</w:t>
      </w:r>
      <w:r w:rsidR="006F0AF7">
        <w:t xml:space="preserve"> for 5 minutes. Approximately 1.</w:t>
      </w:r>
      <w:r w:rsidR="0077181B" w:rsidRPr="00CC0C6A">
        <w:t xml:space="preserve">5 g of the </w:t>
      </w:r>
      <w:r w:rsidR="006F0AF7">
        <w:t>drying salt were</w:t>
      </w:r>
      <w:r>
        <w:t xml:space="preserve"> added to a 50 mL</w:t>
      </w:r>
      <w:r w:rsidR="0077181B" w:rsidRPr="00CC0C6A">
        <w:t xml:space="preserve"> centrifuge tube along with the supernatant, vortexed for one minute and centrifuged at 4400 rpm for 5 minutes. From this supernatant, 200 </w:t>
      </w:r>
      <w:r w:rsidR="0077181B" w:rsidRPr="00CC0C6A">
        <w:rPr>
          <w:rFonts w:cstheme="minorHAnsi"/>
        </w:rPr>
        <w:t>µ</w:t>
      </w:r>
      <w:r w:rsidR="006F0AF7">
        <w:t>L were</w:t>
      </w:r>
      <w:r w:rsidR="0077181B" w:rsidRPr="00CC0C6A">
        <w:t xml:space="preserve"> pipetted to a vial with vial insert. This was done in triplicate. </w:t>
      </w:r>
    </w:p>
    <w:p w:rsidR="0077181B" w:rsidRDefault="00074309" w:rsidP="00715BEF">
      <w:pPr>
        <w:jc w:val="both"/>
      </w:pPr>
      <w:r>
        <w:t>2 mL</w:t>
      </w:r>
      <w:r w:rsidR="00671B17" w:rsidRPr="00CC0C6A">
        <w:t xml:space="preserve"> of the s</w:t>
      </w:r>
      <w:r w:rsidR="0077181B" w:rsidRPr="00CC0C6A">
        <w:t xml:space="preserve">upernatant after </w:t>
      </w:r>
      <w:r w:rsidR="00430B86" w:rsidRPr="00CC0C6A">
        <w:t>Qu</w:t>
      </w:r>
      <w:r w:rsidR="00671B17" w:rsidRPr="00CC0C6A">
        <w:t>EChE</w:t>
      </w:r>
      <w:r>
        <w:t>RS extract</w:t>
      </w:r>
      <w:r w:rsidR="006F0AF7">
        <w:t>ion were</w:t>
      </w:r>
      <w:r>
        <w:t xml:space="preserve"> mixed with 0.5 mL</w:t>
      </w:r>
      <w:r w:rsidR="00671B17" w:rsidRPr="00CC0C6A">
        <w:t xml:space="preserve"> of water and vort</w:t>
      </w:r>
      <w:r>
        <w:t>exed. Captiva EMR cartridge 3 mL</w:t>
      </w:r>
      <w:r w:rsidR="00671B17" w:rsidRPr="00CC0C6A">
        <w:t xml:space="preserve"> was filled with the mixture. The solution was left to flow under gravity and assisted with vacuum pump to extract the last drops. </w:t>
      </w:r>
      <w:r w:rsidR="00071AA8">
        <w:t>The c</w:t>
      </w:r>
      <w:r>
        <w:t>artridge was rinsed with 0.5 mL</w:t>
      </w:r>
      <w:r w:rsidR="00671B17" w:rsidRPr="00CC0C6A">
        <w:t xml:space="preserve"> of acetonitrile and a</w:t>
      </w:r>
      <w:r>
        <w:t>gain vacuum was used. To a 50 mL</w:t>
      </w:r>
      <w:r w:rsidR="00671B17" w:rsidRPr="00CC0C6A">
        <w:t xml:space="preserve"> centrifuge tube approximately 1 g of dying salt was added along with the </w:t>
      </w:r>
      <w:r w:rsidR="00CC0C6A" w:rsidRPr="00CC0C6A">
        <w:t xml:space="preserve">supernatant. This was vortexed for one minute and then centrifuged at 4400 rpm for 5 minutes. From the supernatant 200 </w:t>
      </w:r>
      <w:r w:rsidR="00CC0C6A" w:rsidRPr="00CC0C6A">
        <w:rPr>
          <w:rFonts w:cstheme="minorHAnsi"/>
        </w:rPr>
        <w:t>µ</w:t>
      </w:r>
      <w:r w:rsidR="00071AA8">
        <w:t>L were</w:t>
      </w:r>
      <w:r w:rsidR="00CC0C6A" w:rsidRPr="00CC0C6A">
        <w:t xml:space="preserve"> pipetted to a vial with vial insert. All this was done in triplicate. </w:t>
      </w:r>
    </w:p>
    <w:p w:rsidR="005728F0" w:rsidRPr="00CC0C6A" w:rsidRDefault="005728F0" w:rsidP="00715BEF">
      <w:pPr>
        <w:jc w:val="both"/>
      </w:pPr>
      <w:r>
        <w:lastRenderedPageBreak/>
        <w:t>Th</w:t>
      </w:r>
      <w:r w:rsidR="00071AA8">
        <w:t>e solvent was evaporated under</w:t>
      </w:r>
      <w:r>
        <w:t xml:space="preserve"> vacuum. To each vial 50 </w:t>
      </w:r>
      <w:r>
        <w:rPr>
          <w:rFonts w:cstheme="minorHAnsi"/>
        </w:rPr>
        <w:t>µ</w:t>
      </w:r>
      <w:r w:rsidR="00071AA8">
        <w:t>L</w:t>
      </w:r>
      <w:r>
        <w:t xml:space="preserve"> of toluene and 50 </w:t>
      </w:r>
      <w:r>
        <w:rPr>
          <w:rFonts w:cstheme="minorHAnsi"/>
        </w:rPr>
        <w:t>µ</w:t>
      </w:r>
      <w:r w:rsidR="00071AA8">
        <w:t>L</w:t>
      </w:r>
      <w:r>
        <w:t xml:space="preserve"> of BSTFA were pipetted. Sample</w:t>
      </w:r>
      <w:r w:rsidR="00071AA8">
        <w:t>s were</w:t>
      </w:r>
      <w:r>
        <w:t xml:space="preserve"> vortexed and placed in a heating block</w:t>
      </w:r>
      <w:r w:rsidR="00071AA8">
        <w:t xml:space="preserve"> for 30 minutes</w:t>
      </w:r>
      <w:r>
        <w:t xml:space="preserve"> at 70 </w:t>
      </w:r>
      <w:r>
        <w:rPr>
          <w:rFonts w:cstheme="minorHAnsi"/>
        </w:rPr>
        <w:t>°</w:t>
      </w:r>
      <w:r w:rsidR="00071AA8">
        <w:t xml:space="preserve">C. </w:t>
      </w:r>
    </w:p>
    <w:p w:rsidR="009B2EE3" w:rsidRPr="00CC0C6A" w:rsidRDefault="009B2EE3" w:rsidP="00E21188">
      <w:pPr>
        <w:pStyle w:val="Heading3"/>
      </w:pPr>
      <w:bookmarkStart w:id="37" w:name="_Toc515617207"/>
      <w:r w:rsidRPr="00CC0C6A">
        <w:t>Instrument conditions</w:t>
      </w:r>
      <w:bookmarkEnd w:id="37"/>
      <w:r w:rsidRPr="00CC0C6A">
        <w:t xml:space="preserve"> </w:t>
      </w:r>
    </w:p>
    <w:p w:rsidR="001B4A04" w:rsidRPr="00CC0C6A" w:rsidRDefault="001B4A04" w:rsidP="00715BEF">
      <w:pPr>
        <w:jc w:val="both"/>
      </w:pPr>
      <w:r w:rsidRPr="00CC0C6A">
        <w:t xml:space="preserve">Both GC systems were equipped with DB-35ms UI columns. </w:t>
      </w:r>
      <w:r w:rsidR="00D60A48" w:rsidRPr="00CC0C6A">
        <w:t xml:space="preserve">Identification </w:t>
      </w:r>
      <w:r w:rsidR="00CC0C6A">
        <w:t xml:space="preserve">of components </w:t>
      </w:r>
      <w:r w:rsidR="00D60A48" w:rsidRPr="00CC0C6A">
        <w:t xml:space="preserve">was achieved with </w:t>
      </w:r>
      <w:r w:rsidR="00071AA8">
        <w:t xml:space="preserve">a </w:t>
      </w:r>
      <w:r w:rsidR="00D60A48" w:rsidRPr="00CC0C6A">
        <w:t xml:space="preserve">7890A GC equipped with MS. For the </w:t>
      </w:r>
      <w:r w:rsidR="00E21188">
        <w:t>observation of the method on another GC system</w:t>
      </w:r>
      <w:r w:rsidR="00CC0C6A">
        <w:t xml:space="preserve">, a separation was achieved </w:t>
      </w:r>
      <w:r w:rsidR="00D60A48" w:rsidRPr="00CC0C6A">
        <w:t>with the Intuvo 9000 GC system equipped with a FID. Further details about instrument conditions can be found in appendi</w:t>
      </w:r>
      <w:r w:rsidR="00E21188">
        <w:t>ces 14 &amp; 15.</w:t>
      </w:r>
    </w:p>
    <w:p w:rsidR="009D5179" w:rsidRDefault="009D5179" w:rsidP="005E4C0C"/>
    <w:p w:rsidR="009B2EE3" w:rsidRDefault="009B2EE3" w:rsidP="005E4C0C"/>
    <w:p w:rsidR="00753679" w:rsidRDefault="00753679" w:rsidP="005E4C0C"/>
    <w:p w:rsidR="00753679" w:rsidRDefault="00753679" w:rsidP="005E4C0C"/>
    <w:p w:rsidR="00E21188" w:rsidRDefault="00E21188" w:rsidP="005E4C0C"/>
    <w:p w:rsidR="00E21188" w:rsidRDefault="00E21188" w:rsidP="005E4C0C"/>
    <w:p w:rsidR="00E21188" w:rsidRDefault="00E21188" w:rsidP="005E4C0C"/>
    <w:p w:rsidR="00E21188" w:rsidRDefault="00E21188" w:rsidP="005E4C0C"/>
    <w:p w:rsidR="00E21188" w:rsidRDefault="00E21188" w:rsidP="005E4C0C"/>
    <w:p w:rsidR="00E21188" w:rsidRDefault="00E21188" w:rsidP="005E4C0C"/>
    <w:p w:rsidR="00E21188" w:rsidRDefault="00E21188" w:rsidP="005E4C0C"/>
    <w:p w:rsidR="00E21188" w:rsidRDefault="00E21188" w:rsidP="005E4C0C"/>
    <w:p w:rsidR="00E21188" w:rsidRDefault="00E21188" w:rsidP="005E4C0C"/>
    <w:p w:rsidR="00E21188" w:rsidRDefault="00E21188" w:rsidP="005E4C0C"/>
    <w:p w:rsidR="00E21188" w:rsidRDefault="00E21188" w:rsidP="005E4C0C"/>
    <w:p w:rsidR="00E21188" w:rsidRDefault="00E21188" w:rsidP="005E4C0C"/>
    <w:p w:rsidR="00E21188" w:rsidRDefault="00E21188" w:rsidP="005E4C0C"/>
    <w:p w:rsidR="002621C8" w:rsidRDefault="002621C8" w:rsidP="005E4C0C"/>
    <w:p w:rsidR="00E21188" w:rsidRPr="005E4C0C" w:rsidRDefault="00E21188" w:rsidP="005E4C0C"/>
    <w:p w:rsidR="00B91B55" w:rsidRDefault="00734392" w:rsidP="009E4181">
      <w:pPr>
        <w:pStyle w:val="Heading1"/>
      </w:pPr>
      <w:bookmarkStart w:id="38" w:name="_Toc515617208"/>
      <w:bookmarkStart w:id="39" w:name="_Hlk514751289"/>
      <w:r>
        <w:lastRenderedPageBreak/>
        <w:t>Results</w:t>
      </w:r>
      <w:bookmarkEnd w:id="38"/>
      <w:r>
        <w:t xml:space="preserve"> </w:t>
      </w:r>
    </w:p>
    <w:p w:rsidR="00B91B55" w:rsidRPr="00B91B55" w:rsidRDefault="00B91B55" w:rsidP="00071AA8">
      <w:pPr>
        <w:pStyle w:val="Heading2"/>
        <w:spacing w:line="360" w:lineRule="auto"/>
        <w:rPr>
          <w:lang w:eastAsia="en-US"/>
        </w:rPr>
      </w:pPr>
      <w:bookmarkStart w:id="40" w:name="_Toc515617209"/>
      <w:r>
        <w:rPr>
          <w:lang w:eastAsia="en-US"/>
        </w:rPr>
        <w:t>E-liquid analysis results</w:t>
      </w:r>
      <w:bookmarkEnd w:id="40"/>
      <w:r>
        <w:rPr>
          <w:lang w:eastAsia="en-US"/>
        </w:rPr>
        <w:t xml:space="preserve"> </w:t>
      </w:r>
    </w:p>
    <w:p w:rsidR="00B3070F" w:rsidRDefault="004E58AE" w:rsidP="00071AA8">
      <w:pPr>
        <w:pStyle w:val="Heading3"/>
        <w:spacing w:line="360" w:lineRule="auto"/>
      </w:pPr>
      <w:bookmarkStart w:id="41" w:name="_Toc515617210"/>
      <w:r>
        <w:t>Results of ethanol</w:t>
      </w:r>
      <w:r w:rsidR="00B3070F">
        <w:t xml:space="preserve"> quantification</w:t>
      </w:r>
      <w:bookmarkEnd w:id="41"/>
      <w:r w:rsidR="00B3070F">
        <w:t xml:space="preserve"> </w:t>
      </w:r>
    </w:p>
    <w:p w:rsidR="00B3070F" w:rsidRDefault="004E58AE" w:rsidP="00715BEF">
      <w:pPr>
        <w:jc w:val="both"/>
      </w:pPr>
      <w:r>
        <w:t>The ethanol</w:t>
      </w:r>
      <w:r w:rsidR="00B3070F">
        <w:t xml:space="preserve"> quantification was done by the calibration curve</w:t>
      </w:r>
      <w:r w:rsidR="00612B29">
        <w:t xml:space="preserve"> </w:t>
      </w:r>
      <w:r w:rsidR="00071AA8">
        <w:t>from</w:t>
      </w:r>
      <w:r w:rsidR="00612B29">
        <w:t xml:space="preserve"> appendix </w:t>
      </w:r>
      <w:r w:rsidR="009828A6">
        <w:t>5</w:t>
      </w:r>
      <w:r w:rsidR="00B3070F">
        <w:t>.</w:t>
      </w:r>
      <w:r>
        <w:t xml:space="preserve"> The ethano</w:t>
      </w:r>
      <w:r w:rsidR="00D10CAB">
        <w:t xml:space="preserve">l response </w:t>
      </w:r>
      <w:r w:rsidR="00945232">
        <w:t>was adjusted according to the response of the internal standard.</w:t>
      </w:r>
      <w:r w:rsidR="00B3070F">
        <w:t xml:space="preserve"> The results from samples 1, 2, 5 and 7 are below</w:t>
      </w:r>
      <w:r w:rsidR="00071AA8">
        <w:t xml:space="preserve"> the calculated</w:t>
      </w:r>
      <w:r w:rsidR="00B3070F">
        <w:t xml:space="preserve"> limit of quantification. Juicy Peach had 2.6 mg, Watermelon 18.6 mg and CB</w:t>
      </w:r>
      <w:r>
        <w:t>D Classic 48.4 mg of ethan</w:t>
      </w:r>
      <w:r w:rsidR="00B3070F">
        <w:t>ol in the total quantity of the sample in the bottle. All these are below the 0.4 % which is trace alcohol levels as discussed by Valentine et al. Therefore, these samples did not</w:t>
      </w:r>
      <w:r>
        <w:t xml:space="preserve"> contain ethan</w:t>
      </w:r>
      <w:r w:rsidR="00B3070F">
        <w:t>ol in the level which could influence the psychomotor performance of an individual. The reason for the flavored e-liquids to con</w:t>
      </w:r>
      <w:r>
        <w:t>tain trace levels of ethan</w:t>
      </w:r>
      <w:r w:rsidR="00B3070F">
        <w:t>ol can be, that it has been used as a solvent. The CBD Classic could contain</w:t>
      </w:r>
      <w:r>
        <w:t xml:space="preserve"> ethan</w:t>
      </w:r>
      <w:r w:rsidR="00B3070F">
        <w:t>ol due to its ability to extract cannabinoids from C. Sativa.</w:t>
      </w:r>
    </w:p>
    <w:p w:rsidR="00B3070F" w:rsidRDefault="00B3070F" w:rsidP="00715BEF">
      <w:pPr>
        <w:jc w:val="both"/>
      </w:pPr>
      <w:r>
        <w:t>The RSD</w:t>
      </w:r>
      <w:r w:rsidR="000D25F3">
        <w:t xml:space="preserve"> </w:t>
      </w:r>
      <w:r>
        <w:t>% for Juicy Peach, Watermelon and C</w:t>
      </w:r>
      <w:r w:rsidR="00FB0BA4">
        <w:t>BD Classic for the ethanol</w:t>
      </w:r>
      <w:r>
        <w:t xml:space="preserve"> results were 7.5</w:t>
      </w:r>
      <w:r w:rsidR="000D25F3">
        <w:t xml:space="preserve"> </w:t>
      </w:r>
      <w:r>
        <w:t>%, 12.6</w:t>
      </w:r>
      <w:r w:rsidR="000D25F3">
        <w:t xml:space="preserve"> </w:t>
      </w:r>
      <w:r>
        <w:t>% and 2.7</w:t>
      </w:r>
      <w:r w:rsidR="000D25F3">
        <w:t xml:space="preserve"> </w:t>
      </w:r>
      <w:r>
        <w:t xml:space="preserve">% respectively. This indicates that the methods still requires optimization. A </w:t>
      </w:r>
      <w:r w:rsidR="00071AA8">
        <w:t xml:space="preserve">step </w:t>
      </w:r>
      <w:r w:rsidR="00071AA8" w:rsidRPr="00071AA8">
        <w:t xml:space="preserve">possible </w:t>
      </w:r>
      <w:r>
        <w:t>would be the headspace sampling. The partition coefficient has been increased by increasing the incubation temperature to 90 °C. However, the phase ratio should be decreased with increasing the amount of the sample in the HS vial which then would increase the instrument response and sens</w:t>
      </w:r>
      <w:r w:rsidR="00074309">
        <w:t>itivity. The low value of 1.9 mL</w:t>
      </w:r>
      <w:r>
        <w:t xml:space="preserve"> was used due to using research done by Peace et al. as a reference. </w:t>
      </w:r>
    </w:p>
    <w:p w:rsidR="00980BDE" w:rsidRPr="000D33CC" w:rsidRDefault="00745641" w:rsidP="00715BEF">
      <w:pPr>
        <w:jc w:val="both"/>
      </w:pPr>
      <w:r w:rsidRPr="000D33CC">
        <w:t>The correlation coefficient (R</w:t>
      </w:r>
      <w:r w:rsidRPr="005A409E">
        <w:rPr>
          <w:vertAlign w:val="superscript"/>
        </w:rPr>
        <w:t>2</w:t>
      </w:r>
      <w:r w:rsidRPr="000D33CC">
        <w:t xml:space="preserve">) was 0.996 which can be concluded as adequate linearity. </w:t>
      </w:r>
      <w:r w:rsidR="00980BDE" w:rsidRPr="000D33CC">
        <w:t xml:space="preserve">The LOD for the method was </w:t>
      </w:r>
      <w:r w:rsidR="00071AA8">
        <w:t>1.8 mg/L</w:t>
      </w:r>
      <w:r w:rsidR="009828A6" w:rsidRPr="000D33CC">
        <w:t xml:space="preserve"> and LOQ 5.7</w:t>
      </w:r>
      <w:r w:rsidR="00071AA8">
        <w:t xml:space="preserve"> mg/L</w:t>
      </w:r>
      <w:r w:rsidRPr="000D33CC">
        <w:t>. The LOD for the instr</w:t>
      </w:r>
      <w:r w:rsidR="009828A6" w:rsidRPr="000D33CC">
        <w:t>ument was determined t</w:t>
      </w:r>
      <w:r w:rsidR="00074309">
        <w:t>o be 1.0</w:t>
      </w:r>
      <w:r w:rsidR="0047173F">
        <w:t> </w:t>
      </w:r>
      <w:r w:rsidR="00074309">
        <w:t>mg/mL and LOQ 3.0 mg/mL</w:t>
      </w:r>
      <w:r w:rsidR="009828A6" w:rsidRPr="000D33CC">
        <w:t xml:space="preserve">. </w:t>
      </w:r>
      <w:r w:rsidR="000D33CC" w:rsidRPr="000D33CC">
        <w:t>The Calibration curve from which the LOD and LOQ for the metho</w:t>
      </w:r>
      <w:r w:rsidR="00071AA8">
        <w:t>d was calculated can be found</w:t>
      </w:r>
      <w:r w:rsidR="000D33CC" w:rsidRPr="000D33CC">
        <w:t xml:space="preserve"> in appendix 6. </w:t>
      </w:r>
    </w:p>
    <w:p w:rsidR="00B3070F" w:rsidRDefault="00B3070F" w:rsidP="00B3070F">
      <w:pPr>
        <w:pStyle w:val="Heading3"/>
      </w:pPr>
      <w:bookmarkStart w:id="42" w:name="_Toc515617211"/>
      <w:r>
        <w:t>Results of identification of volatile components in e-liquids</w:t>
      </w:r>
      <w:bookmarkEnd w:id="42"/>
    </w:p>
    <w:p w:rsidR="001D367B" w:rsidRDefault="00B3070F" w:rsidP="00715BEF">
      <w:pPr>
        <w:jc w:val="both"/>
        <w:sectPr w:rsidR="001D367B" w:rsidSect="002E44B5">
          <w:footerReference w:type="default" r:id="rId18"/>
          <w:footerReference w:type="first" r:id="rId19"/>
          <w:pgSz w:w="11906" w:h="16838" w:code="9"/>
          <w:pgMar w:top="1440" w:right="1440" w:bottom="1440" w:left="1440" w:header="720" w:footer="720" w:gutter="0"/>
          <w:pgNumType w:start="1"/>
          <w:cols w:space="720"/>
          <w:titlePg/>
          <w:docGrid w:linePitch="360"/>
        </w:sectPr>
      </w:pPr>
      <w:r w:rsidRPr="009D1F84">
        <w:t xml:space="preserve">The components were identified with the help of the </w:t>
      </w:r>
      <w:r w:rsidR="004E58AE">
        <w:t>MS-Library of the National Institute of Standardization (</w:t>
      </w:r>
      <w:r w:rsidRPr="009D1F84">
        <w:t>NIST</w:t>
      </w:r>
      <w:r w:rsidR="004E58AE">
        <w:t>)</w:t>
      </w:r>
      <w:r w:rsidRPr="009D1F84">
        <w:t xml:space="preserve"> and by using the results of the research conducted</w:t>
      </w:r>
      <w:r w:rsidR="004E58AE">
        <w:t xml:space="preserve"> by</w:t>
      </w:r>
      <w:r w:rsidRPr="009D1F84">
        <w:t xml:space="preserve"> Aszyk et al. as a reference for </w:t>
      </w:r>
      <w:r w:rsidR="009D1F84" w:rsidRPr="009D1F84">
        <w:t>flavor</w:t>
      </w:r>
      <w:r w:rsidRPr="009D1F84">
        <w:t xml:space="preserve"> </w:t>
      </w:r>
      <w:r w:rsidRPr="0015754D">
        <w:t>profiles in e-liquids.</w:t>
      </w:r>
      <w:r w:rsidR="00AD497F" w:rsidRPr="0015754D">
        <w:t xml:space="preserve"> Please note that there were no reference standards, except for ethanol, and thus the identification is made purely with the aid of the NIST library. When referring to an i</w:t>
      </w:r>
      <w:r w:rsidR="0047173F">
        <w:t>dentified compound, it is simply</w:t>
      </w:r>
      <w:r w:rsidR="00AD497F" w:rsidRPr="0015754D">
        <w:t xml:space="preserve"> a possible identification.</w:t>
      </w:r>
      <w:r w:rsidRPr="0015754D">
        <w:t xml:space="preserve"> In total</w:t>
      </w:r>
      <w:r w:rsidRPr="009D1F84">
        <w:t>, 2</w:t>
      </w:r>
      <w:r w:rsidR="00945232" w:rsidRPr="009D1F84">
        <w:t>3</w:t>
      </w:r>
      <w:r w:rsidRPr="009D1F84">
        <w:t xml:space="preserve"> components were detected and identified by the means of mass spectrometry.</w:t>
      </w:r>
      <w:r w:rsidR="00E64600">
        <w:t xml:space="preserve"> From these components 22</w:t>
      </w:r>
      <w:r w:rsidR="000E1C32">
        <w:t xml:space="preserve"> can be categorized</w:t>
      </w:r>
      <w:r w:rsidR="00945232" w:rsidRPr="009D1F84">
        <w:t xml:space="preserve"> as flavor components.</w:t>
      </w:r>
      <w:r w:rsidR="009A0077" w:rsidRPr="009D1F84">
        <w:t xml:space="preserve"> In most of the cases the </w:t>
      </w:r>
      <w:r w:rsidR="00857E04">
        <w:t xml:space="preserve">flavor </w:t>
      </w:r>
      <w:r w:rsidR="009A0077" w:rsidRPr="009D1F84">
        <w:t xml:space="preserve">components are regarded as generally safe, however, </w:t>
      </w:r>
      <w:r w:rsidR="0047173F">
        <w:t>they can be only be considered generally safe when</w:t>
      </w:r>
      <w:r w:rsidR="009F10D1">
        <w:t xml:space="preserve"> they are in low concentrations</w:t>
      </w:r>
      <w:r w:rsidR="009A0077" w:rsidRPr="009D1F84">
        <w:t>.</w:t>
      </w:r>
      <w:r w:rsidR="00857E04">
        <w:t xml:space="preserve"> The other components which could not be identified as flavor components were </w:t>
      </w:r>
      <w:r w:rsidR="004E58AE">
        <w:t>ethan</w:t>
      </w:r>
      <w:r w:rsidR="00DB479D">
        <w:t xml:space="preserve">ol, </w:t>
      </w:r>
      <w:r w:rsidR="004E58AE">
        <w:t>propan</w:t>
      </w:r>
      <w:r w:rsidR="00E64600">
        <w:t>ol (</w:t>
      </w:r>
      <w:r w:rsidR="00DB479D">
        <w:t>IS</w:t>
      </w:r>
      <w:r w:rsidR="00E64600">
        <w:t>)</w:t>
      </w:r>
      <w:r w:rsidR="00DB479D">
        <w:t>, 2-m</w:t>
      </w:r>
      <w:r w:rsidR="00DB479D" w:rsidRPr="00DB479D">
        <w:t>ethyl-1,3-dioxolane</w:t>
      </w:r>
      <w:r w:rsidR="00E64600">
        <w:t xml:space="preserve"> </w:t>
      </w:r>
      <w:r w:rsidR="00DB479D">
        <w:t xml:space="preserve">and nicotine. </w:t>
      </w:r>
      <w:r w:rsidR="009A0077" w:rsidRPr="009D1F84">
        <w:t>With this research, the quantities of the flavor components were not determined and thus the safety of the flavor components in the e-liquids cannot be discussed.</w:t>
      </w:r>
      <w:r w:rsidRPr="009D1F84">
        <w:t xml:space="preserve"> In the reference research by Aszyk et al. almost 100 compounds were </w:t>
      </w:r>
      <w:r w:rsidR="00E220B2" w:rsidRPr="009D1F84">
        <w:t>identified</w:t>
      </w:r>
      <w:r w:rsidR="00DF7832">
        <w:t xml:space="preserve"> and nine of those compounds were also found in this research</w:t>
      </w:r>
      <w:r w:rsidR="00425606">
        <w:t xml:space="preserve"> and will be indicated with an asterisk</w:t>
      </w:r>
      <w:r w:rsidR="00E64600">
        <w:t xml:space="preserve"> in the table below</w:t>
      </w:r>
      <w:r w:rsidRPr="009D1F84">
        <w:t xml:space="preserve">. As it was </w:t>
      </w:r>
      <w:r w:rsidR="005A409E">
        <w:t>already noted with ethan</w:t>
      </w:r>
      <w:r w:rsidRPr="009D1F84">
        <w:t xml:space="preserve">ol quantification, the headspace sampling could be improved, and due to the high phase ratio in the vial, it is likely that efficient sample transfer was not achieved, and </w:t>
      </w:r>
      <w:r w:rsidR="00572015">
        <w:t xml:space="preserve">therefore </w:t>
      </w:r>
      <w:r w:rsidRPr="009D1F84">
        <w:t xml:space="preserve">there is a possibility that </w:t>
      </w:r>
      <w:r w:rsidR="009A0077" w:rsidRPr="009D1F84">
        <w:t>some</w:t>
      </w:r>
      <w:r w:rsidRPr="009D1F84">
        <w:t xml:space="preserve"> compounds were not detected. </w:t>
      </w:r>
      <w:r w:rsidR="00572015">
        <w:t xml:space="preserve"> Another possibility is that the samples did not contain other compounds than stated in the table below. </w:t>
      </w:r>
    </w:p>
    <w:p w:rsidR="00DF7832" w:rsidRPr="00F04CF2" w:rsidRDefault="002C6902" w:rsidP="002C6902">
      <w:pPr>
        <w:pStyle w:val="Caption"/>
        <w:rPr>
          <w:rFonts w:cstheme="minorHAnsi"/>
          <w:sz w:val="20"/>
        </w:rPr>
      </w:pPr>
      <w:r>
        <w:lastRenderedPageBreak/>
        <w:t xml:space="preserve">Table </w:t>
      </w:r>
      <w:r w:rsidR="002E375B">
        <w:fldChar w:fldCharType="begin"/>
      </w:r>
      <w:r w:rsidR="002E375B">
        <w:instrText xml:space="preserve"> SEQ Table \* ARABIC </w:instrText>
      </w:r>
      <w:r w:rsidR="002E375B">
        <w:fldChar w:fldCharType="separate"/>
      </w:r>
      <w:r w:rsidR="00715BEF">
        <w:rPr>
          <w:noProof/>
        </w:rPr>
        <w:t>1</w:t>
      </w:r>
      <w:r w:rsidR="002E375B">
        <w:rPr>
          <w:noProof/>
        </w:rPr>
        <w:fldChar w:fldCharType="end"/>
      </w:r>
      <w:r w:rsidRPr="002C6902">
        <w:t xml:space="preserve"> </w:t>
      </w:r>
      <w:r>
        <w:t xml:space="preserve">Possible identifications of </w:t>
      </w:r>
      <w:r w:rsidRPr="002C6902">
        <w:t>volatile compounds from seven commercially available e-liquids.</w:t>
      </w:r>
    </w:p>
    <w:tbl>
      <w:tblPr>
        <w:tblW w:w="13958" w:type="dxa"/>
        <w:tblLook w:val="04A0" w:firstRow="1" w:lastRow="0" w:firstColumn="1" w:lastColumn="0" w:noHBand="0" w:noVBand="1"/>
      </w:tblPr>
      <w:tblGrid>
        <w:gridCol w:w="1014"/>
        <w:gridCol w:w="3049"/>
        <w:gridCol w:w="222"/>
        <w:gridCol w:w="982"/>
        <w:gridCol w:w="1122"/>
        <w:gridCol w:w="1122"/>
        <w:gridCol w:w="1122"/>
        <w:gridCol w:w="1962"/>
        <w:gridCol w:w="1541"/>
        <w:gridCol w:w="1822"/>
      </w:tblGrid>
      <w:tr w:rsidR="00572015" w:rsidRPr="00F04CF2" w:rsidTr="002C6902">
        <w:trPr>
          <w:trHeight w:val="847"/>
        </w:trPr>
        <w:tc>
          <w:tcPr>
            <w:tcW w:w="1014" w:type="dxa"/>
            <w:tcBorders>
              <w:top w:val="single" w:sz="4" w:space="0" w:color="auto"/>
              <w:left w:val="nil"/>
              <w:bottom w:val="single" w:sz="4" w:space="0" w:color="auto"/>
              <w:right w:val="nil"/>
            </w:tcBorders>
            <w:shd w:val="clear" w:color="000000" w:fill="FFFFFF"/>
            <w:vAlign w:val="center"/>
            <w:hideMark/>
          </w:tcPr>
          <w:p w:rsidR="00572015" w:rsidRPr="00DF7832" w:rsidRDefault="00572015" w:rsidP="00DF7832">
            <w:pPr>
              <w:spacing w:after="0" w:line="240" w:lineRule="auto"/>
              <w:jc w:val="center"/>
              <w:rPr>
                <w:rFonts w:eastAsia="Times New Roman" w:cstheme="minorHAnsi"/>
                <w:sz w:val="20"/>
                <w:szCs w:val="20"/>
              </w:rPr>
            </w:pPr>
            <w:r w:rsidRPr="00DF7832">
              <w:rPr>
                <w:rFonts w:eastAsia="Times New Roman" w:cstheme="minorHAnsi"/>
                <w:sz w:val="20"/>
                <w:szCs w:val="20"/>
              </w:rPr>
              <w:t xml:space="preserve">Elution Order </w:t>
            </w:r>
          </w:p>
        </w:tc>
        <w:tc>
          <w:tcPr>
            <w:tcW w:w="3049" w:type="dxa"/>
            <w:tcBorders>
              <w:top w:val="single" w:sz="4" w:space="0" w:color="auto"/>
              <w:left w:val="nil"/>
              <w:bottom w:val="single" w:sz="4" w:space="0" w:color="auto"/>
              <w:right w:val="nil"/>
            </w:tcBorders>
            <w:shd w:val="clear" w:color="000000" w:fill="FFFFFF"/>
            <w:vAlign w:val="center"/>
            <w:hideMark/>
          </w:tcPr>
          <w:p w:rsidR="00572015" w:rsidRPr="00DF7832" w:rsidRDefault="00572015" w:rsidP="00DF7832">
            <w:pPr>
              <w:spacing w:after="0" w:line="240" w:lineRule="auto"/>
              <w:jc w:val="center"/>
              <w:rPr>
                <w:rFonts w:eastAsia="Times New Roman" w:cstheme="minorHAnsi"/>
                <w:sz w:val="20"/>
                <w:szCs w:val="20"/>
              </w:rPr>
            </w:pPr>
            <w:r w:rsidRPr="00DF7832">
              <w:rPr>
                <w:rFonts w:eastAsia="Times New Roman" w:cstheme="minorHAnsi"/>
                <w:sz w:val="20"/>
                <w:szCs w:val="20"/>
              </w:rPr>
              <w:t xml:space="preserve">Compound name </w:t>
            </w:r>
          </w:p>
        </w:tc>
        <w:tc>
          <w:tcPr>
            <w:tcW w:w="222" w:type="dxa"/>
            <w:tcBorders>
              <w:top w:val="single" w:sz="4" w:space="0" w:color="auto"/>
              <w:left w:val="nil"/>
              <w:bottom w:val="single" w:sz="4" w:space="0" w:color="auto"/>
              <w:right w:val="nil"/>
            </w:tcBorders>
            <w:shd w:val="clear" w:color="000000" w:fill="FFFFFF"/>
          </w:tcPr>
          <w:p w:rsidR="00572015" w:rsidRPr="00DF7832" w:rsidRDefault="00572015" w:rsidP="00DF7832">
            <w:pPr>
              <w:spacing w:after="0" w:line="240" w:lineRule="auto"/>
              <w:jc w:val="center"/>
              <w:rPr>
                <w:rFonts w:eastAsia="Times New Roman" w:cstheme="minorHAnsi"/>
                <w:sz w:val="20"/>
                <w:szCs w:val="20"/>
              </w:rPr>
            </w:pPr>
          </w:p>
        </w:tc>
        <w:tc>
          <w:tcPr>
            <w:tcW w:w="982" w:type="dxa"/>
            <w:tcBorders>
              <w:top w:val="single" w:sz="4" w:space="0" w:color="auto"/>
              <w:left w:val="nil"/>
              <w:bottom w:val="single" w:sz="4" w:space="0" w:color="auto"/>
              <w:right w:val="nil"/>
            </w:tcBorders>
            <w:shd w:val="clear" w:color="000000" w:fill="FFFFFF"/>
            <w:vAlign w:val="center"/>
            <w:hideMark/>
          </w:tcPr>
          <w:p w:rsidR="00572015" w:rsidRPr="00DF7832" w:rsidRDefault="00572015" w:rsidP="00DF7832">
            <w:pPr>
              <w:spacing w:after="0" w:line="240" w:lineRule="auto"/>
              <w:jc w:val="center"/>
              <w:rPr>
                <w:rFonts w:eastAsia="Times New Roman" w:cstheme="minorHAnsi"/>
                <w:sz w:val="20"/>
                <w:szCs w:val="20"/>
              </w:rPr>
            </w:pPr>
            <w:r w:rsidRPr="00DF7832">
              <w:rPr>
                <w:rFonts w:eastAsia="Times New Roman" w:cstheme="minorHAnsi"/>
                <w:sz w:val="20"/>
                <w:szCs w:val="20"/>
              </w:rPr>
              <w:t>Molar mass (g/mol)</w:t>
            </w:r>
          </w:p>
        </w:tc>
        <w:tc>
          <w:tcPr>
            <w:tcW w:w="1122" w:type="dxa"/>
            <w:tcBorders>
              <w:top w:val="single" w:sz="4" w:space="0" w:color="auto"/>
              <w:left w:val="nil"/>
              <w:bottom w:val="single" w:sz="4" w:space="0" w:color="auto"/>
              <w:right w:val="nil"/>
            </w:tcBorders>
            <w:shd w:val="clear" w:color="000000" w:fill="FFFFFF"/>
            <w:vAlign w:val="center"/>
            <w:hideMark/>
          </w:tcPr>
          <w:p w:rsidR="00572015" w:rsidRPr="00DF7832" w:rsidRDefault="00572015" w:rsidP="00DF7832">
            <w:pPr>
              <w:spacing w:after="0" w:line="240" w:lineRule="auto"/>
              <w:jc w:val="center"/>
              <w:rPr>
                <w:rFonts w:eastAsia="Times New Roman" w:cstheme="minorHAnsi"/>
                <w:sz w:val="20"/>
                <w:szCs w:val="20"/>
              </w:rPr>
            </w:pPr>
            <w:r w:rsidRPr="00DF7832">
              <w:rPr>
                <w:rFonts w:eastAsia="Times New Roman" w:cstheme="minorHAnsi"/>
                <w:sz w:val="20"/>
                <w:szCs w:val="20"/>
              </w:rPr>
              <w:t>Boiling point (°C)</w:t>
            </w:r>
          </w:p>
        </w:tc>
        <w:tc>
          <w:tcPr>
            <w:tcW w:w="1122" w:type="dxa"/>
            <w:tcBorders>
              <w:top w:val="single" w:sz="4" w:space="0" w:color="auto"/>
              <w:left w:val="nil"/>
              <w:bottom w:val="single" w:sz="4" w:space="0" w:color="auto"/>
              <w:right w:val="nil"/>
            </w:tcBorders>
            <w:shd w:val="clear" w:color="000000" w:fill="FFFFFF"/>
            <w:vAlign w:val="center"/>
            <w:hideMark/>
          </w:tcPr>
          <w:p w:rsidR="00572015" w:rsidRPr="00DF7832" w:rsidRDefault="00572015" w:rsidP="00DF7832">
            <w:pPr>
              <w:spacing w:after="0" w:line="240" w:lineRule="auto"/>
              <w:jc w:val="center"/>
              <w:rPr>
                <w:rFonts w:eastAsia="Times New Roman" w:cstheme="minorHAnsi"/>
                <w:sz w:val="20"/>
                <w:szCs w:val="20"/>
              </w:rPr>
            </w:pPr>
            <w:r w:rsidRPr="00DF7832">
              <w:rPr>
                <w:rFonts w:eastAsia="Times New Roman" w:cstheme="minorHAnsi"/>
                <w:sz w:val="20"/>
                <w:szCs w:val="20"/>
              </w:rPr>
              <w:t>Molecular formula</w:t>
            </w:r>
          </w:p>
        </w:tc>
        <w:tc>
          <w:tcPr>
            <w:tcW w:w="1122" w:type="dxa"/>
            <w:tcBorders>
              <w:top w:val="single" w:sz="4" w:space="0" w:color="auto"/>
              <w:left w:val="nil"/>
              <w:bottom w:val="single" w:sz="4" w:space="0" w:color="auto"/>
              <w:right w:val="nil"/>
            </w:tcBorders>
            <w:shd w:val="clear" w:color="000000" w:fill="FFFFFF"/>
            <w:vAlign w:val="center"/>
            <w:hideMark/>
          </w:tcPr>
          <w:p w:rsidR="00572015" w:rsidRPr="00DF7832" w:rsidRDefault="00572015" w:rsidP="00DF7832">
            <w:pPr>
              <w:spacing w:after="0" w:line="240" w:lineRule="auto"/>
              <w:jc w:val="center"/>
              <w:rPr>
                <w:rFonts w:eastAsia="Times New Roman" w:cstheme="minorHAnsi"/>
                <w:sz w:val="20"/>
                <w:szCs w:val="20"/>
              </w:rPr>
            </w:pPr>
            <w:r w:rsidRPr="00DF7832">
              <w:rPr>
                <w:rFonts w:eastAsia="Times New Roman" w:cstheme="minorHAnsi"/>
                <w:sz w:val="20"/>
                <w:szCs w:val="20"/>
              </w:rPr>
              <w:t>Retention time (min)</w:t>
            </w:r>
          </w:p>
        </w:tc>
        <w:tc>
          <w:tcPr>
            <w:tcW w:w="1962" w:type="dxa"/>
            <w:tcBorders>
              <w:top w:val="single" w:sz="4" w:space="0" w:color="auto"/>
              <w:left w:val="nil"/>
              <w:bottom w:val="single" w:sz="4" w:space="0" w:color="auto"/>
              <w:right w:val="nil"/>
            </w:tcBorders>
            <w:shd w:val="clear" w:color="000000" w:fill="FFFFFF"/>
            <w:vAlign w:val="center"/>
            <w:hideMark/>
          </w:tcPr>
          <w:p w:rsidR="00572015" w:rsidRPr="00DF7832" w:rsidRDefault="00572015" w:rsidP="00DF7832">
            <w:pPr>
              <w:spacing w:after="0" w:line="240" w:lineRule="auto"/>
              <w:jc w:val="center"/>
              <w:rPr>
                <w:rFonts w:eastAsia="Times New Roman" w:cstheme="minorHAnsi"/>
                <w:sz w:val="20"/>
                <w:szCs w:val="20"/>
              </w:rPr>
            </w:pPr>
            <w:r w:rsidRPr="00DF7832">
              <w:rPr>
                <w:rFonts w:eastAsia="Times New Roman" w:cstheme="minorHAnsi"/>
                <w:sz w:val="20"/>
                <w:szCs w:val="20"/>
              </w:rPr>
              <w:t xml:space="preserve">Sample's that </w:t>
            </w:r>
            <w:r w:rsidRPr="00F04CF2">
              <w:rPr>
                <w:rFonts w:eastAsia="Times New Roman" w:cstheme="minorHAnsi"/>
                <w:sz w:val="20"/>
                <w:szCs w:val="20"/>
              </w:rPr>
              <w:t>contain</w:t>
            </w:r>
            <w:r w:rsidRPr="00DF7832">
              <w:rPr>
                <w:rFonts w:eastAsia="Times New Roman" w:cstheme="minorHAnsi"/>
                <w:sz w:val="20"/>
                <w:szCs w:val="20"/>
              </w:rPr>
              <w:t xml:space="preserve"> the compound</w:t>
            </w:r>
            <w:r w:rsidRPr="00F04CF2">
              <w:rPr>
                <w:rStyle w:val="FootnoteReference"/>
                <w:rFonts w:eastAsia="Times New Roman" w:cstheme="minorHAnsi"/>
                <w:sz w:val="20"/>
                <w:szCs w:val="20"/>
              </w:rPr>
              <w:footnoteReference w:id="4"/>
            </w:r>
            <w:r w:rsidRPr="00DF7832">
              <w:rPr>
                <w:rFonts w:eastAsia="Times New Roman" w:cstheme="minorHAnsi"/>
                <w:sz w:val="20"/>
                <w:szCs w:val="20"/>
              </w:rPr>
              <w:t xml:space="preserve"> </w:t>
            </w:r>
          </w:p>
        </w:tc>
        <w:tc>
          <w:tcPr>
            <w:tcW w:w="1541" w:type="dxa"/>
            <w:tcBorders>
              <w:top w:val="single" w:sz="4" w:space="0" w:color="auto"/>
              <w:left w:val="nil"/>
              <w:bottom w:val="single" w:sz="4" w:space="0" w:color="auto"/>
              <w:right w:val="nil"/>
            </w:tcBorders>
            <w:shd w:val="clear" w:color="000000" w:fill="FFFFFF"/>
            <w:vAlign w:val="center"/>
            <w:hideMark/>
          </w:tcPr>
          <w:p w:rsidR="00572015" w:rsidRPr="00DF7832" w:rsidRDefault="00572015" w:rsidP="00DF7832">
            <w:pPr>
              <w:spacing w:after="0" w:line="240" w:lineRule="auto"/>
              <w:jc w:val="center"/>
              <w:rPr>
                <w:rFonts w:eastAsia="Times New Roman" w:cstheme="minorHAnsi"/>
                <w:sz w:val="20"/>
                <w:szCs w:val="20"/>
              </w:rPr>
            </w:pPr>
            <w:r w:rsidRPr="00DF7832">
              <w:rPr>
                <w:rFonts w:eastAsia="Times New Roman" w:cstheme="minorHAnsi"/>
                <w:sz w:val="20"/>
                <w:szCs w:val="20"/>
              </w:rPr>
              <w:t>NIST probability percentage</w:t>
            </w:r>
            <w:r w:rsidR="000D25F3">
              <w:rPr>
                <w:rFonts w:eastAsia="Times New Roman" w:cstheme="minorHAnsi"/>
                <w:sz w:val="20"/>
                <w:szCs w:val="20"/>
              </w:rPr>
              <w:t xml:space="preserve"> </w:t>
            </w:r>
            <w:r w:rsidRPr="00DF7832">
              <w:rPr>
                <w:rFonts w:eastAsia="Times New Roman" w:cstheme="minorHAnsi"/>
                <w:sz w:val="20"/>
                <w:szCs w:val="20"/>
              </w:rPr>
              <w:t>%</w:t>
            </w:r>
          </w:p>
        </w:tc>
        <w:tc>
          <w:tcPr>
            <w:tcW w:w="1822" w:type="dxa"/>
            <w:tcBorders>
              <w:top w:val="single" w:sz="4" w:space="0" w:color="auto"/>
              <w:left w:val="nil"/>
              <w:bottom w:val="single" w:sz="4" w:space="0" w:color="auto"/>
              <w:right w:val="nil"/>
            </w:tcBorders>
            <w:shd w:val="clear" w:color="000000" w:fill="FFFFFF"/>
            <w:vAlign w:val="center"/>
            <w:hideMark/>
          </w:tcPr>
          <w:p w:rsidR="00572015" w:rsidRPr="00DF7832" w:rsidRDefault="00572015" w:rsidP="00DF7832">
            <w:pPr>
              <w:spacing w:after="0" w:line="240" w:lineRule="auto"/>
              <w:jc w:val="center"/>
              <w:rPr>
                <w:rFonts w:eastAsia="Times New Roman" w:cstheme="minorHAnsi"/>
                <w:sz w:val="20"/>
                <w:szCs w:val="20"/>
              </w:rPr>
            </w:pPr>
            <w:r w:rsidRPr="00F04CF2">
              <w:rPr>
                <w:rFonts w:eastAsia="Times New Roman" w:cstheme="minorHAnsi"/>
                <w:sz w:val="20"/>
                <w:szCs w:val="20"/>
              </w:rPr>
              <w:t>Flavor Category</w:t>
            </w:r>
            <w:r w:rsidRPr="00F04CF2">
              <w:rPr>
                <w:rStyle w:val="FootnoteReference"/>
                <w:rFonts w:eastAsia="Times New Roman" w:cstheme="minorHAnsi"/>
                <w:sz w:val="20"/>
                <w:szCs w:val="20"/>
              </w:rPr>
              <w:footnoteReference w:id="5"/>
            </w:r>
          </w:p>
        </w:tc>
      </w:tr>
      <w:tr w:rsidR="00572015" w:rsidRPr="00DF7832" w:rsidTr="00572015">
        <w:trPr>
          <w:trHeight w:val="282"/>
        </w:trPr>
        <w:tc>
          <w:tcPr>
            <w:tcW w:w="1014" w:type="dxa"/>
            <w:tcBorders>
              <w:top w:val="nil"/>
              <w:left w:val="nil"/>
              <w:bottom w:val="nil"/>
              <w:right w:val="nil"/>
            </w:tcBorders>
            <w:shd w:val="clear" w:color="000000" w:fill="FFFFFF"/>
            <w:noWrap/>
            <w:vAlign w:val="center"/>
            <w:hideMark/>
          </w:tcPr>
          <w:p w:rsidR="00572015" w:rsidRPr="00DF7832" w:rsidRDefault="00572015" w:rsidP="00DF7832">
            <w:pPr>
              <w:spacing w:after="0" w:line="240" w:lineRule="auto"/>
              <w:jc w:val="center"/>
              <w:rPr>
                <w:rFonts w:eastAsia="Times New Roman" w:cstheme="minorHAnsi"/>
                <w:sz w:val="20"/>
                <w:szCs w:val="20"/>
              </w:rPr>
            </w:pPr>
            <w:r w:rsidRPr="00DF7832">
              <w:rPr>
                <w:rFonts w:eastAsia="Times New Roman" w:cstheme="minorHAnsi"/>
                <w:sz w:val="20"/>
                <w:szCs w:val="20"/>
              </w:rPr>
              <w:t>1</w:t>
            </w:r>
          </w:p>
        </w:tc>
        <w:tc>
          <w:tcPr>
            <w:tcW w:w="3049" w:type="dxa"/>
            <w:tcBorders>
              <w:top w:val="nil"/>
              <w:left w:val="nil"/>
              <w:bottom w:val="nil"/>
              <w:right w:val="nil"/>
            </w:tcBorders>
            <w:shd w:val="clear" w:color="000000" w:fill="FFFFFF"/>
            <w:noWrap/>
            <w:vAlign w:val="center"/>
            <w:hideMark/>
          </w:tcPr>
          <w:p w:rsidR="00572015" w:rsidRPr="00DF7832" w:rsidRDefault="00FB0BA4" w:rsidP="00DF7832">
            <w:pPr>
              <w:spacing w:after="0" w:line="240" w:lineRule="auto"/>
              <w:jc w:val="center"/>
              <w:rPr>
                <w:rFonts w:eastAsia="Times New Roman" w:cstheme="minorHAnsi"/>
                <w:sz w:val="20"/>
                <w:szCs w:val="20"/>
              </w:rPr>
            </w:pPr>
            <w:r>
              <w:rPr>
                <w:rFonts w:eastAsia="Times New Roman" w:cstheme="minorHAnsi"/>
                <w:sz w:val="20"/>
                <w:szCs w:val="20"/>
              </w:rPr>
              <w:t>Ethanol</w:t>
            </w:r>
          </w:p>
        </w:tc>
        <w:tc>
          <w:tcPr>
            <w:tcW w:w="222" w:type="dxa"/>
            <w:tcBorders>
              <w:top w:val="nil"/>
              <w:left w:val="nil"/>
              <w:bottom w:val="nil"/>
              <w:right w:val="nil"/>
            </w:tcBorders>
            <w:shd w:val="clear" w:color="000000" w:fill="FFFFFF"/>
          </w:tcPr>
          <w:p w:rsidR="00572015" w:rsidRPr="00DF7832" w:rsidRDefault="00572015" w:rsidP="00DF7832">
            <w:pPr>
              <w:spacing w:after="0" w:line="240" w:lineRule="auto"/>
              <w:jc w:val="center"/>
              <w:rPr>
                <w:rFonts w:eastAsia="Times New Roman" w:cstheme="minorHAnsi"/>
                <w:sz w:val="20"/>
                <w:szCs w:val="20"/>
              </w:rPr>
            </w:pPr>
          </w:p>
        </w:tc>
        <w:tc>
          <w:tcPr>
            <w:tcW w:w="982" w:type="dxa"/>
            <w:tcBorders>
              <w:top w:val="nil"/>
              <w:left w:val="nil"/>
              <w:bottom w:val="nil"/>
              <w:right w:val="nil"/>
            </w:tcBorders>
            <w:shd w:val="clear" w:color="000000" w:fill="FFFFFF"/>
            <w:noWrap/>
            <w:vAlign w:val="center"/>
            <w:hideMark/>
          </w:tcPr>
          <w:p w:rsidR="00572015" w:rsidRPr="00DF7832" w:rsidRDefault="00572015" w:rsidP="00DF7832">
            <w:pPr>
              <w:spacing w:after="0" w:line="240" w:lineRule="auto"/>
              <w:jc w:val="center"/>
              <w:rPr>
                <w:rFonts w:eastAsia="Times New Roman" w:cstheme="minorHAnsi"/>
                <w:sz w:val="20"/>
                <w:szCs w:val="20"/>
              </w:rPr>
            </w:pPr>
            <w:r w:rsidRPr="00DF7832">
              <w:rPr>
                <w:rFonts w:eastAsia="Times New Roman" w:cstheme="minorHAnsi"/>
                <w:sz w:val="20"/>
                <w:szCs w:val="20"/>
              </w:rPr>
              <w:t>46.07</w:t>
            </w:r>
          </w:p>
        </w:tc>
        <w:tc>
          <w:tcPr>
            <w:tcW w:w="1122" w:type="dxa"/>
            <w:tcBorders>
              <w:top w:val="nil"/>
              <w:left w:val="nil"/>
              <w:bottom w:val="nil"/>
              <w:right w:val="nil"/>
            </w:tcBorders>
            <w:shd w:val="clear" w:color="000000" w:fill="FFFFFF"/>
            <w:noWrap/>
            <w:vAlign w:val="center"/>
            <w:hideMark/>
          </w:tcPr>
          <w:p w:rsidR="00572015" w:rsidRPr="00DF7832" w:rsidRDefault="00572015" w:rsidP="00DF7832">
            <w:pPr>
              <w:spacing w:after="0" w:line="240" w:lineRule="auto"/>
              <w:jc w:val="center"/>
              <w:rPr>
                <w:rFonts w:eastAsia="Times New Roman" w:cstheme="minorHAnsi"/>
                <w:sz w:val="20"/>
                <w:szCs w:val="20"/>
              </w:rPr>
            </w:pPr>
            <w:r w:rsidRPr="00DF7832">
              <w:rPr>
                <w:rFonts w:eastAsia="Times New Roman" w:cstheme="minorHAnsi"/>
                <w:sz w:val="20"/>
                <w:szCs w:val="20"/>
              </w:rPr>
              <w:t>79</w:t>
            </w:r>
          </w:p>
        </w:tc>
        <w:tc>
          <w:tcPr>
            <w:tcW w:w="1122" w:type="dxa"/>
            <w:tcBorders>
              <w:top w:val="nil"/>
              <w:left w:val="nil"/>
              <w:bottom w:val="nil"/>
              <w:right w:val="nil"/>
            </w:tcBorders>
            <w:shd w:val="clear" w:color="000000" w:fill="FFFFFF"/>
            <w:noWrap/>
            <w:vAlign w:val="center"/>
            <w:hideMark/>
          </w:tcPr>
          <w:p w:rsidR="00572015" w:rsidRPr="00DF7832" w:rsidRDefault="00572015" w:rsidP="00DF7832">
            <w:pPr>
              <w:spacing w:after="0" w:line="240" w:lineRule="auto"/>
              <w:jc w:val="center"/>
              <w:rPr>
                <w:rFonts w:eastAsia="Times New Roman" w:cstheme="minorHAnsi"/>
                <w:sz w:val="20"/>
                <w:szCs w:val="20"/>
              </w:rPr>
            </w:pPr>
            <w:r w:rsidRPr="00DF7832">
              <w:rPr>
                <w:rFonts w:eastAsia="Times New Roman" w:cstheme="minorHAnsi"/>
                <w:sz w:val="20"/>
                <w:szCs w:val="20"/>
              </w:rPr>
              <w:t>C</w:t>
            </w:r>
            <w:r w:rsidRPr="00DF7832">
              <w:rPr>
                <w:rFonts w:eastAsia="Times New Roman" w:cstheme="minorHAnsi"/>
                <w:sz w:val="20"/>
                <w:szCs w:val="20"/>
                <w:vertAlign w:val="subscript"/>
              </w:rPr>
              <w:t>2</w:t>
            </w:r>
            <w:r w:rsidRPr="00DF7832">
              <w:rPr>
                <w:rFonts w:eastAsia="Times New Roman" w:cstheme="minorHAnsi"/>
                <w:sz w:val="20"/>
                <w:szCs w:val="20"/>
              </w:rPr>
              <w:t>H</w:t>
            </w:r>
            <w:r w:rsidRPr="00DF7832">
              <w:rPr>
                <w:rFonts w:eastAsia="Times New Roman" w:cstheme="minorHAnsi"/>
                <w:sz w:val="20"/>
                <w:szCs w:val="20"/>
                <w:vertAlign w:val="subscript"/>
              </w:rPr>
              <w:t>6</w:t>
            </w:r>
            <w:r w:rsidRPr="00DF7832">
              <w:rPr>
                <w:rFonts w:eastAsia="Times New Roman" w:cstheme="minorHAnsi"/>
                <w:sz w:val="20"/>
                <w:szCs w:val="20"/>
              </w:rPr>
              <w:t>O</w:t>
            </w:r>
          </w:p>
        </w:tc>
        <w:tc>
          <w:tcPr>
            <w:tcW w:w="1122" w:type="dxa"/>
            <w:tcBorders>
              <w:top w:val="nil"/>
              <w:left w:val="nil"/>
              <w:bottom w:val="nil"/>
              <w:right w:val="nil"/>
            </w:tcBorders>
            <w:shd w:val="clear" w:color="000000" w:fill="FFFFFF"/>
            <w:noWrap/>
            <w:vAlign w:val="center"/>
            <w:hideMark/>
          </w:tcPr>
          <w:p w:rsidR="00572015" w:rsidRPr="00DF7832" w:rsidRDefault="00572015" w:rsidP="00DF7832">
            <w:pPr>
              <w:spacing w:after="0" w:line="240" w:lineRule="auto"/>
              <w:jc w:val="center"/>
              <w:rPr>
                <w:rFonts w:eastAsia="Times New Roman" w:cstheme="minorHAnsi"/>
                <w:sz w:val="20"/>
                <w:szCs w:val="20"/>
              </w:rPr>
            </w:pPr>
            <w:r w:rsidRPr="00DF7832">
              <w:rPr>
                <w:rFonts w:eastAsia="Times New Roman" w:cstheme="minorHAnsi"/>
                <w:sz w:val="20"/>
                <w:szCs w:val="20"/>
              </w:rPr>
              <w:t>0.9825</w:t>
            </w:r>
          </w:p>
        </w:tc>
        <w:tc>
          <w:tcPr>
            <w:tcW w:w="1962" w:type="dxa"/>
            <w:tcBorders>
              <w:top w:val="nil"/>
              <w:left w:val="nil"/>
              <w:bottom w:val="nil"/>
              <w:right w:val="nil"/>
            </w:tcBorders>
            <w:shd w:val="clear" w:color="000000" w:fill="FFFFFF"/>
            <w:noWrap/>
            <w:vAlign w:val="center"/>
            <w:hideMark/>
          </w:tcPr>
          <w:p w:rsidR="00572015" w:rsidRPr="00DF7832" w:rsidRDefault="00572015" w:rsidP="00DF7832">
            <w:pPr>
              <w:spacing w:after="0" w:line="240" w:lineRule="auto"/>
              <w:jc w:val="center"/>
              <w:rPr>
                <w:rFonts w:eastAsia="Times New Roman" w:cstheme="minorHAnsi"/>
                <w:sz w:val="20"/>
                <w:szCs w:val="20"/>
              </w:rPr>
            </w:pPr>
            <w:r w:rsidRPr="00DF7832">
              <w:rPr>
                <w:rFonts w:eastAsia="Times New Roman" w:cstheme="minorHAnsi"/>
                <w:sz w:val="20"/>
                <w:szCs w:val="20"/>
              </w:rPr>
              <w:t>3, 4, 6, 7</w:t>
            </w:r>
          </w:p>
        </w:tc>
        <w:tc>
          <w:tcPr>
            <w:tcW w:w="1541" w:type="dxa"/>
            <w:tcBorders>
              <w:top w:val="nil"/>
              <w:left w:val="nil"/>
              <w:bottom w:val="nil"/>
              <w:right w:val="nil"/>
            </w:tcBorders>
            <w:shd w:val="clear" w:color="000000" w:fill="FFFFFF"/>
            <w:noWrap/>
            <w:vAlign w:val="center"/>
            <w:hideMark/>
          </w:tcPr>
          <w:p w:rsidR="00572015" w:rsidRPr="00DF7832" w:rsidRDefault="00572015" w:rsidP="00DF7832">
            <w:pPr>
              <w:spacing w:after="0" w:line="240" w:lineRule="auto"/>
              <w:jc w:val="center"/>
              <w:rPr>
                <w:rFonts w:eastAsia="Times New Roman" w:cstheme="minorHAnsi"/>
                <w:sz w:val="20"/>
                <w:szCs w:val="20"/>
              </w:rPr>
            </w:pPr>
            <w:r w:rsidRPr="00DF7832">
              <w:rPr>
                <w:rFonts w:eastAsia="Times New Roman" w:cstheme="minorHAnsi"/>
                <w:sz w:val="20"/>
                <w:szCs w:val="20"/>
              </w:rPr>
              <w:t>89.4</w:t>
            </w:r>
          </w:p>
        </w:tc>
        <w:tc>
          <w:tcPr>
            <w:tcW w:w="1822" w:type="dxa"/>
            <w:tcBorders>
              <w:top w:val="nil"/>
              <w:left w:val="nil"/>
              <w:bottom w:val="nil"/>
              <w:right w:val="nil"/>
            </w:tcBorders>
            <w:shd w:val="clear" w:color="000000" w:fill="FFFFFF"/>
            <w:noWrap/>
            <w:vAlign w:val="bottom"/>
            <w:hideMark/>
          </w:tcPr>
          <w:p w:rsidR="00572015" w:rsidRPr="00DF7832" w:rsidRDefault="00572015" w:rsidP="00F04CF2">
            <w:pPr>
              <w:spacing w:after="0" w:line="240" w:lineRule="auto"/>
              <w:jc w:val="center"/>
              <w:rPr>
                <w:rFonts w:eastAsia="Times New Roman" w:cstheme="minorHAnsi"/>
                <w:sz w:val="20"/>
                <w:szCs w:val="20"/>
              </w:rPr>
            </w:pPr>
            <w:r w:rsidRPr="00DF7832">
              <w:rPr>
                <w:rFonts w:eastAsia="Times New Roman" w:cstheme="minorHAnsi"/>
                <w:sz w:val="20"/>
                <w:szCs w:val="20"/>
              </w:rPr>
              <w:t>Alcoholic Flavor</w:t>
            </w:r>
          </w:p>
        </w:tc>
      </w:tr>
      <w:tr w:rsidR="00572015" w:rsidRPr="00DF7832" w:rsidTr="00572015">
        <w:trPr>
          <w:trHeight w:val="282"/>
        </w:trPr>
        <w:tc>
          <w:tcPr>
            <w:tcW w:w="1014" w:type="dxa"/>
            <w:tcBorders>
              <w:top w:val="nil"/>
              <w:left w:val="nil"/>
              <w:bottom w:val="nil"/>
              <w:right w:val="nil"/>
            </w:tcBorders>
            <w:shd w:val="clear" w:color="000000" w:fill="FFFFFF"/>
            <w:noWrap/>
            <w:vAlign w:val="center"/>
            <w:hideMark/>
          </w:tcPr>
          <w:p w:rsidR="00572015" w:rsidRPr="00DF7832" w:rsidRDefault="00572015" w:rsidP="00DF7832">
            <w:pPr>
              <w:spacing w:after="0" w:line="240" w:lineRule="auto"/>
              <w:jc w:val="center"/>
              <w:rPr>
                <w:rFonts w:eastAsia="Times New Roman" w:cstheme="minorHAnsi"/>
                <w:sz w:val="20"/>
                <w:szCs w:val="20"/>
              </w:rPr>
            </w:pPr>
            <w:r w:rsidRPr="00DF7832">
              <w:rPr>
                <w:rFonts w:eastAsia="Times New Roman" w:cstheme="minorHAnsi"/>
                <w:sz w:val="20"/>
                <w:szCs w:val="20"/>
              </w:rPr>
              <w:t>2</w:t>
            </w:r>
          </w:p>
        </w:tc>
        <w:tc>
          <w:tcPr>
            <w:tcW w:w="3049" w:type="dxa"/>
            <w:tcBorders>
              <w:top w:val="nil"/>
              <w:left w:val="nil"/>
              <w:bottom w:val="nil"/>
              <w:right w:val="nil"/>
            </w:tcBorders>
            <w:shd w:val="clear" w:color="000000" w:fill="FFFFFF"/>
            <w:noWrap/>
            <w:vAlign w:val="center"/>
            <w:hideMark/>
          </w:tcPr>
          <w:p w:rsidR="00572015" w:rsidRPr="00DF7832" w:rsidRDefault="00572015" w:rsidP="00DF7832">
            <w:pPr>
              <w:spacing w:after="0" w:line="240" w:lineRule="auto"/>
              <w:jc w:val="center"/>
              <w:rPr>
                <w:rFonts w:eastAsia="Times New Roman" w:cstheme="minorHAnsi"/>
                <w:sz w:val="20"/>
                <w:szCs w:val="20"/>
              </w:rPr>
            </w:pPr>
            <w:r w:rsidRPr="00DF7832">
              <w:rPr>
                <w:rFonts w:eastAsia="Times New Roman" w:cstheme="minorHAnsi"/>
                <w:sz w:val="20"/>
                <w:szCs w:val="20"/>
              </w:rPr>
              <w:t>1-Propanol</w:t>
            </w:r>
          </w:p>
        </w:tc>
        <w:tc>
          <w:tcPr>
            <w:tcW w:w="222" w:type="dxa"/>
            <w:tcBorders>
              <w:top w:val="nil"/>
              <w:left w:val="nil"/>
              <w:bottom w:val="nil"/>
              <w:right w:val="nil"/>
            </w:tcBorders>
            <w:shd w:val="clear" w:color="000000" w:fill="FFFFFF"/>
          </w:tcPr>
          <w:p w:rsidR="00572015" w:rsidRPr="00DF7832" w:rsidRDefault="00572015" w:rsidP="00DF7832">
            <w:pPr>
              <w:spacing w:after="0" w:line="240" w:lineRule="auto"/>
              <w:jc w:val="center"/>
              <w:rPr>
                <w:rFonts w:eastAsia="Times New Roman" w:cstheme="minorHAnsi"/>
                <w:sz w:val="20"/>
                <w:szCs w:val="20"/>
              </w:rPr>
            </w:pPr>
          </w:p>
        </w:tc>
        <w:tc>
          <w:tcPr>
            <w:tcW w:w="982" w:type="dxa"/>
            <w:tcBorders>
              <w:top w:val="nil"/>
              <w:left w:val="nil"/>
              <w:bottom w:val="nil"/>
              <w:right w:val="nil"/>
            </w:tcBorders>
            <w:shd w:val="clear" w:color="000000" w:fill="FFFFFF"/>
            <w:noWrap/>
            <w:vAlign w:val="center"/>
            <w:hideMark/>
          </w:tcPr>
          <w:p w:rsidR="00572015" w:rsidRPr="00DF7832" w:rsidRDefault="00572015" w:rsidP="00DF7832">
            <w:pPr>
              <w:spacing w:after="0" w:line="240" w:lineRule="auto"/>
              <w:jc w:val="center"/>
              <w:rPr>
                <w:rFonts w:eastAsia="Times New Roman" w:cstheme="minorHAnsi"/>
                <w:sz w:val="20"/>
                <w:szCs w:val="20"/>
              </w:rPr>
            </w:pPr>
            <w:r w:rsidRPr="00DF7832">
              <w:rPr>
                <w:rFonts w:eastAsia="Times New Roman" w:cstheme="minorHAnsi"/>
                <w:sz w:val="20"/>
                <w:szCs w:val="20"/>
              </w:rPr>
              <w:t>60.10</w:t>
            </w:r>
          </w:p>
        </w:tc>
        <w:tc>
          <w:tcPr>
            <w:tcW w:w="1122" w:type="dxa"/>
            <w:tcBorders>
              <w:top w:val="nil"/>
              <w:left w:val="nil"/>
              <w:bottom w:val="nil"/>
              <w:right w:val="nil"/>
            </w:tcBorders>
            <w:shd w:val="clear" w:color="000000" w:fill="FFFFFF"/>
            <w:noWrap/>
            <w:vAlign w:val="center"/>
            <w:hideMark/>
          </w:tcPr>
          <w:p w:rsidR="00572015" w:rsidRPr="00DF7832" w:rsidRDefault="00572015" w:rsidP="00DF7832">
            <w:pPr>
              <w:spacing w:after="0" w:line="240" w:lineRule="auto"/>
              <w:jc w:val="center"/>
              <w:rPr>
                <w:rFonts w:eastAsia="Times New Roman" w:cstheme="minorHAnsi"/>
                <w:sz w:val="20"/>
                <w:szCs w:val="20"/>
              </w:rPr>
            </w:pPr>
            <w:r w:rsidRPr="00DF7832">
              <w:rPr>
                <w:rFonts w:eastAsia="Times New Roman" w:cstheme="minorHAnsi"/>
                <w:sz w:val="20"/>
                <w:szCs w:val="20"/>
              </w:rPr>
              <w:t>97</w:t>
            </w:r>
          </w:p>
        </w:tc>
        <w:tc>
          <w:tcPr>
            <w:tcW w:w="1122" w:type="dxa"/>
            <w:tcBorders>
              <w:top w:val="nil"/>
              <w:left w:val="nil"/>
              <w:bottom w:val="nil"/>
              <w:right w:val="nil"/>
            </w:tcBorders>
            <w:shd w:val="clear" w:color="000000" w:fill="FFFFFF"/>
            <w:noWrap/>
            <w:vAlign w:val="center"/>
            <w:hideMark/>
          </w:tcPr>
          <w:p w:rsidR="00572015" w:rsidRPr="00DF7832" w:rsidRDefault="00572015" w:rsidP="00DF7832">
            <w:pPr>
              <w:spacing w:after="0" w:line="240" w:lineRule="auto"/>
              <w:jc w:val="center"/>
              <w:rPr>
                <w:rFonts w:eastAsia="Times New Roman" w:cstheme="minorHAnsi"/>
                <w:sz w:val="20"/>
                <w:szCs w:val="20"/>
              </w:rPr>
            </w:pPr>
            <w:r w:rsidRPr="00DF7832">
              <w:rPr>
                <w:rFonts w:eastAsia="Times New Roman" w:cstheme="minorHAnsi"/>
                <w:sz w:val="20"/>
                <w:szCs w:val="20"/>
              </w:rPr>
              <w:t>C</w:t>
            </w:r>
            <w:r w:rsidRPr="00DF7832">
              <w:rPr>
                <w:rFonts w:eastAsia="Times New Roman" w:cstheme="minorHAnsi"/>
                <w:sz w:val="20"/>
                <w:szCs w:val="20"/>
                <w:vertAlign w:val="subscript"/>
              </w:rPr>
              <w:t>3</w:t>
            </w:r>
            <w:r w:rsidRPr="00DF7832">
              <w:rPr>
                <w:rFonts w:eastAsia="Times New Roman" w:cstheme="minorHAnsi"/>
                <w:sz w:val="20"/>
                <w:szCs w:val="20"/>
              </w:rPr>
              <w:t>H</w:t>
            </w:r>
            <w:r w:rsidRPr="00DF7832">
              <w:rPr>
                <w:rFonts w:eastAsia="Times New Roman" w:cstheme="minorHAnsi"/>
                <w:sz w:val="20"/>
                <w:szCs w:val="20"/>
                <w:vertAlign w:val="subscript"/>
              </w:rPr>
              <w:t>8</w:t>
            </w:r>
            <w:r w:rsidRPr="00DF7832">
              <w:rPr>
                <w:rFonts w:eastAsia="Times New Roman" w:cstheme="minorHAnsi"/>
                <w:sz w:val="20"/>
                <w:szCs w:val="20"/>
              </w:rPr>
              <w:t>O</w:t>
            </w:r>
          </w:p>
        </w:tc>
        <w:tc>
          <w:tcPr>
            <w:tcW w:w="1122" w:type="dxa"/>
            <w:tcBorders>
              <w:top w:val="nil"/>
              <w:left w:val="nil"/>
              <w:bottom w:val="nil"/>
              <w:right w:val="nil"/>
            </w:tcBorders>
            <w:shd w:val="clear" w:color="000000" w:fill="FFFFFF"/>
            <w:noWrap/>
            <w:vAlign w:val="center"/>
            <w:hideMark/>
          </w:tcPr>
          <w:p w:rsidR="00572015" w:rsidRPr="00DF7832" w:rsidRDefault="00572015" w:rsidP="00DF7832">
            <w:pPr>
              <w:spacing w:after="0" w:line="240" w:lineRule="auto"/>
              <w:jc w:val="center"/>
              <w:rPr>
                <w:rFonts w:eastAsia="Times New Roman" w:cstheme="minorHAnsi"/>
                <w:sz w:val="20"/>
                <w:szCs w:val="20"/>
              </w:rPr>
            </w:pPr>
            <w:r w:rsidRPr="00DF7832">
              <w:rPr>
                <w:rFonts w:eastAsia="Times New Roman" w:cstheme="minorHAnsi"/>
                <w:sz w:val="20"/>
                <w:szCs w:val="20"/>
              </w:rPr>
              <w:t>1.097</w:t>
            </w:r>
          </w:p>
        </w:tc>
        <w:tc>
          <w:tcPr>
            <w:tcW w:w="1962" w:type="dxa"/>
            <w:tcBorders>
              <w:top w:val="nil"/>
              <w:left w:val="nil"/>
              <w:bottom w:val="nil"/>
              <w:right w:val="nil"/>
            </w:tcBorders>
            <w:shd w:val="clear" w:color="000000" w:fill="FFFFFF"/>
            <w:noWrap/>
            <w:vAlign w:val="center"/>
            <w:hideMark/>
          </w:tcPr>
          <w:p w:rsidR="00572015" w:rsidRPr="00DF7832" w:rsidRDefault="00572015" w:rsidP="00DF7832">
            <w:pPr>
              <w:spacing w:after="0" w:line="240" w:lineRule="auto"/>
              <w:jc w:val="center"/>
              <w:rPr>
                <w:rFonts w:eastAsia="Times New Roman" w:cstheme="minorHAnsi"/>
                <w:sz w:val="20"/>
                <w:szCs w:val="20"/>
              </w:rPr>
            </w:pPr>
            <w:r w:rsidRPr="00DF7832">
              <w:rPr>
                <w:rFonts w:eastAsia="Times New Roman" w:cstheme="minorHAnsi"/>
                <w:sz w:val="20"/>
                <w:szCs w:val="20"/>
              </w:rPr>
              <w:t>1, 2, 3, 4, 5, 6, 7</w:t>
            </w:r>
          </w:p>
        </w:tc>
        <w:tc>
          <w:tcPr>
            <w:tcW w:w="1541" w:type="dxa"/>
            <w:tcBorders>
              <w:top w:val="nil"/>
              <w:left w:val="nil"/>
              <w:bottom w:val="nil"/>
              <w:right w:val="nil"/>
            </w:tcBorders>
            <w:shd w:val="clear" w:color="000000" w:fill="FFFFFF"/>
            <w:noWrap/>
            <w:vAlign w:val="center"/>
            <w:hideMark/>
          </w:tcPr>
          <w:p w:rsidR="00572015" w:rsidRPr="00DF7832" w:rsidRDefault="00572015" w:rsidP="00DF7832">
            <w:pPr>
              <w:spacing w:after="0" w:line="240" w:lineRule="auto"/>
              <w:jc w:val="center"/>
              <w:rPr>
                <w:rFonts w:eastAsia="Times New Roman" w:cstheme="minorHAnsi"/>
                <w:sz w:val="20"/>
                <w:szCs w:val="20"/>
              </w:rPr>
            </w:pPr>
            <w:r w:rsidRPr="00DF7832">
              <w:rPr>
                <w:rFonts w:eastAsia="Times New Roman" w:cstheme="minorHAnsi"/>
                <w:sz w:val="20"/>
                <w:szCs w:val="20"/>
              </w:rPr>
              <w:t>94.5</w:t>
            </w:r>
          </w:p>
        </w:tc>
        <w:tc>
          <w:tcPr>
            <w:tcW w:w="1822" w:type="dxa"/>
            <w:tcBorders>
              <w:top w:val="nil"/>
              <w:left w:val="nil"/>
              <w:bottom w:val="nil"/>
              <w:right w:val="nil"/>
            </w:tcBorders>
            <w:shd w:val="clear" w:color="000000" w:fill="FFFFFF"/>
            <w:noWrap/>
            <w:vAlign w:val="bottom"/>
            <w:hideMark/>
          </w:tcPr>
          <w:p w:rsidR="00572015" w:rsidRPr="00DF7832" w:rsidRDefault="00572015" w:rsidP="00F04CF2">
            <w:pPr>
              <w:spacing w:after="0" w:line="240" w:lineRule="auto"/>
              <w:jc w:val="center"/>
              <w:rPr>
                <w:rFonts w:eastAsia="Times New Roman" w:cstheme="minorHAnsi"/>
                <w:sz w:val="20"/>
                <w:szCs w:val="20"/>
              </w:rPr>
            </w:pPr>
            <w:r w:rsidRPr="00DF7832">
              <w:rPr>
                <w:rFonts w:eastAsia="Times New Roman" w:cstheme="minorHAnsi"/>
                <w:sz w:val="20"/>
                <w:szCs w:val="20"/>
              </w:rPr>
              <w:t>IS</w:t>
            </w:r>
          </w:p>
        </w:tc>
      </w:tr>
      <w:tr w:rsidR="00572015" w:rsidRPr="00DF7832" w:rsidTr="00572015">
        <w:trPr>
          <w:trHeight w:val="282"/>
        </w:trPr>
        <w:tc>
          <w:tcPr>
            <w:tcW w:w="1014" w:type="dxa"/>
            <w:tcBorders>
              <w:top w:val="nil"/>
              <w:left w:val="nil"/>
              <w:bottom w:val="nil"/>
              <w:right w:val="nil"/>
            </w:tcBorders>
            <w:shd w:val="clear" w:color="000000" w:fill="FFFFFF"/>
            <w:noWrap/>
            <w:vAlign w:val="center"/>
            <w:hideMark/>
          </w:tcPr>
          <w:p w:rsidR="00572015" w:rsidRPr="00DF7832" w:rsidRDefault="00572015" w:rsidP="00DF7832">
            <w:pPr>
              <w:spacing w:after="0" w:line="240" w:lineRule="auto"/>
              <w:jc w:val="center"/>
              <w:rPr>
                <w:rFonts w:eastAsia="Times New Roman" w:cstheme="minorHAnsi"/>
                <w:sz w:val="20"/>
                <w:szCs w:val="20"/>
              </w:rPr>
            </w:pPr>
            <w:r w:rsidRPr="00DF7832">
              <w:rPr>
                <w:rFonts w:eastAsia="Times New Roman" w:cstheme="minorHAnsi"/>
                <w:sz w:val="20"/>
                <w:szCs w:val="20"/>
              </w:rPr>
              <w:t>3</w:t>
            </w:r>
          </w:p>
        </w:tc>
        <w:tc>
          <w:tcPr>
            <w:tcW w:w="3049" w:type="dxa"/>
            <w:tcBorders>
              <w:top w:val="nil"/>
              <w:left w:val="nil"/>
              <w:bottom w:val="nil"/>
              <w:right w:val="nil"/>
            </w:tcBorders>
            <w:shd w:val="clear" w:color="000000" w:fill="FFFFFF"/>
            <w:noWrap/>
            <w:vAlign w:val="center"/>
            <w:hideMark/>
          </w:tcPr>
          <w:p w:rsidR="00572015" w:rsidRPr="00DF7832" w:rsidRDefault="00572015" w:rsidP="00DF7832">
            <w:pPr>
              <w:spacing w:after="0" w:line="240" w:lineRule="auto"/>
              <w:jc w:val="center"/>
              <w:rPr>
                <w:rFonts w:eastAsia="Times New Roman" w:cstheme="minorHAnsi"/>
                <w:sz w:val="20"/>
                <w:szCs w:val="20"/>
              </w:rPr>
            </w:pPr>
            <w:r w:rsidRPr="00DF7832">
              <w:rPr>
                <w:rFonts w:eastAsia="Times New Roman" w:cstheme="minorHAnsi"/>
                <w:sz w:val="20"/>
                <w:szCs w:val="20"/>
              </w:rPr>
              <w:t>Ethyl Acetate</w:t>
            </w:r>
          </w:p>
        </w:tc>
        <w:tc>
          <w:tcPr>
            <w:tcW w:w="222" w:type="dxa"/>
            <w:tcBorders>
              <w:top w:val="nil"/>
              <w:left w:val="nil"/>
              <w:bottom w:val="nil"/>
              <w:right w:val="nil"/>
            </w:tcBorders>
            <w:shd w:val="clear" w:color="000000" w:fill="FFFFFF"/>
          </w:tcPr>
          <w:p w:rsidR="00572015" w:rsidRPr="00DF7832" w:rsidRDefault="00572015" w:rsidP="00DF7832">
            <w:pPr>
              <w:spacing w:after="0" w:line="240" w:lineRule="auto"/>
              <w:jc w:val="center"/>
              <w:rPr>
                <w:rFonts w:eastAsia="Times New Roman" w:cstheme="minorHAnsi"/>
                <w:sz w:val="20"/>
                <w:szCs w:val="20"/>
              </w:rPr>
            </w:pPr>
          </w:p>
        </w:tc>
        <w:tc>
          <w:tcPr>
            <w:tcW w:w="982" w:type="dxa"/>
            <w:tcBorders>
              <w:top w:val="nil"/>
              <w:left w:val="nil"/>
              <w:bottom w:val="nil"/>
              <w:right w:val="nil"/>
            </w:tcBorders>
            <w:shd w:val="clear" w:color="000000" w:fill="FFFFFF"/>
            <w:noWrap/>
            <w:vAlign w:val="center"/>
            <w:hideMark/>
          </w:tcPr>
          <w:p w:rsidR="00572015" w:rsidRPr="00DF7832" w:rsidRDefault="00572015" w:rsidP="00DF7832">
            <w:pPr>
              <w:spacing w:after="0" w:line="240" w:lineRule="auto"/>
              <w:jc w:val="center"/>
              <w:rPr>
                <w:rFonts w:eastAsia="Times New Roman" w:cstheme="minorHAnsi"/>
                <w:sz w:val="20"/>
                <w:szCs w:val="20"/>
              </w:rPr>
            </w:pPr>
            <w:r w:rsidRPr="00DF7832">
              <w:rPr>
                <w:rFonts w:eastAsia="Times New Roman" w:cstheme="minorHAnsi"/>
                <w:sz w:val="20"/>
                <w:szCs w:val="20"/>
              </w:rPr>
              <w:t>88.11</w:t>
            </w:r>
          </w:p>
        </w:tc>
        <w:tc>
          <w:tcPr>
            <w:tcW w:w="1122" w:type="dxa"/>
            <w:tcBorders>
              <w:top w:val="nil"/>
              <w:left w:val="nil"/>
              <w:bottom w:val="nil"/>
              <w:right w:val="nil"/>
            </w:tcBorders>
            <w:shd w:val="clear" w:color="000000" w:fill="FFFFFF"/>
            <w:noWrap/>
            <w:vAlign w:val="center"/>
            <w:hideMark/>
          </w:tcPr>
          <w:p w:rsidR="00572015" w:rsidRPr="00DF7832" w:rsidRDefault="00572015" w:rsidP="00DF7832">
            <w:pPr>
              <w:spacing w:after="0" w:line="240" w:lineRule="auto"/>
              <w:jc w:val="center"/>
              <w:rPr>
                <w:rFonts w:eastAsia="Times New Roman" w:cstheme="minorHAnsi"/>
                <w:sz w:val="20"/>
                <w:szCs w:val="20"/>
              </w:rPr>
            </w:pPr>
            <w:r w:rsidRPr="00DF7832">
              <w:rPr>
                <w:rFonts w:eastAsia="Times New Roman" w:cstheme="minorHAnsi"/>
                <w:sz w:val="20"/>
                <w:szCs w:val="20"/>
              </w:rPr>
              <w:t>77</w:t>
            </w:r>
          </w:p>
        </w:tc>
        <w:tc>
          <w:tcPr>
            <w:tcW w:w="1122" w:type="dxa"/>
            <w:tcBorders>
              <w:top w:val="nil"/>
              <w:left w:val="nil"/>
              <w:bottom w:val="nil"/>
              <w:right w:val="nil"/>
            </w:tcBorders>
            <w:shd w:val="clear" w:color="000000" w:fill="FFFFFF"/>
            <w:noWrap/>
            <w:vAlign w:val="center"/>
            <w:hideMark/>
          </w:tcPr>
          <w:p w:rsidR="00572015" w:rsidRPr="00DF7832" w:rsidRDefault="00572015" w:rsidP="00DF7832">
            <w:pPr>
              <w:spacing w:after="0" w:line="240" w:lineRule="auto"/>
              <w:jc w:val="center"/>
              <w:rPr>
                <w:rFonts w:eastAsia="Times New Roman" w:cstheme="minorHAnsi"/>
                <w:sz w:val="20"/>
                <w:szCs w:val="20"/>
              </w:rPr>
            </w:pPr>
            <w:r w:rsidRPr="00DF7832">
              <w:rPr>
                <w:rFonts w:eastAsia="Times New Roman" w:cstheme="minorHAnsi"/>
                <w:sz w:val="20"/>
                <w:szCs w:val="20"/>
              </w:rPr>
              <w:t>C</w:t>
            </w:r>
            <w:r w:rsidRPr="00DF7832">
              <w:rPr>
                <w:rFonts w:eastAsia="Times New Roman" w:cstheme="minorHAnsi"/>
                <w:sz w:val="20"/>
                <w:szCs w:val="20"/>
                <w:vertAlign w:val="subscript"/>
              </w:rPr>
              <w:t>4</w:t>
            </w:r>
            <w:r w:rsidRPr="00DF7832">
              <w:rPr>
                <w:rFonts w:eastAsia="Times New Roman" w:cstheme="minorHAnsi"/>
                <w:sz w:val="20"/>
                <w:szCs w:val="20"/>
              </w:rPr>
              <w:t>H</w:t>
            </w:r>
            <w:r w:rsidRPr="00DF7832">
              <w:rPr>
                <w:rFonts w:eastAsia="Times New Roman" w:cstheme="minorHAnsi"/>
                <w:sz w:val="20"/>
                <w:szCs w:val="20"/>
                <w:vertAlign w:val="subscript"/>
              </w:rPr>
              <w:t>8</w:t>
            </w:r>
            <w:r w:rsidRPr="00DF7832">
              <w:rPr>
                <w:rFonts w:eastAsia="Times New Roman" w:cstheme="minorHAnsi"/>
                <w:sz w:val="20"/>
                <w:szCs w:val="20"/>
              </w:rPr>
              <w:t>O</w:t>
            </w:r>
            <w:r w:rsidRPr="00DF7832">
              <w:rPr>
                <w:rFonts w:eastAsia="Times New Roman" w:cstheme="minorHAnsi"/>
                <w:sz w:val="20"/>
                <w:szCs w:val="20"/>
                <w:vertAlign w:val="subscript"/>
              </w:rPr>
              <w:t>2</w:t>
            </w:r>
          </w:p>
        </w:tc>
        <w:tc>
          <w:tcPr>
            <w:tcW w:w="1122" w:type="dxa"/>
            <w:tcBorders>
              <w:top w:val="nil"/>
              <w:left w:val="nil"/>
              <w:bottom w:val="nil"/>
              <w:right w:val="nil"/>
            </w:tcBorders>
            <w:shd w:val="clear" w:color="000000" w:fill="FFFFFF"/>
            <w:noWrap/>
            <w:vAlign w:val="center"/>
            <w:hideMark/>
          </w:tcPr>
          <w:p w:rsidR="00572015" w:rsidRPr="00DF7832" w:rsidRDefault="00572015" w:rsidP="00DF7832">
            <w:pPr>
              <w:spacing w:after="0" w:line="240" w:lineRule="auto"/>
              <w:jc w:val="center"/>
              <w:rPr>
                <w:rFonts w:eastAsia="Times New Roman" w:cstheme="minorHAnsi"/>
                <w:sz w:val="20"/>
                <w:szCs w:val="20"/>
              </w:rPr>
            </w:pPr>
            <w:r w:rsidRPr="00DF7832">
              <w:rPr>
                <w:rFonts w:eastAsia="Times New Roman" w:cstheme="minorHAnsi"/>
                <w:sz w:val="20"/>
                <w:szCs w:val="20"/>
              </w:rPr>
              <w:t>1.208</w:t>
            </w:r>
          </w:p>
        </w:tc>
        <w:tc>
          <w:tcPr>
            <w:tcW w:w="1962" w:type="dxa"/>
            <w:tcBorders>
              <w:top w:val="nil"/>
              <w:left w:val="nil"/>
              <w:bottom w:val="nil"/>
              <w:right w:val="nil"/>
            </w:tcBorders>
            <w:shd w:val="clear" w:color="000000" w:fill="FFFFFF"/>
            <w:noWrap/>
            <w:vAlign w:val="center"/>
            <w:hideMark/>
          </w:tcPr>
          <w:p w:rsidR="00572015" w:rsidRPr="00DF7832" w:rsidRDefault="00572015" w:rsidP="00DF7832">
            <w:pPr>
              <w:spacing w:after="0" w:line="240" w:lineRule="auto"/>
              <w:jc w:val="center"/>
              <w:rPr>
                <w:rFonts w:eastAsia="Times New Roman" w:cstheme="minorHAnsi"/>
                <w:sz w:val="20"/>
                <w:szCs w:val="20"/>
              </w:rPr>
            </w:pPr>
            <w:r w:rsidRPr="00DF7832">
              <w:rPr>
                <w:rFonts w:eastAsia="Times New Roman" w:cstheme="minorHAnsi"/>
                <w:sz w:val="20"/>
                <w:szCs w:val="20"/>
              </w:rPr>
              <w:t>1, 2, 5, 7</w:t>
            </w:r>
          </w:p>
        </w:tc>
        <w:tc>
          <w:tcPr>
            <w:tcW w:w="1541" w:type="dxa"/>
            <w:tcBorders>
              <w:top w:val="nil"/>
              <w:left w:val="nil"/>
              <w:bottom w:val="nil"/>
              <w:right w:val="nil"/>
            </w:tcBorders>
            <w:shd w:val="clear" w:color="000000" w:fill="FFFFFF"/>
            <w:noWrap/>
            <w:vAlign w:val="center"/>
            <w:hideMark/>
          </w:tcPr>
          <w:p w:rsidR="00572015" w:rsidRPr="00DF7832" w:rsidRDefault="00572015" w:rsidP="00DF7832">
            <w:pPr>
              <w:spacing w:after="0" w:line="240" w:lineRule="auto"/>
              <w:jc w:val="center"/>
              <w:rPr>
                <w:rFonts w:eastAsia="Times New Roman" w:cstheme="minorHAnsi"/>
                <w:sz w:val="20"/>
                <w:szCs w:val="20"/>
              </w:rPr>
            </w:pPr>
            <w:r w:rsidRPr="00DF7832">
              <w:rPr>
                <w:rFonts w:eastAsia="Times New Roman" w:cstheme="minorHAnsi"/>
                <w:sz w:val="20"/>
                <w:szCs w:val="20"/>
              </w:rPr>
              <w:t>96.1</w:t>
            </w:r>
          </w:p>
        </w:tc>
        <w:tc>
          <w:tcPr>
            <w:tcW w:w="1822" w:type="dxa"/>
            <w:tcBorders>
              <w:top w:val="nil"/>
              <w:left w:val="nil"/>
              <w:bottom w:val="nil"/>
              <w:right w:val="nil"/>
            </w:tcBorders>
            <w:shd w:val="clear" w:color="000000" w:fill="FFFFFF"/>
            <w:noWrap/>
            <w:vAlign w:val="bottom"/>
            <w:hideMark/>
          </w:tcPr>
          <w:p w:rsidR="00572015" w:rsidRPr="00DF7832" w:rsidRDefault="00572015" w:rsidP="00F04CF2">
            <w:pPr>
              <w:spacing w:after="0" w:line="240" w:lineRule="auto"/>
              <w:jc w:val="center"/>
              <w:rPr>
                <w:rFonts w:eastAsia="Times New Roman" w:cstheme="minorHAnsi"/>
                <w:sz w:val="20"/>
                <w:szCs w:val="20"/>
              </w:rPr>
            </w:pPr>
            <w:r w:rsidRPr="00DF7832">
              <w:rPr>
                <w:rFonts w:eastAsia="Times New Roman" w:cstheme="minorHAnsi"/>
                <w:sz w:val="20"/>
                <w:szCs w:val="20"/>
              </w:rPr>
              <w:t>Fruity Flavor</w:t>
            </w:r>
          </w:p>
        </w:tc>
      </w:tr>
      <w:tr w:rsidR="00572015" w:rsidRPr="00DF7832" w:rsidTr="000C3181">
        <w:trPr>
          <w:trHeight w:val="357"/>
        </w:trPr>
        <w:tc>
          <w:tcPr>
            <w:tcW w:w="1014" w:type="dxa"/>
            <w:tcBorders>
              <w:top w:val="nil"/>
              <w:left w:val="nil"/>
              <w:bottom w:val="nil"/>
              <w:right w:val="nil"/>
            </w:tcBorders>
            <w:shd w:val="clear" w:color="000000" w:fill="FFFFFF"/>
            <w:noWrap/>
            <w:vAlign w:val="center"/>
            <w:hideMark/>
          </w:tcPr>
          <w:p w:rsidR="00572015" w:rsidRPr="00DF7832" w:rsidRDefault="00572015" w:rsidP="00DF7832">
            <w:pPr>
              <w:spacing w:after="0" w:line="240" w:lineRule="auto"/>
              <w:jc w:val="center"/>
              <w:rPr>
                <w:rFonts w:eastAsia="Times New Roman" w:cstheme="minorHAnsi"/>
                <w:sz w:val="20"/>
                <w:szCs w:val="20"/>
              </w:rPr>
            </w:pPr>
            <w:r w:rsidRPr="00DF7832">
              <w:rPr>
                <w:rFonts w:eastAsia="Times New Roman" w:cstheme="minorHAnsi"/>
                <w:sz w:val="20"/>
                <w:szCs w:val="20"/>
              </w:rPr>
              <w:t>4</w:t>
            </w:r>
          </w:p>
        </w:tc>
        <w:tc>
          <w:tcPr>
            <w:tcW w:w="3049" w:type="dxa"/>
            <w:tcBorders>
              <w:top w:val="nil"/>
              <w:left w:val="nil"/>
              <w:bottom w:val="nil"/>
              <w:right w:val="nil"/>
            </w:tcBorders>
            <w:shd w:val="clear" w:color="000000" w:fill="FFFFFF"/>
            <w:noWrap/>
            <w:vAlign w:val="center"/>
            <w:hideMark/>
          </w:tcPr>
          <w:p w:rsidR="00572015" w:rsidRPr="00DF7832" w:rsidRDefault="00572015" w:rsidP="00DF7832">
            <w:pPr>
              <w:spacing w:after="0" w:line="240" w:lineRule="auto"/>
              <w:jc w:val="center"/>
              <w:rPr>
                <w:rFonts w:eastAsia="Times New Roman" w:cstheme="minorHAnsi"/>
                <w:sz w:val="20"/>
                <w:szCs w:val="20"/>
              </w:rPr>
            </w:pPr>
            <w:r w:rsidRPr="00DF7832">
              <w:rPr>
                <w:rFonts w:eastAsia="Times New Roman" w:cstheme="minorHAnsi"/>
                <w:sz w:val="20"/>
                <w:szCs w:val="20"/>
              </w:rPr>
              <w:t xml:space="preserve">Pyruvic Acid </w:t>
            </w:r>
          </w:p>
        </w:tc>
        <w:tc>
          <w:tcPr>
            <w:tcW w:w="222" w:type="dxa"/>
            <w:tcBorders>
              <w:top w:val="nil"/>
              <w:left w:val="nil"/>
              <w:bottom w:val="nil"/>
              <w:right w:val="nil"/>
            </w:tcBorders>
            <w:shd w:val="clear" w:color="000000" w:fill="FFFFFF"/>
          </w:tcPr>
          <w:p w:rsidR="00572015" w:rsidRPr="00DF7832" w:rsidRDefault="00572015" w:rsidP="00DF7832">
            <w:pPr>
              <w:spacing w:after="0" w:line="240" w:lineRule="auto"/>
              <w:jc w:val="center"/>
              <w:rPr>
                <w:rFonts w:eastAsia="Times New Roman" w:cstheme="minorHAnsi"/>
                <w:sz w:val="20"/>
                <w:szCs w:val="20"/>
              </w:rPr>
            </w:pPr>
          </w:p>
        </w:tc>
        <w:tc>
          <w:tcPr>
            <w:tcW w:w="982" w:type="dxa"/>
            <w:tcBorders>
              <w:top w:val="nil"/>
              <w:left w:val="nil"/>
              <w:bottom w:val="nil"/>
              <w:right w:val="nil"/>
            </w:tcBorders>
            <w:shd w:val="clear" w:color="000000" w:fill="FFFFFF"/>
            <w:noWrap/>
            <w:vAlign w:val="center"/>
            <w:hideMark/>
          </w:tcPr>
          <w:p w:rsidR="00572015" w:rsidRPr="00DF7832" w:rsidRDefault="00572015" w:rsidP="00DF7832">
            <w:pPr>
              <w:spacing w:after="0" w:line="240" w:lineRule="auto"/>
              <w:jc w:val="center"/>
              <w:rPr>
                <w:rFonts w:eastAsia="Times New Roman" w:cstheme="minorHAnsi"/>
                <w:sz w:val="20"/>
                <w:szCs w:val="20"/>
              </w:rPr>
            </w:pPr>
            <w:r w:rsidRPr="00DF7832">
              <w:rPr>
                <w:rFonts w:eastAsia="Times New Roman" w:cstheme="minorHAnsi"/>
                <w:sz w:val="20"/>
                <w:szCs w:val="20"/>
              </w:rPr>
              <w:t>88.11</w:t>
            </w:r>
          </w:p>
        </w:tc>
        <w:tc>
          <w:tcPr>
            <w:tcW w:w="1122" w:type="dxa"/>
            <w:tcBorders>
              <w:top w:val="nil"/>
              <w:left w:val="nil"/>
              <w:bottom w:val="nil"/>
              <w:right w:val="nil"/>
            </w:tcBorders>
            <w:shd w:val="clear" w:color="000000" w:fill="FFFFFF"/>
            <w:noWrap/>
            <w:vAlign w:val="center"/>
            <w:hideMark/>
          </w:tcPr>
          <w:p w:rsidR="00572015" w:rsidRPr="00DF7832" w:rsidRDefault="00572015" w:rsidP="00DF7832">
            <w:pPr>
              <w:spacing w:after="0" w:line="240" w:lineRule="auto"/>
              <w:jc w:val="center"/>
              <w:rPr>
                <w:rFonts w:eastAsia="Times New Roman" w:cstheme="minorHAnsi"/>
                <w:sz w:val="20"/>
                <w:szCs w:val="20"/>
              </w:rPr>
            </w:pPr>
            <w:r w:rsidRPr="00DF7832">
              <w:rPr>
                <w:rFonts w:eastAsia="Times New Roman" w:cstheme="minorHAnsi"/>
                <w:sz w:val="20"/>
                <w:szCs w:val="20"/>
              </w:rPr>
              <w:t>165</w:t>
            </w:r>
          </w:p>
        </w:tc>
        <w:tc>
          <w:tcPr>
            <w:tcW w:w="1122" w:type="dxa"/>
            <w:tcBorders>
              <w:top w:val="nil"/>
              <w:left w:val="nil"/>
              <w:bottom w:val="nil"/>
              <w:right w:val="nil"/>
            </w:tcBorders>
            <w:shd w:val="clear" w:color="000000" w:fill="FFFFFF"/>
            <w:noWrap/>
            <w:vAlign w:val="center"/>
            <w:hideMark/>
          </w:tcPr>
          <w:p w:rsidR="00572015" w:rsidRPr="00DF7832" w:rsidRDefault="00572015" w:rsidP="00DF7832">
            <w:pPr>
              <w:spacing w:after="0" w:line="240" w:lineRule="auto"/>
              <w:jc w:val="center"/>
              <w:rPr>
                <w:rFonts w:eastAsia="Times New Roman" w:cstheme="minorHAnsi"/>
                <w:sz w:val="20"/>
                <w:szCs w:val="20"/>
              </w:rPr>
            </w:pPr>
            <w:r w:rsidRPr="00DF7832">
              <w:rPr>
                <w:rFonts w:eastAsia="Times New Roman" w:cstheme="minorHAnsi"/>
                <w:sz w:val="20"/>
                <w:szCs w:val="20"/>
              </w:rPr>
              <w:t>C</w:t>
            </w:r>
            <w:r w:rsidRPr="00DF7832">
              <w:rPr>
                <w:rFonts w:eastAsia="Times New Roman" w:cstheme="minorHAnsi"/>
                <w:sz w:val="20"/>
                <w:szCs w:val="20"/>
                <w:vertAlign w:val="subscript"/>
              </w:rPr>
              <w:t>3</w:t>
            </w:r>
            <w:r w:rsidRPr="00DF7832">
              <w:rPr>
                <w:rFonts w:eastAsia="Times New Roman" w:cstheme="minorHAnsi"/>
                <w:sz w:val="20"/>
                <w:szCs w:val="20"/>
              </w:rPr>
              <w:t>H</w:t>
            </w:r>
            <w:r w:rsidRPr="00DF7832">
              <w:rPr>
                <w:rFonts w:eastAsia="Times New Roman" w:cstheme="minorHAnsi"/>
                <w:sz w:val="20"/>
                <w:szCs w:val="20"/>
                <w:vertAlign w:val="subscript"/>
              </w:rPr>
              <w:t>4</w:t>
            </w:r>
            <w:r w:rsidRPr="00DF7832">
              <w:rPr>
                <w:rFonts w:eastAsia="Times New Roman" w:cstheme="minorHAnsi"/>
                <w:sz w:val="20"/>
                <w:szCs w:val="20"/>
              </w:rPr>
              <w:t>O</w:t>
            </w:r>
            <w:r w:rsidRPr="00DF7832">
              <w:rPr>
                <w:rFonts w:eastAsia="Times New Roman" w:cstheme="minorHAnsi"/>
                <w:sz w:val="20"/>
                <w:szCs w:val="20"/>
                <w:vertAlign w:val="subscript"/>
              </w:rPr>
              <w:t>3</w:t>
            </w:r>
          </w:p>
        </w:tc>
        <w:tc>
          <w:tcPr>
            <w:tcW w:w="1122" w:type="dxa"/>
            <w:tcBorders>
              <w:top w:val="nil"/>
              <w:left w:val="nil"/>
              <w:bottom w:val="nil"/>
              <w:right w:val="nil"/>
            </w:tcBorders>
            <w:shd w:val="clear" w:color="000000" w:fill="FFFFFF"/>
            <w:noWrap/>
            <w:vAlign w:val="center"/>
            <w:hideMark/>
          </w:tcPr>
          <w:p w:rsidR="00572015" w:rsidRPr="00DF7832" w:rsidRDefault="00572015" w:rsidP="00DF7832">
            <w:pPr>
              <w:spacing w:after="0" w:line="240" w:lineRule="auto"/>
              <w:jc w:val="center"/>
              <w:rPr>
                <w:rFonts w:eastAsia="Times New Roman" w:cstheme="minorHAnsi"/>
                <w:sz w:val="20"/>
                <w:szCs w:val="20"/>
              </w:rPr>
            </w:pPr>
            <w:r w:rsidRPr="00DF7832">
              <w:rPr>
                <w:rFonts w:eastAsia="Times New Roman" w:cstheme="minorHAnsi"/>
                <w:sz w:val="20"/>
                <w:szCs w:val="20"/>
              </w:rPr>
              <w:t>1.218</w:t>
            </w:r>
          </w:p>
        </w:tc>
        <w:tc>
          <w:tcPr>
            <w:tcW w:w="1962" w:type="dxa"/>
            <w:tcBorders>
              <w:top w:val="nil"/>
              <w:left w:val="nil"/>
              <w:bottom w:val="nil"/>
              <w:right w:val="nil"/>
            </w:tcBorders>
            <w:shd w:val="clear" w:color="000000" w:fill="FFFFFF"/>
            <w:noWrap/>
            <w:vAlign w:val="center"/>
            <w:hideMark/>
          </w:tcPr>
          <w:p w:rsidR="00572015" w:rsidRPr="00DF7832" w:rsidRDefault="00572015" w:rsidP="00DF7832">
            <w:pPr>
              <w:spacing w:after="0" w:line="240" w:lineRule="auto"/>
              <w:jc w:val="center"/>
              <w:rPr>
                <w:rFonts w:eastAsia="Times New Roman" w:cstheme="minorHAnsi"/>
                <w:sz w:val="20"/>
                <w:szCs w:val="20"/>
              </w:rPr>
            </w:pPr>
            <w:r w:rsidRPr="00DF7832">
              <w:rPr>
                <w:rFonts w:eastAsia="Times New Roman" w:cstheme="minorHAnsi"/>
                <w:sz w:val="20"/>
                <w:szCs w:val="20"/>
              </w:rPr>
              <w:t>3, 6</w:t>
            </w:r>
          </w:p>
        </w:tc>
        <w:tc>
          <w:tcPr>
            <w:tcW w:w="1541" w:type="dxa"/>
            <w:tcBorders>
              <w:top w:val="nil"/>
              <w:left w:val="nil"/>
              <w:bottom w:val="nil"/>
              <w:right w:val="nil"/>
            </w:tcBorders>
            <w:shd w:val="clear" w:color="000000" w:fill="FFFFFF"/>
            <w:noWrap/>
            <w:vAlign w:val="center"/>
            <w:hideMark/>
          </w:tcPr>
          <w:p w:rsidR="00572015" w:rsidRPr="00DF7832" w:rsidRDefault="00572015" w:rsidP="00DF7832">
            <w:pPr>
              <w:spacing w:after="0" w:line="240" w:lineRule="auto"/>
              <w:jc w:val="center"/>
              <w:rPr>
                <w:rFonts w:eastAsia="Times New Roman" w:cstheme="minorHAnsi"/>
                <w:sz w:val="20"/>
                <w:szCs w:val="20"/>
              </w:rPr>
            </w:pPr>
            <w:r w:rsidRPr="00DF7832">
              <w:rPr>
                <w:rFonts w:eastAsia="Times New Roman" w:cstheme="minorHAnsi"/>
                <w:sz w:val="20"/>
                <w:szCs w:val="20"/>
              </w:rPr>
              <w:t>50.8</w:t>
            </w:r>
          </w:p>
        </w:tc>
        <w:tc>
          <w:tcPr>
            <w:tcW w:w="1822" w:type="dxa"/>
            <w:tcBorders>
              <w:top w:val="nil"/>
              <w:left w:val="nil"/>
              <w:bottom w:val="nil"/>
              <w:right w:val="nil"/>
            </w:tcBorders>
            <w:shd w:val="clear" w:color="000000" w:fill="FFFFFF"/>
            <w:noWrap/>
            <w:vAlign w:val="bottom"/>
            <w:hideMark/>
          </w:tcPr>
          <w:p w:rsidR="00572015" w:rsidRPr="00DF7832" w:rsidRDefault="00572015" w:rsidP="00F04CF2">
            <w:pPr>
              <w:spacing w:after="0" w:line="240" w:lineRule="auto"/>
              <w:jc w:val="center"/>
              <w:rPr>
                <w:rFonts w:eastAsia="Times New Roman" w:cstheme="minorHAnsi"/>
                <w:sz w:val="20"/>
                <w:szCs w:val="20"/>
              </w:rPr>
            </w:pPr>
            <w:r w:rsidRPr="00DF7832">
              <w:rPr>
                <w:rFonts w:eastAsia="Times New Roman" w:cstheme="minorHAnsi"/>
                <w:sz w:val="20"/>
                <w:szCs w:val="20"/>
              </w:rPr>
              <w:t>Caramellic Flavor</w:t>
            </w:r>
          </w:p>
        </w:tc>
      </w:tr>
      <w:tr w:rsidR="00572015" w:rsidRPr="00DF7832" w:rsidTr="000C3181">
        <w:trPr>
          <w:trHeight w:val="282"/>
        </w:trPr>
        <w:tc>
          <w:tcPr>
            <w:tcW w:w="1014" w:type="dxa"/>
            <w:tcBorders>
              <w:top w:val="nil"/>
              <w:left w:val="nil"/>
              <w:bottom w:val="nil"/>
              <w:right w:val="nil"/>
            </w:tcBorders>
            <w:shd w:val="clear" w:color="auto" w:fill="F2F2F2" w:themeFill="background1" w:themeFillShade="F2"/>
            <w:noWrap/>
            <w:vAlign w:val="center"/>
            <w:hideMark/>
          </w:tcPr>
          <w:p w:rsidR="00572015" w:rsidRPr="00DF7832" w:rsidRDefault="00572015" w:rsidP="00DF7832">
            <w:pPr>
              <w:spacing w:after="0" w:line="240" w:lineRule="auto"/>
              <w:jc w:val="center"/>
              <w:rPr>
                <w:rFonts w:eastAsia="Times New Roman" w:cstheme="minorHAnsi"/>
                <w:sz w:val="20"/>
                <w:szCs w:val="20"/>
              </w:rPr>
            </w:pPr>
            <w:r w:rsidRPr="00DF7832">
              <w:rPr>
                <w:rFonts w:eastAsia="Times New Roman" w:cstheme="minorHAnsi"/>
                <w:sz w:val="20"/>
                <w:szCs w:val="20"/>
              </w:rPr>
              <w:t>5</w:t>
            </w:r>
          </w:p>
        </w:tc>
        <w:tc>
          <w:tcPr>
            <w:tcW w:w="3049" w:type="dxa"/>
            <w:tcBorders>
              <w:top w:val="nil"/>
              <w:left w:val="nil"/>
              <w:bottom w:val="nil"/>
              <w:right w:val="nil"/>
            </w:tcBorders>
            <w:shd w:val="clear" w:color="auto" w:fill="F2F2F2" w:themeFill="background1" w:themeFillShade="F2"/>
            <w:noWrap/>
            <w:vAlign w:val="center"/>
            <w:hideMark/>
          </w:tcPr>
          <w:p w:rsidR="00572015" w:rsidRPr="00DF7832" w:rsidRDefault="00572015" w:rsidP="00DF7832">
            <w:pPr>
              <w:spacing w:after="0" w:line="240" w:lineRule="auto"/>
              <w:jc w:val="center"/>
              <w:rPr>
                <w:rFonts w:eastAsia="Times New Roman" w:cstheme="minorHAnsi"/>
                <w:sz w:val="20"/>
                <w:szCs w:val="20"/>
              </w:rPr>
            </w:pPr>
            <w:r w:rsidRPr="00DF7832">
              <w:rPr>
                <w:rFonts w:eastAsia="Times New Roman" w:cstheme="minorHAnsi"/>
                <w:sz w:val="20"/>
                <w:szCs w:val="20"/>
              </w:rPr>
              <w:t xml:space="preserve">Isobutyl Alcohol </w:t>
            </w:r>
          </w:p>
        </w:tc>
        <w:tc>
          <w:tcPr>
            <w:tcW w:w="222" w:type="dxa"/>
            <w:tcBorders>
              <w:top w:val="nil"/>
              <w:left w:val="nil"/>
              <w:bottom w:val="nil"/>
              <w:right w:val="nil"/>
            </w:tcBorders>
            <w:shd w:val="clear" w:color="auto" w:fill="F2F2F2" w:themeFill="background1" w:themeFillShade="F2"/>
          </w:tcPr>
          <w:p w:rsidR="00572015" w:rsidRPr="00DF7832" w:rsidRDefault="00572015" w:rsidP="00DF7832">
            <w:pPr>
              <w:spacing w:after="0" w:line="240" w:lineRule="auto"/>
              <w:jc w:val="center"/>
              <w:rPr>
                <w:rFonts w:eastAsia="Times New Roman" w:cstheme="minorHAnsi"/>
                <w:sz w:val="20"/>
                <w:szCs w:val="20"/>
              </w:rPr>
            </w:pPr>
          </w:p>
        </w:tc>
        <w:tc>
          <w:tcPr>
            <w:tcW w:w="982" w:type="dxa"/>
            <w:tcBorders>
              <w:top w:val="nil"/>
              <w:left w:val="nil"/>
              <w:bottom w:val="nil"/>
              <w:right w:val="nil"/>
            </w:tcBorders>
            <w:shd w:val="clear" w:color="auto" w:fill="F2F2F2" w:themeFill="background1" w:themeFillShade="F2"/>
            <w:noWrap/>
            <w:vAlign w:val="center"/>
            <w:hideMark/>
          </w:tcPr>
          <w:p w:rsidR="00572015" w:rsidRPr="00DF7832" w:rsidRDefault="00572015" w:rsidP="00DF7832">
            <w:pPr>
              <w:spacing w:after="0" w:line="240" w:lineRule="auto"/>
              <w:jc w:val="center"/>
              <w:rPr>
                <w:rFonts w:eastAsia="Times New Roman" w:cstheme="minorHAnsi"/>
                <w:sz w:val="20"/>
                <w:szCs w:val="20"/>
              </w:rPr>
            </w:pPr>
            <w:r w:rsidRPr="00DF7832">
              <w:rPr>
                <w:rFonts w:eastAsia="Times New Roman" w:cstheme="minorHAnsi"/>
                <w:sz w:val="20"/>
                <w:szCs w:val="20"/>
              </w:rPr>
              <w:t>74.12</w:t>
            </w:r>
          </w:p>
        </w:tc>
        <w:tc>
          <w:tcPr>
            <w:tcW w:w="1122" w:type="dxa"/>
            <w:tcBorders>
              <w:top w:val="nil"/>
              <w:left w:val="nil"/>
              <w:bottom w:val="nil"/>
              <w:right w:val="nil"/>
            </w:tcBorders>
            <w:shd w:val="clear" w:color="auto" w:fill="F2F2F2" w:themeFill="background1" w:themeFillShade="F2"/>
            <w:noWrap/>
            <w:vAlign w:val="center"/>
            <w:hideMark/>
          </w:tcPr>
          <w:p w:rsidR="00572015" w:rsidRPr="00DF7832" w:rsidRDefault="00572015" w:rsidP="00DF7832">
            <w:pPr>
              <w:spacing w:after="0" w:line="240" w:lineRule="auto"/>
              <w:jc w:val="center"/>
              <w:rPr>
                <w:rFonts w:eastAsia="Times New Roman" w:cstheme="minorHAnsi"/>
                <w:sz w:val="20"/>
                <w:szCs w:val="20"/>
              </w:rPr>
            </w:pPr>
            <w:r w:rsidRPr="00DF7832">
              <w:rPr>
                <w:rFonts w:eastAsia="Times New Roman" w:cstheme="minorHAnsi"/>
                <w:sz w:val="20"/>
                <w:szCs w:val="20"/>
              </w:rPr>
              <w:t>108</w:t>
            </w:r>
          </w:p>
        </w:tc>
        <w:tc>
          <w:tcPr>
            <w:tcW w:w="1122" w:type="dxa"/>
            <w:tcBorders>
              <w:top w:val="nil"/>
              <w:left w:val="nil"/>
              <w:bottom w:val="nil"/>
              <w:right w:val="nil"/>
            </w:tcBorders>
            <w:shd w:val="clear" w:color="auto" w:fill="F2F2F2" w:themeFill="background1" w:themeFillShade="F2"/>
            <w:noWrap/>
            <w:vAlign w:val="center"/>
            <w:hideMark/>
          </w:tcPr>
          <w:p w:rsidR="00572015" w:rsidRPr="00DF7832" w:rsidRDefault="00572015" w:rsidP="00DF7832">
            <w:pPr>
              <w:spacing w:after="0" w:line="240" w:lineRule="auto"/>
              <w:jc w:val="center"/>
              <w:rPr>
                <w:rFonts w:eastAsia="Times New Roman" w:cstheme="minorHAnsi"/>
                <w:sz w:val="20"/>
                <w:szCs w:val="20"/>
              </w:rPr>
            </w:pPr>
            <w:r w:rsidRPr="00DF7832">
              <w:rPr>
                <w:rFonts w:eastAsia="Times New Roman" w:cstheme="minorHAnsi"/>
                <w:sz w:val="20"/>
                <w:szCs w:val="20"/>
              </w:rPr>
              <w:t>C</w:t>
            </w:r>
            <w:r w:rsidRPr="00DF7832">
              <w:rPr>
                <w:rFonts w:eastAsia="Times New Roman" w:cstheme="minorHAnsi"/>
                <w:sz w:val="20"/>
                <w:szCs w:val="20"/>
                <w:vertAlign w:val="subscript"/>
              </w:rPr>
              <w:t>4</w:t>
            </w:r>
            <w:r w:rsidRPr="00DF7832">
              <w:rPr>
                <w:rFonts w:eastAsia="Times New Roman" w:cstheme="minorHAnsi"/>
                <w:sz w:val="20"/>
                <w:szCs w:val="20"/>
              </w:rPr>
              <w:t>H</w:t>
            </w:r>
            <w:r w:rsidRPr="00DF7832">
              <w:rPr>
                <w:rFonts w:eastAsia="Times New Roman" w:cstheme="minorHAnsi"/>
                <w:sz w:val="20"/>
                <w:szCs w:val="20"/>
                <w:vertAlign w:val="subscript"/>
              </w:rPr>
              <w:t>10</w:t>
            </w:r>
            <w:r w:rsidRPr="00DF7832">
              <w:rPr>
                <w:rFonts w:eastAsia="Times New Roman" w:cstheme="minorHAnsi"/>
                <w:sz w:val="20"/>
                <w:szCs w:val="20"/>
              </w:rPr>
              <w:t>O</w:t>
            </w:r>
          </w:p>
        </w:tc>
        <w:tc>
          <w:tcPr>
            <w:tcW w:w="1122" w:type="dxa"/>
            <w:tcBorders>
              <w:top w:val="nil"/>
              <w:left w:val="nil"/>
              <w:bottom w:val="nil"/>
              <w:right w:val="nil"/>
            </w:tcBorders>
            <w:shd w:val="clear" w:color="auto" w:fill="F2F2F2" w:themeFill="background1" w:themeFillShade="F2"/>
            <w:noWrap/>
            <w:vAlign w:val="center"/>
            <w:hideMark/>
          </w:tcPr>
          <w:p w:rsidR="00572015" w:rsidRPr="00DF7832" w:rsidRDefault="00572015" w:rsidP="00DF7832">
            <w:pPr>
              <w:spacing w:after="0" w:line="240" w:lineRule="auto"/>
              <w:jc w:val="center"/>
              <w:rPr>
                <w:rFonts w:eastAsia="Times New Roman" w:cstheme="minorHAnsi"/>
                <w:sz w:val="20"/>
                <w:szCs w:val="20"/>
              </w:rPr>
            </w:pPr>
            <w:r w:rsidRPr="00DF7832">
              <w:rPr>
                <w:rFonts w:eastAsia="Times New Roman" w:cstheme="minorHAnsi"/>
                <w:sz w:val="20"/>
                <w:szCs w:val="20"/>
              </w:rPr>
              <w:t>1.22</w:t>
            </w:r>
          </w:p>
        </w:tc>
        <w:tc>
          <w:tcPr>
            <w:tcW w:w="1962" w:type="dxa"/>
            <w:tcBorders>
              <w:top w:val="nil"/>
              <w:left w:val="nil"/>
              <w:bottom w:val="nil"/>
              <w:right w:val="nil"/>
            </w:tcBorders>
            <w:shd w:val="clear" w:color="auto" w:fill="F2F2F2" w:themeFill="background1" w:themeFillShade="F2"/>
            <w:noWrap/>
            <w:vAlign w:val="center"/>
            <w:hideMark/>
          </w:tcPr>
          <w:p w:rsidR="00572015" w:rsidRPr="00DF7832" w:rsidRDefault="00572015" w:rsidP="00DF7832">
            <w:pPr>
              <w:spacing w:after="0" w:line="240" w:lineRule="auto"/>
              <w:jc w:val="center"/>
              <w:rPr>
                <w:rFonts w:eastAsia="Times New Roman" w:cstheme="minorHAnsi"/>
                <w:sz w:val="20"/>
                <w:szCs w:val="20"/>
              </w:rPr>
            </w:pPr>
            <w:r w:rsidRPr="00DF7832">
              <w:rPr>
                <w:rFonts w:eastAsia="Times New Roman" w:cstheme="minorHAnsi"/>
                <w:sz w:val="20"/>
                <w:szCs w:val="20"/>
              </w:rPr>
              <w:t>4</w:t>
            </w:r>
          </w:p>
        </w:tc>
        <w:tc>
          <w:tcPr>
            <w:tcW w:w="1541" w:type="dxa"/>
            <w:tcBorders>
              <w:top w:val="nil"/>
              <w:left w:val="nil"/>
              <w:bottom w:val="nil"/>
              <w:right w:val="nil"/>
            </w:tcBorders>
            <w:shd w:val="clear" w:color="auto" w:fill="F2F2F2" w:themeFill="background1" w:themeFillShade="F2"/>
            <w:noWrap/>
            <w:vAlign w:val="center"/>
            <w:hideMark/>
          </w:tcPr>
          <w:p w:rsidR="00572015" w:rsidRPr="00DF7832" w:rsidRDefault="00572015" w:rsidP="00DF7832">
            <w:pPr>
              <w:spacing w:after="0" w:line="240" w:lineRule="auto"/>
              <w:jc w:val="center"/>
              <w:rPr>
                <w:rFonts w:eastAsia="Times New Roman" w:cstheme="minorHAnsi"/>
                <w:sz w:val="20"/>
                <w:szCs w:val="20"/>
              </w:rPr>
            </w:pPr>
            <w:r w:rsidRPr="00DF7832">
              <w:rPr>
                <w:rFonts w:eastAsia="Times New Roman" w:cstheme="minorHAnsi"/>
                <w:sz w:val="20"/>
                <w:szCs w:val="20"/>
              </w:rPr>
              <w:t>81.8</w:t>
            </w:r>
          </w:p>
        </w:tc>
        <w:tc>
          <w:tcPr>
            <w:tcW w:w="1822" w:type="dxa"/>
            <w:tcBorders>
              <w:top w:val="nil"/>
              <w:left w:val="nil"/>
              <w:bottom w:val="nil"/>
              <w:right w:val="nil"/>
            </w:tcBorders>
            <w:shd w:val="clear" w:color="auto" w:fill="F2F2F2" w:themeFill="background1" w:themeFillShade="F2"/>
            <w:noWrap/>
            <w:vAlign w:val="bottom"/>
            <w:hideMark/>
          </w:tcPr>
          <w:p w:rsidR="00572015" w:rsidRPr="00DF7832" w:rsidRDefault="00572015" w:rsidP="00F04CF2">
            <w:pPr>
              <w:spacing w:after="0" w:line="240" w:lineRule="auto"/>
              <w:jc w:val="center"/>
              <w:rPr>
                <w:rFonts w:eastAsia="Times New Roman" w:cstheme="minorHAnsi"/>
                <w:sz w:val="20"/>
                <w:szCs w:val="20"/>
              </w:rPr>
            </w:pPr>
            <w:r w:rsidRPr="00DF7832">
              <w:rPr>
                <w:rFonts w:eastAsia="Times New Roman" w:cstheme="minorHAnsi"/>
                <w:sz w:val="20"/>
                <w:szCs w:val="20"/>
              </w:rPr>
              <w:t>Whiskey Flavor</w:t>
            </w:r>
          </w:p>
        </w:tc>
      </w:tr>
      <w:tr w:rsidR="00572015" w:rsidRPr="00DF7832" w:rsidTr="00572015">
        <w:trPr>
          <w:trHeight w:val="282"/>
        </w:trPr>
        <w:tc>
          <w:tcPr>
            <w:tcW w:w="1014" w:type="dxa"/>
            <w:tcBorders>
              <w:top w:val="nil"/>
              <w:left w:val="nil"/>
              <w:bottom w:val="nil"/>
              <w:right w:val="nil"/>
            </w:tcBorders>
            <w:shd w:val="clear" w:color="000000" w:fill="FFFFFF"/>
            <w:noWrap/>
            <w:vAlign w:val="center"/>
            <w:hideMark/>
          </w:tcPr>
          <w:p w:rsidR="00572015" w:rsidRPr="00DF7832" w:rsidRDefault="00572015" w:rsidP="00DF7832">
            <w:pPr>
              <w:spacing w:after="0" w:line="240" w:lineRule="auto"/>
              <w:jc w:val="center"/>
              <w:rPr>
                <w:rFonts w:eastAsia="Times New Roman" w:cstheme="minorHAnsi"/>
                <w:sz w:val="20"/>
                <w:szCs w:val="20"/>
              </w:rPr>
            </w:pPr>
            <w:r w:rsidRPr="00DF7832">
              <w:rPr>
                <w:rFonts w:eastAsia="Times New Roman" w:cstheme="minorHAnsi"/>
                <w:sz w:val="20"/>
                <w:szCs w:val="20"/>
              </w:rPr>
              <w:t>6</w:t>
            </w:r>
          </w:p>
        </w:tc>
        <w:tc>
          <w:tcPr>
            <w:tcW w:w="3049" w:type="dxa"/>
            <w:tcBorders>
              <w:top w:val="nil"/>
              <w:left w:val="nil"/>
              <w:bottom w:val="nil"/>
              <w:right w:val="nil"/>
            </w:tcBorders>
            <w:shd w:val="clear" w:color="000000" w:fill="FFFFFF"/>
            <w:noWrap/>
            <w:vAlign w:val="center"/>
            <w:hideMark/>
          </w:tcPr>
          <w:p w:rsidR="00572015" w:rsidRPr="00DF7832" w:rsidRDefault="00572015" w:rsidP="00DF7832">
            <w:pPr>
              <w:spacing w:after="0" w:line="240" w:lineRule="auto"/>
              <w:jc w:val="center"/>
              <w:rPr>
                <w:rFonts w:eastAsia="Times New Roman" w:cstheme="minorHAnsi"/>
                <w:sz w:val="20"/>
                <w:szCs w:val="20"/>
              </w:rPr>
            </w:pPr>
            <w:r w:rsidRPr="00DF7832">
              <w:rPr>
                <w:rFonts w:eastAsia="Times New Roman" w:cstheme="minorHAnsi"/>
                <w:sz w:val="20"/>
                <w:szCs w:val="20"/>
              </w:rPr>
              <w:t xml:space="preserve">Butyl Alcohol </w:t>
            </w:r>
          </w:p>
        </w:tc>
        <w:tc>
          <w:tcPr>
            <w:tcW w:w="222" w:type="dxa"/>
            <w:tcBorders>
              <w:top w:val="nil"/>
              <w:left w:val="nil"/>
              <w:bottom w:val="nil"/>
              <w:right w:val="nil"/>
            </w:tcBorders>
            <w:shd w:val="clear" w:color="000000" w:fill="FFFFFF"/>
          </w:tcPr>
          <w:p w:rsidR="00572015" w:rsidRPr="00DF7832" w:rsidRDefault="00572015" w:rsidP="00DF7832">
            <w:pPr>
              <w:spacing w:after="0" w:line="240" w:lineRule="auto"/>
              <w:jc w:val="center"/>
              <w:rPr>
                <w:rFonts w:eastAsia="Times New Roman" w:cstheme="minorHAnsi"/>
                <w:sz w:val="20"/>
                <w:szCs w:val="20"/>
              </w:rPr>
            </w:pPr>
          </w:p>
        </w:tc>
        <w:tc>
          <w:tcPr>
            <w:tcW w:w="982" w:type="dxa"/>
            <w:tcBorders>
              <w:top w:val="nil"/>
              <w:left w:val="nil"/>
              <w:bottom w:val="nil"/>
              <w:right w:val="nil"/>
            </w:tcBorders>
            <w:shd w:val="clear" w:color="000000" w:fill="FFFFFF"/>
            <w:noWrap/>
            <w:vAlign w:val="center"/>
            <w:hideMark/>
          </w:tcPr>
          <w:p w:rsidR="00572015" w:rsidRPr="00DF7832" w:rsidRDefault="00572015" w:rsidP="00DF7832">
            <w:pPr>
              <w:spacing w:after="0" w:line="240" w:lineRule="auto"/>
              <w:jc w:val="center"/>
              <w:rPr>
                <w:rFonts w:eastAsia="Times New Roman" w:cstheme="minorHAnsi"/>
                <w:sz w:val="20"/>
                <w:szCs w:val="20"/>
              </w:rPr>
            </w:pPr>
            <w:r w:rsidRPr="00DF7832">
              <w:rPr>
                <w:rFonts w:eastAsia="Times New Roman" w:cstheme="minorHAnsi"/>
                <w:sz w:val="20"/>
                <w:szCs w:val="20"/>
              </w:rPr>
              <w:t>74.12</w:t>
            </w:r>
          </w:p>
        </w:tc>
        <w:tc>
          <w:tcPr>
            <w:tcW w:w="1122" w:type="dxa"/>
            <w:tcBorders>
              <w:top w:val="nil"/>
              <w:left w:val="nil"/>
              <w:bottom w:val="nil"/>
              <w:right w:val="nil"/>
            </w:tcBorders>
            <w:shd w:val="clear" w:color="000000" w:fill="FFFFFF"/>
            <w:noWrap/>
            <w:vAlign w:val="center"/>
            <w:hideMark/>
          </w:tcPr>
          <w:p w:rsidR="00572015" w:rsidRPr="00DF7832" w:rsidRDefault="00572015" w:rsidP="00DF7832">
            <w:pPr>
              <w:spacing w:after="0" w:line="240" w:lineRule="auto"/>
              <w:jc w:val="center"/>
              <w:rPr>
                <w:rFonts w:eastAsia="Times New Roman" w:cstheme="minorHAnsi"/>
                <w:sz w:val="20"/>
                <w:szCs w:val="20"/>
              </w:rPr>
            </w:pPr>
            <w:r w:rsidRPr="00DF7832">
              <w:rPr>
                <w:rFonts w:eastAsia="Times New Roman" w:cstheme="minorHAnsi"/>
                <w:sz w:val="20"/>
                <w:szCs w:val="20"/>
              </w:rPr>
              <w:t>117</w:t>
            </w:r>
          </w:p>
        </w:tc>
        <w:tc>
          <w:tcPr>
            <w:tcW w:w="1122" w:type="dxa"/>
            <w:tcBorders>
              <w:top w:val="nil"/>
              <w:left w:val="nil"/>
              <w:bottom w:val="nil"/>
              <w:right w:val="nil"/>
            </w:tcBorders>
            <w:shd w:val="clear" w:color="000000" w:fill="FFFFFF"/>
            <w:noWrap/>
            <w:vAlign w:val="center"/>
            <w:hideMark/>
          </w:tcPr>
          <w:p w:rsidR="00572015" w:rsidRPr="00DF7832" w:rsidRDefault="00572015" w:rsidP="00DF7832">
            <w:pPr>
              <w:spacing w:after="0" w:line="240" w:lineRule="auto"/>
              <w:jc w:val="center"/>
              <w:rPr>
                <w:rFonts w:eastAsia="Times New Roman" w:cstheme="minorHAnsi"/>
                <w:sz w:val="20"/>
                <w:szCs w:val="20"/>
              </w:rPr>
            </w:pPr>
            <w:r w:rsidRPr="00DF7832">
              <w:rPr>
                <w:rFonts w:eastAsia="Times New Roman" w:cstheme="minorHAnsi"/>
                <w:sz w:val="20"/>
                <w:szCs w:val="20"/>
              </w:rPr>
              <w:t>C</w:t>
            </w:r>
            <w:r w:rsidRPr="00DF7832">
              <w:rPr>
                <w:rFonts w:eastAsia="Times New Roman" w:cstheme="minorHAnsi"/>
                <w:sz w:val="20"/>
                <w:szCs w:val="20"/>
                <w:vertAlign w:val="subscript"/>
              </w:rPr>
              <w:t>4</w:t>
            </w:r>
            <w:r w:rsidRPr="00DF7832">
              <w:rPr>
                <w:rFonts w:eastAsia="Times New Roman" w:cstheme="minorHAnsi"/>
                <w:sz w:val="20"/>
                <w:szCs w:val="20"/>
              </w:rPr>
              <w:t>H</w:t>
            </w:r>
            <w:r w:rsidRPr="00DF7832">
              <w:rPr>
                <w:rFonts w:eastAsia="Times New Roman" w:cstheme="minorHAnsi"/>
                <w:sz w:val="20"/>
                <w:szCs w:val="20"/>
                <w:vertAlign w:val="subscript"/>
              </w:rPr>
              <w:t>10</w:t>
            </w:r>
            <w:r w:rsidRPr="00DF7832">
              <w:rPr>
                <w:rFonts w:eastAsia="Times New Roman" w:cstheme="minorHAnsi"/>
                <w:sz w:val="20"/>
                <w:szCs w:val="20"/>
              </w:rPr>
              <w:t>O</w:t>
            </w:r>
          </w:p>
        </w:tc>
        <w:tc>
          <w:tcPr>
            <w:tcW w:w="1122" w:type="dxa"/>
            <w:tcBorders>
              <w:top w:val="nil"/>
              <w:left w:val="nil"/>
              <w:bottom w:val="nil"/>
              <w:right w:val="nil"/>
            </w:tcBorders>
            <w:shd w:val="clear" w:color="000000" w:fill="FFFFFF"/>
            <w:noWrap/>
            <w:vAlign w:val="center"/>
            <w:hideMark/>
          </w:tcPr>
          <w:p w:rsidR="00572015" w:rsidRPr="00DF7832" w:rsidRDefault="00572015" w:rsidP="00DF7832">
            <w:pPr>
              <w:spacing w:after="0" w:line="240" w:lineRule="auto"/>
              <w:jc w:val="center"/>
              <w:rPr>
                <w:rFonts w:eastAsia="Times New Roman" w:cstheme="minorHAnsi"/>
                <w:sz w:val="20"/>
                <w:szCs w:val="20"/>
              </w:rPr>
            </w:pPr>
            <w:r w:rsidRPr="00DF7832">
              <w:rPr>
                <w:rFonts w:eastAsia="Times New Roman" w:cstheme="minorHAnsi"/>
                <w:sz w:val="20"/>
                <w:szCs w:val="20"/>
              </w:rPr>
              <w:t>1.337</w:t>
            </w:r>
          </w:p>
        </w:tc>
        <w:tc>
          <w:tcPr>
            <w:tcW w:w="1962" w:type="dxa"/>
            <w:tcBorders>
              <w:top w:val="nil"/>
              <w:left w:val="nil"/>
              <w:bottom w:val="nil"/>
              <w:right w:val="nil"/>
            </w:tcBorders>
            <w:shd w:val="clear" w:color="000000" w:fill="FFFFFF"/>
            <w:noWrap/>
            <w:vAlign w:val="center"/>
            <w:hideMark/>
          </w:tcPr>
          <w:p w:rsidR="00572015" w:rsidRPr="00DF7832" w:rsidRDefault="00572015" w:rsidP="00DF7832">
            <w:pPr>
              <w:spacing w:after="0" w:line="240" w:lineRule="auto"/>
              <w:jc w:val="center"/>
              <w:rPr>
                <w:rFonts w:eastAsia="Times New Roman" w:cstheme="minorHAnsi"/>
                <w:sz w:val="20"/>
                <w:szCs w:val="20"/>
              </w:rPr>
            </w:pPr>
            <w:r w:rsidRPr="00DF7832">
              <w:rPr>
                <w:rFonts w:eastAsia="Times New Roman" w:cstheme="minorHAnsi"/>
                <w:sz w:val="20"/>
                <w:szCs w:val="20"/>
              </w:rPr>
              <w:t>4</w:t>
            </w:r>
          </w:p>
        </w:tc>
        <w:tc>
          <w:tcPr>
            <w:tcW w:w="1541" w:type="dxa"/>
            <w:tcBorders>
              <w:top w:val="nil"/>
              <w:left w:val="nil"/>
              <w:bottom w:val="nil"/>
              <w:right w:val="nil"/>
            </w:tcBorders>
            <w:shd w:val="clear" w:color="000000" w:fill="FFFFFF"/>
            <w:noWrap/>
            <w:vAlign w:val="center"/>
            <w:hideMark/>
          </w:tcPr>
          <w:p w:rsidR="00572015" w:rsidRPr="00DF7832" w:rsidRDefault="00572015" w:rsidP="00DF7832">
            <w:pPr>
              <w:spacing w:after="0" w:line="240" w:lineRule="auto"/>
              <w:jc w:val="center"/>
              <w:rPr>
                <w:rFonts w:eastAsia="Times New Roman" w:cstheme="minorHAnsi"/>
                <w:sz w:val="20"/>
                <w:szCs w:val="20"/>
              </w:rPr>
            </w:pPr>
            <w:r w:rsidRPr="00DF7832">
              <w:rPr>
                <w:rFonts w:eastAsia="Times New Roman" w:cstheme="minorHAnsi"/>
                <w:sz w:val="20"/>
                <w:szCs w:val="20"/>
              </w:rPr>
              <w:t>65.0</w:t>
            </w:r>
          </w:p>
        </w:tc>
        <w:tc>
          <w:tcPr>
            <w:tcW w:w="1822" w:type="dxa"/>
            <w:tcBorders>
              <w:top w:val="nil"/>
              <w:left w:val="nil"/>
              <w:bottom w:val="nil"/>
              <w:right w:val="nil"/>
            </w:tcBorders>
            <w:shd w:val="clear" w:color="000000" w:fill="FFFFFF"/>
            <w:noWrap/>
            <w:vAlign w:val="bottom"/>
            <w:hideMark/>
          </w:tcPr>
          <w:p w:rsidR="00572015" w:rsidRPr="00DF7832" w:rsidRDefault="00572015" w:rsidP="00F04CF2">
            <w:pPr>
              <w:spacing w:after="0" w:line="240" w:lineRule="auto"/>
              <w:jc w:val="center"/>
              <w:rPr>
                <w:rFonts w:eastAsia="Times New Roman" w:cstheme="minorHAnsi"/>
                <w:sz w:val="20"/>
                <w:szCs w:val="20"/>
              </w:rPr>
            </w:pPr>
            <w:r w:rsidRPr="00DF7832">
              <w:rPr>
                <w:rFonts w:eastAsia="Times New Roman" w:cstheme="minorHAnsi"/>
                <w:sz w:val="20"/>
                <w:szCs w:val="20"/>
              </w:rPr>
              <w:t>Fruity Flavor</w:t>
            </w:r>
          </w:p>
        </w:tc>
      </w:tr>
      <w:tr w:rsidR="00572015" w:rsidRPr="00DF7832" w:rsidTr="00572015">
        <w:trPr>
          <w:trHeight w:val="282"/>
        </w:trPr>
        <w:tc>
          <w:tcPr>
            <w:tcW w:w="1014" w:type="dxa"/>
            <w:tcBorders>
              <w:top w:val="nil"/>
              <w:left w:val="nil"/>
              <w:bottom w:val="nil"/>
              <w:right w:val="nil"/>
            </w:tcBorders>
            <w:shd w:val="clear" w:color="000000" w:fill="FFFFFF"/>
            <w:noWrap/>
            <w:vAlign w:val="center"/>
            <w:hideMark/>
          </w:tcPr>
          <w:p w:rsidR="00572015" w:rsidRPr="00DF7832" w:rsidRDefault="00572015" w:rsidP="00DF7832">
            <w:pPr>
              <w:spacing w:after="0" w:line="240" w:lineRule="auto"/>
              <w:jc w:val="center"/>
              <w:rPr>
                <w:rFonts w:eastAsia="Times New Roman" w:cstheme="minorHAnsi"/>
                <w:sz w:val="20"/>
                <w:szCs w:val="20"/>
              </w:rPr>
            </w:pPr>
            <w:r w:rsidRPr="00DF7832">
              <w:rPr>
                <w:rFonts w:eastAsia="Times New Roman" w:cstheme="minorHAnsi"/>
                <w:sz w:val="20"/>
                <w:szCs w:val="20"/>
              </w:rPr>
              <w:t>7</w:t>
            </w:r>
          </w:p>
        </w:tc>
        <w:tc>
          <w:tcPr>
            <w:tcW w:w="3049" w:type="dxa"/>
            <w:tcBorders>
              <w:top w:val="nil"/>
              <w:left w:val="nil"/>
              <w:bottom w:val="nil"/>
              <w:right w:val="nil"/>
            </w:tcBorders>
            <w:shd w:val="clear" w:color="000000" w:fill="FFFFFF"/>
            <w:noWrap/>
            <w:vAlign w:val="center"/>
            <w:hideMark/>
          </w:tcPr>
          <w:p w:rsidR="00572015" w:rsidRPr="00DF7832" w:rsidRDefault="00572015" w:rsidP="00DF7832">
            <w:pPr>
              <w:spacing w:after="0" w:line="240" w:lineRule="auto"/>
              <w:jc w:val="center"/>
              <w:rPr>
                <w:rFonts w:eastAsia="Times New Roman" w:cstheme="minorHAnsi"/>
                <w:sz w:val="20"/>
                <w:szCs w:val="20"/>
              </w:rPr>
            </w:pPr>
            <w:r w:rsidRPr="00DF7832">
              <w:rPr>
                <w:rFonts w:eastAsia="Times New Roman" w:cstheme="minorHAnsi"/>
                <w:sz w:val="20"/>
                <w:szCs w:val="20"/>
              </w:rPr>
              <w:t xml:space="preserve">2-Methyl-1,3-dioxolane </w:t>
            </w:r>
          </w:p>
        </w:tc>
        <w:tc>
          <w:tcPr>
            <w:tcW w:w="222" w:type="dxa"/>
            <w:tcBorders>
              <w:top w:val="nil"/>
              <w:left w:val="nil"/>
              <w:bottom w:val="nil"/>
              <w:right w:val="nil"/>
            </w:tcBorders>
            <w:shd w:val="clear" w:color="000000" w:fill="FFFFFF"/>
          </w:tcPr>
          <w:p w:rsidR="00572015" w:rsidRPr="00DF7832" w:rsidRDefault="00572015" w:rsidP="00DF7832">
            <w:pPr>
              <w:spacing w:after="0" w:line="240" w:lineRule="auto"/>
              <w:jc w:val="center"/>
              <w:rPr>
                <w:rFonts w:eastAsia="Times New Roman" w:cstheme="minorHAnsi"/>
                <w:sz w:val="20"/>
                <w:szCs w:val="20"/>
              </w:rPr>
            </w:pPr>
          </w:p>
        </w:tc>
        <w:tc>
          <w:tcPr>
            <w:tcW w:w="982" w:type="dxa"/>
            <w:tcBorders>
              <w:top w:val="nil"/>
              <w:left w:val="nil"/>
              <w:bottom w:val="nil"/>
              <w:right w:val="nil"/>
            </w:tcBorders>
            <w:shd w:val="clear" w:color="000000" w:fill="FFFFFF"/>
            <w:noWrap/>
            <w:vAlign w:val="center"/>
            <w:hideMark/>
          </w:tcPr>
          <w:p w:rsidR="00572015" w:rsidRPr="00DF7832" w:rsidRDefault="00572015" w:rsidP="00DF7832">
            <w:pPr>
              <w:spacing w:after="0" w:line="240" w:lineRule="auto"/>
              <w:jc w:val="center"/>
              <w:rPr>
                <w:rFonts w:eastAsia="Times New Roman" w:cstheme="minorHAnsi"/>
                <w:sz w:val="20"/>
                <w:szCs w:val="20"/>
              </w:rPr>
            </w:pPr>
            <w:r w:rsidRPr="00DF7832">
              <w:rPr>
                <w:rFonts w:eastAsia="Times New Roman" w:cstheme="minorHAnsi"/>
                <w:sz w:val="20"/>
                <w:szCs w:val="20"/>
              </w:rPr>
              <w:t>88.11</w:t>
            </w:r>
          </w:p>
        </w:tc>
        <w:tc>
          <w:tcPr>
            <w:tcW w:w="1122" w:type="dxa"/>
            <w:tcBorders>
              <w:top w:val="nil"/>
              <w:left w:val="nil"/>
              <w:bottom w:val="nil"/>
              <w:right w:val="nil"/>
            </w:tcBorders>
            <w:shd w:val="clear" w:color="000000" w:fill="FFFFFF"/>
            <w:noWrap/>
            <w:vAlign w:val="center"/>
            <w:hideMark/>
          </w:tcPr>
          <w:p w:rsidR="00572015" w:rsidRPr="00DF7832" w:rsidRDefault="00572015" w:rsidP="00DF7832">
            <w:pPr>
              <w:spacing w:after="0" w:line="240" w:lineRule="auto"/>
              <w:jc w:val="center"/>
              <w:rPr>
                <w:rFonts w:eastAsia="Times New Roman" w:cstheme="minorHAnsi"/>
                <w:sz w:val="20"/>
                <w:szCs w:val="20"/>
              </w:rPr>
            </w:pPr>
            <w:r w:rsidRPr="00DF7832">
              <w:rPr>
                <w:rFonts w:eastAsia="Times New Roman" w:cstheme="minorHAnsi"/>
                <w:sz w:val="20"/>
                <w:szCs w:val="20"/>
              </w:rPr>
              <w:t>83</w:t>
            </w:r>
          </w:p>
        </w:tc>
        <w:tc>
          <w:tcPr>
            <w:tcW w:w="1122" w:type="dxa"/>
            <w:tcBorders>
              <w:top w:val="nil"/>
              <w:left w:val="nil"/>
              <w:bottom w:val="nil"/>
              <w:right w:val="nil"/>
            </w:tcBorders>
            <w:shd w:val="clear" w:color="000000" w:fill="FFFFFF"/>
            <w:noWrap/>
            <w:vAlign w:val="center"/>
            <w:hideMark/>
          </w:tcPr>
          <w:p w:rsidR="00572015" w:rsidRPr="00DF7832" w:rsidRDefault="00572015" w:rsidP="00DF7832">
            <w:pPr>
              <w:spacing w:after="0" w:line="240" w:lineRule="auto"/>
              <w:jc w:val="center"/>
              <w:rPr>
                <w:rFonts w:eastAsia="Times New Roman" w:cstheme="minorHAnsi"/>
                <w:sz w:val="20"/>
                <w:szCs w:val="20"/>
              </w:rPr>
            </w:pPr>
            <w:r w:rsidRPr="00DF7832">
              <w:rPr>
                <w:rFonts w:eastAsia="Times New Roman" w:cstheme="minorHAnsi"/>
                <w:sz w:val="20"/>
                <w:szCs w:val="20"/>
              </w:rPr>
              <w:t xml:space="preserve"> C</w:t>
            </w:r>
            <w:r w:rsidRPr="00DF7832">
              <w:rPr>
                <w:rFonts w:eastAsia="Times New Roman" w:cstheme="minorHAnsi"/>
                <w:sz w:val="20"/>
                <w:szCs w:val="20"/>
                <w:vertAlign w:val="subscript"/>
              </w:rPr>
              <w:t>4</w:t>
            </w:r>
            <w:r w:rsidRPr="00DF7832">
              <w:rPr>
                <w:rFonts w:eastAsia="Times New Roman" w:cstheme="minorHAnsi"/>
                <w:sz w:val="20"/>
                <w:szCs w:val="20"/>
              </w:rPr>
              <w:t>H</w:t>
            </w:r>
            <w:r w:rsidRPr="00DF7832">
              <w:rPr>
                <w:rFonts w:eastAsia="Times New Roman" w:cstheme="minorHAnsi"/>
                <w:sz w:val="20"/>
                <w:szCs w:val="20"/>
                <w:vertAlign w:val="subscript"/>
              </w:rPr>
              <w:t>8</w:t>
            </w:r>
            <w:r w:rsidRPr="00DF7832">
              <w:rPr>
                <w:rFonts w:eastAsia="Times New Roman" w:cstheme="minorHAnsi"/>
                <w:sz w:val="20"/>
                <w:szCs w:val="20"/>
              </w:rPr>
              <w:t>O</w:t>
            </w:r>
            <w:r w:rsidRPr="00DF7832">
              <w:rPr>
                <w:rFonts w:eastAsia="Times New Roman" w:cstheme="minorHAnsi"/>
                <w:sz w:val="20"/>
                <w:szCs w:val="20"/>
                <w:vertAlign w:val="subscript"/>
              </w:rPr>
              <w:t>2</w:t>
            </w:r>
          </w:p>
        </w:tc>
        <w:tc>
          <w:tcPr>
            <w:tcW w:w="1122" w:type="dxa"/>
            <w:tcBorders>
              <w:top w:val="nil"/>
              <w:left w:val="nil"/>
              <w:bottom w:val="nil"/>
              <w:right w:val="nil"/>
            </w:tcBorders>
            <w:shd w:val="clear" w:color="000000" w:fill="FFFFFF"/>
            <w:noWrap/>
            <w:vAlign w:val="center"/>
            <w:hideMark/>
          </w:tcPr>
          <w:p w:rsidR="00572015" w:rsidRPr="00DF7832" w:rsidRDefault="00572015" w:rsidP="00DF7832">
            <w:pPr>
              <w:spacing w:after="0" w:line="240" w:lineRule="auto"/>
              <w:jc w:val="center"/>
              <w:rPr>
                <w:rFonts w:eastAsia="Times New Roman" w:cstheme="minorHAnsi"/>
                <w:sz w:val="20"/>
                <w:szCs w:val="20"/>
              </w:rPr>
            </w:pPr>
            <w:r w:rsidRPr="00DF7832">
              <w:rPr>
                <w:rFonts w:eastAsia="Times New Roman" w:cstheme="minorHAnsi"/>
                <w:sz w:val="20"/>
                <w:szCs w:val="20"/>
              </w:rPr>
              <w:t>1.421</w:t>
            </w:r>
          </w:p>
        </w:tc>
        <w:tc>
          <w:tcPr>
            <w:tcW w:w="1962" w:type="dxa"/>
            <w:tcBorders>
              <w:top w:val="nil"/>
              <w:left w:val="nil"/>
              <w:bottom w:val="nil"/>
              <w:right w:val="nil"/>
            </w:tcBorders>
            <w:shd w:val="clear" w:color="000000" w:fill="FFFFFF"/>
            <w:noWrap/>
            <w:vAlign w:val="center"/>
            <w:hideMark/>
          </w:tcPr>
          <w:p w:rsidR="00572015" w:rsidRPr="00DF7832" w:rsidRDefault="00572015" w:rsidP="00DF7832">
            <w:pPr>
              <w:spacing w:after="0" w:line="240" w:lineRule="auto"/>
              <w:jc w:val="center"/>
              <w:rPr>
                <w:rFonts w:eastAsia="Times New Roman" w:cstheme="minorHAnsi"/>
                <w:sz w:val="20"/>
                <w:szCs w:val="20"/>
              </w:rPr>
            </w:pPr>
            <w:r w:rsidRPr="00DF7832">
              <w:rPr>
                <w:rFonts w:eastAsia="Times New Roman" w:cstheme="minorHAnsi"/>
                <w:sz w:val="20"/>
                <w:szCs w:val="20"/>
              </w:rPr>
              <w:t>3</w:t>
            </w:r>
          </w:p>
        </w:tc>
        <w:tc>
          <w:tcPr>
            <w:tcW w:w="1541" w:type="dxa"/>
            <w:tcBorders>
              <w:top w:val="nil"/>
              <w:left w:val="nil"/>
              <w:bottom w:val="nil"/>
              <w:right w:val="nil"/>
            </w:tcBorders>
            <w:shd w:val="clear" w:color="000000" w:fill="FFFFFF"/>
            <w:noWrap/>
            <w:vAlign w:val="center"/>
            <w:hideMark/>
          </w:tcPr>
          <w:p w:rsidR="00572015" w:rsidRPr="00DF7832" w:rsidRDefault="00572015" w:rsidP="00DF7832">
            <w:pPr>
              <w:spacing w:after="0" w:line="240" w:lineRule="auto"/>
              <w:jc w:val="center"/>
              <w:rPr>
                <w:rFonts w:eastAsia="Times New Roman" w:cstheme="minorHAnsi"/>
                <w:sz w:val="20"/>
                <w:szCs w:val="20"/>
              </w:rPr>
            </w:pPr>
            <w:r w:rsidRPr="00DF7832">
              <w:rPr>
                <w:rFonts w:eastAsia="Times New Roman" w:cstheme="minorHAnsi"/>
                <w:sz w:val="20"/>
                <w:szCs w:val="20"/>
              </w:rPr>
              <w:t>75.4</w:t>
            </w:r>
          </w:p>
        </w:tc>
        <w:tc>
          <w:tcPr>
            <w:tcW w:w="1822" w:type="dxa"/>
            <w:tcBorders>
              <w:top w:val="nil"/>
              <w:left w:val="nil"/>
              <w:bottom w:val="nil"/>
              <w:right w:val="nil"/>
            </w:tcBorders>
            <w:shd w:val="clear" w:color="000000" w:fill="FFFFFF"/>
            <w:noWrap/>
            <w:vAlign w:val="bottom"/>
            <w:hideMark/>
          </w:tcPr>
          <w:p w:rsidR="00572015" w:rsidRPr="00DF7832" w:rsidRDefault="00572015" w:rsidP="00F04CF2">
            <w:pPr>
              <w:spacing w:after="0" w:line="240" w:lineRule="auto"/>
              <w:jc w:val="center"/>
              <w:rPr>
                <w:rFonts w:eastAsia="Times New Roman" w:cstheme="minorHAnsi"/>
                <w:sz w:val="20"/>
                <w:szCs w:val="20"/>
              </w:rPr>
            </w:pPr>
          </w:p>
        </w:tc>
      </w:tr>
      <w:tr w:rsidR="00572015" w:rsidRPr="00DF7832" w:rsidTr="00572015">
        <w:trPr>
          <w:trHeight w:val="282"/>
        </w:trPr>
        <w:tc>
          <w:tcPr>
            <w:tcW w:w="1014" w:type="dxa"/>
            <w:tcBorders>
              <w:top w:val="nil"/>
              <w:left w:val="nil"/>
              <w:bottom w:val="nil"/>
              <w:right w:val="nil"/>
            </w:tcBorders>
            <w:shd w:val="clear" w:color="000000" w:fill="FFFFFF"/>
            <w:noWrap/>
            <w:vAlign w:val="center"/>
            <w:hideMark/>
          </w:tcPr>
          <w:p w:rsidR="00572015" w:rsidRPr="00DF7832" w:rsidRDefault="00572015" w:rsidP="00DF7832">
            <w:pPr>
              <w:spacing w:after="0" w:line="240" w:lineRule="auto"/>
              <w:jc w:val="center"/>
              <w:rPr>
                <w:rFonts w:eastAsia="Times New Roman" w:cstheme="minorHAnsi"/>
                <w:sz w:val="20"/>
                <w:szCs w:val="20"/>
              </w:rPr>
            </w:pPr>
            <w:r w:rsidRPr="00DF7832">
              <w:rPr>
                <w:rFonts w:eastAsia="Times New Roman" w:cstheme="minorHAnsi"/>
                <w:sz w:val="20"/>
                <w:szCs w:val="20"/>
              </w:rPr>
              <w:t>8</w:t>
            </w:r>
          </w:p>
        </w:tc>
        <w:tc>
          <w:tcPr>
            <w:tcW w:w="3049" w:type="dxa"/>
            <w:tcBorders>
              <w:top w:val="nil"/>
              <w:left w:val="nil"/>
              <w:bottom w:val="nil"/>
              <w:right w:val="nil"/>
            </w:tcBorders>
            <w:shd w:val="clear" w:color="000000" w:fill="FFFFFF"/>
            <w:noWrap/>
            <w:vAlign w:val="center"/>
            <w:hideMark/>
          </w:tcPr>
          <w:p w:rsidR="00572015" w:rsidRPr="00DF7832" w:rsidRDefault="00572015" w:rsidP="00DF7832">
            <w:pPr>
              <w:spacing w:after="0" w:line="240" w:lineRule="auto"/>
              <w:jc w:val="center"/>
              <w:rPr>
                <w:rFonts w:eastAsia="Times New Roman" w:cstheme="minorHAnsi"/>
                <w:sz w:val="20"/>
                <w:szCs w:val="20"/>
              </w:rPr>
            </w:pPr>
            <w:r w:rsidRPr="00DF7832">
              <w:rPr>
                <w:rFonts w:eastAsia="Times New Roman" w:cstheme="minorHAnsi"/>
                <w:sz w:val="20"/>
                <w:szCs w:val="20"/>
              </w:rPr>
              <w:t>Isoamyl Alcohol</w:t>
            </w:r>
          </w:p>
        </w:tc>
        <w:tc>
          <w:tcPr>
            <w:tcW w:w="222" w:type="dxa"/>
            <w:tcBorders>
              <w:top w:val="nil"/>
              <w:left w:val="nil"/>
              <w:bottom w:val="nil"/>
              <w:right w:val="nil"/>
            </w:tcBorders>
            <w:shd w:val="clear" w:color="000000" w:fill="FFFFFF"/>
          </w:tcPr>
          <w:p w:rsidR="00572015" w:rsidRPr="00DF7832" w:rsidRDefault="00572015" w:rsidP="00DF7832">
            <w:pPr>
              <w:spacing w:after="0" w:line="240" w:lineRule="auto"/>
              <w:jc w:val="center"/>
              <w:rPr>
                <w:rFonts w:eastAsia="Times New Roman" w:cstheme="minorHAnsi"/>
                <w:sz w:val="20"/>
                <w:szCs w:val="20"/>
              </w:rPr>
            </w:pPr>
          </w:p>
        </w:tc>
        <w:tc>
          <w:tcPr>
            <w:tcW w:w="982" w:type="dxa"/>
            <w:tcBorders>
              <w:top w:val="nil"/>
              <w:left w:val="nil"/>
              <w:bottom w:val="nil"/>
              <w:right w:val="nil"/>
            </w:tcBorders>
            <w:shd w:val="clear" w:color="000000" w:fill="FFFFFF"/>
            <w:noWrap/>
            <w:vAlign w:val="center"/>
            <w:hideMark/>
          </w:tcPr>
          <w:p w:rsidR="00572015" w:rsidRPr="00DF7832" w:rsidRDefault="00572015" w:rsidP="00DF7832">
            <w:pPr>
              <w:spacing w:after="0" w:line="240" w:lineRule="auto"/>
              <w:jc w:val="center"/>
              <w:rPr>
                <w:rFonts w:eastAsia="Times New Roman" w:cstheme="minorHAnsi"/>
                <w:sz w:val="20"/>
                <w:szCs w:val="20"/>
              </w:rPr>
            </w:pPr>
            <w:r w:rsidRPr="00DF7832">
              <w:rPr>
                <w:rFonts w:eastAsia="Times New Roman" w:cstheme="minorHAnsi"/>
                <w:sz w:val="20"/>
                <w:szCs w:val="20"/>
              </w:rPr>
              <w:t>88.15</w:t>
            </w:r>
          </w:p>
        </w:tc>
        <w:tc>
          <w:tcPr>
            <w:tcW w:w="1122" w:type="dxa"/>
            <w:tcBorders>
              <w:top w:val="nil"/>
              <w:left w:val="nil"/>
              <w:bottom w:val="nil"/>
              <w:right w:val="nil"/>
            </w:tcBorders>
            <w:shd w:val="clear" w:color="000000" w:fill="FFFFFF"/>
            <w:noWrap/>
            <w:vAlign w:val="center"/>
            <w:hideMark/>
          </w:tcPr>
          <w:p w:rsidR="00572015" w:rsidRPr="00DF7832" w:rsidRDefault="00572015" w:rsidP="00DF7832">
            <w:pPr>
              <w:spacing w:after="0" w:line="240" w:lineRule="auto"/>
              <w:jc w:val="center"/>
              <w:rPr>
                <w:rFonts w:eastAsia="Times New Roman" w:cstheme="minorHAnsi"/>
                <w:sz w:val="20"/>
                <w:szCs w:val="20"/>
              </w:rPr>
            </w:pPr>
            <w:r w:rsidRPr="00DF7832">
              <w:rPr>
                <w:rFonts w:eastAsia="Times New Roman" w:cstheme="minorHAnsi"/>
                <w:sz w:val="20"/>
                <w:szCs w:val="20"/>
              </w:rPr>
              <w:t>123</w:t>
            </w:r>
          </w:p>
        </w:tc>
        <w:tc>
          <w:tcPr>
            <w:tcW w:w="1122" w:type="dxa"/>
            <w:tcBorders>
              <w:top w:val="nil"/>
              <w:left w:val="nil"/>
              <w:bottom w:val="nil"/>
              <w:right w:val="nil"/>
            </w:tcBorders>
            <w:shd w:val="clear" w:color="000000" w:fill="FFFFFF"/>
            <w:noWrap/>
            <w:vAlign w:val="center"/>
            <w:hideMark/>
          </w:tcPr>
          <w:p w:rsidR="00572015" w:rsidRPr="00DF7832" w:rsidRDefault="00572015" w:rsidP="00DF7832">
            <w:pPr>
              <w:spacing w:after="0" w:line="240" w:lineRule="auto"/>
              <w:jc w:val="center"/>
              <w:rPr>
                <w:rFonts w:eastAsia="Times New Roman" w:cstheme="minorHAnsi"/>
                <w:sz w:val="20"/>
                <w:szCs w:val="20"/>
              </w:rPr>
            </w:pPr>
            <w:r w:rsidRPr="00DF7832">
              <w:rPr>
                <w:rFonts w:eastAsia="Times New Roman" w:cstheme="minorHAnsi"/>
                <w:sz w:val="20"/>
                <w:szCs w:val="20"/>
              </w:rPr>
              <w:t>C</w:t>
            </w:r>
            <w:r w:rsidRPr="00DF7832">
              <w:rPr>
                <w:rFonts w:eastAsia="Times New Roman" w:cstheme="minorHAnsi"/>
                <w:sz w:val="20"/>
                <w:szCs w:val="20"/>
                <w:vertAlign w:val="subscript"/>
              </w:rPr>
              <w:t>5</w:t>
            </w:r>
            <w:r w:rsidRPr="00DF7832">
              <w:rPr>
                <w:rFonts w:eastAsia="Times New Roman" w:cstheme="minorHAnsi"/>
                <w:sz w:val="20"/>
                <w:szCs w:val="20"/>
              </w:rPr>
              <w:t>H</w:t>
            </w:r>
            <w:r w:rsidRPr="00DF7832">
              <w:rPr>
                <w:rFonts w:eastAsia="Times New Roman" w:cstheme="minorHAnsi"/>
                <w:sz w:val="20"/>
                <w:szCs w:val="20"/>
                <w:vertAlign w:val="subscript"/>
              </w:rPr>
              <w:t>12</w:t>
            </w:r>
            <w:r w:rsidRPr="00DF7832">
              <w:rPr>
                <w:rFonts w:eastAsia="Times New Roman" w:cstheme="minorHAnsi"/>
                <w:sz w:val="20"/>
                <w:szCs w:val="20"/>
              </w:rPr>
              <w:t>O</w:t>
            </w:r>
          </w:p>
        </w:tc>
        <w:tc>
          <w:tcPr>
            <w:tcW w:w="1122" w:type="dxa"/>
            <w:tcBorders>
              <w:top w:val="nil"/>
              <w:left w:val="nil"/>
              <w:bottom w:val="nil"/>
              <w:right w:val="nil"/>
            </w:tcBorders>
            <w:shd w:val="clear" w:color="000000" w:fill="FFFFFF"/>
            <w:noWrap/>
            <w:vAlign w:val="center"/>
            <w:hideMark/>
          </w:tcPr>
          <w:p w:rsidR="00572015" w:rsidRPr="00DF7832" w:rsidRDefault="00572015" w:rsidP="00DF7832">
            <w:pPr>
              <w:spacing w:after="0" w:line="240" w:lineRule="auto"/>
              <w:jc w:val="center"/>
              <w:rPr>
                <w:rFonts w:eastAsia="Times New Roman" w:cstheme="minorHAnsi"/>
                <w:sz w:val="20"/>
                <w:szCs w:val="20"/>
              </w:rPr>
            </w:pPr>
            <w:r w:rsidRPr="00DF7832">
              <w:rPr>
                <w:rFonts w:eastAsia="Times New Roman" w:cstheme="minorHAnsi"/>
                <w:sz w:val="20"/>
                <w:szCs w:val="20"/>
              </w:rPr>
              <w:t>1.573</w:t>
            </w:r>
          </w:p>
        </w:tc>
        <w:tc>
          <w:tcPr>
            <w:tcW w:w="1962" w:type="dxa"/>
            <w:tcBorders>
              <w:top w:val="nil"/>
              <w:left w:val="nil"/>
              <w:bottom w:val="nil"/>
              <w:right w:val="nil"/>
            </w:tcBorders>
            <w:shd w:val="clear" w:color="000000" w:fill="FFFFFF"/>
            <w:noWrap/>
            <w:vAlign w:val="center"/>
            <w:hideMark/>
          </w:tcPr>
          <w:p w:rsidR="00572015" w:rsidRPr="00DF7832" w:rsidRDefault="00572015" w:rsidP="00DF7832">
            <w:pPr>
              <w:spacing w:after="0" w:line="240" w:lineRule="auto"/>
              <w:jc w:val="center"/>
              <w:rPr>
                <w:rFonts w:eastAsia="Times New Roman" w:cstheme="minorHAnsi"/>
                <w:sz w:val="20"/>
                <w:szCs w:val="20"/>
              </w:rPr>
            </w:pPr>
            <w:r w:rsidRPr="00DF7832">
              <w:rPr>
                <w:rFonts w:eastAsia="Times New Roman" w:cstheme="minorHAnsi"/>
                <w:sz w:val="20"/>
                <w:szCs w:val="20"/>
              </w:rPr>
              <w:t>4</w:t>
            </w:r>
          </w:p>
        </w:tc>
        <w:tc>
          <w:tcPr>
            <w:tcW w:w="1541" w:type="dxa"/>
            <w:tcBorders>
              <w:top w:val="nil"/>
              <w:left w:val="nil"/>
              <w:bottom w:val="nil"/>
              <w:right w:val="nil"/>
            </w:tcBorders>
            <w:shd w:val="clear" w:color="000000" w:fill="FFFFFF"/>
            <w:noWrap/>
            <w:vAlign w:val="center"/>
            <w:hideMark/>
          </w:tcPr>
          <w:p w:rsidR="00572015" w:rsidRPr="00DF7832" w:rsidRDefault="00572015" w:rsidP="00DF7832">
            <w:pPr>
              <w:spacing w:after="0" w:line="240" w:lineRule="auto"/>
              <w:jc w:val="center"/>
              <w:rPr>
                <w:rFonts w:eastAsia="Times New Roman" w:cstheme="minorHAnsi"/>
                <w:sz w:val="20"/>
                <w:szCs w:val="20"/>
              </w:rPr>
            </w:pPr>
            <w:r w:rsidRPr="00DF7832">
              <w:rPr>
                <w:rFonts w:eastAsia="Times New Roman" w:cstheme="minorHAnsi"/>
                <w:sz w:val="20"/>
                <w:szCs w:val="20"/>
              </w:rPr>
              <w:t>71.0</w:t>
            </w:r>
          </w:p>
        </w:tc>
        <w:tc>
          <w:tcPr>
            <w:tcW w:w="1822" w:type="dxa"/>
            <w:tcBorders>
              <w:top w:val="nil"/>
              <w:left w:val="nil"/>
              <w:bottom w:val="nil"/>
              <w:right w:val="nil"/>
            </w:tcBorders>
            <w:shd w:val="clear" w:color="000000" w:fill="FFFFFF"/>
            <w:noWrap/>
            <w:vAlign w:val="bottom"/>
            <w:hideMark/>
          </w:tcPr>
          <w:p w:rsidR="00572015" w:rsidRPr="00DF7832" w:rsidRDefault="00572015" w:rsidP="00F04CF2">
            <w:pPr>
              <w:spacing w:after="0" w:line="240" w:lineRule="auto"/>
              <w:jc w:val="center"/>
              <w:rPr>
                <w:rFonts w:eastAsia="Times New Roman" w:cstheme="minorHAnsi"/>
                <w:sz w:val="20"/>
                <w:szCs w:val="20"/>
              </w:rPr>
            </w:pPr>
            <w:r w:rsidRPr="00DF7832">
              <w:rPr>
                <w:rFonts w:eastAsia="Times New Roman" w:cstheme="minorHAnsi"/>
                <w:sz w:val="20"/>
                <w:szCs w:val="20"/>
              </w:rPr>
              <w:t>Fusel Flavor</w:t>
            </w:r>
          </w:p>
        </w:tc>
      </w:tr>
      <w:tr w:rsidR="00572015" w:rsidRPr="00DF7832" w:rsidTr="00572015">
        <w:trPr>
          <w:trHeight w:val="282"/>
        </w:trPr>
        <w:tc>
          <w:tcPr>
            <w:tcW w:w="1014" w:type="dxa"/>
            <w:tcBorders>
              <w:top w:val="nil"/>
              <w:left w:val="nil"/>
              <w:bottom w:val="nil"/>
              <w:right w:val="nil"/>
            </w:tcBorders>
            <w:shd w:val="clear" w:color="000000" w:fill="FFFFFF"/>
            <w:noWrap/>
            <w:vAlign w:val="center"/>
            <w:hideMark/>
          </w:tcPr>
          <w:p w:rsidR="00572015" w:rsidRPr="00DF7832" w:rsidRDefault="00572015" w:rsidP="00DF7832">
            <w:pPr>
              <w:spacing w:after="0" w:line="240" w:lineRule="auto"/>
              <w:jc w:val="center"/>
              <w:rPr>
                <w:rFonts w:eastAsia="Times New Roman" w:cstheme="minorHAnsi"/>
                <w:sz w:val="20"/>
                <w:szCs w:val="20"/>
              </w:rPr>
            </w:pPr>
            <w:r w:rsidRPr="00DF7832">
              <w:rPr>
                <w:rFonts w:eastAsia="Times New Roman" w:cstheme="minorHAnsi"/>
                <w:sz w:val="20"/>
                <w:szCs w:val="20"/>
              </w:rPr>
              <w:t>9</w:t>
            </w:r>
          </w:p>
        </w:tc>
        <w:tc>
          <w:tcPr>
            <w:tcW w:w="3049" w:type="dxa"/>
            <w:tcBorders>
              <w:top w:val="nil"/>
              <w:left w:val="nil"/>
              <w:bottom w:val="nil"/>
              <w:right w:val="nil"/>
            </w:tcBorders>
            <w:shd w:val="clear" w:color="000000" w:fill="FFFFFF"/>
            <w:noWrap/>
            <w:vAlign w:val="center"/>
            <w:hideMark/>
          </w:tcPr>
          <w:p w:rsidR="00572015" w:rsidRPr="00DF7832" w:rsidRDefault="00572015" w:rsidP="00DF7832">
            <w:pPr>
              <w:spacing w:after="0" w:line="240" w:lineRule="auto"/>
              <w:jc w:val="center"/>
              <w:rPr>
                <w:rFonts w:eastAsia="Times New Roman" w:cstheme="minorHAnsi"/>
                <w:sz w:val="20"/>
                <w:szCs w:val="20"/>
              </w:rPr>
            </w:pPr>
            <w:r w:rsidRPr="00DF7832">
              <w:rPr>
                <w:rFonts w:eastAsia="Times New Roman" w:cstheme="minorHAnsi"/>
                <w:sz w:val="20"/>
                <w:szCs w:val="20"/>
              </w:rPr>
              <w:t xml:space="preserve">Propylene Glycol </w:t>
            </w:r>
          </w:p>
        </w:tc>
        <w:tc>
          <w:tcPr>
            <w:tcW w:w="222" w:type="dxa"/>
            <w:tcBorders>
              <w:top w:val="nil"/>
              <w:left w:val="nil"/>
              <w:bottom w:val="nil"/>
              <w:right w:val="nil"/>
            </w:tcBorders>
            <w:shd w:val="clear" w:color="000000" w:fill="FFFFFF"/>
          </w:tcPr>
          <w:p w:rsidR="00572015" w:rsidRPr="00DF7832" w:rsidRDefault="00572015" w:rsidP="00DF7832">
            <w:pPr>
              <w:spacing w:after="0" w:line="240" w:lineRule="auto"/>
              <w:jc w:val="center"/>
              <w:rPr>
                <w:rFonts w:eastAsia="Times New Roman" w:cstheme="minorHAnsi"/>
                <w:sz w:val="20"/>
                <w:szCs w:val="20"/>
              </w:rPr>
            </w:pPr>
          </w:p>
        </w:tc>
        <w:tc>
          <w:tcPr>
            <w:tcW w:w="982" w:type="dxa"/>
            <w:tcBorders>
              <w:top w:val="nil"/>
              <w:left w:val="nil"/>
              <w:bottom w:val="nil"/>
              <w:right w:val="nil"/>
            </w:tcBorders>
            <w:shd w:val="clear" w:color="000000" w:fill="FFFFFF"/>
            <w:noWrap/>
            <w:vAlign w:val="center"/>
            <w:hideMark/>
          </w:tcPr>
          <w:p w:rsidR="00572015" w:rsidRPr="00DF7832" w:rsidRDefault="00572015" w:rsidP="00DF7832">
            <w:pPr>
              <w:spacing w:after="0" w:line="240" w:lineRule="auto"/>
              <w:jc w:val="center"/>
              <w:rPr>
                <w:rFonts w:eastAsia="Times New Roman" w:cstheme="minorHAnsi"/>
                <w:sz w:val="20"/>
                <w:szCs w:val="20"/>
              </w:rPr>
            </w:pPr>
            <w:r w:rsidRPr="00DF7832">
              <w:rPr>
                <w:rFonts w:eastAsia="Times New Roman" w:cstheme="minorHAnsi"/>
                <w:sz w:val="20"/>
                <w:szCs w:val="20"/>
              </w:rPr>
              <w:t>76.10</w:t>
            </w:r>
          </w:p>
        </w:tc>
        <w:tc>
          <w:tcPr>
            <w:tcW w:w="1122" w:type="dxa"/>
            <w:tcBorders>
              <w:top w:val="nil"/>
              <w:left w:val="nil"/>
              <w:bottom w:val="nil"/>
              <w:right w:val="nil"/>
            </w:tcBorders>
            <w:shd w:val="clear" w:color="000000" w:fill="FFFFFF"/>
            <w:noWrap/>
            <w:vAlign w:val="center"/>
            <w:hideMark/>
          </w:tcPr>
          <w:p w:rsidR="00572015" w:rsidRPr="00DF7832" w:rsidRDefault="00572015" w:rsidP="00DF7832">
            <w:pPr>
              <w:spacing w:after="0" w:line="240" w:lineRule="auto"/>
              <w:jc w:val="center"/>
              <w:rPr>
                <w:rFonts w:eastAsia="Times New Roman" w:cstheme="minorHAnsi"/>
                <w:sz w:val="20"/>
                <w:szCs w:val="20"/>
              </w:rPr>
            </w:pPr>
            <w:r w:rsidRPr="00DF7832">
              <w:rPr>
                <w:rFonts w:eastAsia="Times New Roman" w:cstheme="minorHAnsi"/>
                <w:sz w:val="20"/>
                <w:szCs w:val="20"/>
              </w:rPr>
              <w:t>188</w:t>
            </w:r>
          </w:p>
        </w:tc>
        <w:tc>
          <w:tcPr>
            <w:tcW w:w="1122" w:type="dxa"/>
            <w:tcBorders>
              <w:top w:val="nil"/>
              <w:left w:val="nil"/>
              <w:bottom w:val="nil"/>
              <w:right w:val="nil"/>
            </w:tcBorders>
            <w:shd w:val="clear" w:color="000000" w:fill="FFFFFF"/>
            <w:noWrap/>
            <w:vAlign w:val="center"/>
            <w:hideMark/>
          </w:tcPr>
          <w:p w:rsidR="00572015" w:rsidRPr="00DF7832" w:rsidRDefault="00572015" w:rsidP="00DF7832">
            <w:pPr>
              <w:spacing w:after="0" w:line="240" w:lineRule="auto"/>
              <w:jc w:val="center"/>
              <w:rPr>
                <w:rFonts w:eastAsia="Times New Roman" w:cstheme="minorHAnsi"/>
                <w:sz w:val="20"/>
                <w:szCs w:val="20"/>
              </w:rPr>
            </w:pPr>
            <w:r w:rsidRPr="00DF7832">
              <w:rPr>
                <w:rFonts w:eastAsia="Times New Roman" w:cstheme="minorHAnsi"/>
                <w:sz w:val="20"/>
                <w:szCs w:val="20"/>
              </w:rPr>
              <w:t>C</w:t>
            </w:r>
            <w:r w:rsidRPr="00DF7832">
              <w:rPr>
                <w:rFonts w:eastAsia="Times New Roman" w:cstheme="minorHAnsi"/>
                <w:sz w:val="20"/>
                <w:szCs w:val="20"/>
                <w:vertAlign w:val="subscript"/>
              </w:rPr>
              <w:t>3</w:t>
            </w:r>
            <w:r w:rsidRPr="00DF7832">
              <w:rPr>
                <w:rFonts w:eastAsia="Times New Roman" w:cstheme="minorHAnsi"/>
                <w:sz w:val="20"/>
                <w:szCs w:val="20"/>
              </w:rPr>
              <w:t>H</w:t>
            </w:r>
            <w:r w:rsidRPr="00DF7832">
              <w:rPr>
                <w:rFonts w:eastAsia="Times New Roman" w:cstheme="minorHAnsi"/>
                <w:sz w:val="20"/>
                <w:szCs w:val="20"/>
                <w:vertAlign w:val="subscript"/>
              </w:rPr>
              <w:t>8</w:t>
            </w:r>
            <w:r w:rsidRPr="00DF7832">
              <w:rPr>
                <w:rFonts w:eastAsia="Times New Roman" w:cstheme="minorHAnsi"/>
                <w:sz w:val="20"/>
                <w:szCs w:val="20"/>
              </w:rPr>
              <w:t>O</w:t>
            </w:r>
            <w:r w:rsidRPr="00DF7832">
              <w:rPr>
                <w:rFonts w:eastAsia="Times New Roman" w:cstheme="minorHAnsi"/>
                <w:sz w:val="20"/>
                <w:szCs w:val="20"/>
                <w:vertAlign w:val="subscript"/>
              </w:rPr>
              <w:t>2</w:t>
            </w:r>
          </w:p>
        </w:tc>
        <w:tc>
          <w:tcPr>
            <w:tcW w:w="1122" w:type="dxa"/>
            <w:tcBorders>
              <w:top w:val="nil"/>
              <w:left w:val="nil"/>
              <w:bottom w:val="nil"/>
              <w:right w:val="nil"/>
            </w:tcBorders>
            <w:shd w:val="clear" w:color="000000" w:fill="FFFFFF"/>
            <w:noWrap/>
            <w:vAlign w:val="center"/>
            <w:hideMark/>
          </w:tcPr>
          <w:p w:rsidR="00572015" w:rsidRPr="00DF7832" w:rsidRDefault="00572015" w:rsidP="00DF7832">
            <w:pPr>
              <w:spacing w:after="0" w:line="240" w:lineRule="auto"/>
              <w:jc w:val="center"/>
              <w:rPr>
                <w:rFonts w:eastAsia="Times New Roman" w:cstheme="minorHAnsi"/>
                <w:sz w:val="20"/>
                <w:szCs w:val="20"/>
              </w:rPr>
            </w:pPr>
            <w:r w:rsidRPr="00DF7832">
              <w:rPr>
                <w:rFonts w:eastAsia="Times New Roman" w:cstheme="minorHAnsi"/>
                <w:sz w:val="20"/>
                <w:szCs w:val="20"/>
              </w:rPr>
              <w:t>1.748</w:t>
            </w:r>
          </w:p>
        </w:tc>
        <w:tc>
          <w:tcPr>
            <w:tcW w:w="1962" w:type="dxa"/>
            <w:tcBorders>
              <w:top w:val="nil"/>
              <w:left w:val="nil"/>
              <w:bottom w:val="nil"/>
              <w:right w:val="nil"/>
            </w:tcBorders>
            <w:shd w:val="clear" w:color="000000" w:fill="FFFFFF"/>
            <w:noWrap/>
            <w:vAlign w:val="center"/>
            <w:hideMark/>
          </w:tcPr>
          <w:p w:rsidR="00572015" w:rsidRPr="00DF7832" w:rsidRDefault="00572015" w:rsidP="00DF7832">
            <w:pPr>
              <w:spacing w:after="0" w:line="240" w:lineRule="auto"/>
              <w:jc w:val="center"/>
              <w:rPr>
                <w:rFonts w:eastAsia="Times New Roman" w:cstheme="minorHAnsi"/>
                <w:sz w:val="20"/>
                <w:szCs w:val="20"/>
              </w:rPr>
            </w:pPr>
            <w:r w:rsidRPr="00DF7832">
              <w:rPr>
                <w:rFonts w:eastAsia="Times New Roman" w:cstheme="minorHAnsi"/>
                <w:sz w:val="20"/>
                <w:szCs w:val="20"/>
              </w:rPr>
              <w:t>5, 6, 7</w:t>
            </w:r>
          </w:p>
        </w:tc>
        <w:tc>
          <w:tcPr>
            <w:tcW w:w="1541" w:type="dxa"/>
            <w:tcBorders>
              <w:top w:val="nil"/>
              <w:left w:val="nil"/>
              <w:bottom w:val="nil"/>
              <w:right w:val="nil"/>
            </w:tcBorders>
            <w:shd w:val="clear" w:color="000000" w:fill="FFFFFF"/>
            <w:noWrap/>
            <w:vAlign w:val="center"/>
            <w:hideMark/>
          </w:tcPr>
          <w:p w:rsidR="00572015" w:rsidRPr="00DF7832" w:rsidRDefault="00572015" w:rsidP="00DF7832">
            <w:pPr>
              <w:spacing w:after="0" w:line="240" w:lineRule="auto"/>
              <w:jc w:val="center"/>
              <w:rPr>
                <w:rFonts w:eastAsia="Times New Roman" w:cstheme="minorHAnsi"/>
                <w:sz w:val="20"/>
                <w:szCs w:val="20"/>
              </w:rPr>
            </w:pPr>
            <w:r w:rsidRPr="00DF7832">
              <w:rPr>
                <w:rFonts w:eastAsia="Times New Roman" w:cstheme="minorHAnsi"/>
                <w:sz w:val="20"/>
                <w:szCs w:val="20"/>
              </w:rPr>
              <w:t>53.2</w:t>
            </w:r>
          </w:p>
        </w:tc>
        <w:tc>
          <w:tcPr>
            <w:tcW w:w="1822" w:type="dxa"/>
            <w:tcBorders>
              <w:top w:val="nil"/>
              <w:left w:val="nil"/>
              <w:bottom w:val="nil"/>
              <w:right w:val="nil"/>
            </w:tcBorders>
            <w:shd w:val="clear" w:color="000000" w:fill="FFFFFF"/>
            <w:noWrap/>
            <w:vAlign w:val="bottom"/>
            <w:hideMark/>
          </w:tcPr>
          <w:p w:rsidR="00572015" w:rsidRPr="00DF7832" w:rsidRDefault="00572015" w:rsidP="00F04CF2">
            <w:pPr>
              <w:spacing w:after="0" w:line="240" w:lineRule="auto"/>
              <w:jc w:val="center"/>
              <w:rPr>
                <w:rFonts w:eastAsia="Times New Roman" w:cstheme="minorHAnsi"/>
                <w:sz w:val="20"/>
                <w:szCs w:val="20"/>
              </w:rPr>
            </w:pPr>
            <w:r w:rsidRPr="00DF7832">
              <w:rPr>
                <w:rFonts w:eastAsia="Times New Roman" w:cstheme="minorHAnsi"/>
                <w:sz w:val="20"/>
                <w:szCs w:val="20"/>
              </w:rPr>
              <w:t>Sweet Flavor</w:t>
            </w:r>
          </w:p>
        </w:tc>
      </w:tr>
      <w:tr w:rsidR="00572015" w:rsidRPr="00DF7832" w:rsidTr="000C3181">
        <w:trPr>
          <w:trHeight w:val="282"/>
        </w:trPr>
        <w:tc>
          <w:tcPr>
            <w:tcW w:w="1014" w:type="dxa"/>
            <w:tcBorders>
              <w:top w:val="nil"/>
              <w:left w:val="nil"/>
              <w:bottom w:val="nil"/>
              <w:right w:val="nil"/>
            </w:tcBorders>
            <w:shd w:val="clear" w:color="auto" w:fill="F2F2F2" w:themeFill="background1" w:themeFillShade="F2"/>
            <w:noWrap/>
            <w:vAlign w:val="center"/>
            <w:hideMark/>
          </w:tcPr>
          <w:p w:rsidR="00572015" w:rsidRPr="00DF7832" w:rsidRDefault="00572015" w:rsidP="00DF7832">
            <w:pPr>
              <w:spacing w:after="0" w:line="240" w:lineRule="auto"/>
              <w:jc w:val="center"/>
              <w:rPr>
                <w:rFonts w:eastAsia="Times New Roman" w:cstheme="minorHAnsi"/>
                <w:sz w:val="20"/>
                <w:szCs w:val="20"/>
              </w:rPr>
            </w:pPr>
            <w:r w:rsidRPr="00DF7832">
              <w:rPr>
                <w:rFonts w:eastAsia="Times New Roman" w:cstheme="minorHAnsi"/>
                <w:sz w:val="20"/>
                <w:szCs w:val="20"/>
              </w:rPr>
              <w:t>10</w:t>
            </w:r>
          </w:p>
        </w:tc>
        <w:tc>
          <w:tcPr>
            <w:tcW w:w="3049" w:type="dxa"/>
            <w:tcBorders>
              <w:top w:val="nil"/>
              <w:left w:val="nil"/>
              <w:bottom w:val="nil"/>
              <w:right w:val="nil"/>
            </w:tcBorders>
            <w:shd w:val="clear" w:color="auto" w:fill="F2F2F2" w:themeFill="background1" w:themeFillShade="F2"/>
            <w:noWrap/>
            <w:vAlign w:val="center"/>
            <w:hideMark/>
          </w:tcPr>
          <w:p w:rsidR="00572015" w:rsidRPr="00DF7832" w:rsidRDefault="00572015" w:rsidP="00DF7832">
            <w:pPr>
              <w:spacing w:after="0" w:line="240" w:lineRule="auto"/>
              <w:jc w:val="center"/>
              <w:rPr>
                <w:rFonts w:eastAsia="Times New Roman" w:cstheme="minorHAnsi"/>
                <w:sz w:val="20"/>
                <w:szCs w:val="20"/>
              </w:rPr>
            </w:pPr>
            <w:r w:rsidRPr="00DF7832">
              <w:rPr>
                <w:rFonts w:eastAsia="Times New Roman" w:cstheme="minorHAnsi"/>
                <w:sz w:val="20"/>
                <w:szCs w:val="20"/>
              </w:rPr>
              <w:t>Ethyl Butyrate</w:t>
            </w:r>
            <w:r>
              <w:rPr>
                <w:rFonts w:eastAsia="Times New Roman" w:cstheme="minorHAnsi"/>
                <w:sz w:val="20"/>
                <w:szCs w:val="20"/>
              </w:rPr>
              <w:t>*</w:t>
            </w:r>
            <w:r w:rsidRPr="00DF7832">
              <w:rPr>
                <w:rFonts w:eastAsia="Times New Roman" w:cstheme="minorHAnsi"/>
                <w:sz w:val="20"/>
                <w:szCs w:val="20"/>
              </w:rPr>
              <w:t xml:space="preserve"> </w:t>
            </w:r>
          </w:p>
        </w:tc>
        <w:tc>
          <w:tcPr>
            <w:tcW w:w="222" w:type="dxa"/>
            <w:tcBorders>
              <w:top w:val="nil"/>
              <w:left w:val="nil"/>
              <w:bottom w:val="nil"/>
              <w:right w:val="nil"/>
            </w:tcBorders>
            <w:shd w:val="clear" w:color="auto" w:fill="F2F2F2" w:themeFill="background1" w:themeFillShade="F2"/>
          </w:tcPr>
          <w:p w:rsidR="00572015" w:rsidRPr="00DF7832" w:rsidRDefault="00572015" w:rsidP="00DF7832">
            <w:pPr>
              <w:spacing w:after="0" w:line="240" w:lineRule="auto"/>
              <w:jc w:val="center"/>
              <w:rPr>
                <w:rFonts w:eastAsia="Times New Roman" w:cstheme="minorHAnsi"/>
                <w:sz w:val="20"/>
                <w:szCs w:val="20"/>
              </w:rPr>
            </w:pPr>
          </w:p>
        </w:tc>
        <w:tc>
          <w:tcPr>
            <w:tcW w:w="982" w:type="dxa"/>
            <w:tcBorders>
              <w:top w:val="nil"/>
              <w:left w:val="nil"/>
              <w:bottom w:val="nil"/>
              <w:right w:val="nil"/>
            </w:tcBorders>
            <w:shd w:val="clear" w:color="auto" w:fill="F2F2F2" w:themeFill="background1" w:themeFillShade="F2"/>
            <w:noWrap/>
            <w:vAlign w:val="center"/>
            <w:hideMark/>
          </w:tcPr>
          <w:p w:rsidR="00572015" w:rsidRPr="00DF7832" w:rsidRDefault="00572015" w:rsidP="00DF7832">
            <w:pPr>
              <w:spacing w:after="0" w:line="240" w:lineRule="auto"/>
              <w:jc w:val="center"/>
              <w:rPr>
                <w:rFonts w:eastAsia="Times New Roman" w:cstheme="minorHAnsi"/>
                <w:sz w:val="20"/>
                <w:szCs w:val="20"/>
              </w:rPr>
            </w:pPr>
            <w:r w:rsidRPr="00DF7832">
              <w:rPr>
                <w:rFonts w:eastAsia="Times New Roman" w:cstheme="minorHAnsi"/>
                <w:sz w:val="20"/>
                <w:szCs w:val="20"/>
              </w:rPr>
              <w:t>116.16</w:t>
            </w:r>
          </w:p>
        </w:tc>
        <w:tc>
          <w:tcPr>
            <w:tcW w:w="1122" w:type="dxa"/>
            <w:tcBorders>
              <w:top w:val="nil"/>
              <w:left w:val="nil"/>
              <w:bottom w:val="nil"/>
              <w:right w:val="nil"/>
            </w:tcBorders>
            <w:shd w:val="clear" w:color="auto" w:fill="F2F2F2" w:themeFill="background1" w:themeFillShade="F2"/>
            <w:noWrap/>
            <w:vAlign w:val="center"/>
            <w:hideMark/>
          </w:tcPr>
          <w:p w:rsidR="00572015" w:rsidRPr="00DF7832" w:rsidRDefault="00572015" w:rsidP="00DF7832">
            <w:pPr>
              <w:spacing w:after="0" w:line="240" w:lineRule="auto"/>
              <w:jc w:val="center"/>
              <w:rPr>
                <w:rFonts w:eastAsia="Times New Roman" w:cstheme="minorHAnsi"/>
                <w:sz w:val="20"/>
                <w:szCs w:val="20"/>
              </w:rPr>
            </w:pPr>
            <w:r w:rsidRPr="00DF7832">
              <w:rPr>
                <w:rFonts w:eastAsia="Times New Roman" w:cstheme="minorHAnsi"/>
                <w:sz w:val="20"/>
                <w:szCs w:val="20"/>
              </w:rPr>
              <w:t>121</w:t>
            </w:r>
          </w:p>
        </w:tc>
        <w:tc>
          <w:tcPr>
            <w:tcW w:w="1122" w:type="dxa"/>
            <w:tcBorders>
              <w:top w:val="nil"/>
              <w:left w:val="nil"/>
              <w:bottom w:val="nil"/>
              <w:right w:val="nil"/>
            </w:tcBorders>
            <w:shd w:val="clear" w:color="auto" w:fill="F2F2F2" w:themeFill="background1" w:themeFillShade="F2"/>
            <w:noWrap/>
            <w:vAlign w:val="center"/>
            <w:hideMark/>
          </w:tcPr>
          <w:p w:rsidR="00572015" w:rsidRPr="00DF7832" w:rsidRDefault="00572015" w:rsidP="00DF7832">
            <w:pPr>
              <w:spacing w:after="0" w:line="240" w:lineRule="auto"/>
              <w:jc w:val="center"/>
              <w:rPr>
                <w:rFonts w:eastAsia="Times New Roman" w:cstheme="minorHAnsi"/>
                <w:sz w:val="20"/>
                <w:szCs w:val="20"/>
              </w:rPr>
            </w:pPr>
            <w:r w:rsidRPr="00DF7832">
              <w:rPr>
                <w:rFonts w:eastAsia="Times New Roman" w:cstheme="minorHAnsi"/>
                <w:sz w:val="20"/>
                <w:szCs w:val="20"/>
              </w:rPr>
              <w:t>C</w:t>
            </w:r>
            <w:r w:rsidRPr="00DF7832">
              <w:rPr>
                <w:rFonts w:eastAsia="Times New Roman" w:cstheme="minorHAnsi"/>
                <w:sz w:val="20"/>
                <w:szCs w:val="20"/>
                <w:vertAlign w:val="subscript"/>
              </w:rPr>
              <w:t>6</w:t>
            </w:r>
            <w:r w:rsidRPr="00DF7832">
              <w:rPr>
                <w:rFonts w:eastAsia="Times New Roman" w:cstheme="minorHAnsi"/>
                <w:sz w:val="20"/>
                <w:szCs w:val="20"/>
              </w:rPr>
              <w:t>H</w:t>
            </w:r>
            <w:r w:rsidRPr="00DF7832">
              <w:rPr>
                <w:rFonts w:eastAsia="Times New Roman" w:cstheme="minorHAnsi"/>
                <w:sz w:val="20"/>
                <w:szCs w:val="20"/>
                <w:vertAlign w:val="subscript"/>
              </w:rPr>
              <w:t>12</w:t>
            </w:r>
            <w:r w:rsidRPr="00DF7832">
              <w:rPr>
                <w:rFonts w:eastAsia="Times New Roman" w:cstheme="minorHAnsi"/>
                <w:sz w:val="20"/>
                <w:szCs w:val="20"/>
              </w:rPr>
              <w:t>O</w:t>
            </w:r>
            <w:r w:rsidRPr="00DF7832">
              <w:rPr>
                <w:rFonts w:eastAsia="Times New Roman" w:cstheme="minorHAnsi"/>
                <w:sz w:val="20"/>
                <w:szCs w:val="20"/>
                <w:vertAlign w:val="subscript"/>
              </w:rPr>
              <w:t>2</w:t>
            </w:r>
          </w:p>
        </w:tc>
        <w:tc>
          <w:tcPr>
            <w:tcW w:w="1122" w:type="dxa"/>
            <w:tcBorders>
              <w:top w:val="nil"/>
              <w:left w:val="nil"/>
              <w:bottom w:val="nil"/>
              <w:right w:val="nil"/>
            </w:tcBorders>
            <w:shd w:val="clear" w:color="auto" w:fill="F2F2F2" w:themeFill="background1" w:themeFillShade="F2"/>
            <w:noWrap/>
            <w:vAlign w:val="center"/>
            <w:hideMark/>
          </w:tcPr>
          <w:p w:rsidR="00572015" w:rsidRPr="00DF7832" w:rsidRDefault="00572015" w:rsidP="00DF7832">
            <w:pPr>
              <w:spacing w:after="0" w:line="240" w:lineRule="auto"/>
              <w:jc w:val="center"/>
              <w:rPr>
                <w:rFonts w:eastAsia="Times New Roman" w:cstheme="minorHAnsi"/>
                <w:sz w:val="20"/>
                <w:szCs w:val="20"/>
              </w:rPr>
            </w:pPr>
            <w:r w:rsidRPr="00DF7832">
              <w:rPr>
                <w:rFonts w:eastAsia="Times New Roman" w:cstheme="minorHAnsi"/>
                <w:sz w:val="20"/>
                <w:szCs w:val="20"/>
              </w:rPr>
              <w:t>1.869</w:t>
            </w:r>
          </w:p>
        </w:tc>
        <w:tc>
          <w:tcPr>
            <w:tcW w:w="1962" w:type="dxa"/>
            <w:tcBorders>
              <w:top w:val="nil"/>
              <w:left w:val="nil"/>
              <w:bottom w:val="nil"/>
              <w:right w:val="nil"/>
            </w:tcBorders>
            <w:shd w:val="clear" w:color="auto" w:fill="F2F2F2" w:themeFill="background1" w:themeFillShade="F2"/>
            <w:noWrap/>
            <w:vAlign w:val="center"/>
            <w:hideMark/>
          </w:tcPr>
          <w:p w:rsidR="00572015" w:rsidRPr="00DF7832" w:rsidRDefault="00572015" w:rsidP="00DF7832">
            <w:pPr>
              <w:spacing w:after="0" w:line="240" w:lineRule="auto"/>
              <w:jc w:val="center"/>
              <w:rPr>
                <w:rFonts w:eastAsia="Times New Roman" w:cstheme="minorHAnsi"/>
                <w:sz w:val="20"/>
                <w:szCs w:val="20"/>
              </w:rPr>
            </w:pPr>
            <w:r w:rsidRPr="00DF7832">
              <w:rPr>
                <w:rFonts w:eastAsia="Times New Roman" w:cstheme="minorHAnsi"/>
                <w:sz w:val="20"/>
                <w:szCs w:val="20"/>
              </w:rPr>
              <w:t>1, 2, 4</w:t>
            </w:r>
          </w:p>
        </w:tc>
        <w:tc>
          <w:tcPr>
            <w:tcW w:w="1541" w:type="dxa"/>
            <w:tcBorders>
              <w:top w:val="nil"/>
              <w:left w:val="nil"/>
              <w:bottom w:val="nil"/>
              <w:right w:val="nil"/>
            </w:tcBorders>
            <w:shd w:val="clear" w:color="auto" w:fill="F2F2F2" w:themeFill="background1" w:themeFillShade="F2"/>
            <w:noWrap/>
            <w:vAlign w:val="center"/>
            <w:hideMark/>
          </w:tcPr>
          <w:p w:rsidR="00572015" w:rsidRPr="00DF7832" w:rsidRDefault="00572015" w:rsidP="00DF7832">
            <w:pPr>
              <w:spacing w:after="0" w:line="240" w:lineRule="auto"/>
              <w:jc w:val="center"/>
              <w:rPr>
                <w:rFonts w:eastAsia="Times New Roman" w:cstheme="minorHAnsi"/>
                <w:sz w:val="20"/>
                <w:szCs w:val="20"/>
              </w:rPr>
            </w:pPr>
            <w:r w:rsidRPr="00DF7832">
              <w:rPr>
                <w:rFonts w:eastAsia="Times New Roman" w:cstheme="minorHAnsi"/>
                <w:sz w:val="20"/>
                <w:szCs w:val="20"/>
              </w:rPr>
              <w:t>89.8</w:t>
            </w:r>
          </w:p>
        </w:tc>
        <w:tc>
          <w:tcPr>
            <w:tcW w:w="1822" w:type="dxa"/>
            <w:tcBorders>
              <w:top w:val="nil"/>
              <w:left w:val="nil"/>
              <w:bottom w:val="nil"/>
              <w:right w:val="nil"/>
            </w:tcBorders>
            <w:shd w:val="clear" w:color="auto" w:fill="F2F2F2" w:themeFill="background1" w:themeFillShade="F2"/>
            <w:noWrap/>
            <w:vAlign w:val="bottom"/>
            <w:hideMark/>
          </w:tcPr>
          <w:p w:rsidR="00572015" w:rsidRPr="00DF7832" w:rsidRDefault="00572015" w:rsidP="00F04CF2">
            <w:pPr>
              <w:spacing w:after="0" w:line="240" w:lineRule="auto"/>
              <w:jc w:val="center"/>
              <w:rPr>
                <w:rFonts w:eastAsia="Times New Roman" w:cstheme="minorHAnsi"/>
                <w:sz w:val="20"/>
                <w:szCs w:val="20"/>
              </w:rPr>
            </w:pPr>
            <w:r w:rsidRPr="00DF7832">
              <w:rPr>
                <w:rFonts w:eastAsia="Times New Roman" w:cstheme="minorHAnsi"/>
                <w:sz w:val="20"/>
                <w:szCs w:val="20"/>
              </w:rPr>
              <w:t>Fruity Flavor</w:t>
            </w:r>
          </w:p>
        </w:tc>
      </w:tr>
      <w:tr w:rsidR="00572015" w:rsidRPr="00DF7832" w:rsidTr="00572015">
        <w:trPr>
          <w:trHeight w:val="282"/>
        </w:trPr>
        <w:tc>
          <w:tcPr>
            <w:tcW w:w="1014" w:type="dxa"/>
            <w:tcBorders>
              <w:top w:val="nil"/>
              <w:left w:val="nil"/>
              <w:bottom w:val="nil"/>
              <w:right w:val="nil"/>
            </w:tcBorders>
            <w:shd w:val="clear" w:color="000000" w:fill="FFFFFF"/>
            <w:noWrap/>
            <w:vAlign w:val="center"/>
            <w:hideMark/>
          </w:tcPr>
          <w:p w:rsidR="00572015" w:rsidRPr="00DF7832" w:rsidRDefault="00572015" w:rsidP="00DF7832">
            <w:pPr>
              <w:spacing w:after="0" w:line="240" w:lineRule="auto"/>
              <w:jc w:val="center"/>
              <w:rPr>
                <w:rFonts w:eastAsia="Times New Roman" w:cstheme="minorHAnsi"/>
                <w:sz w:val="20"/>
                <w:szCs w:val="20"/>
              </w:rPr>
            </w:pPr>
            <w:r w:rsidRPr="00DF7832">
              <w:rPr>
                <w:rFonts w:eastAsia="Times New Roman" w:cstheme="minorHAnsi"/>
                <w:sz w:val="20"/>
                <w:szCs w:val="20"/>
              </w:rPr>
              <w:t>11</w:t>
            </w:r>
          </w:p>
        </w:tc>
        <w:tc>
          <w:tcPr>
            <w:tcW w:w="3049" w:type="dxa"/>
            <w:tcBorders>
              <w:top w:val="nil"/>
              <w:left w:val="nil"/>
              <w:bottom w:val="nil"/>
              <w:right w:val="nil"/>
            </w:tcBorders>
            <w:shd w:val="clear" w:color="000000" w:fill="FFFFFF"/>
            <w:noWrap/>
            <w:vAlign w:val="center"/>
            <w:hideMark/>
          </w:tcPr>
          <w:p w:rsidR="00572015" w:rsidRPr="00DF7832" w:rsidRDefault="00572015" w:rsidP="00DF7832">
            <w:pPr>
              <w:spacing w:after="0" w:line="240" w:lineRule="auto"/>
              <w:jc w:val="center"/>
              <w:rPr>
                <w:rFonts w:eastAsia="Times New Roman" w:cstheme="minorHAnsi"/>
                <w:sz w:val="20"/>
                <w:szCs w:val="20"/>
              </w:rPr>
            </w:pPr>
            <w:r>
              <w:rPr>
                <w:rFonts w:eastAsia="Times New Roman" w:cstheme="minorHAnsi"/>
                <w:sz w:val="20"/>
                <w:szCs w:val="20"/>
              </w:rPr>
              <w:t>Ethyl 2-ethylbutyrate</w:t>
            </w:r>
          </w:p>
        </w:tc>
        <w:tc>
          <w:tcPr>
            <w:tcW w:w="222" w:type="dxa"/>
            <w:tcBorders>
              <w:top w:val="nil"/>
              <w:left w:val="nil"/>
              <w:bottom w:val="nil"/>
              <w:right w:val="nil"/>
            </w:tcBorders>
            <w:shd w:val="clear" w:color="000000" w:fill="FFFFFF"/>
          </w:tcPr>
          <w:p w:rsidR="00572015" w:rsidRPr="00DF7832" w:rsidRDefault="00572015" w:rsidP="00DF7832">
            <w:pPr>
              <w:spacing w:after="0" w:line="240" w:lineRule="auto"/>
              <w:jc w:val="center"/>
              <w:rPr>
                <w:rFonts w:eastAsia="Times New Roman" w:cstheme="minorHAnsi"/>
                <w:sz w:val="20"/>
                <w:szCs w:val="20"/>
              </w:rPr>
            </w:pPr>
          </w:p>
        </w:tc>
        <w:tc>
          <w:tcPr>
            <w:tcW w:w="982" w:type="dxa"/>
            <w:tcBorders>
              <w:top w:val="nil"/>
              <w:left w:val="nil"/>
              <w:bottom w:val="nil"/>
              <w:right w:val="nil"/>
            </w:tcBorders>
            <w:shd w:val="clear" w:color="000000" w:fill="FFFFFF"/>
            <w:noWrap/>
            <w:vAlign w:val="center"/>
            <w:hideMark/>
          </w:tcPr>
          <w:p w:rsidR="00572015" w:rsidRPr="00DF7832" w:rsidRDefault="00572015" w:rsidP="00DF7832">
            <w:pPr>
              <w:spacing w:after="0" w:line="240" w:lineRule="auto"/>
              <w:jc w:val="center"/>
              <w:rPr>
                <w:rFonts w:eastAsia="Times New Roman" w:cstheme="minorHAnsi"/>
                <w:sz w:val="20"/>
                <w:szCs w:val="20"/>
              </w:rPr>
            </w:pPr>
            <w:r w:rsidRPr="00DF7832">
              <w:rPr>
                <w:rFonts w:eastAsia="Times New Roman" w:cstheme="minorHAnsi"/>
                <w:sz w:val="20"/>
                <w:szCs w:val="20"/>
              </w:rPr>
              <w:t>144.21</w:t>
            </w:r>
          </w:p>
        </w:tc>
        <w:tc>
          <w:tcPr>
            <w:tcW w:w="1122" w:type="dxa"/>
            <w:tcBorders>
              <w:top w:val="nil"/>
              <w:left w:val="nil"/>
              <w:bottom w:val="nil"/>
              <w:right w:val="nil"/>
            </w:tcBorders>
            <w:shd w:val="clear" w:color="000000" w:fill="FFFFFF"/>
            <w:noWrap/>
            <w:vAlign w:val="center"/>
            <w:hideMark/>
          </w:tcPr>
          <w:p w:rsidR="00572015" w:rsidRPr="00DF7832" w:rsidRDefault="00572015" w:rsidP="00DF7832">
            <w:pPr>
              <w:spacing w:after="0" w:line="240" w:lineRule="auto"/>
              <w:jc w:val="center"/>
              <w:rPr>
                <w:rFonts w:eastAsia="Times New Roman" w:cstheme="minorHAnsi"/>
                <w:sz w:val="20"/>
                <w:szCs w:val="20"/>
              </w:rPr>
            </w:pPr>
            <w:r w:rsidRPr="00DF7832">
              <w:rPr>
                <w:rFonts w:eastAsia="Times New Roman" w:cstheme="minorHAnsi"/>
                <w:sz w:val="20"/>
                <w:szCs w:val="20"/>
              </w:rPr>
              <w:t>156</w:t>
            </w:r>
          </w:p>
        </w:tc>
        <w:tc>
          <w:tcPr>
            <w:tcW w:w="1122" w:type="dxa"/>
            <w:tcBorders>
              <w:top w:val="nil"/>
              <w:left w:val="nil"/>
              <w:bottom w:val="nil"/>
              <w:right w:val="nil"/>
            </w:tcBorders>
            <w:shd w:val="clear" w:color="000000" w:fill="FFFFFF"/>
            <w:noWrap/>
            <w:vAlign w:val="center"/>
            <w:hideMark/>
          </w:tcPr>
          <w:p w:rsidR="00572015" w:rsidRPr="00DF7832" w:rsidRDefault="00572015" w:rsidP="00DF7832">
            <w:pPr>
              <w:spacing w:after="0" w:line="240" w:lineRule="auto"/>
              <w:jc w:val="center"/>
              <w:rPr>
                <w:rFonts w:eastAsia="Times New Roman" w:cstheme="minorHAnsi"/>
                <w:sz w:val="20"/>
                <w:szCs w:val="20"/>
              </w:rPr>
            </w:pPr>
            <w:r w:rsidRPr="00DF7832">
              <w:rPr>
                <w:rFonts w:eastAsia="Times New Roman" w:cstheme="minorHAnsi"/>
                <w:sz w:val="20"/>
                <w:szCs w:val="20"/>
              </w:rPr>
              <w:t>C</w:t>
            </w:r>
            <w:r w:rsidRPr="00DF7832">
              <w:rPr>
                <w:rFonts w:eastAsia="Times New Roman" w:cstheme="minorHAnsi"/>
                <w:sz w:val="20"/>
                <w:szCs w:val="20"/>
                <w:vertAlign w:val="subscript"/>
              </w:rPr>
              <w:t>8</w:t>
            </w:r>
            <w:r w:rsidRPr="00DF7832">
              <w:rPr>
                <w:rFonts w:eastAsia="Times New Roman" w:cstheme="minorHAnsi"/>
                <w:sz w:val="20"/>
                <w:szCs w:val="20"/>
              </w:rPr>
              <w:t>H</w:t>
            </w:r>
            <w:r w:rsidRPr="00DF7832">
              <w:rPr>
                <w:rFonts w:eastAsia="Times New Roman" w:cstheme="minorHAnsi"/>
                <w:sz w:val="20"/>
                <w:szCs w:val="20"/>
                <w:vertAlign w:val="subscript"/>
              </w:rPr>
              <w:t>16</w:t>
            </w:r>
            <w:r w:rsidRPr="00DF7832">
              <w:rPr>
                <w:rFonts w:eastAsia="Times New Roman" w:cstheme="minorHAnsi"/>
                <w:sz w:val="20"/>
                <w:szCs w:val="20"/>
              </w:rPr>
              <w:t>O</w:t>
            </w:r>
            <w:r w:rsidRPr="00DF7832">
              <w:rPr>
                <w:rFonts w:eastAsia="Times New Roman" w:cstheme="minorHAnsi"/>
                <w:sz w:val="20"/>
                <w:szCs w:val="20"/>
                <w:vertAlign w:val="subscript"/>
              </w:rPr>
              <w:t>2</w:t>
            </w:r>
          </w:p>
        </w:tc>
        <w:tc>
          <w:tcPr>
            <w:tcW w:w="1122" w:type="dxa"/>
            <w:tcBorders>
              <w:top w:val="nil"/>
              <w:left w:val="nil"/>
              <w:bottom w:val="nil"/>
              <w:right w:val="nil"/>
            </w:tcBorders>
            <w:shd w:val="clear" w:color="000000" w:fill="FFFFFF"/>
            <w:noWrap/>
            <w:vAlign w:val="center"/>
            <w:hideMark/>
          </w:tcPr>
          <w:p w:rsidR="00572015" w:rsidRPr="00DF7832" w:rsidRDefault="00572015" w:rsidP="00DF7832">
            <w:pPr>
              <w:spacing w:after="0" w:line="240" w:lineRule="auto"/>
              <w:jc w:val="center"/>
              <w:rPr>
                <w:rFonts w:eastAsia="Times New Roman" w:cstheme="minorHAnsi"/>
                <w:sz w:val="20"/>
                <w:szCs w:val="20"/>
              </w:rPr>
            </w:pPr>
            <w:r w:rsidRPr="00DF7832">
              <w:rPr>
                <w:rFonts w:eastAsia="Times New Roman" w:cstheme="minorHAnsi"/>
                <w:sz w:val="20"/>
                <w:szCs w:val="20"/>
              </w:rPr>
              <w:t>2.061</w:t>
            </w:r>
          </w:p>
        </w:tc>
        <w:tc>
          <w:tcPr>
            <w:tcW w:w="1962" w:type="dxa"/>
            <w:tcBorders>
              <w:top w:val="nil"/>
              <w:left w:val="nil"/>
              <w:bottom w:val="nil"/>
              <w:right w:val="nil"/>
            </w:tcBorders>
            <w:shd w:val="clear" w:color="000000" w:fill="FFFFFF"/>
            <w:noWrap/>
            <w:vAlign w:val="center"/>
            <w:hideMark/>
          </w:tcPr>
          <w:p w:rsidR="00572015" w:rsidRPr="00DF7832" w:rsidRDefault="00572015" w:rsidP="00DF7832">
            <w:pPr>
              <w:spacing w:after="0" w:line="240" w:lineRule="auto"/>
              <w:jc w:val="center"/>
              <w:rPr>
                <w:rFonts w:eastAsia="Times New Roman" w:cstheme="minorHAnsi"/>
                <w:sz w:val="20"/>
                <w:szCs w:val="20"/>
              </w:rPr>
            </w:pPr>
            <w:r w:rsidRPr="00DF7832">
              <w:rPr>
                <w:rFonts w:eastAsia="Times New Roman" w:cstheme="minorHAnsi"/>
                <w:sz w:val="20"/>
                <w:szCs w:val="20"/>
              </w:rPr>
              <w:t>1, 2, 4</w:t>
            </w:r>
          </w:p>
        </w:tc>
        <w:tc>
          <w:tcPr>
            <w:tcW w:w="1541" w:type="dxa"/>
            <w:tcBorders>
              <w:top w:val="nil"/>
              <w:left w:val="nil"/>
              <w:bottom w:val="nil"/>
              <w:right w:val="nil"/>
            </w:tcBorders>
            <w:shd w:val="clear" w:color="000000" w:fill="FFFFFF"/>
            <w:noWrap/>
            <w:vAlign w:val="center"/>
            <w:hideMark/>
          </w:tcPr>
          <w:p w:rsidR="00572015" w:rsidRPr="00DF7832" w:rsidRDefault="00572015" w:rsidP="00DF7832">
            <w:pPr>
              <w:spacing w:after="0" w:line="240" w:lineRule="auto"/>
              <w:jc w:val="center"/>
              <w:rPr>
                <w:rFonts w:eastAsia="Times New Roman" w:cstheme="minorHAnsi"/>
                <w:sz w:val="20"/>
                <w:szCs w:val="20"/>
              </w:rPr>
            </w:pPr>
            <w:r w:rsidRPr="00DF7832">
              <w:rPr>
                <w:rFonts w:eastAsia="Times New Roman" w:cstheme="minorHAnsi"/>
                <w:sz w:val="20"/>
                <w:szCs w:val="20"/>
              </w:rPr>
              <w:t>95.5</w:t>
            </w:r>
          </w:p>
        </w:tc>
        <w:tc>
          <w:tcPr>
            <w:tcW w:w="1822" w:type="dxa"/>
            <w:tcBorders>
              <w:top w:val="nil"/>
              <w:left w:val="nil"/>
              <w:bottom w:val="nil"/>
              <w:right w:val="nil"/>
            </w:tcBorders>
            <w:shd w:val="clear" w:color="000000" w:fill="FFFFFF"/>
            <w:noWrap/>
            <w:vAlign w:val="bottom"/>
            <w:hideMark/>
          </w:tcPr>
          <w:p w:rsidR="00572015" w:rsidRPr="00DF7832" w:rsidRDefault="00572015" w:rsidP="00F04CF2">
            <w:pPr>
              <w:spacing w:after="0" w:line="240" w:lineRule="auto"/>
              <w:jc w:val="center"/>
              <w:rPr>
                <w:rFonts w:eastAsia="Times New Roman" w:cstheme="minorHAnsi"/>
                <w:sz w:val="20"/>
                <w:szCs w:val="20"/>
              </w:rPr>
            </w:pPr>
            <w:r>
              <w:rPr>
                <w:rFonts w:eastAsia="Times New Roman" w:cstheme="minorHAnsi"/>
                <w:sz w:val="20"/>
                <w:szCs w:val="20"/>
              </w:rPr>
              <w:t>Unknown Flavor</w:t>
            </w:r>
          </w:p>
        </w:tc>
      </w:tr>
      <w:tr w:rsidR="00572015" w:rsidRPr="00DF7832" w:rsidTr="00572015">
        <w:trPr>
          <w:trHeight w:val="282"/>
        </w:trPr>
        <w:tc>
          <w:tcPr>
            <w:tcW w:w="1014" w:type="dxa"/>
            <w:tcBorders>
              <w:top w:val="nil"/>
              <w:left w:val="nil"/>
              <w:bottom w:val="nil"/>
              <w:right w:val="nil"/>
            </w:tcBorders>
            <w:shd w:val="clear" w:color="000000" w:fill="FFFFFF"/>
            <w:noWrap/>
            <w:vAlign w:val="center"/>
            <w:hideMark/>
          </w:tcPr>
          <w:p w:rsidR="00572015" w:rsidRPr="00DF7832" w:rsidRDefault="00572015" w:rsidP="00DF7832">
            <w:pPr>
              <w:spacing w:after="0" w:line="240" w:lineRule="auto"/>
              <w:jc w:val="center"/>
              <w:rPr>
                <w:rFonts w:eastAsia="Times New Roman" w:cstheme="minorHAnsi"/>
                <w:sz w:val="20"/>
                <w:szCs w:val="20"/>
              </w:rPr>
            </w:pPr>
            <w:r w:rsidRPr="00DF7832">
              <w:rPr>
                <w:rFonts w:eastAsia="Times New Roman" w:cstheme="minorHAnsi"/>
                <w:sz w:val="20"/>
                <w:szCs w:val="20"/>
              </w:rPr>
              <w:t>12</w:t>
            </w:r>
          </w:p>
        </w:tc>
        <w:tc>
          <w:tcPr>
            <w:tcW w:w="3049" w:type="dxa"/>
            <w:tcBorders>
              <w:top w:val="nil"/>
              <w:left w:val="nil"/>
              <w:bottom w:val="nil"/>
              <w:right w:val="nil"/>
            </w:tcBorders>
            <w:shd w:val="clear" w:color="000000" w:fill="FFFFFF"/>
            <w:noWrap/>
            <w:vAlign w:val="center"/>
            <w:hideMark/>
          </w:tcPr>
          <w:p w:rsidR="00572015" w:rsidRPr="00DF7832" w:rsidRDefault="00572015" w:rsidP="00DF7832">
            <w:pPr>
              <w:spacing w:after="0" w:line="240" w:lineRule="auto"/>
              <w:jc w:val="center"/>
              <w:rPr>
                <w:rFonts w:eastAsia="Times New Roman" w:cstheme="minorHAnsi"/>
                <w:sz w:val="20"/>
                <w:szCs w:val="20"/>
              </w:rPr>
            </w:pPr>
            <w:r w:rsidRPr="00DF7832">
              <w:rPr>
                <w:rFonts w:eastAsia="Times New Roman" w:cstheme="minorHAnsi"/>
                <w:sz w:val="20"/>
                <w:szCs w:val="20"/>
              </w:rPr>
              <w:t>3-Hexen-1-ol</w:t>
            </w:r>
            <w:r>
              <w:rPr>
                <w:rFonts w:eastAsia="Times New Roman" w:cstheme="minorHAnsi"/>
                <w:sz w:val="20"/>
                <w:szCs w:val="20"/>
              </w:rPr>
              <w:t>*</w:t>
            </w:r>
          </w:p>
        </w:tc>
        <w:tc>
          <w:tcPr>
            <w:tcW w:w="222" w:type="dxa"/>
            <w:tcBorders>
              <w:top w:val="nil"/>
              <w:left w:val="nil"/>
              <w:bottom w:val="nil"/>
              <w:right w:val="nil"/>
            </w:tcBorders>
            <w:shd w:val="clear" w:color="000000" w:fill="FFFFFF"/>
          </w:tcPr>
          <w:p w:rsidR="00572015" w:rsidRPr="00DF7832" w:rsidRDefault="00572015" w:rsidP="00DF7832">
            <w:pPr>
              <w:spacing w:after="0" w:line="240" w:lineRule="auto"/>
              <w:jc w:val="center"/>
              <w:rPr>
                <w:rFonts w:eastAsia="Times New Roman" w:cstheme="minorHAnsi"/>
                <w:sz w:val="20"/>
                <w:szCs w:val="20"/>
              </w:rPr>
            </w:pPr>
          </w:p>
        </w:tc>
        <w:tc>
          <w:tcPr>
            <w:tcW w:w="982" w:type="dxa"/>
            <w:tcBorders>
              <w:top w:val="nil"/>
              <w:left w:val="nil"/>
              <w:bottom w:val="nil"/>
              <w:right w:val="nil"/>
            </w:tcBorders>
            <w:shd w:val="clear" w:color="000000" w:fill="FFFFFF"/>
            <w:noWrap/>
            <w:vAlign w:val="center"/>
            <w:hideMark/>
          </w:tcPr>
          <w:p w:rsidR="00572015" w:rsidRPr="00DF7832" w:rsidRDefault="00572015" w:rsidP="00DF7832">
            <w:pPr>
              <w:spacing w:after="0" w:line="240" w:lineRule="auto"/>
              <w:jc w:val="center"/>
              <w:rPr>
                <w:rFonts w:eastAsia="Times New Roman" w:cstheme="minorHAnsi"/>
                <w:sz w:val="20"/>
                <w:szCs w:val="20"/>
              </w:rPr>
            </w:pPr>
            <w:r w:rsidRPr="00DF7832">
              <w:rPr>
                <w:rFonts w:eastAsia="Times New Roman" w:cstheme="minorHAnsi"/>
                <w:sz w:val="20"/>
                <w:szCs w:val="20"/>
              </w:rPr>
              <w:t>100.16</w:t>
            </w:r>
          </w:p>
        </w:tc>
        <w:tc>
          <w:tcPr>
            <w:tcW w:w="1122" w:type="dxa"/>
            <w:tcBorders>
              <w:top w:val="nil"/>
              <w:left w:val="nil"/>
              <w:bottom w:val="nil"/>
              <w:right w:val="nil"/>
            </w:tcBorders>
            <w:shd w:val="clear" w:color="000000" w:fill="FFFFFF"/>
            <w:noWrap/>
            <w:vAlign w:val="center"/>
            <w:hideMark/>
          </w:tcPr>
          <w:p w:rsidR="00572015" w:rsidRPr="00DF7832" w:rsidRDefault="00572015" w:rsidP="00DF7832">
            <w:pPr>
              <w:spacing w:after="0" w:line="240" w:lineRule="auto"/>
              <w:jc w:val="center"/>
              <w:rPr>
                <w:rFonts w:eastAsia="Times New Roman" w:cstheme="minorHAnsi"/>
                <w:sz w:val="20"/>
                <w:szCs w:val="20"/>
              </w:rPr>
            </w:pPr>
            <w:r w:rsidRPr="00DF7832">
              <w:rPr>
                <w:rFonts w:eastAsia="Times New Roman" w:cstheme="minorHAnsi"/>
                <w:sz w:val="20"/>
                <w:szCs w:val="20"/>
              </w:rPr>
              <w:t>157</w:t>
            </w:r>
          </w:p>
        </w:tc>
        <w:tc>
          <w:tcPr>
            <w:tcW w:w="1122" w:type="dxa"/>
            <w:tcBorders>
              <w:top w:val="nil"/>
              <w:left w:val="nil"/>
              <w:bottom w:val="nil"/>
              <w:right w:val="nil"/>
            </w:tcBorders>
            <w:shd w:val="clear" w:color="000000" w:fill="FFFFFF"/>
            <w:noWrap/>
            <w:vAlign w:val="center"/>
            <w:hideMark/>
          </w:tcPr>
          <w:p w:rsidR="00572015" w:rsidRPr="00DF7832" w:rsidRDefault="00572015" w:rsidP="00DF7832">
            <w:pPr>
              <w:spacing w:after="0" w:line="240" w:lineRule="auto"/>
              <w:jc w:val="center"/>
              <w:rPr>
                <w:rFonts w:eastAsia="Times New Roman" w:cstheme="minorHAnsi"/>
                <w:sz w:val="20"/>
                <w:szCs w:val="20"/>
              </w:rPr>
            </w:pPr>
            <w:r w:rsidRPr="00DF7832">
              <w:rPr>
                <w:rFonts w:eastAsia="Times New Roman" w:cstheme="minorHAnsi"/>
                <w:sz w:val="20"/>
                <w:szCs w:val="20"/>
              </w:rPr>
              <w:t>C</w:t>
            </w:r>
            <w:r w:rsidRPr="00DF7832">
              <w:rPr>
                <w:rFonts w:eastAsia="Times New Roman" w:cstheme="minorHAnsi"/>
                <w:sz w:val="20"/>
                <w:szCs w:val="20"/>
                <w:vertAlign w:val="subscript"/>
              </w:rPr>
              <w:t>6</w:t>
            </w:r>
            <w:r w:rsidRPr="00DF7832">
              <w:rPr>
                <w:rFonts w:eastAsia="Times New Roman" w:cstheme="minorHAnsi"/>
                <w:sz w:val="20"/>
                <w:szCs w:val="20"/>
              </w:rPr>
              <w:t>H</w:t>
            </w:r>
            <w:r w:rsidRPr="00DF7832">
              <w:rPr>
                <w:rFonts w:eastAsia="Times New Roman" w:cstheme="minorHAnsi"/>
                <w:sz w:val="20"/>
                <w:szCs w:val="20"/>
                <w:vertAlign w:val="subscript"/>
              </w:rPr>
              <w:t>12</w:t>
            </w:r>
            <w:r w:rsidRPr="00DF7832">
              <w:rPr>
                <w:rFonts w:eastAsia="Times New Roman" w:cstheme="minorHAnsi"/>
                <w:sz w:val="20"/>
                <w:szCs w:val="20"/>
              </w:rPr>
              <w:t>O</w:t>
            </w:r>
          </w:p>
        </w:tc>
        <w:tc>
          <w:tcPr>
            <w:tcW w:w="1122" w:type="dxa"/>
            <w:tcBorders>
              <w:top w:val="nil"/>
              <w:left w:val="nil"/>
              <w:bottom w:val="nil"/>
              <w:right w:val="nil"/>
            </w:tcBorders>
            <w:shd w:val="clear" w:color="000000" w:fill="FFFFFF"/>
            <w:noWrap/>
            <w:vAlign w:val="center"/>
            <w:hideMark/>
          </w:tcPr>
          <w:p w:rsidR="00572015" w:rsidRPr="00DF7832" w:rsidRDefault="00572015" w:rsidP="00DF7832">
            <w:pPr>
              <w:spacing w:after="0" w:line="240" w:lineRule="auto"/>
              <w:jc w:val="center"/>
              <w:rPr>
                <w:rFonts w:eastAsia="Times New Roman" w:cstheme="minorHAnsi"/>
                <w:sz w:val="20"/>
                <w:szCs w:val="20"/>
              </w:rPr>
            </w:pPr>
            <w:r w:rsidRPr="00DF7832">
              <w:rPr>
                <w:rFonts w:eastAsia="Times New Roman" w:cstheme="minorHAnsi"/>
                <w:sz w:val="20"/>
                <w:szCs w:val="20"/>
              </w:rPr>
              <w:t>2.192</w:t>
            </w:r>
          </w:p>
        </w:tc>
        <w:tc>
          <w:tcPr>
            <w:tcW w:w="1962" w:type="dxa"/>
            <w:tcBorders>
              <w:top w:val="nil"/>
              <w:left w:val="nil"/>
              <w:bottom w:val="nil"/>
              <w:right w:val="nil"/>
            </w:tcBorders>
            <w:shd w:val="clear" w:color="000000" w:fill="FFFFFF"/>
            <w:noWrap/>
            <w:vAlign w:val="center"/>
            <w:hideMark/>
          </w:tcPr>
          <w:p w:rsidR="00572015" w:rsidRPr="00DF7832" w:rsidRDefault="00572015" w:rsidP="00DF7832">
            <w:pPr>
              <w:spacing w:after="0" w:line="240" w:lineRule="auto"/>
              <w:jc w:val="center"/>
              <w:rPr>
                <w:rFonts w:eastAsia="Times New Roman" w:cstheme="minorHAnsi"/>
                <w:sz w:val="20"/>
                <w:szCs w:val="20"/>
              </w:rPr>
            </w:pPr>
            <w:r w:rsidRPr="00DF7832">
              <w:rPr>
                <w:rFonts w:eastAsia="Times New Roman" w:cstheme="minorHAnsi"/>
                <w:sz w:val="20"/>
                <w:szCs w:val="20"/>
              </w:rPr>
              <w:t>1, 2, 3</w:t>
            </w:r>
          </w:p>
        </w:tc>
        <w:tc>
          <w:tcPr>
            <w:tcW w:w="1541" w:type="dxa"/>
            <w:tcBorders>
              <w:top w:val="nil"/>
              <w:left w:val="nil"/>
              <w:bottom w:val="nil"/>
              <w:right w:val="nil"/>
            </w:tcBorders>
            <w:shd w:val="clear" w:color="000000" w:fill="FFFFFF"/>
            <w:noWrap/>
            <w:vAlign w:val="center"/>
            <w:hideMark/>
          </w:tcPr>
          <w:p w:rsidR="00572015" w:rsidRPr="00DF7832" w:rsidRDefault="00572015" w:rsidP="00DF7832">
            <w:pPr>
              <w:spacing w:after="0" w:line="240" w:lineRule="auto"/>
              <w:jc w:val="center"/>
              <w:rPr>
                <w:rFonts w:eastAsia="Times New Roman" w:cstheme="minorHAnsi"/>
                <w:sz w:val="20"/>
                <w:szCs w:val="20"/>
              </w:rPr>
            </w:pPr>
            <w:r w:rsidRPr="00DF7832">
              <w:rPr>
                <w:rFonts w:eastAsia="Times New Roman" w:cstheme="minorHAnsi"/>
                <w:sz w:val="20"/>
                <w:szCs w:val="20"/>
              </w:rPr>
              <w:t>37.8</w:t>
            </w:r>
          </w:p>
        </w:tc>
        <w:tc>
          <w:tcPr>
            <w:tcW w:w="1822" w:type="dxa"/>
            <w:tcBorders>
              <w:top w:val="nil"/>
              <w:left w:val="nil"/>
              <w:bottom w:val="nil"/>
              <w:right w:val="nil"/>
            </w:tcBorders>
            <w:shd w:val="clear" w:color="000000" w:fill="FFFFFF"/>
            <w:noWrap/>
            <w:vAlign w:val="bottom"/>
            <w:hideMark/>
          </w:tcPr>
          <w:p w:rsidR="00572015" w:rsidRPr="00DF7832" w:rsidRDefault="00572015" w:rsidP="00F04CF2">
            <w:pPr>
              <w:spacing w:after="0" w:line="240" w:lineRule="auto"/>
              <w:jc w:val="center"/>
              <w:rPr>
                <w:rFonts w:eastAsia="Times New Roman" w:cstheme="minorHAnsi"/>
                <w:sz w:val="20"/>
                <w:szCs w:val="20"/>
              </w:rPr>
            </w:pPr>
            <w:r w:rsidRPr="00DF7832">
              <w:rPr>
                <w:rFonts w:eastAsia="Times New Roman" w:cstheme="minorHAnsi"/>
                <w:sz w:val="20"/>
                <w:szCs w:val="20"/>
              </w:rPr>
              <w:t>Green Flavor</w:t>
            </w:r>
          </w:p>
        </w:tc>
      </w:tr>
      <w:tr w:rsidR="00572015" w:rsidRPr="00DF7832" w:rsidTr="00572015">
        <w:trPr>
          <w:trHeight w:val="282"/>
        </w:trPr>
        <w:tc>
          <w:tcPr>
            <w:tcW w:w="1014" w:type="dxa"/>
            <w:tcBorders>
              <w:top w:val="nil"/>
              <w:left w:val="nil"/>
              <w:bottom w:val="nil"/>
              <w:right w:val="nil"/>
            </w:tcBorders>
            <w:shd w:val="clear" w:color="000000" w:fill="FFFFFF"/>
            <w:noWrap/>
            <w:vAlign w:val="center"/>
            <w:hideMark/>
          </w:tcPr>
          <w:p w:rsidR="00572015" w:rsidRPr="00DF7832" w:rsidRDefault="00572015" w:rsidP="00DF7832">
            <w:pPr>
              <w:spacing w:after="0" w:line="240" w:lineRule="auto"/>
              <w:jc w:val="center"/>
              <w:rPr>
                <w:rFonts w:eastAsia="Times New Roman" w:cstheme="minorHAnsi"/>
                <w:sz w:val="20"/>
                <w:szCs w:val="20"/>
              </w:rPr>
            </w:pPr>
            <w:r w:rsidRPr="00DF7832">
              <w:rPr>
                <w:rFonts w:eastAsia="Times New Roman" w:cstheme="minorHAnsi"/>
                <w:sz w:val="20"/>
                <w:szCs w:val="20"/>
              </w:rPr>
              <w:t>13</w:t>
            </w:r>
          </w:p>
        </w:tc>
        <w:tc>
          <w:tcPr>
            <w:tcW w:w="3049" w:type="dxa"/>
            <w:tcBorders>
              <w:top w:val="nil"/>
              <w:left w:val="nil"/>
              <w:bottom w:val="nil"/>
              <w:right w:val="nil"/>
            </w:tcBorders>
            <w:shd w:val="clear" w:color="000000" w:fill="FFFFFF"/>
            <w:noWrap/>
            <w:vAlign w:val="center"/>
            <w:hideMark/>
          </w:tcPr>
          <w:p w:rsidR="00572015" w:rsidRPr="00DF7832" w:rsidRDefault="00572015" w:rsidP="00DF7832">
            <w:pPr>
              <w:spacing w:after="0" w:line="240" w:lineRule="auto"/>
              <w:jc w:val="center"/>
              <w:rPr>
                <w:rFonts w:eastAsia="Times New Roman" w:cstheme="minorHAnsi"/>
                <w:sz w:val="20"/>
                <w:szCs w:val="20"/>
              </w:rPr>
            </w:pPr>
            <w:r w:rsidRPr="00DF7832">
              <w:rPr>
                <w:rFonts w:eastAsia="Times New Roman" w:cstheme="minorHAnsi"/>
                <w:sz w:val="20"/>
                <w:szCs w:val="20"/>
              </w:rPr>
              <w:t>2-Methylbutyl acetate</w:t>
            </w:r>
          </w:p>
        </w:tc>
        <w:tc>
          <w:tcPr>
            <w:tcW w:w="222" w:type="dxa"/>
            <w:tcBorders>
              <w:top w:val="nil"/>
              <w:left w:val="nil"/>
              <w:bottom w:val="nil"/>
              <w:right w:val="nil"/>
            </w:tcBorders>
            <w:shd w:val="clear" w:color="000000" w:fill="FFFFFF"/>
          </w:tcPr>
          <w:p w:rsidR="00572015" w:rsidRPr="00DF7832" w:rsidRDefault="00572015" w:rsidP="00DF7832">
            <w:pPr>
              <w:spacing w:after="0" w:line="240" w:lineRule="auto"/>
              <w:jc w:val="center"/>
              <w:rPr>
                <w:rFonts w:eastAsia="Times New Roman" w:cstheme="minorHAnsi"/>
                <w:sz w:val="20"/>
                <w:szCs w:val="20"/>
              </w:rPr>
            </w:pPr>
          </w:p>
        </w:tc>
        <w:tc>
          <w:tcPr>
            <w:tcW w:w="982" w:type="dxa"/>
            <w:tcBorders>
              <w:top w:val="nil"/>
              <w:left w:val="nil"/>
              <w:bottom w:val="nil"/>
              <w:right w:val="nil"/>
            </w:tcBorders>
            <w:shd w:val="clear" w:color="000000" w:fill="FFFFFF"/>
            <w:noWrap/>
            <w:vAlign w:val="center"/>
            <w:hideMark/>
          </w:tcPr>
          <w:p w:rsidR="00572015" w:rsidRPr="00DF7832" w:rsidRDefault="00572015" w:rsidP="00DF7832">
            <w:pPr>
              <w:spacing w:after="0" w:line="240" w:lineRule="auto"/>
              <w:jc w:val="center"/>
              <w:rPr>
                <w:rFonts w:eastAsia="Times New Roman" w:cstheme="minorHAnsi"/>
                <w:sz w:val="20"/>
                <w:szCs w:val="20"/>
              </w:rPr>
            </w:pPr>
            <w:r w:rsidRPr="00DF7832">
              <w:rPr>
                <w:rFonts w:eastAsia="Times New Roman" w:cstheme="minorHAnsi"/>
                <w:sz w:val="20"/>
                <w:szCs w:val="20"/>
              </w:rPr>
              <w:t>130.19</w:t>
            </w:r>
          </w:p>
        </w:tc>
        <w:tc>
          <w:tcPr>
            <w:tcW w:w="1122" w:type="dxa"/>
            <w:tcBorders>
              <w:top w:val="nil"/>
              <w:left w:val="nil"/>
              <w:bottom w:val="nil"/>
              <w:right w:val="nil"/>
            </w:tcBorders>
            <w:shd w:val="clear" w:color="000000" w:fill="FFFFFF"/>
            <w:noWrap/>
            <w:vAlign w:val="center"/>
            <w:hideMark/>
          </w:tcPr>
          <w:p w:rsidR="00572015" w:rsidRPr="00DF7832" w:rsidRDefault="00572015" w:rsidP="00DF7832">
            <w:pPr>
              <w:spacing w:after="0" w:line="240" w:lineRule="auto"/>
              <w:jc w:val="center"/>
              <w:rPr>
                <w:rFonts w:eastAsia="Times New Roman" w:cstheme="minorHAnsi"/>
                <w:sz w:val="20"/>
                <w:szCs w:val="20"/>
              </w:rPr>
            </w:pPr>
            <w:r w:rsidRPr="00DF7832">
              <w:rPr>
                <w:rFonts w:eastAsia="Times New Roman" w:cstheme="minorHAnsi"/>
                <w:sz w:val="20"/>
                <w:szCs w:val="20"/>
              </w:rPr>
              <w:t>140</w:t>
            </w:r>
          </w:p>
        </w:tc>
        <w:tc>
          <w:tcPr>
            <w:tcW w:w="1122" w:type="dxa"/>
            <w:tcBorders>
              <w:top w:val="nil"/>
              <w:left w:val="nil"/>
              <w:bottom w:val="nil"/>
              <w:right w:val="nil"/>
            </w:tcBorders>
            <w:shd w:val="clear" w:color="000000" w:fill="FFFFFF"/>
            <w:noWrap/>
            <w:vAlign w:val="center"/>
            <w:hideMark/>
          </w:tcPr>
          <w:p w:rsidR="00572015" w:rsidRPr="00DF7832" w:rsidRDefault="00572015" w:rsidP="00DF7832">
            <w:pPr>
              <w:spacing w:after="0" w:line="240" w:lineRule="auto"/>
              <w:jc w:val="center"/>
              <w:rPr>
                <w:rFonts w:eastAsia="Times New Roman" w:cstheme="minorHAnsi"/>
                <w:sz w:val="20"/>
                <w:szCs w:val="20"/>
              </w:rPr>
            </w:pPr>
            <w:r w:rsidRPr="00DF7832">
              <w:rPr>
                <w:rFonts w:eastAsia="Times New Roman" w:cstheme="minorHAnsi"/>
                <w:sz w:val="20"/>
                <w:szCs w:val="20"/>
              </w:rPr>
              <w:t>C</w:t>
            </w:r>
            <w:r w:rsidRPr="00DF7832">
              <w:rPr>
                <w:rFonts w:eastAsia="Times New Roman" w:cstheme="minorHAnsi"/>
                <w:sz w:val="20"/>
                <w:szCs w:val="20"/>
                <w:vertAlign w:val="subscript"/>
              </w:rPr>
              <w:t>7</w:t>
            </w:r>
            <w:r w:rsidRPr="00DF7832">
              <w:rPr>
                <w:rFonts w:eastAsia="Times New Roman" w:cstheme="minorHAnsi"/>
                <w:sz w:val="20"/>
                <w:szCs w:val="20"/>
              </w:rPr>
              <w:t>H</w:t>
            </w:r>
            <w:r w:rsidRPr="00DF7832">
              <w:rPr>
                <w:rFonts w:eastAsia="Times New Roman" w:cstheme="minorHAnsi"/>
                <w:sz w:val="20"/>
                <w:szCs w:val="20"/>
                <w:vertAlign w:val="subscript"/>
              </w:rPr>
              <w:t>14</w:t>
            </w:r>
            <w:r w:rsidRPr="00DF7832">
              <w:rPr>
                <w:rFonts w:eastAsia="Times New Roman" w:cstheme="minorHAnsi"/>
                <w:sz w:val="20"/>
                <w:szCs w:val="20"/>
              </w:rPr>
              <w:t>O</w:t>
            </w:r>
            <w:r w:rsidRPr="00DF7832">
              <w:rPr>
                <w:rFonts w:eastAsia="Times New Roman" w:cstheme="minorHAnsi"/>
                <w:sz w:val="20"/>
                <w:szCs w:val="20"/>
                <w:vertAlign w:val="subscript"/>
              </w:rPr>
              <w:t>2</w:t>
            </w:r>
          </w:p>
        </w:tc>
        <w:tc>
          <w:tcPr>
            <w:tcW w:w="1122" w:type="dxa"/>
            <w:tcBorders>
              <w:top w:val="nil"/>
              <w:left w:val="nil"/>
              <w:bottom w:val="nil"/>
              <w:right w:val="nil"/>
            </w:tcBorders>
            <w:shd w:val="clear" w:color="000000" w:fill="FFFFFF"/>
            <w:noWrap/>
            <w:vAlign w:val="center"/>
            <w:hideMark/>
          </w:tcPr>
          <w:p w:rsidR="00572015" w:rsidRPr="00DF7832" w:rsidRDefault="00572015" w:rsidP="00DF7832">
            <w:pPr>
              <w:spacing w:after="0" w:line="240" w:lineRule="auto"/>
              <w:jc w:val="center"/>
              <w:rPr>
                <w:rFonts w:eastAsia="Times New Roman" w:cstheme="minorHAnsi"/>
                <w:sz w:val="20"/>
                <w:szCs w:val="20"/>
              </w:rPr>
            </w:pPr>
            <w:r w:rsidRPr="00DF7832">
              <w:rPr>
                <w:rFonts w:eastAsia="Times New Roman" w:cstheme="minorHAnsi"/>
                <w:sz w:val="20"/>
                <w:szCs w:val="20"/>
              </w:rPr>
              <w:t>2.232</w:t>
            </w:r>
          </w:p>
        </w:tc>
        <w:tc>
          <w:tcPr>
            <w:tcW w:w="1962" w:type="dxa"/>
            <w:tcBorders>
              <w:top w:val="nil"/>
              <w:left w:val="nil"/>
              <w:bottom w:val="nil"/>
              <w:right w:val="nil"/>
            </w:tcBorders>
            <w:shd w:val="clear" w:color="000000" w:fill="FFFFFF"/>
            <w:noWrap/>
            <w:vAlign w:val="center"/>
            <w:hideMark/>
          </w:tcPr>
          <w:p w:rsidR="00572015" w:rsidRPr="00DF7832" w:rsidRDefault="00572015" w:rsidP="00DF7832">
            <w:pPr>
              <w:spacing w:after="0" w:line="240" w:lineRule="auto"/>
              <w:jc w:val="center"/>
              <w:rPr>
                <w:rFonts w:eastAsia="Times New Roman" w:cstheme="minorHAnsi"/>
                <w:sz w:val="20"/>
                <w:szCs w:val="20"/>
              </w:rPr>
            </w:pPr>
            <w:r w:rsidRPr="00DF7832">
              <w:rPr>
                <w:rFonts w:eastAsia="Times New Roman" w:cstheme="minorHAnsi"/>
                <w:sz w:val="20"/>
                <w:szCs w:val="20"/>
              </w:rPr>
              <w:t>4</w:t>
            </w:r>
          </w:p>
        </w:tc>
        <w:tc>
          <w:tcPr>
            <w:tcW w:w="1541" w:type="dxa"/>
            <w:tcBorders>
              <w:top w:val="nil"/>
              <w:left w:val="nil"/>
              <w:bottom w:val="nil"/>
              <w:right w:val="nil"/>
            </w:tcBorders>
            <w:shd w:val="clear" w:color="000000" w:fill="FFFFFF"/>
            <w:noWrap/>
            <w:vAlign w:val="center"/>
            <w:hideMark/>
          </w:tcPr>
          <w:p w:rsidR="00572015" w:rsidRPr="00DF7832" w:rsidRDefault="00572015" w:rsidP="00DF7832">
            <w:pPr>
              <w:spacing w:after="0" w:line="240" w:lineRule="auto"/>
              <w:jc w:val="center"/>
              <w:rPr>
                <w:rFonts w:eastAsia="Times New Roman" w:cstheme="minorHAnsi"/>
                <w:sz w:val="20"/>
                <w:szCs w:val="20"/>
              </w:rPr>
            </w:pPr>
            <w:r w:rsidRPr="00DF7832">
              <w:rPr>
                <w:rFonts w:eastAsia="Times New Roman" w:cstheme="minorHAnsi"/>
                <w:sz w:val="20"/>
                <w:szCs w:val="20"/>
              </w:rPr>
              <w:t>36.6</w:t>
            </w:r>
          </w:p>
        </w:tc>
        <w:tc>
          <w:tcPr>
            <w:tcW w:w="1822" w:type="dxa"/>
            <w:tcBorders>
              <w:top w:val="nil"/>
              <w:left w:val="nil"/>
              <w:bottom w:val="nil"/>
              <w:right w:val="nil"/>
            </w:tcBorders>
            <w:shd w:val="clear" w:color="000000" w:fill="FFFFFF"/>
            <w:noWrap/>
            <w:vAlign w:val="bottom"/>
            <w:hideMark/>
          </w:tcPr>
          <w:p w:rsidR="00572015" w:rsidRPr="00DF7832" w:rsidRDefault="00572015" w:rsidP="00F04CF2">
            <w:pPr>
              <w:spacing w:after="0" w:line="240" w:lineRule="auto"/>
              <w:jc w:val="center"/>
              <w:rPr>
                <w:rFonts w:eastAsia="Times New Roman" w:cstheme="minorHAnsi"/>
                <w:sz w:val="20"/>
                <w:szCs w:val="20"/>
              </w:rPr>
            </w:pPr>
            <w:r w:rsidRPr="00DF7832">
              <w:rPr>
                <w:rFonts w:eastAsia="Times New Roman" w:cstheme="minorHAnsi"/>
                <w:sz w:val="20"/>
                <w:szCs w:val="20"/>
              </w:rPr>
              <w:t>Fruity Flavor</w:t>
            </w:r>
          </w:p>
        </w:tc>
      </w:tr>
      <w:tr w:rsidR="00572015" w:rsidRPr="00DF7832" w:rsidTr="00572015">
        <w:trPr>
          <w:trHeight w:val="282"/>
        </w:trPr>
        <w:tc>
          <w:tcPr>
            <w:tcW w:w="1014" w:type="dxa"/>
            <w:tcBorders>
              <w:top w:val="nil"/>
              <w:left w:val="nil"/>
              <w:bottom w:val="nil"/>
              <w:right w:val="nil"/>
            </w:tcBorders>
            <w:shd w:val="clear" w:color="000000" w:fill="FFFFFF"/>
            <w:noWrap/>
            <w:vAlign w:val="center"/>
            <w:hideMark/>
          </w:tcPr>
          <w:p w:rsidR="00572015" w:rsidRPr="00DF7832" w:rsidRDefault="00572015" w:rsidP="00DF7832">
            <w:pPr>
              <w:spacing w:after="0" w:line="240" w:lineRule="auto"/>
              <w:jc w:val="center"/>
              <w:rPr>
                <w:rFonts w:eastAsia="Times New Roman" w:cstheme="minorHAnsi"/>
                <w:sz w:val="20"/>
                <w:szCs w:val="20"/>
              </w:rPr>
            </w:pPr>
            <w:r w:rsidRPr="00DF7832">
              <w:rPr>
                <w:rFonts w:eastAsia="Times New Roman" w:cstheme="minorHAnsi"/>
                <w:sz w:val="20"/>
                <w:szCs w:val="20"/>
              </w:rPr>
              <w:t>14</w:t>
            </w:r>
          </w:p>
        </w:tc>
        <w:tc>
          <w:tcPr>
            <w:tcW w:w="3049" w:type="dxa"/>
            <w:tcBorders>
              <w:top w:val="nil"/>
              <w:left w:val="nil"/>
              <w:bottom w:val="nil"/>
              <w:right w:val="nil"/>
            </w:tcBorders>
            <w:shd w:val="clear" w:color="000000" w:fill="FFFFFF"/>
            <w:noWrap/>
            <w:vAlign w:val="center"/>
            <w:hideMark/>
          </w:tcPr>
          <w:p w:rsidR="00572015" w:rsidRPr="00DF7832" w:rsidRDefault="00572015" w:rsidP="00DF7832">
            <w:pPr>
              <w:spacing w:after="0" w:line="240" w:lineRule="auto"/>
              <w:jc w:val="center"/>
              <w:rPr>
                <w:rFonts w:eastAsia="Times New Roman" w:cstheme="minorHAnsi"/>
                <w:sz w:val="20"/>
                <w:szCs w:val="20"/>
              </w:rPr>
            </w:pPr>
            <w:r w:rsidRPr="00DF7832">
              <w:rPr>
                <w:rFonts w:eastAsia="Times New Roman" w:cstheme="minorHAnsi"/>
                <w:sz w:val="20"/>
                <w:szCs w:val="20"/>
              </w:rPr>
              <w:t>Hexyl acetate</w:t>
            </w:r>
            <w:r>
              <w:rPr>
                <w:rFonts w:eastAsia="Times New Roman" w:cstheme="minorHAnsi"/>
                <w:sz w:val="20"/>
                <w:szCs w:val="20"/>
              </w:rPr>
              <w:t>*</w:t>
            </w:r>
          </w:p>
        </w:tc>
        <w:tc>
          <w:tcPr>
            <w:tcW w:w="222" w:type="dxa"/>
            <w:tcBorders>
              <w:top w:val="nil"/>
              <w:left w:val="nil"/>
              <w:bottom w:val="nil"/>
              <w:right w:val="nil"/>
            </w:tcBorders>
            <w:shd w:val="clear" w:color="000000" w:fill="FFFFFF"/>
          </w:tcPr>
          <w:p w:rsidR="00572015" w:rsidRPr="00DF7832" w:rsidRDefault="00572015" w:rsidP="00DF7832">
            <w:pPr>
              <w:spacing w:after="0" w:line="240" w:lineRule="auto"/>
              <w:jc w:val="center"/>
              <w:rPr>
                <w:rFonts w:eastAsia="Times New Roman" w:cstheme="minorHAnsi"/>
                <w:sz w:val="20"/>
                <w:szCs w:val="20"/>
              </w:rPr>
            </w:pPr>
          </w:p>
        </w:tc>
        <w:tc>
          <w:tcPr>
            <w:tcW w:w="982" w:type="dxa"/>
            <w:tcBorders>
              <w:top w:val="nil"/>
              <w:left w:val="nil"/>
              <w:bottom w:val="nil"/>
              <w:right w:val="nil"/>
            </w:tcBorders>
            <w:shd w:val="clear" w:color="000000" w:fill="FFFFFF"/>
            <w:noWrap/>
            <w:vAlign w:val="center"/>
            <w:hideMark/>
          </w:tcPr>
          <w:p w:rsidR="00572015" w:rsidRPr="00DF7832" w:rsidRDefault="00572015" w:rsidP="00DF7832">
            <w:pPr>
              <w:spacing w:after="0" w:line="240" w:lineRule="auto"/>
              <w:jc w:val="center"/>
              <w:rPr>
                <w:rFonts w:eastAsia="Times New Roman" w:cstheme="minorHAnsi"/>
                <w:sz w:val="20"/>
                <w:szCs w:val="20"/>
              </w:rPr>
            </w:pPr>
            <w:r w:rsidRPr="00DF7832">
              <w:rPr>
                <w:rFonts w:eastAsia="Times New Roman" w:cstheme="minorHAnsi"/>
                <w:sz w:val="20"/>
                <w:szCs w:val="20"/>
              </w:rPr>
              <w:t>144.21</w:t>
            </w:r>
          </w:p>
        </w:tc>
        <w:tc>
          <w:tcPr>
            <w:tcW w:w="1122" w:type="dxa"/>
            <w:tcBorders>
              <w:top w:val="nil"/>
              <w:left w:val="nil"/>
              <w:bottom w:val="nil"/>
              <w:right w:val="nil"/>
            </w:tcBorders>
            <w:shd w:val="clear" w:color="000000" w:fill="FFFFFF"/>
            <w:noWrap/>
            <w:vAlign w:val="center"/>
            <w:hideMark/>
          </w:tcPr>
          <w:p w:rsidR="00572015" w:rsidRPr="00DF7832" w:rsidRDefault="00572015" w:rsidP="00DF7832">
            <w:pPr>
              <w:spacing w:after="0" w:line="240" w:lineRule="auto"/>
              <w:jc w:val="center"/>
              <w:rPr>
                <w:rFonts w:eastAsia="Times New Roman" w:cstheme="minorHAnsi"/>
                <w:sz w:val="20"/>
                <w:szCs w:val="20"/>
              </w:rPr>
            </w:pPr>
            <w:r w:rsidRPr="00DF7832">
              <w:rPr>
                <w:rFonts w:eastAsia="Times New Roman" w:cstheme="minorHAnsi"/>
                <w:sz w:val="20"/>
                <w:szCs w:val="20"/>
              </w:rPr>
              <w:t>171</w:t>
            </w:r>
          </w:p>
        </w:tc>
        <w:tc>
          <w:tcPr>
            <w:tcW w:w="1122" w:type="dxa"/>
            <w:tcBorders>
              <w:top w:val="nil"/>
              <w:left w:val="nil"/>
              <w:bottom w:val="nil"/>
              <w:right w:val="nil"/>
            </w:tcBorders>
            <w:shd w:val="clear" w:color="000000" w:fill="FFFFFF"/>
            <w:noWrap/>
            <w:vAlign w:val="center"/>
            <w:hideMark/>
          </w:tcPr>
          <w:p w:rsidR="00572015" w:rsidRPr="00DF7832" w:rsidRDefault="00572015" w:rsidP="00DF7832">
            <w:pPr>
              <w:spacing w:after="0" w:line="240" w:lineRule="auto"/>
              <w:jc w:val="center"/>
              <w:rPr>
                <w:rFonts w:eastAsia="Times New Roman" w:cstheme="minorHAnsi"/>
                <w:sz w:val="20"/>
                <w:szCs w:val="20"/>
              </w:rPr>
            </w:pPr>
            <w:r w:rsidRPr="00DF7832">
              <w:rPr>
                <w:rFonts w:eastAsia="Times New Roman" w:cstheme="minorHAnsi"/>
                <w:sz w:val="20"/>
                <w:szCs w:val="20"/>
              </w:rPr>
              <w:t>C</w:t>
            </w:r>
            <w:r w:rsidRPr="00DF7832">
              <w:rPr>
                <w:rFonts w:eastAsia="Times New Roman" w:cstheme="minorHAnsi"/>
                <w:sz w:val="20"/>
                <w:szCs w:val="20"/>
                <w:vertAlign w:val="subscript"/>
              </w:rPr>
              <w:t>8</w:t>
            </w:r>
            <w:r w:rsidRPr="00DF7832">
              <w:rPr>
                <w:rFonts w:eastAsia="Times New Roman" w:cstheme="minorHAnsi"/>
                <w:sz w:val="20"/>
                <w:szCs w:val="20"/>
              </w:rPr>
              <w:t>H</w:t>
            </w:r>
            <w:r w:rsidRPr="00DF7832">
              <w:rPr>
                <w:rFonts w:eastAsia="Times New Roman" w:cstheme="minorHAnsi"/>
                <w:sz w:val="20"/>
                <w:szCs w:val="20"/>
                <w:vertAlign w:val="subscript"/>
              </w:rPr>
              <w:t>16</w:t>
            </w:r>
            <w:r w:rsidRPr="00DF7832">
              <w:rPr>
                <w:rFonts w:eastAsia="Times New Roman" w:cstheme="minorHAnsi"/>
                <w:sz w:val="20"/>
                <w:szCs w:val="20"/>
              </w:rPr>
              <w:t>O</w:t>
            </w:r>
            <w:r w:rsidRPr="00DF7832">
              <w:rPr>
                <w:rFonts w:eastAsia="Times New Roman" w:cstheme="minorHAnsi"/>
                <w:sz w:val="20"/>
                <w:szCs w:val="20"/>
                <w:vertAlign w:val="subscript"/>
              </w:rPr>
              <w:t>2</w:t>
            </w:r>
          </w:p>
        </w:tc>
        <w:tc>
          <w:tcPr>
            <w:tcW w:w="1122" w:type="dxa"/>
            <w:tcBorders>
              <w:top w:val="nil"/>
              <w:left w:val="nil"/>
              <w:bottom w:val="nil"/>
              <w:right w:val="nil"/>
            </w:tcBorders>
            <w:shd w:val="clear" w:color="000000" w:fill="FFFFFF"/>
            <w:noWrap/>
            <w:vAlign w:val="center"/>
            <w:hideMark/>
          </w:tcPr>
          <w:p w:rsidR="00572015" w:rsidRPr="00DF7832" w:rsidRDefault="00572015" w:rsidP="00DF7832">
            <w:pPr>
              <w:spacing w:after="0" w:line="240" w:lineRule="auto"/>
              <w:jc w:val="center"/>
              <w:rPr>
                <w:rFonts w:eastAsia="Times New Roman" w:cstheme="minorHAnsi"/>
                <w:sz w:val="20"/>
                <w:szCs w:val="20"/>
              </w:rPr>
            </w:pPr>
            <w:r w:rsidRPr="00DF7832">
              <w:rPr>
                <w:rFonts w:eastAsia="Times New Roman" w:cstheme="minorHAnsi"/>
                <w:sz w:val="20"/>
                <w:szCs w:val="20"/>
              </w:rPr>
              <w:t>2.901</w:t>
            </w:r>
          </w:p>
        </w:tc>
        <w:tc>
          <w:tcPr>
            <w:tcW w:w="1962" w:type="dxa"/>
            <w:tcBorders>
              <w:top w:val="nil"/>
              <w:left w:val="nil"/>
              <w:bottom w:val="nil"/>
              <w:right w:val="nil"/>
            </w:tcBorders>
            <w:shd w:val="clear" w:color="000000" w:fill="FFFFFF"/>
            <w:noWrap/>
            <w:vAlign w:val="center"/>
            <w:hideMark/>
          </w:tcPr>
          <w:p w:rsidR="00572015" w:rsidRPr="00DF7832" w:rsidRDefault="00572015" w:rsidP="00DF7832">
            <w:pPr>
              <w:spacing w:after="0" w:line="240" w:lineRule="auto"/>
              <w:jc w:val="center"/>
              <w:rPr>
                <w:rFonts w:eastAsia="Times New Roman" w:cstheme="minorHAnsi"/>
                <w:sz w:val="20"/>
                <w:szCs w:val="20"/>
              </w:rPr>
            </w:pPr>
            <w:r w:rsidRPr="00DF7832">
              <w:rPr>
                <w:rFonts w:eastAsia="Times New Roman" w:cstheme="minorHAnsi"/>
                <w:sz w:val="20"/>
                <w:szCs w:val="20"/>
              </w:rPr>
              <w:t>2</w:t>
            </w:r>
          </w:p>
        </w:tc>
        <w:tc>
          <w:tcPr>
            <w:tcW w:w="1541" w:type="dxa"/>
            <w:tcBorders>
              <w:top w:val="nil"/>
              <w:left w:val="nil"/>
              <w:bottom w:val="nil"/>
              <w:right w:val="nil"/>
            </w:tcBorders>
            <w:shd w:val="clear" w:color="000000" w:fill="FFFFFF"/>
            <w:noWrap/>
            <w:vAlign w:val="center"/>
            <w:hideMark/>
          </w:tcPr>
          <w:p w:rsidR="00572015" w:rsidRPr="00DF7832" w:rsidRDefault="00572015" w:rsidP="00DF7832">
            <w:pPr>
              <w:spacing w:after="0" w:line="240" w:lineRule="auto"/>
              <w:jc w:val="center"/>
              <w:rPr>
                <w:rFonts w:eastAsia="Times New Roman" w:cstheme="minorHAnsi"/>
                <w:sz w:val="20"/>
                <w:szCs w:val="20"/>
              </w:rPr>
            </w:pPr>
            <w:r w:rsidRPr="00DF7832">
              <w:rPr>
                <w:rFonts w:eastAsia="Times New Roman" w:cstheme="minorHAnsi"/>
                <w:sz w:val="20"/>
                <w:szCs w:val="20"/>
              </w:rPr>
              <w:t>84.3</w:t>
            </w:r>
          </w:p>
        </w:tc>
        <w:tc>
          <w:tcPr>
            <w:tcW w:w="1822" w:type="dxa"/>
            <w:tcBorders>
              <w:top w:val="nil"/>
              <w:left w:val="nil"/>
              <w:bottom w:val="nil"/>
              <w:right w:val="nil"/>
            </w:tcBorders>
            <w:shd w:val="clear" w:color="000000" w:fill="FFFFFF"/>
            <w:noWrap/>
            <w:vAlign w:val="bottom"/>
            <w:hideMark/>
          </w:tcPr>
          <w:p w:rsidR="00572015" w:rsidRPr="00DF7832" w:rsidRDefault="00572015" w:rsidP="00F04CF2">
            <w:pPr>
              <w:spacing w:after="0" w:line="240" w:lineRule="auto"/>
              <w:jc w:val="center"/>
              <w:rPr>
                <w:rFonts w:eastAsia="Times New Roman" w:cstheme="minorHAnsi"/>
                <w:sz w:val="20"/>
                <w:szCs w:val="20"/>
              </w:rPr>
            </w:pPr>
            <w:r w:rsidRPr="00DF7832">
              <w:rPr>
                <w:rFonts w:eastAsia="Times New Roman" w:cstheme="minorHAnsi"/>
                <w:sz w:val="20"/>
                <w:szCs w:val="20"/>
              </w:rPr>
              <w:t>Fruity Flavor</w:t>
            </w:r>
          </w:p>
        </w:tc>
      </w:tr>
      <w:tr w:rsidR="00572015" w:rsidRPr="00DF7832" w:rsidTr="000C3181">
        <w:trPr>
          <w:trHeight w:val="282"/>
        </w:trPr>
        <w:tc>
          <w:tcPr>
            <w:tcW w:w="1014" w:type="dxa"/>
            <w:tcBorders>
              <w:top w:val="nil"/>
              <w:left w:val="nil"/>
              <w:bottom w:val="nil"/>
              <w:right w:val="nil"/>
            </w:tcBorders>
            <w:shd w:val="clear" w:color="auto" w:fill="F2F2F2" w:themeFill="background1" w:themeFillShade="F2"/>
            <w:noWrap/>
            <w:vAlign w:val="center"/>
            <w:hideMark/>
          </w:tcPr>
          <w:p w:rsidR="00572015" w:rsidRPr="00DF7832" w:rsidRDefault="00572015" w:rsidP="00DF7832">
            <w:pPr>
              <w:spacing w:after="0" w:line="240" w:lineRule="auto"/>
              <w:jc w:val="center"/>
              <w:rPr>
                <w:rFonts w:eastAsia="Times New Roman" w:cstheme="minorHAnsi"/>
                <w:sz w:val="20"/>
                <w:szCs w:val="20"/>
              </w:rPr>
            </w:pPr>
            <w:r w:rsidRPr="00DF7832">
              <w:rPr>
                <w:rFonts w:eastAsia="Times New Roman" w:cstheme="minorHAnsi"/>
                <w:sz w:val="20"/>
                <w:szCs w:val="20"/>
              </w:rPr>
              <w:t>15</w:t>
            </w:r>
          </w:p>
        </w:tc>
        <w:tc>
          <w:tcPr>
            <w:tcW w:w="3049" w:type="dxa"/>
            <w:tcBorders>
              <w:top w:val="nil"/>
              <w:left w:val="nil"/>
              <w:bottom w:val="nil"/>
              <w:right w:val="nil"/>
            </w:tcBorders>
            <w:shd w:val="clear" w:color="auto" w:fill="F2F2F2" w:themeFill="background1" w:themeFillShade="F2"/>
            <w:noWrap/>
            <w:vAlign w:val="center"/>
            <w:hideMark/>
          </w:tcPr>
          <w:p w:rsidR="00572015" w:rsidRPr="00DF7832" w:rsidRDefault="00572015" w:rsidP="00DF7832">
            <w:pPr>
              <w:spacing w:after="0" w:line="240" w:lineRule="auto"/>
              <w:jc w:val="center"/>
              <w:rPr>
                <w:rFonts w:eastAsia="Times New Roman" w:cstheme="minorHAnsi"/>
                <w:sz w:val="20"/>
                <w:szCs w:val="20"/>
              </w:rPr>
            </w:pPr>
            <w:r w:rsidRPr="00DF7832">
              <w:rPr>
                <w:rFonts w:eastAsia="Times New Roman" w:cstheme="minorHAnsi"/>
                <w:sz w:val="20"/>
                <w:szCs w:val="20"/>
              </w:rPr>
              <w:t>(4Z)-4-Hexenyl acetate</w:t>
            </w:r>
          </w:p>
        </w:tc>
        <w:tc>
          <w:tcPr>
            <w:tcW w:w="222" w:type="dxa"/>
            <w:tcBorders>
              <w:top w:val="nil"/>
              <w:left w:val="nil"/>
              <w:bottom w:val="nil"/>
              <w:right w:val="nil"/>
            </w:tcBorders>
            <w:shd w:val="clear" w:color="auto" w:fill="F2F2F2" w:themeFill="background1" w:themeFillShade="F2"/>
          </w:tcPr>
          <w:p w:rsidR="00572015" w:rsidRPr="00DF7832" w:rsidRDefault="00572015" w:rsidP="00DF7832">
            <w:pPr>
              <w:spacing w:after="0" w:line="240" w:lineRule="auto"/>
              <w:jc w:val="center"/>
              <w:rPr>
                <w:rFonts w:eastAsia="Times New Roman" w:cstheme="minorHAnsi"/>
                <w:sz w:val="20"/>
                <w:szCs w:val="20"/>
              </w:rPr>
            </w:pPr>
          </w:p>
        </w:tc>
        <w:tc>
          <w:tcPr>
            <w:tcW w:w="982" w:type="dxa"/>
            <w:tcBorders>
              <w:top w:val="nil"/>
              <w:left w:val="nil"/>
              <w:bottom w:val="nil"/>
              <w:right w:val="nil"/>
            </w:tcBorders>
            <w:shd w:val="clear" w:color="auto" w:fill="F2F2F2" w:themeFill="background1" w:themeFillShade="F2"/>
            <w:noWrap/>
            <w:vAlign w:val="center"/>
            <w:hideMark/>
          </w:tcPr>
          <w:p w:rsidR="00572015" w:rsidRPr="00DF7832" w:rsidRDefault="00572015" w:rsidP="00DF7832">
            <w:pPr>
              <w:spacing w:after="0" w:line="240" w:lineRule="auto"/>
              <w:jc w:val="center"/>
              <w:rPr>
                <w:rFonts w:eastAsia="Times New Roman" w:cstheme="minorHAnsi"/>
                <w:sz w:val="20"/>
                <w:szCs w:val="20"/>
              </w:rPr>
            </w:pPr>
            <w:r w:rsidRPr="00DF7832">
              <w:rPr>
                <w:rFonts w:eastAsia="Times New Roman" w:cstheme="minorHAnsi"/>
                <w:sz w:val="20"/>
                <w:szCs w:val="20"/>
              </w:rPr>
              <w:t>142.20</w:t>
            </w:r>
          </w:p>
        </w:tc>
        <w:tc>
          <w:tcPr>
            <w:tcW w:w="1122" w:type="dxa"/>
            <w:tcBorders>
              <w:top w:val="nil"/>
              <w:left w:val="nil"/>
              <w:bottom w:val="nil"/>
              <w:right w:val="nil"/>
            </w:tcBorders>
            <w:shd w:val="clear" w:color="auto" w:fill="F2F2F2" w:themeFill="background1" w:themeFillShade="F2"/>
            <w:noWrap/>
            <w:vAlign w:val="center"/>
            <w:hideMark/>
          </w:tcPr>
          <w:p w:rsidR="00572015" w:rsidRPr="00DF7832" w:rsidRDefault="00572015" w:rsidP="00DF7832">
            <w:pPr>
              <w:spacing w:after="0" w:line="240" w:lineRule="auto"/>
              <w:jc w:val="center"/>
              <w:rPr>
                <w:rFonts w:eastAsia="Times New Roman" w:cstheme="minorHAnsi"/>
                <w:sz w:val="20"/>
                <w:szCs w:val="20"/>
              </w:rPr>
            </w:pPr>
            <w:r w:rsidRPr="00DF7832">
              <w:rPr>
                <w:rFonts w:eastAsia="Times New Roman" w:cstheme="minorHAnsi"/>
                <w:sz w:val="20"/>
                <w:szCs w:val="20"/>
              </w:rPr>
              <w:t>137</w:t>
            </w:r>
          </w:p>
        </w:tc>
        <w:tc>
          <w:tcPr>
            <w:tcW w:w="1122" w:type="dxa"/>
            <w:tcBorders>
              <w:top w:val="nil"/>
              <w:left w:val="nil"/>
              <w:bottom w:val="nil"/>
              <w:right w:val="nil"/>
            </w:tcBorders>
            <w:shd w:val="clear" w:color="auto" w:fill="F2F2F2" w:themeFill="background1" w:themeFillShade="F2"/>
            <w:noWrap/>
            <w:vAlign w:val="center"/>
            <w:hideMark/>
          </w:tcPr>
          <w:p w:rsidR="00572015" w:rsidRPr="00DF7832" w:rsidRDefault="00572015" w:rsidP="00DF7832">
            <w:pPr>
              <w:spacing w:after="0" w:line="240" w:lineRule="auto"/>
              <w:jc w:val="center"/>
              <w:rPr>
                <w:rFonts w:eastAsia="Times New Roman" w:cstheme="minorHAnsi"/>
                <w:sz w:val="20"/>
                <w:szCs w:val="20"/>
              </w:rPr>
            </w:pPr>
            <w:r w:rsidRPr="00DF7832">
              <w:rPr>
                <w:rFonts w:eastAsia="Times New Roman" w:cstheme="minorHAnsi"/>
                <w:sz w:val="20"/>
                <w:szCs w:val="20"/>
              </w:rPr>
              <w:t>C</w:t>
            </w:r>
            <w:r w:rsidRPr="00DF7832">
              <w:rPr>
                <w:rFonts w:eastAsia="Times New Roman" w:cstheme="minorHAnsi"/>
                <w:sz w:val="20"/>
                <w:szCs w:val="20"/>
                <w:vertAlign w:val="subscript"/>
              </w:rPr>
              <w:t>8</w:t>
            </w:r>
            <w:r w:rsidRPr="00DF7832">
              <w:rPr>
                <w:rFonts w:eastAsia="Times New Roman" w:cstheme="minorHAnsi"/>
                <w:sz w:val="20"/>
                <w:szCs w:val="20"/>
              </w:rPr>
              <w:t>H</w:t>
            </w:r>
            <w:r w:rsidRPr="00DF7832">
              <w:rPr>
                <w:rFonts w:eastAsia="Times New Roman" w:cstheme="minorHAnsi"/>
                <w:sz w:val="20"/>
                <w:szCs w:val="20"/>
                <w:vertAlign w:val="subscript"/>
              </w:rPr>
              <w:t>14</w:t>
            </w:r>
            <w:r w:rsidRPr="00DF7832">
              <w:rPr>
                <w:rFonts w:eastAsia="Times New Roman" w:cstheme="minorHAnsi"/>
                <w:sz w:val="20"/>
                <w:szCs w:val="20"/>
              </w:rPr>
              <w:t>O</w:t>
            </w:r>
            <w:r w:rsidRPr="00DF7832">
              <w:rPr>
                <w:rFonts w:eastAsia="Times New Roman" w:cstheme="minorHAnsi"/>
                <w:sz w:val="20"/>
                <w:szCs w:val="20"/>
                <w:vertAlign w:val="subscript"/>
              </w:rPr>
              <w:t>2</w:t>
            </w:r>
          </w:p>
        </w:tc>
        <w:tc>
          <w:tcPr>
            <w:tcW w:w="1122" w:type="dxa"/>
            <w:tcBorders>
              <w:top w:val="nil"/>
              <w:left w:val="nil"/>
              <w:bottom w:val="nil"/>
              <w:right w:val="nil"/>
            </w:tcBorders>
            <w:shd w:val="clear" w:color="auto" w:fill="F2F2F2" w:themeFill="background1" w:themeFillShade="F2"/>
            <w:noWrap/>
            <w:vAlign w:val="center"/>
            <w:hideMark/>
          </w:tcPr>
          <w:p w:rsidR="00572015" w:rsidRPr="00DF7832" w:rsidRDefault="00572015" w:rsidP="00DF7832">
            <w:pPr>
              <w:spacing w:after="0" w:line="240" w:lineRule="auto"/>
              <w:jc w:val="center"/>
              <w:rPr>
                <w:rFonts w:eastAsia="Times New Roman" w:cstheme="minorHAnsi"/>
                <w:sz w:val="20"/>
                <w:szCs w:val="20"/>
              </w:rPr>
            </w:pPr>
            <w:r w:rsidRPr="00DF7832">
              <w:rPr>
                <w:rFonts w:eastAsia="Times New Roman" w:cstheme="minorHAnsi"/>
                <w:sz w:val="20"/>
                <w:szCs w:val="20"/>
              </w:rPr>
              <w:t>2.92</w:t>
            </w:r>
          </w:p>
        </w:tc>
        <w:tc>
          <w:tcPr>
            <w:tcW w:w="1962" w:type="dxa"/>
            <w:tcBorders>
              <w:top w:val="nil"/>
              <w:left w:val="nil"/>
              <w:bottom w:val="nil"/>
              <w:right w:val="nil"/>
            </w:tcBorders>
            <w:shd w:val="clear" w:color="auto" w:fill="F2F2F2" w:themeFill="background1" w:themeFillShade="F2"/>
            <w:noWrap/>
            <w:vAlign w:val="center"/>
            <w:hideMark/>
          </w:tcPr>
          <w:p w:rsidR="00572015" w:rsidRPr="00DF7832" w:rsidRDefault="00572015" w:rsidP="00DF7832">
            <w:pPr>
              <w:spacing w:after="0" w:line="240" w:lineRule="auto"/>
              <w:jc w:val="center"/>
              <w:rPr>
                <w:rFonts w:eastAsia="Times New Roman" w:cstheme="minorHAnsi"/>
                <w:sz w:val="20"/>
                <w:szCs w:val="20"/>
              </w:rPr>
            </w:pPr>
            <w:r w:rsidRPr="00DF7832">
              <w:rPr>
                <w:rFonts w:eastAsia="Times New Roman" w:cstheme="minorHAnsi"/>
                <w:sz w:val="20"/>
                <w:szCs w:val="20"/>
              </w:rPr>
              <w:t>2</w:t>
            </w:r>
          </w:p>
        </w:tc>
        <w:tc>
          <w:tcPr>
            <w:tcW w:w="1541" w:type="dxa"/>
            <w:tcBorders>
              <w:top w:val="nil"/>
              <w:left w:val="nil"/>
              <w:bottom w:val="nil"/>
              <w:right w:val="nil"/>
            </w:tcBorders>
            <w:shd w:val="clear" w:color="auto" w:fill="F2F2F2" w:themeFill="background1" w:themeFillShade="F2"/>
            <w:noWrap/>
            <w:vAlign w:val="center"/>
            <w:hideMark/>
          </w:tcPr>
          <w:p w:rsidR="00572015" w:rsidRPr="00DF7832" w:rsidRDefault="00572015" w:rsidP="00DF7832">
            <w:pPr>
              <w:spacing w:after="0" w:line="240" w:lineRule="auto"/>
              <w:jc w:val="center"/>
              <w:rPr>
                <w:rFonts w:eastAsia="Times New Roman" w:cstheme="minorHAnsi"/>
                <w:sz w:val="20"/>
                <w:szCs w:val="20"/>
              </w:rPr>
            </w:pPr>
            <w:r w:rsidRPr="00DF7832">
              <w:rPr>
                <w:rFonts w:eastAsia="Times New Roman" w:cstheme="minorHAnsi"/>
                <w:sz w:val="20"/>
                <w:szCs w:val="20"/>
              </w:rPr>
              <w:t>40.9</w:t>
            </w:r>
          </w:p>
        </w:tc>
        <w:tc>
          <w:tcPr>
            <w:tcW w:w="1822" w:type="dxa"/>
            <w:tcBorders>
              <w:top w:val="nil"/>
              <w:left w:val="nil"/>
              <w:bottom w:val="nil"/>
              <w:right w:val="nil"/>
            </w:tcBorders>
            <w:shd w:val="clear" w:color="auto" w:fill="F2F2F2" w:themeFill="background1" w:themeFillShade="F2"/>
            <w:noWrap/>
            <w:vAlign w:val="bottom"/>
            <w:hideMark/>
          </w:tcPr>
          <w:p w:rsidR="00572015" w:rsidRPr="00DF7832" w:rsidRDefault="00572015" w:rsidP="00F04CF2">
            <w:pPr>
              <w:spacing w:after="0" w:line="240" w:lineRule="auto"/>
              <w:jc w:val="center"/>
              <w:rPr>
                <w:rFonts w:eastAsia="Times New Roman" w:cstheme="minorHAnsi"/>
                <w:sz w:val="20"/>
                <w:szCs w:val="20"/>
              </w:rPr>
            </w:pPr>
            <w:r>
              <w:rPr>
                <w:rFonts w:eastAsia="Times New Roman" w:cstheme="minorHAnsi"/>
                <w:sz w:val="20"/>
                <w:szCs w:val="20"/>
              </w:rPr>
              <w:t>Possibly fruity</w:t>
            </w:r>
          </w:p>
        </w:tc>
      </w:tr>
      <w:tr w:rsidR="00572015" w:rsidRPr="00DF7832" w:rsidTr="00572015">
        <w:trPr>
          <w:trHeight w:val="282"/>
        </w:trPr>
        <w:tc>
          <w:tcPr>
            <w:tcW w:w="1014" w:type="dxa"/>
            <w:tcBorders>
              <w:top w:val="nil"/>
              <w:left w:val="nil"/>
              <w:bottom w:val="nil"/>
              <w:right w:val="nil"/>
            </w:tcBorders>
            <w:shd w:val="clear" w:color="000000" w:fill="FFFFFF"/>
            <w:noWrap/>
            <w:vAlign w:val="center"/>
            <w:hideMark/>
          </w:tcPr>
          <w:p w:rsidR="00572015" w:rsidRPr="00DF7832" w:rsidRDefault="00572015" w:rsidP="00DF7832">
            <w:pPr>
              <w:spacing w:after="0" w:line="240" w:lineRule="auto"/>
              <w:jc w:val="center"/>
              <w:rPr>
                <w:rFonts w:eastAsia="Times New Roman" w:cstheme="minorHAnsi"/>
                <w:sz w:val="20"/>
                <w:szCs w:val="20"/>
              </w:rPr>
            </w:pPr>
            <w:r w:rsidRPr="00DF7832">
              <w:rPr>
                <w:rFonts w:eastAsia="Times New Roman" w:cstheme="minorHAnsi"/>
                <w:sz w:val="20"/>
                <w:szCs w:val="20"/>
              </w:rPr>
              <w:t>16</w:t>
            </w:r>
          </w:p>
        </w:tc>
        <w:tc>
          <w:tcPr>
            <w:tcW w:w="3049" w:type="dxa"/>
            <w:tcBorders>
              <w:top w:val="nil"/>
              <w:left w:val="nil"/>
              <w:bottom w:val="nil"/>
              <w:right w:val="nil"/>
            </w:tcBorders>
            <w:shd w:val="clear" w:color="000000" w:fill="FFFFFF"/>
            <w:noWrap/>
            <w:vAlign w:val="center"/>
            <w:hideMark/>
          </w:tcPr>
          <w:p w:rsidR="00572015" w:rsidRPr="00DF7832" w:rsidRDefault="00572015" w:rsidP="00DF7832">
            <w:pPr>
              <w:spacing w:after="0" w:line="240" w:lineRule="auto"/>
              <w:jc w:val="center"/>
              <w:rPr>
                <w:rFonts w:eastAsia="Times New Roman" w:cstheme="minorHAnsi"/>
                <w:sz w:val="20"/>
                <w:szCs w:val="20"/>
              </w:rPr>
            </w:pPr>
            <w:r w:rsidRPr="00DF7832">
              <w:rPr>
                <w:rFonts w:eastAsia="Times New Roman" w:cstheme="minorHAnsi"/>
                <w:sz w:val="20"/>
                <w:szCs w:val="20"/>
              </w:rPr>
              <w:t>Benzaldehyde</w:t>
            </w:r>
            <w:r>
              <w:rPr>
                <w:rFonts w:eastAsia="Times New Roman" w:cstheme="minorHAnsi"/>
                <w:sz w:val="20"/>
                <w:szCs w:val="20"/>
              </w:rPr>
              <w:t>*</w:t>
            </w:r>
          </w:p>
        </w:tc>
        <w:tc>
          <w:tcPr>
            <w:tcW w:w="222" w:type="dxa"/>
            <w:tcBorders>
              <w:top w:val="nil"/>
              <w:left w:val="nil"/>
              <w:bottom w:val="nil"/>
              <w:right w:val="nil"/>
            </w:tcBorders>
            <w:shd w:val="clear" w:color="000000" w:fill="FFFFFF"/>
          </w:tcPr>
          <w:p w:rsidR="00572015" w:rsidRPr="00DF7832" w:rsidRDefault="00572015" w:rsidP="00DF7832">
            <w:pPr>
              <w:spacing w:after="0" w:line="240" w:lineRule="auto"/>
              <w:jc w:val="center"/>
              <w:rPr>
                <w:rFonts w:eastAsia="Times New Roman" w:cstheme="minorHAnsi"/>
                <w:sz w:val="20"/>
                <w:szCs w:val="20"/>
              </w:rPr>
            </w:pPr>
          </w:p>
        </w:tc>
        <w:tc>
          <w:tcPr>
            <w:tcW w:w="982" w:type="dxa"/>
            <w:tcBorders>
              <w:top w:val="nil"/>
              <w:left w:val="nil"/>
              <w:bottom w:val="nil"/>
              <w:right w:val="nil"/>
            </w:tcBorders>
            <w:shd w:val="clear" w:color="000000" w:fill="FFFFFF"/>
            <w:noWrap/>
            <w:vAlign w:val="center"/>
            <w:hideMark/>
          </w:tcPr>
          <w:p w:rsidR="00572015" w:rsidRPr="00DF7832" w:rsidRDefault="00572015" w:rsidP="00DF7832">
            <w:pPr>
              <w:spacing w:after="0" w:line="240" w:lineRule="auto"/>
              <w:jc w:val="center"/>
              <w:rPr>
                <w:rFonts w:eastAsia="Times New Roman" w:cstheme="minorHAnsi"/>
                <w:sz w:val="20"/>
                <w:szCs w:val="20"/>
              </w:rPr>
            </w:pPr>
            <w:r w:rsidRPr="00DF7832">
              <w:rPr>
                <w:rFonts w:eastAsia="Times New Roman" w:cstheme="minorHAnsi"/>
                <w:sz w:val="20"/>
                <w:szCs w:val="20"/>
              </w:rPr>
              <w:t>106.12</w:t>
            </w:r>
          </w:p>
        </w:tc>
        <w:tc>
          <w:tcPr>
            <w:tcW w:w="1122" w:type="dxa"/>
            <w:tcBorders>
              <w:top w:val="nil"/>
              <w:left w:val="nil"/>
              <w:bottom w:val="nil"/>
              <w:right w:val="nil"/>
            </w:tcBorders>
            <w:shd w:val="clear" w:color="000000" w:fill="FFFFFF"/>
            <w:noWrap/>
            <w:vAlign w:val="center"/>
            <w:hideMark/>
          </w:tcPr>
          <w:p w:rsidR="00572015" w:rsidRPr="00DF7832" w:rsidRDefault="00572015" w:rsidP="00DF7832">
            <w:pPr>
              <w:spacing w:after="0" w:line="240" w:lineRule="auto"/>
              <w:jc w:val="center"/>
              <w:rPr>
                <w:rFonts w:eastAsia="Times New Roman" w:cstheme="minorHAnsi"/>
                <w:sz w:val="20"/>
                <w:szCs w:val="20"/>
              </w:rPr>
            </w:pPr>
            <w:r w:rsidRPr="00DF7832">
              <w:rPr>
                <w:rFonts w:eastAsia="Times New Roman" w:cstheme="minorHAnsi"/>
                <w:sz w:val="20"/>
                <w:szCs w:val="20"/>
              </w:rPr>
              <w:t>179</w:t>
            </w:r>
          </w:p>
        </w:tc>
        <w:tc>
          <w:tcPr>
            <w:tcW w:w="1122" w:type="dxa"/>
            <w:tcBorders>
              <w:top w:val="nil"/>
              <w:left w:val="nil"/>
              <w:bottom w:val="nil"/>
              <w:right w:val="nil"/>
            </w:tcBorders>
            <w:shd w:val="clear" w:color="000000" w:fill="FFFFFF"/>
            <w:noWrap/>
            <w:vAlign w:val="center"/>
            <w:hideMark/>
          </w:tcPr>
          <w:p w:rsidR="00572015" w:rsidRPr="00DF7832" w:rsidRDefault="00572015" w:rsidP="00DF7832">
            <w:pPr>
              <w:spacing w:after="0" w:line="240" w:lineRule="auto"/>
              <w:jc w:val="center"/>
              <w:rPr>
                <w:rFonts w:eastAsia="Times New Roman" w:cstheme="minorHAnsi"/>
                <w:sz w:val="20"/>
                <w:szCs w:val="20"/>
              </w:rPr>
            </w:pPr>
            <w:r w:rsidRPr="00DF7832">
              <w:rPr>
                <w:rFonts w:eastAsia="Times New Roman" w:cstheme="minorHAnsi"/>
                <w:sz w:val="20"/>
                <w:szCs w:val="20"/>
              </w:rPr>
              <w:t>C</w:t>
            </w:r>
            <w:r w:rsidRPr="00DF7832">
              <w:rPr>
                <w:rFonts w:eastAsia="Times New Roman" w:cstheme="minorHAnsi"/>
                <w:sz w:val="20"/>
                <w:szCs w:val="20"/>
                <w:vertAlign w:val="subscript"/>
              </w:rPr>
              <w:t>7</w:t>
            </w:r>
            <w:r w:rsidRPr="00DF7832">
              <w:rPr>
                <w:rFonts w:eastAsia="Times New Roman" w:cstheme="minorHAnsi"/>
                <w:sz w:val="20"/>
                <w:szCs w:val="20"/>
              </w:rPr>
              <w:t>H</w:t>
            </w:r>
            <w:r w:rsidRPr="00DF7832">
              <w:rPr>
                <w:rFonts w:eastAsia="Times New Roman" w:cstheme="minorHAnsi"/>
                <w:sz w:val="20"/>
                <w:szCs w:val="20"/>
                <w:vertAlign w:val="subscript"/>
              </w:rPr>
              <w:t>6</w:t>
            </w:r>
            <w:r w:rsidRPr="00DF7832">
              <w:rPr>
                <w:rFonts w:eastAsia="Times New Roman" w:cstheme="minorHAnsi"/>
                <w:sz w:val="20"/>
                <w:szCs w:val="20"/>
              </w:rPr>
              <w:t>O </w:t>
            </w:r>
          </w:p>
        </w:tc>
        <w:tc>
          <w:tcPr>
            <w:tcW w:w="1122" w:type="dxa"/>
            <w:tcBorders>
              <w:top w:val="nil"/>
              <w:left w:val="nil"/>
              <w:bottom w:val="nil"/>
              <w:right w:val="nil"/>
            </w:tcBorders>
            <w:shd w:val="clear" w:color="000000" w:fill="FFFFFF"/>
            <w:noWrap/>
            <w:vAlign w:val="center"/>
            <w:hideMark/>
          </w:tcPr>
          <w:p w:rsidR="00572015" w:rsidRPr="00DF7832" w:rsidRDefault="00572015" w:rsidP="00DF7832">
            <w:pPr>
              <w:spacing w:after="0" w:line="240" w:lineRule="auto"/>
              <w:jc w:val="center"/>
              <w:rPr>
                <w:rFonts w:eastAsia="Times New Roman" w:cstheme="minorHAnsi"/>
                <w:sz w:val="20"/>
                <w:szCs w:val="20"/>
              </w:rPr>
            </w:pPr>
            <w:r w:rsidRPr="00DF7832">
              <w:rPr>
                <w:rFonts w:eastAsia="Times New Roman" w:cstheme="minorHAnsi"/>
                <w:sz w:val="20"/>
                <w:szCs w:val="20"/>
              </w:rPr>
              <w:t>3.068</w:t>
            </w:r>
          </w:p>
        </w:tc>
        <w:tc>
          <w:tcPr>
            <w:tcW w:w="1962" w:type="dxa"/>
            <w:tcBorders>
              <w:top w:val="nil"/>
              <w:left w:val="nil"/>
              <w:bottom w:val="nil"/>
              <w:right w:val="nil"/>
            </w:tcBorders>
            <w:shd w:val="clear" w:color="000000" w:fill="FFFFFF"/>
            <w:noWrap/>
            <w:vAlign w:val="center"/>
            <w:hideMark/>
          </w:tcPr>
          <w:p w:rsidR="00572015" w:rsidRPr="00DF7832" w:rsidRDefault="00572015" w:rsidP="00DF7832">
            <w:pPr>
              <w:spacing w:after="0" w:line="240" w:lineRule="auto"/>
              <w:jc w:val="center"/>
              <w:rPr>
                <w:rFonts w:eastAsia="Times New Roman" w:cstheme="minorHAnsi"/>
                <w:sz w:val="20"/>
                <w:szCs w:val="20"/>
              </w:rPr>
            </w:pPr>
            <w:r w:rsidRPr="00DF7832">
              <w:rPr>
                <w:rFonts w:eastAsia="Times New Roman" w:cstheme="minorHAnsi"/>
                <w:sz w:val="20"/>
                <w:szCs w:val="20"/>
              </w:rPr>
              <w:t>7</w:t>
            </w:r>
          </w:p>
        </w:tc>
        <w:tc>
          <w:tcPr>
            <w:tcW w:w="1541" w:type="dxa"/>
            <w:tcBorders>
              <w:top w:val="nil"/>
              <w:left w:val="nil"/>
              <w:bottom w:val="nil"/>
              <w:right w:val="nil"/>
            </w:tcBorders>
            <w:shd w:val="clear" w:color="000000" w:fill="FFFFFF"/>
            <w:noWrap/>
            <w:vAlign w:val="center"/>
            <w:hideMark/>
          </w:tcPr>
          <w:p w:rsidR="00572015" w:rsidRPr="00DF7832" w:rsidRDefault="00572015" w:rsidP="00DF7832">
            <w:pPr>
              <w:spacing w:after="0" w:line="240" w:lineRule="auto"/>
              <w:jc w:val="center"/>
              <w:rPr>
                <w:rFonts w:eastAsia="Times New Roman" w:cstheme="minorHAnsi"/>
                <w:sz w:val="20"/>
                <w:szCs w:val="20"/>
              </w:rPr>
            </w:pPr>
            <w:r w:rsidRPr="00DF7832">
              <w:rPr>
                <w:rFonts w:eastAsia="Times New Roman" w:cstheme="minorHAnsi"/>
                <w:sz w:val="20"/>
                <w:szCs w:val="20"/>
              </w:rPr>
              <w:t>77.4</w:t>
            </w:r>
          </w:p>
        </w:tc>
        <w:tc>
          <w:tcPr>
            <w:tcW w:w="1822" w:type="dxa"/>
            <w:tcBorders>
              <w:top w:val="nil"/>
              <w:left w:val="nil"/>
              <w:bottom w:val="nil"/>
              <w:right w:val="nil"/>
            </w:tcBorders>
            <w:shd w:val="clear" w:color="000000" w:fill="FFFFFF"/>
            <w:noWrap/>
            <w:vAlign w:val="bottom"/>
            <w:hideMark/>
          </w:tcPr>
          <w:p w:rsidR="00572015" w:rsidRPr="00DF7832" w:rsidRDefault="00572015" w:rsidP="00F04CF2">
            <w:pPr>
              <w:spacing w:after="0" w:line="240" w:lineRule="auto"/>
              <w:jc w:val="center"/>
              <w:rPr>
                <w:rFonts w:eastAsia="Times New Roman" w:cstheme="minorHAnsi"/>
                <w:sz w:val="20"/>
                <w:szCs w:val="20"/>
              </w:rPr>
            </w:pPr>
            <w:r w:rsidRPr="00DF7832">
              <w:rPr>
                <w:rFonts w:eastAsia="Times New Roman" w:cstheme="minorHAnsi"/>
                <w:sz w:val="20"/>
                <w:szCs w:val="20"/>
              </w:rPr>
              <w:t>Fruity Flavor</w:t>
            </w:r>
          </w:p>
        </w:tc>
      </w:tr>
      <w:tr w:rsidR="00572015" w:rsidRPr="00DF7832" w:rsidTr="00572015">
        <w:trPr>
          <w:trHeight w:val="282"/>
        </w:trPr>
        <w:tc>
          <w:tcPr>
            <w:tcW w:w="1014" w:type="dxa"/>
            <w:tcBorders>
              <w:top w:val="nil"/>
              <w:left w:val="nil"/>
              <w:bottom w:val="nil"/>
              <w:right w:val="nil"/>
            </w:tcBorders>
            <w:shd w:val="clear" w:color="000000" w:fill="FFFFFF"/>
            <w:noWrap/>
            <w:vAlign w:val="center"/>
            <w:hideMark/>
          </w:tcPr>
          <w:p w:rsidR="00572015" w:rsidRPr="00DF7832" w:rsidRDefault="00572015" w:rsidP="00DF7832">
            <w:pPr>
              <w:spacing w:after="0" w:line="240" w:lineRule="auto"/>
              <w:jc w:val="center"/>
              <w:rPr>
                <w:rFonts w:eastAsia="Times New Roman" w:cstheme="minorHAnsi"/>
                <w:sz w:val="20"/>
                <w:szCs w:val="20"/>
              </w:rPr>
            </w:pPr>
            <w:r w:rsidRPr="00DF7832">
              <w:rPr>
                <w:rFonts w:eastAsia="Times New Roman" w:cstheme="minorHAnsi"/>
                <w:sz w:val="20"/>
                <w:szCs w:val="20"/>
              </w:rPr>
              <w:t>17</w:t>
            </w:r>
          </w:p>
        </w:tc>
        <w:tc>
          <w:tcPr>
            <w:tcW w:w="3049" w:type="dxa"/>
            <w:tcBorders>
              <w:top w:val="nil"/>
              <w:left w:val="nil"/>
              <w:bottom w:val="nil"/>
              <w:right w:val="nil"/>
            </w:tcBorders>
            <w:shd w:val="clear" w:color="000000" w:fill="FFFFFF"/>
            <w:noWrap/>
            <w:vAlign w:val="center"/>
            <w:hideMark/>
          </w:tcPr>
          <w:p w:rsidR="00572015" w:rsidRPr="00DF7832" w:rsidRDefault="00572015" w:rsidP="00DF7832">
            <w:pPr>
              <w:spacing w:after="0" w:line="240" w:lineRule="auto"/>
              <w:jc w:val="center"/>
              <w:rPr>
                <w:rFonts w:eastAsia="Times New Roman" w:cstheme="minorHAnsi"/>
                <w:sz w:val="20"/>
                <w:szCs w:val="20"/>
              </w:rPr>
            </w:pPr>
            <w:r w:rsidRPr="00DF7832">
              <w:rPr>
                <w:rFonts w:eastAsia="Times New Roman" w:cstheme="minorHAnsi"/>
                <w:sz w:val="20"/>
                <w:szCs w:val="20"/>
              </w:rPr>
              <w:t>2-Isopropyl-4-methylthiazole</w:t>
            </w:r>
            <w:r>
              <w:rPr>
                <w:rFonts w:eastAsia="Times New Roman" w:cstheme="minorHAnsi"/>
                <w:sz w:val="20"/>
                <w:szCs w:val="20"/>
              </w:rPr>
              <w:t>*</w:t>
            </w:r>
          </w:p>
        </w:tc>
        <w:tc>
          <w:tcPr>
            <w:tcW w:w="222" w:type="dxa"/>
            <w:tcBorders>
              <w:top w:val="nil"/>
              <w:left w:val="nil"/>
              <w:bottom w:val="nil"/>
              <w:right w:val="nil"/>
            </w:tcBorders>
            <w:shd w:val="clear" w:color="000000" w:fill="FFFFFF"/>
          </w:tcPr>
          <w:p w:rsidR="00572015" w:rsidRPr="00DF7832" w:rsidRDefault="00572015" w:rsidP="00DF7832">
            <w:pPr>
              <w:spacing w:after="0" w:line="240" w:lineRule="auto"/>
              <w:jc w:val="center"/>
              <w:rPr>
                <w:rFonts w:eastAsia="Times New Roman" w:cstheme="minorHAnsi"/>
                <w:sz w:val="20"/>
                <w:szCs w:val="20"/>
              </w:rPr>
            </w:pPr>
          </w:p>
        </w:tc>
        <w:tc>
          <w:tcPr>
            <w:tcW w:w="982" w:type="dxa"/>
            <w:tcBorders>
              <w:top w:val="nil"/>
              <w:left w:val="nil"/>
              <w:bottom w:val="nil"/>
              <w:right w:val="nil"/>
            </w:tcBorders>
            <w:shd w:val="clear" w:color="000000" w:fill="FFFFFF"/>
            <w:noWrap/>
            <w:vAlign w:val="center"/>
            <w:hideMark/>
          </w:tcPr>
          <w:p w:rsidR="00572015" w:rsidRPr="00DF7832" w:rsidRDefault="00572015" w:rsidP="00DF7832">
            <w:pPr>
              <w:spacing w:after="0" w:line="240" w:lineRule="auto"/>
              <w:jc w:val="center"/>
              <w:rPr>
                <w:rFonts w:eastAsia="Times New Roman" w:cstheme="minorHAnsi"/>
                <w:sz w:val="20"/>
                <w:szCs w:val="20"/>
              </w:rPr>
            </w:pPr>
            <w:r w:rsidRPr="00DF7832">
              <w:rPr>
                <w:rFonts w:eastAsia="Times New Roman" w:cstheme="minorHAnsi"/>
                <w:sz w:val="20"/>
                <w:szCs w:val="20"/>
              </w:rPr>
              <w:t>141.23</w:t>
            </w:r>
          </w:p>
        </w:tc>
        <w:tc>
          <w:tcPr>
            <w:tcW w:w="1122" w:type="dxa"/>
            <w:tcBorders>
              <w:top w:val="nil"/>
              <w:left w:val="nil"/>
              <w:bottom w:val="nil"/>
              <w:right w:val="nil"/>
            </w:tcBorders>
            <w:shd w:val="clear" w:color="000000" w:fill="FFFFFF"/>
            <w:noWrap/>
            <w:vAlign w:val="center"/>
            <w:hideMark/>
          </w:tcPr>
          <w:p w:rsidR="00572015" w:rsidRPr="00DF7832" w:rsidRDefault="00572015" w:rsidP="00DF7832">
            <w:pPr>
              <w:spacing w:after="0" w:line="240" w:lineRule="auto"/>
              <w:jc w:val="center"/>
              <w:rPr>
                <w:rFonts w:eastAsia="Times New Roman" w:cstheme="minorHAnsi"/>
                <w:sz w:val="20"/>
                <w:szCs w:val="20"/>
              </w:rPr>
            </w:pPr>
            <w:r w:rsidRPr="00DF7832">
              <w:rPr>
                <w:rFonts w:eastAsia="Times New Roman" w:cstheme="minorHAnsi"/>
                <w:sz w:val="20"/>
                <w:szCs w:val="20"/>
              </w:rPr>
              <w:t>175</w:t>
            </w:r>
          </w:p>
        </w:tc>
        <w:tc>
          <w:tcPr>
            <w:tcW w:w="1122" w:type="dxa"/>
            <w:tcBorders>
              <w:top w:val="nil"/>
              <w:left w:val="nil"/>
              <w:bottom w:val="nil"/>
              <w:right w:val="nil"/>
            </w:tcBorders>
            <w:shd w:val="clear" w:color="000000" w:fill="FFFFFF"/>
            <w:noWrap/>
            <w:vAlign w:val="center"/>
            <w:hideMark/>
          </w:tcPr>
          <w:p w:rsidR="00572015" w:rsidRPr="00DF7832" w:rsidRDefault="00572015" w:rsidP="00DF7832">
            <w:pPr>
              <w:spacing w:after="0" w:line="240" w:lineRule="auto"/>
              <w:jc w:val="center"/>
              <w:rPr>
                <w:rFonts w:eastAsia="Times New Roman" w:cstheme="minorHAnsi"/>
                <w:sz w:val="20"/>
                <w:szCs w:val="20"/>
              </w:rPr>
            </w:pPr>
            <w:r w:rsidRPr="00DF7832">
              <w:rPr>
                <w:rFonts w:eastAsia="Times New Roman" w:cstheme="minorHAnsi"/>
                <w:sz w:val="20"/>
                <w:szCs w:val="20"/>
              </w:rPr>
              <w:t>C</w:t>
            </w:r>
            <w:r w:rsidRPr="00DF7832">
              <w:rPr>
                <w:rFonts w:eastAsia="Times New Roman" w:cstheme="minorHAnsi"/>
                <w:sz w:val="20"/>
                <w:szCs w:val="20"/>
                <w:vertAlign w:val="subscript"/>
              </w:rPr>
              <w:t>7</w:t>
            </w:r>
            <w:r w:rsidRPr="00DF7832">
              <w:rPr>
                <w:rFonts w:eastAsia="Times New Roman" w:cstheme="minorHAnsi"/>
                <w:sz w:val="20"/>
                <w:szCs w:val="20"/>
              </w:rPr>
              <w:t>H</w:t>
            </w:r>
            <w:r w:rsidRPr="00DF7832">
              <w:rPr>
                <w:rFonts w:eastAsia="Times New Roman" w:cstheme="minorHAnsi"/>
                <w:sz w:val="20"/>
                <w:szCs w:val="20"/>
                <w:vertAlign w:val="subscript"/>
              </w:rPr>
              <w:t>11</w:t>
            </w:r>
            <w:r w:rsidRPr="00DF7832">
              <w:rPr>
                <w:rFonts w:eastAsia="Times New Roman" w:cstheme="minorHAnsi"/>
                <w:sz w:val="20"/>
                <w:szCs w:val="20"/>
              </w:rPr>
              <w:t>NS</w:t>
            </w:r>
          </w:p>
        </w:tc>
        <w:tc>
          <w:tcPr>
            <w:tcW w:w="1122" w:type="dxa"/>
            <w:tcBorders>
              <w:top w:val="nil"/>
              <w:left w:val="nil"/>
              <w:bottom w:val="nil"/>
              <w:right w:val="nil"/>
            </w:tcBorders>
            <w:shd w:val="clear" w:color="000000" w:fill="FFFFFF"/>
            <w:noWrap/>
            <w:vAlign w:val="center"/>
            <w:hideMark/>
          </w:tcPr>
          <w:p w:rsidR="00572015" w:rsidRPr="00DF7832" w:rsidRDefault="00572015" w:rsidP="00DF7832">
            <w:pPr>
              <w:spacing w:after="0" w:line="240" w:lineRule="auto"/>
              <w:jc w:val="center"/>
              <w:rPr>
                <w:rFonts w:eastAsia="Times New Roman" w:cstheme="minorHAnsi"/>
                <w:sz w:val="20"/>
                <w:szCs w:val="20"/>
              </w:rPr>
            </w:pPr>
            <w:r w:rsidRPr="00DF7832">
              <w:rPr>
                <w:rFonts w:eastAsia="Times New Roman" w:cstheme="minorHAnsi"/>
                <w:sz w:val="20"/>
                <w:szCs w:val="20"/>
              </w:rPr>
              <w:t>3.113</w:t>
            </w:r>
          </w:p>
        </w:tc>
        <w:tc>
          <w:tcPr>
            <w:tcW w:w="1962" w:type="dxa"/>
            <w:tcBorders>
              <w:top w:val="nil"/>
              <w:left w:val="nil"/>
              <w:bottom w:val="nil"/>
              <w:right w:val="nil"/>
            </w:tcBorders>
            <w:shd w:val="clear" w:color="000000" w:fill="FFFFFF"/>
            <w:noWrap/>
            <w:vAlign w:val="center"/>
            <w:hideMark/>
          </w:tcPr>
          <w:p w:rsidR="00572015" w:rsidRPr="00DF7832" w:rsidRDefault="00572015" w:rsidP="00DF7832">
            <w:pPr>
              <w:spacing w:after="0" w:line="240" w:lineRule="auto"/>
              <w:jc w:val="center"/>
              <w:rPr>
                <w:rFonts w:eastAsia="Times New Roman" w:cstheme="minorHAnsi"/>
                <w:sz w:val="20"/>
                <w:szCs w:val="20"/>
              </w:rPr>
            </w:pPr>
            <w:r w:rsidRPr="00DF7832">
              <w:rPr>
                <w:rFonts w:eastAsia="Times New Roman" w:cstheme="minorHAnsi"/>
                <w:sz w:val="20"/>
                <w:szCs w:val="20"/>
              </w:rPr>
              <w:t>3</w:t>
            </w:r>
          </w:p>
        </w:tc>
        <w:tc>
          <w:tcPr>
            <w:tcW w:w="1541" w:type="dxa"/>
            <w:tcBorders>
              <w:top w:val="nil"/>
              <w:left w:val="nil"/>
              <w:bottom w:val="nil"/>
              <w:right w:val="nil"/>
            </w:tcBorders>
            <w:shd w:val="clear" w:color="000000" w:fill="FFFFFF"/>
            <w:noWrap/>
            <w:vAlign w:val="center"/>
            <w:hideMark/>
          </w:tcPr>
          <w:p w:rsidR="00572015" w:rsidRPr="00DF7832" w:rsidRDefault="00572015" w:rsidP="00DF7832">
            <w:pPr>
              <w:spacing w:after="0" w:line="240" w:lineRule="auto"/>
              <w:jc w:val="center"/>
              <w:rPr>
                <w:rFonts w:eastAsia="Times New Roman" w:cstheme="minorHAnsi"/>
                <w:sz w:val="20"/>
                <w:szCs w:val="20"/>
              </w:rPr>
            </w:pPr>
            <w:r w:rsidRPr="00DF7832">
              <w:rPr>
                <w:rFonts w:eastAsia="Times New Roman" w:cstheme="minorHAnsi"/>
                <w:sz w:val="20"/>
                <w:szCs w:val="20"/>
              </w:rPr>
              <w:t>85.5</w:t>
            </w:r>
          </w:p>
        </w:tc>
        <w:tc>
          <w:tcPr>
            <w:tcW w:w="1822" w:type="dxa"/>
            <w:tcBorders>
              <w:top w:val="nil"/>
              <w:left w:val="nil"/>
              <w:bottom w:val="nil"/>
              <w:right w:val="nil"/>
            </w:tcBorders>
            <w:shd w:val="clear" w:color="000000" w:fill="FFFFFF"/>
            <w:noWrap/>
            <w:vAlign w:val="bottom"/>
            <w:hideMark/>
          </w:tcPr>
          <w:p w:rsidR="00572015" w:rsidRPr="00DF7832" w:rsidRDefault="00572015" w:rsidP="00F04CF2">
            <w:pPr>
              <w:spacing w:after="0" w:line="240" w:lineRule="auto"/>
              <w:jc w:val="center"/>
              <w:rPr>
                <w:rFonts w:eastAsia="Times New Roman" w:cstheme="minorHAnsi"/>
                <w:sz w:val="20"/>
                <w:szCs w:val="20"/>
              </w:rPr>
            </w:pPr>
            <w:r w:rsidRPr="00DF7832">
              <w:rPr>
                <w:rFonts w:eastAsia="Times New Roman" w:cstheme="minorHAnsi"/>
                <w:sz w:val="20"/>
                <w:szCs w:val="20"/>
              </w:rPr>
              <w:t>Alliaceous Flavor</w:t>
            </w:r>
          </w:p>
        </w:tc>
      </w:tr>
      <w:tr w:rsidR="00572015" w:rsidRPr="00DF7832" w:rsidTr="00572015">
        <w:trPr>
          <w:trHeight w:val="282"/>
        </w:trPr>
        <w:tc>
          <w:tcPr>
            <w:tcW w:w="1014" w:type="dxa"/>
            <w:tcBorders>
              <w:top w:val="nil"/>
              <w:left w:val="nil"/>
              <w:bottom w:val="nil"/>
              <w:right w:val="nil"/>
            </w:tcBorders>
            <w:shd w:val="clear" w:color="000000" w:fill="FFFFFF"/>
            <w:noWrap/>
            <w:vAlign w:val="center"/>
            <w:hideMark/>
          </w:tcPr>
          <w:p w:rsidR="00572015" w:rsidRPr="00DF7832" w:rsidRDefault="00572015" w:rsidP="00DF7832">
            <w:pPr>
              <w:spacing w:after="0" w:line="240" w:lineRule="auto"/>
              <w:jc w:val="center"/>
              <w:rPr>
                <w:rFonts w:eastAsia="Times New Roman" w:cstheme="minorHAnsi"/>
                <w:sz w:val="20"/>
                <w:szCs w:val="20"/>
              </w:rPr>
            </w:pPr>
            <w:r w:rsidRPr="00DF7832">
              <w:rPr>
                <w:rFonts w:eastAsia="Times New Roman" w:cstheme="minorHAnsi"/>
                <w:sz w:val="20"/>
                <w:szCs w:val="20"/>
              </w:rPr>
              <w:t>18</w:t>
            </w:r>
          </w:p>
        </w:tc>
        <w:tc>
          <w:tcPr>
            <w:tcW w:w="3049" w:type="dxa"/>
            <w:tcBorders>
              <w:top w:val="nil"/>
              <w:left w:val="nil"/>
              <w:bottom w:val="nil"/>
              <w:right w:val="nil"/>
            </w:tcBorders>
            <w:shd w:val="clear" w:color="000000" w:fill="FFFFFF"/>
            <w:noWrap/>
            <w:vAlign w:val="center"/>
            <w:hideMark/>
          </w:tcPr>
          <w:p w:rsidR="00572015" w:rsidRPr="00DF7832" w:rsidRDefault="00572015" w:rsidP="00DF7832">
            <w:pPr>
              <w:spacing w:after="0" w:line="240" w:lineRule="auto"/>
              <w:jc w:val="center"/>
              <w:rPr>
                <w:rFonts w:eastAsia="Times New Roman" w:cstheme="minorHAnsi"/>
                <w:sz w:val="20"/>
                <w:szCs w:val="20"/>
              </w:rPr>
            </w:pPr>
            <w:r w:rsidRPr="00DF7832">
              <w:rPr>
                <w:rFonts w:eastAsia="Times New Roman" w:cstheme="minorHAnsi"/>
                <w:sz w:val="20"/>
                <w:szCs w:val="20"/>
              </w:rPr>
              <w:t>Linalool</w:t>
            </w:r>
            <w:r>
              <w:rPr>
                <w:rFonts w:eastAsia="Times New Roman" w:cstheme="minorHAnsi"/>
                <w:sz w:val="20"/>
                <w:szCs w:val="20"/>
              </w:rPr>
              <w:t>*</w:t>
            </w:r>
          </w:p>
        </w:tc>
        <w:tc>
          <w:tcPr>
            <w:tcW w:w="222" w:type="dxa"/>
            <w:tcBorders>
              <w:top w:val="nil"/>
              <w:left w:val="nil"/>
              <w:bottom w:val="nil"/>
              <w:right w:val="nil"/>
            </w:tcBorders>
            <w:shd w:val="clear" w:color="000000" w:fill="FFFFFF"/>
          </w:tcPr>
          <w:p w:rsidR="00572015" w:rsidRPr="00DF7832" w:rsidRDefault="00572015" w:rsidP="00DF7832">
            <w:pPr>
              <w:spacing w:after="0" w:line="240" w:lineRule="auto"/>
              <w:jc w:val="center"/>
              <w:rPr>
                <w:rFonts w:eastAsia="Times New Roman" w:cstheme="minorHAnsi"/>
                <w:sz w:val="20"/>
                <w:szCs w:val="20"/>
              </w:rPr>
            </w:pPr>
          </w:p>
        </w:tc>
        <w:tc>
          <w:tcPr>
            <w:tcW w:w="982" w:type="dxa"/>
            <w:tcBorders>
              <w:top w:val="nil"/>
              <w:left w:val="nil"/>
              <w:bottom w:val="nil"/>
              <w:right w:val="nil"/>
            </w:tcBorders>
            <w:shd w:val="clear" w:color="000000" w:fill="FFFFFF"/>
            <w:noWrap/>
            <w:vAlign w:val="center"/>
            <w:hideMark/>
          </w:tcPr>
          <w:p w:rsidR="00572015" w:rsidRPr="00DF7832" w:rsidRDefault="00572015" w:rsidP="00DF7832">
            <w:pPr>
              <w:spacing w:after="0" w:line="240" w:lineRule="auto"/>
              <w:jc w:val="center"/>
              <w:rPr>
                <w:rFonts w:eastAsia="Times New Roman" w:cstheme="minorHAnsi"/>
                <w:sz w:val="20"/>
                <w:szCs w:val="20"/>
              </w:rPr>
            </w:pPr>
            <w:r w:rsidRPr="00DF7832">
              <w:rPr>
                <w:rFonts w:eastAsia="Times New Roman" w:cstheme="minorHAnsi"/>
                <w:sz w:val="20"/>
                <w:szCs w:val="20"/>
              </w:rPr>
              <w:t>154.25</w:t>
            </w:r>
          </w:p>
        </w:tc>
        <w:tc>
          <w:tcPr>
            <w:tcW w:w="1122" w:type="dxa"/>
            <w:tcBorders>
              <w:top w:val="nil"/>
              <w:left w:val="nil"/>
              <w:bottom w:val="nil"/>
              <w:right w:val="nil"/>
            </w:tcBorders>
            <w:shd w:val="clear" w:color="000000" w:fill="FFFFFF"/>
            <w:noWrap/>
            <w:vAlign w:val="center"/>
            <w:hideMark/>
          </w:tcPr>
          <w:p w:rsidR="00572015" w:rsidRPr="00DF7832" w:rsidRDefault="00572015" w:rsidP="00DF7832">
            <w:pPr>
              <w:spacing w:after="0" w:line="240" w:lineRule="auto"/>
              <w:jc w:val="center"/>
              <w:rPr>
                <w:rFonts w:eastAsia="Times New Roman" w:cstheme="minorHAnsi"/>
                <w:sz w:val="20"/>
                <w:szCs w:val="20"/>
              </w:rPr>
            </w:pPr>
            <w:r w:rsidRPr="00DF7832">
              <w:rPr>
                <w:rFonts w:eastAsia="Times New Roman" w:cstheme="minorHAnsi"/>
                <w:sz w:val="20"/>
                <w:szCs w:val="20"/>
              </w:rPr>
              <w:t>200</w:t>
            </w:r>
          </w:p>
        </w:tc>
        <w:tc>
          <w:tcPr>
            <w:tcW w:w="1122" w:type="dxa"/>
            <w:tcBorders>
              <w:top w:val="nil"/>
              <w:left w:val="nil"/>
              <w:bottom w:val="nil"/>
              <w:right w:val="nil"/>
            </w:tcBorders>
            <w:shd w:val="clear" w:color="000000" w:fill="FFFFFF"/>
            <w:noWrap/>
            <w:vAlign w:val="center"/>
            <w:hideMark/>
          </w:tcPr>
          <w:p w:rsidR="00572015" w:rsidRPr="00DF7832" w:rsidRDefault="00572015" w:rsidP="00DF7832">
            <w:pPr>
              <w:spacing w:after="0" w:line="240" w:lineRule="auto"/>
              <w:jc w:val="center"/>
              <w:rPr>
                <w:rFonts w:eastAsia="Times New Roman" w:cstheme="minorHAnsi"/>
                <w:sz w:val="20"/>
                <w:szCs w:val="20"/>
              </w:rPr>
            </w:pPr>
            <w:r w:rsidRPr="00DF7832">
              <w:rPr>
                <w:rFonts w:eastAsia="Times New Roman" w:cstheme="minorHAnsi"/>
                <w:sz w:val="20"/>
                <w:szCs w:val="20"/>
              </w:rPr>
              <w:t>C</w:t>
            </w:r>
            <w:r w:rsidRPr="00DF7832">
              <w:rPr>
                <w:rFonts w:eastAsia="Times New Roman" w:cstheme="minorHAnsi"/>
                <w:sz w:val="20"/>
                <w:szCs w:val="20"/>
                <w:vertAlign w:val="subscript"/>
              </w:rPr>
              <w:t>10</w:t>
            </w:r>
            <w:r w:rsidRPr="00DF7832">
              <w:rPr>
                <w:rFonts w:eastAsia="Times New Roman" w:cstheme="minorHAnsi"/>
                <w:sz w:val="20"/>
                <w:szCs w:val="20"/>
              </w:rPr>
              <w:t>H</w:t>
            </w:r>
            <w:r w:rsidRPr="00DF7832">
              <w:rPr>
                <w:rFonts w:eastAsia="Times New Roman" w:cstheme="minorHAnsi"/>
                <w:sz w:val="20"/>
                <w:szCs w:val="20"/>
                <w:vertAlign w:val="subscript"/>
              </w:rPr>
              <w:t>18</w:t>
            </w:r>
            <w:r w:rsidRPr="00DF7832">
              <w:rPr>
                <w:rFonts w:eastAsia="Times New Roman" w:cstheme="minorHAnsi"/>
                <w:sz w:val="20"/>
                <w:szCs w:val="20"/>
              </w:rPr>
              <w:t>O</w:t>
            </w:r>
          </w:p>
        </w:tc>
        <w:tc>
          <w:tcPr>
            <w:tcW w:w="1122" w:type="dxa"/>
            <w:tcBorders>
              <w:top w:val="nil"/>
              <w:left w:val="nil"/>
              <w:bottom w:val="nil"/>
              <w:right w:val="nil"/>
            </w:tcBorders>
            <w:shd w:val="clear" w:color="000000" w:fill="FFFFFF"/>
            <w:noWrap/>
            <w:vAlign w:val="center"/>
            <w:hideMark/>
          </w:tcPr>
          <w:p w:rsidR="00572015" w:rsidRPr="00DF7832" w:rsidRDefault="00572015" w:rsidP="00DF7832">
            <w:pPr>
              <w:spacing w:after="0" w:line="240" w:lineRule="auto"/>
              <w:jc w:val="center"/>
              <w:rPr>
                <w:rFonts w:eastAsia="Times New Roman" w:cstheme="minorHAnsi"/>
                <w:sz w:val="20"/>
                <w:szCs w:val="20"/>
              </w:rPr>
            </w:pPr>
            <w:r w:rsidRPr="00DF7832">
              <w:rPr>
                <w:rFonts w:eastAsia="Times New Roman" w:cstheme="minorHAnsi"/>
                <w:sz w:val="20"/>
                <w:szCs w:val="20"/>
              </w:rPr>
              <w:t>3.325</w:t>
            </w:r>
          </w:p>
        </w:tc>
        <w:tc>
          <w:tcPr>
            <w:tcW w:w="1962" w:type="dxa"/>
            <w:tcBorders>
              <w:top w:val="nil"/>
              <w:left w:val="nil"/>
              <w:bottom w:val="nil"/>
              <w:right w:val="nil"/>
            </w:tcBorders>
            <w:shd w:val="clear" w:color="000000" w:fill="FFFFFF"/>
            <w:noWrap/>
            <w:vAlign w:val="center"/>
            <w:hideMark/>
          </w:tcPr>
          <w:p w:rsidR="00572015" w:rsidRPr="00DF7832" w:rsidRDefault="00572015" w:rsidP="00DF7832">
            <w:pPr>
              <w:spacing w:after="0" w:line="240" w:lineRule="auto"/>
              <w:jc w:val="center"/>
              <w:rPr>
                <w:rFonts w:eastAsia="Times New Roman" w:cstheme="minorHAnsi"/>
                <w:sz w:val="20"/>
                <w:szCs w:val="20"/>
              </w:rPr>
            </w:pPr>
            <w:r w:rsidRPr="00DF7832">
              <w:rPr>
                <w:rFonts w:eastAsia="Times New Roman" w:cstheme="minorHAnsi"/>
                <w:sz w:val="20"/>
                <w:szCs w:val="20"/>
              </w:rPr>
              <w:t>3</w:t>
            </w:r>
          </w:p>
        </w:tc>
        <w:tc>
          <w:tcPr>
            <w:tcW w:w="1541" w:type="dxa"/>
            <w:tcBorders>
              <w:top w:val="nil"/>
              <w:left w:val="nil"/>
              <w:bottom w:val="nil"/>
              <w:right w:val="nil"/>
            </w:tcBorders>
            <w:shd w:val="clear" w:color="000000" w:fill="FFFFFF"/>
            <w:noWrap/>
            <w:vAlign w:val="center"/>
            <w:hideMark/>
          </w:tcPr>
          <w:p w:rsidR="00572015" w:rsidRPr="00DF7832" w:rsidRDefault="00572015" w:rsidP="00DF7832">
            <w:pPr>
              <w:spacing w:after="0" w:line="240" w:lineRule="auto"/>
              <w:jc w:val="center"/>
              <w:rPr>
                <w:rFonts w:eastAsia="Times New Roman" w:cstheme="minorHAnsi"/>
                <w:sz w:val="20"/>
                <w:szCs w:val="20"/>
              </w:rPr>
            </w:pPr>
            <w:r w:rsidRPr="00DF7832">
              <w:rPr>
                <w:rFonts w:eastAsia="Times New Roman" w:cstheme="minorHAnsi"/>
                <w:sz w:val="20"/>
                <w:szCs w:val="20"/>
              </w:rPr>
              <w:t>64.6</w:t>
            </w:r>
          </w:p>
        </w:tc>
        <w:tc>
          <w:tcPr>
            <w:tcW w:w="1822" w:type="dxa"/>
            <w:tcBorders>
              <w:top w:val="nil"/>
              <w:left w:val="nil"/>
              <w:bottom w:val="nil"/>
              <w:right w:val="nil"/>
            </w:tcBorders>
            <w:shd w:val="clear" w:color="000000" w:fill="FFFFFF"/>
            <w:noWrap/>
            <w:vAlign w:val="bottom"/>
            <w:hideMark/>
          </w:tcPr>
          <w:p w:rsidR="00572015" w:rsidRPr="00DF7832" w:rsidRDefault="00572015" w:rsidP="00F04CF2">
            <w:pPr>
              <w:spacing w:after="0" w:line="240" w:lineRule="auto"/>
              <w:jc w:val="center"/>
              <w:rPr>
                <w:rFonts w:eastAsia="Times New Roman" w:cstheme="minorHAnsi"/>
                <w:sz w:val="20"/>
                <w:szCs w:val="20"/>
              </w:rPr>
            </w:pPr>
            <w:r w:rsidRPr="00DF7832">
              <w:rPr>
                <w:rFonts w:eastAsia="Times New Roman" w:cstheme="minorHAnsi"/>
                <w:sz w:val="20"/>
                <w:szCs w:val="20"/>
              </w:rPr>
              <w:t>Citrus Flavor</w:t>
            </w:r>
          </w:p>
        </w:tc>
      </w:tr>
      <w:tr w:rsidR="00572015" w:rsidRPr="00DF7832" w:rsidTr="00572015">
        <w:trPr>
          <w:trHeight w:val="282"/>
        </w:trPr>
        <w:tc>
          <w:tcPr>
            <w:tcW w:w="1014" w:type="dxa"/>
            <w:tcBorders>
              <w:top w:val="nil"/>
              <w:left w:val="nil"/>
              <w:bottom w:val="nil"/>
              <w:right w:val="nil"/>
            </w:tcBorders>
            <w:shd w:val="clear" w:color="000000" w:fill="FFFFFF"/>
            <w:noWrap/>
            <w:vAlign w:val="center"/>
            <w:hideMark/>
          </w:tcPr>
          <w:p w:rsidR="00572015" w:rsidRPr="00DF7832" w:rsidRDefault="00572015" w:rsidP="00DF7832">
            <w:pPr>
              <w:spacing w:after="0" w:line="240" w:lineRule="auto"/>
              <w:jc w:val="center"/>
              <w:rPr>
                <w:rFonts w:eastAsia="Times New Roman" w:cstheme="minorHAnsi"/>
                <w:sz w:val="20"/>
                <w:szCs w:val="20"/>
              </w:rPr>
            </w:pPr>
            <w:r w:rsidRPr="00DF7832">
              <w:rPr>
                <w:rFonts w:eastAsia="Times New Roman" w:cstheme="minorHAnsi"/>
                <w:sz w:val="20"/>
                <w:szCs w:val="20"/>
              </w:rPr>
              <w:t>19</w:t>
            </w:r>
          </w:p>
        </w:tc>
        <w:tc>
          <w:tcPr>
            <w:tcW w:w="3049" w:type="dxa"/>
            <w:tcBorders>
              <w:top w:val="nil"/>
              <w:left w:val="nil"/>
              <w:bottom w:val="nil"/>
              <w:right w:val="nil"/>
            </w:tcBorders>
            <w:shd w:val="clear" w:color="000000" w:fill="FFFFFF"/>
            <w:noWrap/>
            <w:vAlign w:val="center"/>
            <w:hideMark/>
          </w:tcPr>
          <w:p w:rsidR="00572015" w:rsidRPr="00DF7832" w:rsidRDefault="00572015" w:rsidP="00DF7832">
            <w:pPr>
              <w:spacing w:after="0" w:line="240" w:lineRule="auto"/>
              <w:jc w:val="center"/>
              <w:rPr>
                <w:rFonts w:eastAsia="Times New Roman" w:cstheme="minorHAnsi"/>
                <w:sz w:val="20"/>
                <w:szCs w:val="20"/>
              </w:rPr>
            </w:pPr>
            <w:r w:rsidRPr="00DF7832">
              <w:rPr>
                <w:rFonts w:eastAsia="Times New Roman" w:cstheme="minorHAnsi"/>
                <w:sz w:val="20"/>
                <w:szCs w:val="20"/>
              </w:rPr>
              <w:t>Benzyl alcohol</w:t>
            </w:r>
            <w:r>
              <w:rPr>
                <w:rFonts w:eastAsia="Times New Roman" w:cstheme="minorHAnsi"/>
                <w:sz w:val="20"/>
                <w:szCs w:val="20"/>
              </w:rPr>
              <w:t>*</w:t>
            </w:r>
          </w:p>
        </w:tc>
        <w:tc>
          <w:tcPr>
            <w:tcW w:w="222" w:type="dxa"/>
            <w:tcBorders>
              <w:top w:val="nil"/>
              <w:left w:val="nil"/>
              <w:bottom w:val="nil"/>
              <w:right w:val="nil"/>
            </w:tcBorders>
            <w:shd w:val="clear" w:color="000000" w:fill="FFFFFF"/>
          </w:tcPr>
          <w:p w:rsidR="00572015" w:rsidRPr="00DF7832" w:rsidRDefault="00572015" w:rsidP="00DF7832">
            <w:pPr>
              <w:spacing w:after="0" w:line="240" w:lineRule="auto"/>
              <w:jc w:val="center"/>
              <w:rPr>
                <w:rFonts w:eastAsia="Times New Roman" w:cstheme="minorHAnsi"/>
                <w:sz w:val="20"/>
                <w:szCs w:val="20"/>
              </w:rPr>
            </w:pPr>
          </w:p>
        </w:tc>
        <w:tc>
          <w:tcPr>
            <w:tcW w:w="982" w:type="dxa"/>
            <w:tcBorders>
              <w:top w:val="nil"/>
              <w:left w:val="nil"/>
              <w:bottom w:val="nil"/>
              <w:right w:val="nil"/>
            </w:tcBorders>
            <w:shd w:val="clear" w:color="000000" w:fill="FFFFFF"/>
            <w:noWrap/>
            <w:vAlign w:val="center"/>
            <w:hideMark/>
          </w:tcPr>
          <w:p w:rsidR="00572015" w:rsidRPr="00DF7832" w:rsidRDefault="00572015" w:rsidP="00DF7832">
            <w:pPr>
              <w:spacing w:after="0" w:line="240" w:lineRule="auto"/>
              <w:jc w:val="center"/>
              <w:rPr>
                <w:rFonts w:eastAsia="Times New Roman" w:cstheme="minorHAnsi"/>
                <w:sz w:val="20"/>
                <w:szCs w:val="20"/>
              </w:rPr>
            </w:pPr>
            <w:r w:rsidRPr="00DF7832">
              <w:rPr>
                <w:rFonts w:eastAsia="Times New Roman" w:cstheme="minorHAnsi"/>
                <w:sz w:val="20"/>
                <w:szCs w:val="20"/>
              </w:rPr>
              <w:t>108.14</w:t>
            </w:r>
          </w:p>
        </w:tc>
        <w:tc>
          <w:tcPr>
            <w:tcW w:w="1122" w:type="dxa"/>
            <w:tcBorders>
              <w:top w:val="nil"/>
              <w:left w:val="nil"/>
              <w:bottom w:val="nil"/>
              <w:right w:val="nil"/>
            </w:tcBorders>
            <w:shd w:val="clear" w:color="000000" w:fill="FFFFFF"/>
            <w:noWrap/>
            <w:vAlign w:val="center"/>
            <w:hideMark/>
          </w:tcPr>
          <w:p w:rsidR="00572015" w:rsidRPr="00DF7832" w:rsidRDefault="00572015" w:rsidP="00DF7832">
            <w:pPr>
              <w:spacing w:after="0" w:line="240" w:lineRule="auto"/>
              <w:jc w:val="center"/>
              <w:rPr>
                <w:rFonts w:eastAsia="Times New Roman" w:cstheme="minorHAnsi"/>
                <w:sz w:val="20"/>
                <w:szCs w:val="20"/>
              </w:rPr>
            </w:pPr>
            <w:r w:rsidRPr="00DF7832">
              <w:rPr>
                <w:rFonts w:eastAsia="Times New Roman" w:cstheme="minorHAnsi"/>
                <w:sz w:val="20"/>
                <w:szCs w:val="20"/>
              </w:rPr>
              <w:t>205</w:t>
            </w:r>
          </w:p>
        </w:tc>
        <w:tc>
          <w:tcPr>
            <w:tcW w:w="1122" w:type="dxa"/>
            <w:tcBorders>
              <w:top w:val="nil"/>
              <w:left w:val="nil"/>
              <w:bottom w:val="nil"/>
              <w:right w:val="nil"/>
            </w:tcBorders>
            <w:shd w:val="clear" w:color="000000" w:fill="FFFFFF"/>
            <w:noWrap/>
            <w:vAlign w:val="center"/>
            <w:hideMark/>
          </w:tcPr>
          <w:p w:rsidR="00572015" w:rsidRPr="00DF7832" w:rsidRDefault="00572015" w:rsidP="00DF7832">
            <w:pPr>
              <w:spacing w:after="0" w:line="240" w:lineRule="auto"/>
              <w:jc w:val="center"/>
              <w:rPr>
                <w:rFonts w:eastAsia="Times New Roman" w:cstheme="minorHAnsi"/>
                <w:sz w:val="20"/>
                <w:szCs w:val="20"/>
              </w:rPr>
            </w:pPr>
            <w:r w:rsidRPr="00DF7832">
              <w:rPr>
                <w:rFonts w:eastAsia="Times New Roman" w:cstheme="minorHAnsi"/>
                <w:sz w:val="20"/>
                <w:szCs w:val="20"/>
              </w:rPr>
              <w:t>C</w:t>
            </w:r>
            <w:r w:rsidRPr="00DF7832">
              <w:rPr>
                <w:rFonts w:eastAsia="Times New Roman" w:cstheme="minorHAnsi"/>
                <w:sz w:val="20"/>
                <w:szCs w:val="20"/>
                <w:vertAlign w:val="subscript"/>
              </w:rPr>
              <w:t>7</w:t>
            </w:r>
            <w:r w:rsidRPr="00DF7832">
              <w:rPr>
                <w:rFonts w:eastAsia="Times New Roman" w:cstheme="minorHAnsi"/>
                <w:sz w:val="20"/>
                <w:szCs w:val="20"/>
              </w:rPr>
              <w:t>H</w:t>
            </w:r>
            <w:r w:rsidRPr="00DF7832">
              <w:rPr>
                <w:rFonts w:eastAsia="Times New Roman" w:cstheme="minorHAnsi"/>
                <w:sz w:val="20"/>
                <w:szCs w:val="20"/>
                <w:vertAlign w:val="subscript"/>
              </w:rPr>
              <w:t>8</w:t>
            </w:r>
            <w:r w:rsidRPr="00DF7832">
              <w:rPr>
                <w:rFonts w:eastAsia="Times New Roman" w:cstheme="minorHAnsi"/>
                <w:sz w:val="20"/>
                <w:szCs w:val="20"/>
              </w:rPr>
              <w:t>O</w:t>
            </w:r>
          </w:p>
        </w:tc>
        <w:tc>
          <w:tcPr>
            <w:tcW w:w="1122" w:type="dxa"/>
            <w:tcBorders>
              <w:top w:val="nil"/>
              <w:left w:val="nil"/>
              <w:bottom w:val="nil"/>
              <w:right w:val="nil"/>
            </w:tcBorders>
            <w:shd w:val="clear" w:color="000000" w:fill="FFFFFF"/>
            <w:noWrap/>
            <w:vAlign w:val="center"/>
            <w:hideMark/>
          </w:tcPr>
          <w:p w:rsidR="00572015" w:rsidRPr="00DF7832" w:rsidRDefault="00572015" w:rsidP="00DF7832">
            <w:pPr>
              <w:spacing w:after="0" w:line="240" w:lineRule="auto"/>
              <w:jc w:val="center"/>
              <w:rPr>
                <w:rFonts w:eastAsia="Times New Roman" w:cstheme="minorHAnsi"/>
                <w:sz w:val="20"/>
                <w:szCs w:val="20"/>
              </w:rPr>
            </w:pPr>
            <w:r w:rsidRPr="00DF7832">
              <w:rPr>
                <w:rFonts w:eastAsia="Times New Roman" w:cstheme="minorHAnsi"/>
                <w:sz w:val="20"/>
                <w:szCs w:val="20"/>
              </w:rPr>
              <w:t>3.379</w:t>
            </w:r>
          </w:p>
        </w:tc>
        <w:tc>
          <w:tcPr>
            <w:tcW w:w="1962" w:type="dxa"/>
            <w:tcBorders>
              <w:top w:val="nil"/>
              <w:left w:val="nil"/>
              <w:bottom w:val="nil"/>
              <w:right w:val="nil"/>
            </w:tcBorders>
            <w:shd w:val="clear" w:color="000000" w:fill="FFFFFF"/>
            <w:noWrap/>
            <w:vAlign w:val="center"/>
            <w:hideMark/>
          </w:tcPr>
          <w:p w:rsidR="00572015" w:rsidRPr="00DF7832" w:rsidRDefault="00572015" w:rsidP="00DF7832">
            <w:pPr>
              <w:spacing w:after="0" w:line="240" w:lineRule="auto"/>
              <w:jc w:val="center"/>
              <w:rPr>
                <w:rFonts w:eastAsia="Times New Roman" w:cstheme="minorHAnsi"/>
                <w:sz w:val="20"/>
                <w:szCs w:val="20"/>
              </w:rPr>
            </w:pPr>
            <w:r w:rsidRPr="00DF7832">
              <w:rPr>
                <w:rFonts w:eastAsia="Times New Roman" w:cstheme="minorHAnsi"/>
                <w:sz w:val="20"/>
                <w:szCs w:val="20"/>
              </w:rPr>
              <w:t>6</w:t>
            </w:r>
          </w:p>
        </w:tc>
        <w:tc>
          <w:tcPr>
            <w:tcW w:w="1541" w:type="dxa"/>
            <w:tcBorders>
              <w:top w:val="nil"/>
              <w:left w:val="nil"/>
              <w:bottom w:val="nil"/>
              <w:right w:val="nil"/>
            </w:tcBorders>
            <w:shd w:val="clear" w:color="000000" w:fill="FFFFFF"/>
            <w:noWrap/>
            <w:vAlign w:val="center"/>
            <w:hideMark/>
          </w:tcPr>
          <w:p w:rsidR="00572015" w:rsidRPr="00DF7832" w:rsidRDefault="00572015" w:rsidP="00DF7832">
            <w:pPr>
              <w:spacing w:after="0" w:line="240" w:lineRule="auto"/>
              <w:jc w:val="center"/>
              <w:rPr>
                <w:rFonts w:eastAsia="Times New Roman" w:cstheme="minorHAnsi"/>
                <w:sz w:val="20"/>
                <w:szCs w:val="20"/>
              </w:rPr>
            </w:pPr>
            <w:r w:rsidRPr="00DF7832">
              <w:rPr>
                <w:rFonts w:eastAsia="Times New Roman" w:cstheme="minorHAnsi"/>
                <w:sz w:val="20"/>
                <w:szCs w:val="20"/>
              </w:rPr>
              <w:t>36.7</w:t>
            </w:r>
          </w:p>
        </w:tc>
        <w:tc>
          <w:tcPr>
            <w:tcW w:w="1822" w:type="dxa"/>
            <w:tcBorders>
              <w:top w:val="nil"/>
              <w:left w:val="nil"/>
              <w:bottom w:val="nil"/>
              <w:right w:val="nil"/>
            </w:tcBorders>
            <w:shd w:val="clear" w:color="000000" w:fill="FFFFFF"/>
            <w:noWrap/>
            <w:vAlign w:val="bottom"/>
            <w:hideMark/>
          </w:tcPr>
          <w:p w:rsidR="00572015" w:rsidRPr="00DF7832" w:rsidRDefault="00572015" w:rsidP="00F04CF2">
            <w:pPr>
              <w:spacing w:after="0" w:line="240" w:lineRule="auto"/>
              <w:jc w:val="center"/>
              <w:rPr>
                <w:rFonts w:eastAsia="Times New Roman" w:cstheme="minorHAnsi"/>
                <w:sz w:val="20"/>
                <w:szCs w:val="20"/>
              </w:rPr>
            </w:pPr>
            <w:r w:rsidRPr="00DF7832">
              <w:rPr>
                <w:rFonts w:eastAsia="Times New Roman" w:cstheme="minorHAnsi"/>
                <w:sz w:val="20"/>
                <w:szCs w:val="20"/>
              </w:rPr>
              <w:t>Fruity Flavor</w:t>
            </w:r>
          </w:p>
        </w:tc>
      </w:tr>
      <w:tr w:rsidR="00572015" w:rsidRPr="00DF7832" w:rsidTr="000C3181">
        <w:trPr>
          <w:trHeight w:val="282"/>
        </w:trPr>
        <w:tc>
          <w:tcPr>
            <w:tcW w:w="1014" w:type="dxa"/>
            <w:tcBorders>
              <w:top w:val="nil"/>
              <w:left w:val="nil"/>
              <w:bottom w:val="nil"/>
              <w:right w:val="nil"/>
            </w:tcBorders>
            <w:shd w:val="clear" w:color="auto" w:fill="F2F2F2" w:themeFill="background1" w:themeFillShade="F2"/>
            <w:noWrap/>
            <w:vAlign w:val="center"/>
            <w:hideMark/>
          </w:tcPr>
          <w:p w:rsidR="00572015" w:rsidRPr="00DF7832" w:rsidRDefault="00572015" w:rsidP="00DF7832">
            <w:pPr>
              <w:spacing w:after="0" w:line="240" w:lineRule="auto"/>
              <w:jc w:val="center"/>
              <w:rPr>
                <w:rFonts w:eastAsia="Times New Roman" w:cstheme="minorHAnsi"/>
                <w:sz w:val="20"/>
                <w:szCs w:val="20"/>
              </w:rPr>
            </w:pPr>
            <w:r w:rsidRPr="00DF7832">
              <w:rPr>
                <w:rFonts w:eastAsia="Times New Roman" w:cstheme="minorHAnsi"/>
                <w:sz w:val="20"/>
                <w:szCs w:val="20"/>
              </w:rPr>
              <w:t>20</w:t>
            </w:r>
          </w:p>
        </w:tc>
        <w:tc>
          <w:tcPr>
            <w:tcW w:w="3049" w:type="dxa"/>
            <w:tcBorders>
              <w:top w:val="nil"/>
              <w:left w:val="nil"/>
              <w:bottom w:val="nil"/>
              <w:right w:val="nil"/>
            </w:tcBorders>
            <w:shd w:val="clear" w:color="auto" w:fill="F2F2F2" w:themeFill="background1" w:themeFillShade="F2"/>
            <w:noWrap/>
            <w:vAlign w:val="center"/>
            <w:hideMark/>
          </w:tcPr>
          <w:p w:rsidR="00572015" w:rsidRPr="00DF7832" w:rsidRDefault="00572015" w:rsidP="00DF7832">
            <w:pPr>
              <w:spacing w:after="0" w:line="240" w:lineRule="auto"/>
              <w:jc w:val="center"/>
              <w:rPr>
                <w:rFonts w:eastAsia="Times New Roman" w:cstheme="minorHAnsi"/>
                <w:sz w:val="20"/>
                <w:szCs w:val="20"/>
              </w:rPr>
            </w:pPr>
            <w:r w:rsidRPr="00DF7832">
              <w:rPr>
                <w:rFonts w:eastAsia="Times New Roman" w:cstheme="minorHAnsi"/>
                <w:sz w:val="20"/>
                <w:szCs w:val="20"/>
              </w:rPr>
              <w:t>Menthol</w:t>
            </w:r>
            <w:r>
              <w:rPr>
                <w:rFonts w:eastAsia="Times New Roman" w:cstheme="minorHAnsi"/>
                <w:sz w:val="20"/>
                <w:szCs w:val="20"/>
              </w:rPr>
              <w:t>*</w:t>
            </w:r>
          </w:p>
        </w:tc>
        <w:tc>
          <w:tcPr>
            <w:tcW w:w="222" w:type="dxa"/>
            <w:tcBorders>
              <w:top w:val="nil"/>
              <w:left w:val="nil"/>
              <w:bottom w:val="nil"/>
              <w:right w:val="nil"/>
            </w:tcBorders>
            <w:shd w:val="clear" w:color="auto" w:fill="F2F2F2" w:themeFill="background1" w:themeFillShade="F2"/>
          </w:tcPr>
          <w:p w:rsidR="00572015" w:rsidRPr="00DF7832" w:rsidRDefault="00572015" w:rsidP="00DF7832">
            <w:pPr>
              <w:spacing w:after="0" w:line="240" w:lineRule="auto"/>
              <w:jc w:val="center"/>
              <w:rPr>
                <w:rFonts w:eastAsia="Times New Roman" w:cstheme="minorHAnsi"/>
                <w:sz w:val="20"/>
                <w:szCs w:val="20"/>
              </w:rPr>
            </w:pPr>
          </w:p>
        </w:tc>
        <w:tc>
          <w:tcPr>
            <w:tcW w:w="982" w:type="dxa"/>
            <w:tcBorders>
              <w:top w:val="nil"/>
              <w:left w:val="nil"/>
              <w:bottom w:val="nil"/>
              <w:right w:val="nil"/>
            </w:tcBorders>
            <w:shd w:val="clear" w:color="auto" w:fill="F2F2F2" w:themeFill="background1" w:themeFillShade="F2"/>
            <w:noWrap/>
            <w:vAlign w:val="bottom"/>
            <w:hideMark/>
          </w:tcPr>
          <w:p w:rsidR="00572015" w:rsidRPr="00DF7832" w:rsidRDefault="00572015" w:rsidP="00DF7832">
            <w:pPr>
              <w:spacing w:after="0" w:line="240" w:lineRule="auto"/>
              <w:jc w:val="center"/>
              <w:rPr>
                <w:rFonts w:eastAsia="Times New Roman" w:cstheme="minorHAnsi"/>
                <w:sz w:val="20"/>
                <w:szCs w:val="20"/>
              </w:rPr>
            </w:pPr>
            <w:r w:rsidRPr="00DF7832">
              <w:rPr>
                <w:rFonts w:eastAsia="Times New Roman" w:cstheme="minorHAnsi"/>
                <w:sz w:val="20"/>
                <w:szCs w:val="20"/>
              </w:rPr>
              <w:t>156.27</w:t>
            </w:r>
          </w:p>
        </w:tc>
        <w:tc>
          <w:tcPr>
            <w:tcW w:w="1122" w:type="dxa"/>
            <w:tcBorders>
              <w:top w:val="nil"/>
              <w:left w:val="nil"/>
              <w:bottom w:val="nil"/>
              <w:right w:val="nil"/>
            </w:tcBorders>
            <w:shd w:val="clear" w:color="auto" w:fill="F2F2F2" w:themeFill="background1" w:themeFillShade="F2"/>
            <w:noWrap/>
            <w:vAlign w:val="center"/>
            <w:hideMark/>
          </w:tcPr>
          <w:p w:rsidR="00572015" w:rsidRPr="00DF7832" w:rsidRDefault="00572015" w:rsidP="00DF7832">
            <w:pPr>
              <w:spacing w:after="0" w:line="240" w:lineRule="auto"/>
              <w:jc w:val="center"/>
              <w:rPr>
                <w:rFonts w:eastAsia="Times New Roman" w:cstheme="minorHAnsi"/>
                <w:sz w:val="20"/>
                <w:szCs w:val="20"/>
              </w:rPr>
            </w:pPr>
            <w:r w:rsidRPr="00DF7832">
              <w:rPr>
                <w:rFonts w:eastAsia="Times New Roman" w:cstheme="minorHAnsi"/>
                <w:sz w:val="20"/>
                <w:szCs w:val="20"/>
              </w:rPr>
              <w:t>215</w:t>
            </w:r>
          </w:p>
        </w:tc>
        <w:tc>
          <w:tcPr>
            <w:tcW w:w="1122" w:type="dxa"/>
            <w:tcBorders>
              <w:top w:val="nil"/>
              <w:left w:val="nil"/>
              <w:bottom w:val="nil"/>
              <w:right w:val="nil"/>
            </w:tcBorders>
            <w:shd w:val="clear" w:color="auto" w:fill="F2F2F2" w:themeFill="background1" w:themeFillShade="F2"/>
            <w:noWrap/>
            <w:vAlign w:val="center"/>
            <w:hideMark/>
          </w:tcPr>
          <w:p w:rsidR="00572015" w:rsidRPr="00DF7832" w:rsidRDefault="00572015" w:rsidP="00DF7832">
            <w:pPr>
              <w:spacing w:after="0" w:line="240" w:lineRule="auto"/>
              <w:jc w:val="center"/>
              <w:rPr>
                <w:rFonts w:eastAsia="Times New Roman" w:cstheme="minorHAnsi"/>
                <w:sz w:val="20"/>
                <w:szCs w:val="20"/>
              </w:rPr>
            </w:pPr>
            <w:r w:rsidRPr="00DF7832">
              <w:rPr>
                <w:rFonts w:eastAsia="Times New Roman" w:cstheme="minorHAnsi"/>
                <w:sz w:val="20"/>
                <w:szCs w:val="20"/>
              </w:rPr>
              <w:t>C</w:t>
            </w:r>
            <w:r w:rsidRPr="00DF7832">
              <w:rPr>
                <w:rFonts w:eastAsia="Times New Roman" w:cstheme="minorHAnsi"/>
                <w:sz w:val="20"/>
                <w:szCs w:val="20"/>
                <w:vertAlign w:val="subscript"/>
              </w:rPr>
              <w:t>10</w:t>
            </w:r>
            <w:r w:rsidRPr="00DF7832">
              <w:rPr>
                <w:rFonts w:eastAsia="Times New Roman" w:cstheme="minorHAnsi"/>
                <w:sz w:val="20"/>
                <w:szCs w:val="20"/>
              </w:rPr>
              <w:t>H</w:t>
            </w:r>
            <w:r w:rsidRPr="00DF7832">
              <w:rPr>
                <w:rFonts w:eastAsia="Times New Roman" w:cstheme="minorHAnsi"/>
                <w:sz w:val="20"/>
                <w:szCs w:val="20"/>
                <w:vertAlign w:val="subscript"/>
              </w:rPr>
              <w:t>20</w:t>
            </w:r>
            <w:r w:rsidRPr="00DF7832">
              <w:rPr>
                <w:rFonts w:eastAsia="Times New Roman" w:cstheme="minorHAnsi"/>
                <w:sz w:val="20"/>
                <w:szCs w:val="20"/>
              </w:rPr>
              <w:t>O</w:t>
            </w:r>
          </w:p>
        </w:tc>
        <w:tc>
          <w:tcPr>
            <w:tcW w:w="1122" w:type="dxa"/>
            <w:tcBorders>
              <w:top w:val="nil"/>
              <w:left w:val="nil"/>
              <w:bottom w:val="nil"/>
              <w:right w:val="nil"/>
            </w:tcBorders>
            <w:shd w:val="clear" w:color="auto" w:fill="F2F2F2" w:themeFill="background1" w:themeFillShade="F2"/>
            <w:noWrap/>
            <w:vAlign w:val="center"/>
            <w:hideMark/>
          </w:tcPr>
          <w:p w:rsidR="00572015" w:rsidRPr="00DF7832" w:rsidRDefault="00572015" w:rsidP="00DF7832">
            <w:pPr>
              <w:spacing w:after="0" w:line="240" w:lineRule="auto"/>
              <w:jc w:val="center"/>
              <w:rPr>
                <w:rFonts w:eastAsia="Times New Roman" w:cstheme="minorHAnsi"/>
                <w:sz w:val="20"/>
                <w:szCs w:val="20"/>
              </w:rPr>
            </w:pPr>
            <w:r w:rsidRPr="00DF7832">
              <w:rPr>
                <w:rFonts w:eastAsia="Times New Roman" w:cstheme="minorHAnsi"/>
                <w:sz w:val="20"/>
                <w:szCs w:val="20"/>
              </w:rPr>
              <w:t>3.767</w:t>
            </w:r>
          </w:p>
        </w:tc>
        <w:tc>
          <w:tcPr>
            <w:tcW w:w="1962" w:type="dxa"/>
            <w:tcBorders>
              <w:top w:val="nil"/>
              <w:left w:val="nil"/>
              <w:bottom w:val="nil"/>
              <w:right w:val="nil"/>
            </w:tcBorders>
            <w:shd w:val="clear" w:color="auto" w:fill="F2F2F2" w:themeFill="background1" w:themeFillShade="F2"/>
            <w:noWrap/>
            <w:vAlign w:val="center"/>
            <w:hideMark/>
          </w:tcPr>
          <w:p w:rsidR="00572015" w:rsidRPr="00DF7832" w:rsidRDefault="00572015" w:rsidP="00DF7832">
            <w:pPr>
              <w:spacing w:after="0" w:line="240" w:lineRule="auto"/>
              <w:jc w:val="center"/>
              <w:rPr>
                <w:rFonts w:eastAsia="Times New Roman" w:cstheme="minorHAnsi"/>
                <w:sz w:val="20"/>
                <w:szCs w:val="20"/>
              </w:rPr>
            </w:pPr>
            <w:r w:rsidRPr="00DF7832">
              <w:rPr>
                <w:rFonts w:eastAsia="Times New Roman" w:cstheme="minorHAnsi"/>
                <w:sz w:val="20"/>
                <w:szCs w:val="20"/>
              </w:rPr>
              <w:t>2</w:t>
            </w:r>
          </w:p>
        </w:tc>
        <w:tc>
          <w:tcPr>
            <w:tcW w:w="1541" w:type="dxa"/>
            <w:tcBorders>
              <w:top w:val="nil"/>
              <w:left w:val="nil"/>
              <w:bottom w:val="nil"/>
              <w:right w:val="nil"/>
            </w:tcBorders>
            <w:shd w:val="clear" w:color="auto" w:fill="F2F2F2" w:themeFill="background1" w:themeFillShade="F2"/>
            <w:noWrap/>
            <w:vAlign w:val="center"/>
            <w:hideMark/>
          </w:tcPr>
          <w:p w:rsidR="00572015" w:rsidRPr="00DF7832" w:rsidRDefault="00572015" w:rsidP="00DF7832">
            <w:pPr>
              <w:spacing w:after="0" w:line="240" w:lineRule="auto"/>
              <w:jc w:val="center"/>
              <w:rPr>
                <w:rFonts w:eastAsia="Times New Roman" w:cstheme="minorHAnsi"/>
                <w:sz w:val="20"/>
                <w:szCs w:val="20"/>
              </w:rPr>
            </w:pPr>
            <w:r w:rsidRPr="00DF7832">
              <w:rPr>
                <w:rFonts w:eastAsia="Times New Roman" w:cstheme="minorHAnsi"/>
                <w:sz w:val="20"/>
                <w:szCs w:val="20"/>
              </w:rPr>
              <w:t>16.7</w:t>
            </w:r>
          </w:p>
        </w:tc>
        <w:tc>
          <w:tcPr>
            <w:tcW w:w="1822" w:type="dxa"/>
            <w:tcBorders>
              <w:top w:val="nil"/>
              <w:left w:val="nil"/>
              <w:bottom w:val="nil"/>
              <w:right w:val="nil"/>
            </w:tcBorders>
            <w:shd w:val="clear" w:color="auto" w:fill="F2F2F2" w:themeFill="background1" w:themeFillShade="F2"/>
            <w:noWrap/>
            <w:vAlign w:val="bottom"/>
            <w:hideMark/>
          </w:tcPr>
          <w:p w:rsidR="00572015" w:rsidRPr="00DF7832" w:rsidRDefault="00572015" w:rsidP="00F04CF2">
            <w:pPr>
              <w:spacing w:after="0" w:line="240" w:lineRule="auto"/>
              <w:jc w:val="center"/>
              <w:rPr>
                <w:rFonts w:eastAsia="Times New Roman" w:cstheme="minorHAnsi"/>
                <w:sz w:val="20"/>
                <w:szCs w:val="20"/>
              </w:rPr>
            </w:pPr>
            <w:r w:rsidRPr="00DF7832">
              <w:rPr>
                <w:rFonts w:eastAsia="Times New Roman" w:cstheme="minorHAnsi"/>
                <w:sz w:val="20"/>
                <w:szCs w:val="20"/>
              </w:rPr>
              <w:t>Cooling Flavor</w:t>
            </w:r>
          </w:p>
        </w:tc>
      </w:tr>
      <w:tr w:rsidR="00572015" w:rsidRPr="00DF7832" w:rsidTr="00572015">
        <w:trPr>
          <w:trHeight w:val="282"/>
        </w:trPr>
        <w:tc>
          <w:tcPr>
            <w:tcW w:w="1014" w:type="dxa"/>
            <w:tcBorders>
              <w:top w:val="nil"/>
              <w:left w:val="nil"/>
              <w:bottom w:val="nil"/>
              <w:right w:val="nil"/>
            </w:tcBorders>
            <w:shd w:val="clear" w:color="000000" w:fill="FFFFFF"/>
            <w:noWrap/>
            <w:vAlign w:val="center"/>
            <w:hideMark/>
          </w:tcPr>
          <w:p w:rsidR="00572015" w:rsidRPr="00DF7832" w:rsidRDefault="00572015" w:rsidP="00DF7832">
            <w:pPr>
              <w:spacing w:after="0" w:line="240" w:lineRule="auto"/>
              <w:jc w:val="center"/>
              <w:rPr>
                <w:rFonts w:eastAsia="Times New Roman" w:cstheme="minorHAnsi"/>
                <w:sz w:val="20"/>
                <w:szCs w:val="20"/>
              </w:rPr>
            </w:pPr>
            <w:r w:rsidRPr="00DF7832">
              <w:rPr>
                <w:rFonts w:eastAsia="Times New Roman" w:cstheme="minorHAnsi"/>
                <w:sz w:val="20"/>
                <w:szCs w:val="20"/>
              </w:rPr>
              <w:t>21</w:t>
            </w:r>
          </w:p>
        </w:tc>
        <w:tc>
          <w:tcPr>
            <w:tcW w:w="3049" w:type="dxa"/>
            <w:tcBorders>
              <w:top w:val="nil"/>
              <w:left w:val="nil"/>
              <w:bottom w:val="nil"/>
              <w:right w:val="nil"/>
            </w:tcBorders>
            <w:shd w:val="clear" w:color="000000" w:fill="FFFFFF"/>
            <w:noWrap/>
            <w:vAlign w:val="center"/>
            <w:hideMark/>
          </w:tcPr>
          <w:p w:rsidR="00572015" w:rsidRPr="00DF7832" w:rsidRDefault="00572015" w:rsidP="00DF7832">
            <w:pPr>
              <w:spacing w:after="0" w:line="240" w:lineRule="auto"/>
              <w:jc w:val="center"/>
              <w:rPr>
                <w:rFonts w:eastAsia="Times New Roman" w:cstheme="minorHAnsi"/>
                <w:sz w:val="20"/>
                <w:szCs w:val="20"/>
              </w:rPr>
            </w:pPr>
            <w:r w:rsidRPr="00DF7832">
              <w:rPr>
                <w:rFonts w:eastAsia="Times New Roman" w:cstheme="minorHAnsi"/>
                <w:sz w:val="20"/>
                <w:szCs w:val="20"/>
              </w:rPr>
              <w:t>Alpha-Terpineol</w:t>
            </w:r>
            <w:r>
              <w:rPr>
                <w:rFonts w:eastAsia="Times New Roman" w:cstheme="minorHAnsi"/>
                <w:sz w:val="20"/>
                <w:szCs w:val="20"/>
              </w:rPr>
              <w:t>*</w:t>
            </w:r>
          </w:p>
        </w:tc>
        <w:tc>
          <w:tcPr>
            <w:tcW w:w="222" w:type="dxa"/>
            <w:tcBorders>
              <w:top w:val="nil"/>
              <w:left w:val="nil"/>
              <w:bottom w:val="nil"/>
              <w:right w:val="nil"/>
            </w:tcBorders>
            <w:shd w:val="clear" w:color="000000" w:fill="FFFFFF"/>
          </w:tcPr>
          <w:p w:rsidR="00572015" w:rsidRPr="00DF7832" w:rsidRDefault="00572015" w:rsidP="00DF7832">
            <w:pPr>
              <w:spacing w:after="0" w:line="240" w:lineRule="auto"/>
              <w:jc w:val="center"/>
              <w:rPr>
                <w:rFonts w:eastAsia="Times New Roman" w:cstheme="minorHAnsi"/>
                <w:sz w:val="20"/>
                <w:szCs w:val="20"/>
              </w:rPr>
            </w:pPr>
          </w:p>
        </w:tc>
        <w:tc>
          <w:tcPr>
            <w:tcW w:w="982" w:type="dxa"/>
            <w:tcBorders>
              <w:top w:val="nil"/>
              <w:left w:val="nil"/>
              <w:bottom w:val="nil"/>
              <w:right w:val="nil"/>
            </w:tcBorders>
            <w:shd w:val="clear" w:color="000000" w:fill="FFFFFF"/>
            <w:noWrap/>
            <w:vAlign w:val="center"/>
            <w:hideMark/>
          </w:tcPr>
          <w:p w:rsidR="00572015" w:rsidRPr="00DF7832" w:rsidRDefault="00572015" w:rsidP="00DF7832">
            <w:pPr>
              <w:spacing w:after="0" w:line="240" w:lineRule="auto"/>
              <w:jc w:val="center"/>
              <w:rPr>
                <w:rFonts w:eastAsia="Times New Roman" w:cstheme="minorHAnsi"/>
                <w:sz w:val="20"/>
                <w:szCs w:val="20"/>
              </w:rPr>
            </w:pPr>
            <w:r w:rsidRPr="00DF7832">
              <w:rPr>
                <w:rFonts w:eastAsia="Times New Roman" w:cstheme="minorHAnsi"/>
                <w:sz w:val="20"/>
                <w:szCs w:val="20"/>
              </w:rPr>
              <w:t>154.25</w:t>
            </w:r>
          </w:p>
        </w:tc>
        <w:tc>
          <w:tcPr>
            <w:tcW w:w="1122" w:type="dxa"/>
            <w:tcBorders>
              <w:top w:val="nil"/>
              <w:left w:val="nil"/>
              <w:bottom w:val="nil"/>
              <w:right w:val="nil"/>
            </w:tcBorders>
            <w:shd w:val="clear" w:color="000000" w:fill="FFFFFF"/>
            <w:noWrap/>
            <w:vAlign w:val="center"/>
            <w:hideMark/>
          </w:tcPr>
          <w:p w:rsidR="00572015" w:rsidRPr="00DF7832" w:rsidRDefault="00572015" w:rsidP="00DF7832">
            <w:pPr>
              <w:spacing w:after="0" w:line="240" w:lineRule="auto"/>
              <w:jc w:val="center"/>
              <w:rPr>
                <w:rFonts w:eastAsia="Times New Roman" w:cstheme="minorHAnsi"/>
                <w:sz w:val="20"/>
                <w:szCs w:val="20"/>
              </w:rPr>
            </w:pPr>
            <w:r w:rsidRPr="00DF7832">
              <w:rPr>
                <w:rFonts w:eastAsia="Times New Roman" w:cstheme="minorHAnsi"/>
                <w:sz w:val="20"/>
                <w:szCs w:val="20"/>
              </w:rPr>
              <w:t>221</w:t>
            </w:r>
          </w:p>
        </w:tc>
        <w:tc>
          <w:tcPr>
            <w:tcW w:w="1122" w:type="dxa"/>
            <w:tcBorders>
              <w:top w:val="nil"/>
              <w:left w:val="nil"/>
              <w:bottom w:val="nil"/>
              <w:right w:val="nil"/>
            </w:tcBorders>
            <w:shd w:val="clear" w:color="000000" w:fill="FFFFFF"/>
            <w:noWrap/>
            <w:vAlign w:val="center"/>
            <w:hideMark/>
          </w:tcPr>
          <w:p w:rsidR="00572015" w:rsidRPr="00DF7832" w:rsidRDefault="00572015" w:rsidP="00DF7832">
            <w:pPr>
              <w:spacing w:after="0" w:line="240" w:lineRule="auto"/>
              <w:jc w:val="center"/>
              <w:rPr>
                <w:rFonts w:eastAsia="Times New Roman" w:cstheme="minorHAnsi"/>
                <w:sz w:val="20"/>
                <w:szCs w:val="20"/>
              </w:rPr>
            </w:pPr>
            <w:r w:rsidRPr="00DF7832">
              <w:rPr>
                <w:rFonts w:eastAsia="Times New Roman" w:cstheme="minorHAnsi"/>
                <w:sz w:val="20"/>
                <w:szCs w:val="20"/>
              </w:rPr>
              <w:t>C</w:t>
            </w:r>
            <w:r w:rsidRPr="00DF7832">
              <w:rPr>
                <w:rFonts w:eastAsia="Times New Roman" w:cstheme="minorHAnsi"/>
                <w:sz w:val="20"/>
                <w:szCs w:val="20"/>
                <w:vertAlign w:val="subscript"/>
              </w:rPr>
              <w:t>10</w:t>
            </w:r>
            <w:r w:rsidRPr="00DF7832">
              <w:rPr>
                <w:rFonts w:eastAsia="Times New Roman" w:cstheme="minorHAnsi"/>
                <w:sz w:val="20"/>
                <w:szCs w:val="20"/>
              </w:rPr>
              <w:t>H</w:t>
            </w:r>
            <w:r w:rsidRPr="00DF7832">
              <w:rPr>
                <w:rFonts w:eastAsia="Times New Roman" w:cstheme="minorHAnsi"/>
                <w:sz w:val="20"/>
                <w:szCs w:val="20"/>
                <w:vertAlign w:val="subscript"/>
              </w:rPr>
              <w:t>18</w:t>
            </w:r>
            <w:r w:rsidRPr="00DF7832">
              <w:rPr>
                <w:rFonts w:eastAsia="Times New Roman" w:cstheme="minorHAnsi"/>
                <w:sz w:val="20"/>
                <w:szCs w:val="20"/>
              </w:rPr>
              <w:t>O</w:t>
            </w:r>
          </w:p>
        </w:tc>
        <w:tc>
          <w:tcPr>
            <w:tcW w:w="1122" w:type="dxa"/>
            <w:tcBorders>
              <w:top w:val="nil"/>
              <w:left w:val="nil"/>
              <w:bottom w:val="nil"/>
              <w:right w:val="nil"/>
            </w:tcBorders>
            <w:shd w:val="clear" w:color="000000" w:fill="FFFFFF"/>
            <w:noWrap/>
            <w:vAlign w:val="center"/>
            <w:hideMark/>
          </w:tcPr>
          <w:p w:rsidR="00572015" w:rsidRPr="00DF7832" w:rsidRDefault="00572015" w:rsidP="00DF7832">
            <w:pPr>
              <w:spacing w:after="0" w:line="240" w:lineRule="auto"/>
              <w:jc w:val="center"/>
              <w:rPr>
                <w:rFonts w:eastAsia="Times New Roman" w:cstheme="minorHAnsi"/>
                <w:sz w:val="20"/>
                <w:szCs w:val="20"/>
              </w:rPr>
            </w:pPr>
            <w:r w:rsidRPr="00DF7832">
              <w:rPr>
                <w:rFonts w:eastAsia="Times New Roman" w:cstheme="minorHAnsi"/>
                <w:sz w:val="20"/>
                <w:szCs w:val="20"/>
              </w:rPr>
              <w:t>3.916</w:t>
            </w:r>
          </w:p>
        </w:tc>
        <w:tc>
          <w:tcPr>
            <w:tcW w:w="1962" w:type="dxa"/>
            <w:tcBorders>
              <w:top w:val="nil"/>
              <w:left w:val="nil"/>
              <w:bottom w:val="nil"/>
              <w:right w:val="nil"/>
            </w:tcBorders>
            <w:shd w:val="clear" w:color="000000" w:fill="FFFFFF"/>
            <w:noWrap/>
            <w:vAlign w:val="center"/>
            <w:hideMark/>
          </w:tcPr>
          <w:p w:rsidR="00572015" w:rsidRPr="00DF7832" w:rsidRDefault="00572015" w:rsidP="00DF7832">
            <w:pPr>
              <w:spacing w:after="0" w:line="240" w:lineRule="auto"/>
              <w:jc w:val="center"/>
              <w:rPr>
                <w:rFonts w:eastAsia="Times New Roman" w:cstheme="minorHAnsi"/>
                <w:sz w:val="20"/>
                <w:szCs w:val="20"/>
              </w:rPr>
            </w:pPr>
            <w:r w:rsidRPr="00DF7832">
              <w:rPr>
                <w:rFonts w:eastAsia="Times New Roman" w:cstheme="minorHAnsi"/>
                <w:sz w:val="20"/>
                <w:szCs w:val="20"/>
              </w:rPr>
              <w:t>3, 6</w:t>
            </w:r>
          </w:p>
        </w:tc>
        <w:tc>
          <w:tcPr>
            <w:tcW w:w="1541" w:type="dxa"/>
            <w:tcBorders>
              <w:top w:val="nil"/>
              <w:left w:val="nil"/>
              <w:bottom w:val="nil"/>
              <w:right w:val="nil"/>
            </w:tcBorders>
            <w:shd w:val="clear" w:color="000000" w:fill="FFFFFF"/>
            <w:noWrap/>
            <w:vAlign w:val="center"/>
            <w:hideMark/>
          </w:tcPr>
          <w:p w:rsidR="00572015" w:rsidRPr="00DF7832" w:rsidRDefault="00572015" w:rsidP="00DF7832">
            <w:pPr>
              <w:spacing w:after="0" w:line="240" w:lineRule="auto"/>
              <w:jc w:val="center"/>
              <w:rPr>
                <w:rFonts w:eastAsia="Times New Roman" w:cstheme="minorHAnsi"/>
                <w:sz w:val="20"/>
                <w:szCs w:val="20"/>
              </w:rPr>
            </w:pPr>
            <w:r w:rsidRPr="00DF7832">
              <w:rPr>
                <w:rFonts w:eastAsia="Times New Roman" w:cstheme="minorHAnsi"/>
                <w:sz w:val="20"/>
                <w:szCs w:val="20"/>
              </w:rPr>
              <w:t>52.3</w:t>
            </w:r>
          </w:p>
        </w:tc>
        <w:tc>
          <w:tcPr>
            <w:tcW w:w="1822" w:type="dxa"/>
            <w:tcBorders>
              <w:top w:val="nil"/>
              <w:left w:val="nil"/>
              <w:bottom w:val="nil"/>
              <w:right w:val="nil"/>
            </w:tcBorders>
            <w:shd w:val="clear" w:color="000000" w:fill="FFFFFF"/>
            <w:noWrap/>
            <w:vAlign w:val="bottom"/>
            <w:hideMark/>
          </w:tcPr>
          <w:p w:rsidR="00572015" w:rsidRPr="00DF7832" w:rsidRDefault="00572015" w:rsidP="00F04CF2">
            <w:pPr>
              <w:spacing w:after="0" w:line="240" w:lineRule="auto"/>
              <w:jc w:val="center"/>
              <w:rPr>
                <w:rFonts w:eastAsia="Times New Roman" w:cstheme="minorHAnsi"/>
                <w:sz w:val="20"/>
                <w:szCs w:val="20"/>
              </w:rPr>
            </w:pPr>
            <w:r w:rsidRPr="00DF7832">
              <w:rPr>
                <w:rFonts w:eastAsia="Times New Roman" w:cstheme="minorHAnsi"/>
                <w:sz w:val="20"/>
                <w:szCs w:val="20"/>
              </w:rPr>
              <w:t>Citrus Flavor</w:t>
            </w:r>
          </w:p>
        </w:tc>
      </w:tr>
      <w:tr w:rsidR="00572015" w:rsidRPr="00DF7832" w:rsidTr="00572015">
        <w:trPr>
          <w:trHeight w:val="282"/>
        </w:trPr>
        <w:tc>
          <w:tcPr>
            <w:tcW w:w="1014" w:type="dxa"/>
            <w:tcBorders>
              <w:top w:val="nil"/>
              <w:left w:val="nil"/>
              <w:bottom w:val="nil"/>
              <w:right w:val="nil"/>
            </w:tcBorders>
            <w:shd w:val="clear" w:color="000000" w:fill="FFFFFF"/>
            <w:noWrap/>
            <w:vAlign w:val="center"/>
            <w:hideMark/>
          </w:tcPr>
          <w:p w:rsidR="00572015" w:rsidRPr="00DF7832" w:rsidRDefault="00572015" w:rsidP="00DF7832">
            <w:pPr>
              <w:spacing w:after="0" w:line="240" w:lineRule="auto"/>
              <w:jc w:val="center"/>
              <w:rPr>
                <w:rFonts w:eastAsia="Times New Roman" w:cstheme="minorHAnsi"/>
                <w:sz w:val="20"/>
                <w:szCs w:val="20"/>
              </w:rPr>
            </w:pPr>
            <w:r w:rsidRPr="00DF7832">
              <w:rPr>
                <w:rFonts w:eastAsia="Times New Roman" w:cstheme="minorHAnsi"/>
                <w:sz w:val="20"/>
                <w:szCs w:val="20"/>
              </w:rPr>
              <w:t>22</w:t>
            </w:r>
          </w:p>
        </w:tc>
        <w:tc>
          <w:tcPr>
            <w:tcW w:w="3049" w:type="dxa"/>
            <w:tcBorders>
              <w:top w:val="nil"/>
              <w:left w:val="nil"/>
              <w:bottom w:val="nil"/>
              <w:right w:val="nil"/>
            </w:tcBorders>
            <w:shd w:val="clear" w:color="000000" w:fill="FFFFFF"/>
            <w:noWrap/>
            <w:vAlign w:val="center"/>
            <w:hideMark/>
          </w:tcPr>
          <w:p w:rsidR="00572015" w:rsidRPr="00DF7832" w:rsidRDefault="00572015" w:rsidP="00DF7832">
            <w:pPr>
              <w:spacing w:after="0" w:line="240" w:lineRule="auto"/>
              <w:jc w:val="center"/>
              <w:rPr>
                <w:rFonts w:eastAsia="Times New Roman" w:cstheme="minorHAnsi"/>
                <w:sz w:val="20"/>
                <w:szCs w:val="20"/>
              </w:rPr>
            </w:pPr>
            <w:r w:rsidRPr="00DF7832">
              <w:rPr>
                <w:rFonts w:eastAsia="Times New Roman" w:cstheme="minorHAnsi"/>
                <w:sz w:val="20"/>
                <w:szCs w:val="20"/>
              </w:rPr>
              <w:t xml:space="preserve">Benzyl Propionate </w:t>
            </w:r>
          </w:p>
        </w:tc>
        <w:tc>
          <w:tcPr>
            <w:tcW w:w="222" w:type="dxa"/>
            <w:tcBorders>
              <w:top w:val="nil"/>
              <w:left w:val="nil"/>
              <w:bottom w:val="nil"/>
              <w:right w:val="nil"/>
            </w:tcBorders>
            <w:shd w:val="clear" w:color="000000" w:fill="FFFFFF"/>
          </w:tcPr>
          <w:p w:rsidR="00572015" w:rsidRPr="00DF7832" w:rsidRDefault="00572015" w:rsidP="00DF7832">
            <w:pPr>
              <w:spacing w:after="0" w:line="240" w:lineRule="auto"/>
              <w:jc w:val="center"/>
              <w:rPr>
                <w:rFonts w:eastAsia="Times New Roman" w:cstheme="minorHAnsi"/>
                <w:sz w:val="20"/>
                <w:szCs w:val="20"/>
              </w:rPr>
            </w:pPr>
          </w:p>
        </w:tc>
        <w:tc>
          <w:tcPr>
            <w:tcW w:w="982" w:type="dxa"/>
            <w:tcBorders>
              <w:top w:val="nil"/>
              <w:left w:val="nil"/>
              <w:bottom w:val="nil"/>
              <w:right w:val="nil"/>
            </w:tcBorders>
            <w:shd w:val="clear" w:color="000000" w:fill="FFFFFF"/>
            <w:noWrap/>
            <w:vAlign w:val="bottom"/>
            <w:hideMark/>
          </w:tcPr>
          <w:p w:rsidR="00572015" w:rsidRPr="00DF7832" w:rsidRDefault="00572015" w:rsidP="00DF7832">
            <w:pPr>
              <w:spacing w:after="0" w:line="240" w:lineRule="auto"/>
              <w:jc w:val="center"/>
              <w:rPr>
                <w:rFonts w:eastAsia="Times New Roman" w:cstheme="minorHAnsi"/>
                <w:sz w:val="20"/>
                <w:szCs w:val="20"/>
              </w:rPr>
            </w:pPr>
            <w:r w:rsidRPr="00DF7832">
              <w:rPr>
                <w:rFonts w:eastAsia="Times New Roman" w:cstheme="minorHAnsi"/>
                <w:sz w:val="20"/>
                <w:szCs w:val="20"/>
              </w:rPr>
              <w:t>164.20</w:t>
            </w:r>
          </w:p>
        </w:tc>
        <w:tc>
          <w:tcPr>
            <w:tcW w:w="1122" w:type="dxa"/>
            <w:tcBorders>
              <w:top w:val="nil"/>
              <w:left w:val="nil"/>
              <w:bottom w:val="nil"/>
              <w:right w:val="nil"/>
            </w:tcBorders>
            <w:shd w:val="clear" w:color="000000" w:fill="FFFFFF"/>
            <w:noWrap/>
            <w:vAlign w:val="center"/>
            <w:hideMark/>
          </w:tcPr>
          <w:p w:rsidR="00572015" w:rsidRPr="00DF7832" w:rsidRDefault="00572015" w:rsidP="00DF7832">
            <w:pPr>
              <w:spacing w:after="0" w:line="240" w:lineRule="auto"/>
              <w:jc w:val="center"/>
              <w:rPr>
                <w:rFonts w:eastAsia="Times New Roman" w:cstheme="minorHAnsi"/>
                <w:sz w:val="20"/>
                <w:szCs w:val="20"/>
              </w:rPr>
            </w:pPr>
            <w:r w:rsidRPr="00DF7832">
              <w:rPr>
                <w:rFonts w:eastAsia="Times New Roman" w:cstheme="minorHAnsi"/>
                <w:sz w:val="20"/>
                <w:szCs w:val="20"/>
              </w:rPr>
              <w:t>222</w:t>
            </w:r>
          </w:p>
        </w:tc>
        <w:tc>
          <w:tcPr>
            <w:tcW w:w="1122" w:type="dxa"/>
            <w:tcBorders>
              <w:top w:val="nil"/>
              <w:left w:val="nil"/>
              <w:bottom w:val="nil"/>
              <w:right w:val="nil"/>
            </w:tcBorders>
            <w:shd w:val="clear" w:color="000000" w:fill="FFFFFF"/>
            <w:noWrap/>
            <w:vAlign w:val="center"/>
            <w:hideMark/>
          </w:tcPr>
          <w:p w:rsidR="00572015" w:rsidRPr="00DF7832" w:rsidRDefault="00572015" w:rsidP="00DF7832">
            <w:pPr>
              <w:spacing w:after="0" w:line="240" w:lineRule="auto"/>
              <w:jc w:val="center"/>
              <w:rPr>
                <w:rFonts w:eastAsia="Times New Roman" w:cstheme="minorHAnsi"/>
                <w:sz w:val="20"/>
                <w:szCs w:val="20"/>
              </w:rPr>
            </w:pPr>
            <w:r w:rsidRPr="00DF7832">
              <w:rPr>
                <w:rFonts w:eastAsia="Times New Roman" w:cstheme="minorHAnsi"/>
                <w:sz w:val="20"/>
                <w:szCs w:val="20"/>
              </w:rPr>
              <w:t>C</w:t>
            </w:r>
            <w:r w:rsidRPr="00DF7832">
              <w:rPr>
                <w:rFonts w:eastAsia="Times New Roman" w:cstheme="minorHAnsi"/>
                <w:sz w:val="20"/>
                <w:szCs w:val="20"/>
                <w:vertAlign w:val="subscript"/>
              </w:rPr>
              <w:t>10</w:t>
            </w:r>
            <w:r w:rsidRPr="00DF7832">
              <w:rPr>
                <w:rFonts w:eastAsia="Times New Roman" w:cstheme="minorHAnsi"/>
                <w:sz w:val="20"/>
                <w:szCs w:val="20"/>
              </w:rPr>
              <w:t>H</w:t>
            </w:r>
            <w:r w:rsidRPr="00DF7832">
              <w:rPr>
                <w:rFonts w:eastAsia="Times New Roman" w:cstheme="minorHAnsi"/>
                <w:sz w:val="20"/>
                <w:szCs w:val="20"/>
                <w:vertAlign w:val="subscript"/>
              </w:rPr>
              <w:t>12</w:t>
            </w:r>
            <w:r w:rsidRPr="00DF7832">
              <w:rPr>
                <w:rFonts w:eastAsia="Times New Roman" w:cstheme="minorHAnsi"/>
                <w:sz w:val="20"/>
                <w:szCs w:val="20"/>
              </w:rPr>
              <w:t>O</w:t>
            </w:r>
            <w:r w:rsidRPr="00DF7832">
              <w:rPr>
                <w:rFonts w:eastAsia="Times New Roman" w:cstheme="minorHAnsi"/>
                <w:sz w:val="20"/>
                <w:szCs w:val="20"/>
                <w:vertAlign w:val="subscript"/>
              </w:rPr>
              <w:t>2</w:t>
            </w:r>
          </w:p>
        </w:tc>
        <w:tc>
          <w:tcPr>
            <w:tcW w:w="1122" w:type="dxa"/>
            <w:tcBorders>
              <w:top w:val="nil"/>
              <w:left w:val="nil"/>
              <w:bottom w:val="nil"/>
              <w:right w:val="nil"/>
            </w:tcBorders>
            <w:shd w:val="clear" w:color="000000" w:fill="FFFFFF"/>
            <w:noWrap/>
            <w:vAlign w:val="center"/>
            <w:hideMark/>
          </w:tcPr>
          <w:p w:rsidR="00572015" w:rsidRPr="00DF7832" w:rsidRDefault="00572015" w:rsidP="00DF7832">
            <w:pPr>
              <w:spacing w:after="0" w:line="240" w:lineRule="auto"/>
              <w:jc w:val="center"/>
              <w:rPr>
                <w:rFonts w:eastAsia="Times New Roman" w:cstheme="minorHAnsi"/>
                <w:sz w:val="20"/>
                <w:szCs w:val="20"/>
              </w:rPr>
            </w:pPr>
            <w:r w:rsidRPr="00DF7832">
              <w:rPr>
                <w:rFonts w:eastAsia="Times New Roman" w:cstheme="minorHAnsi"/>
                <w:sz w:val="20"/>
                <w:szCs w:val="20"/>
              </w:rPr>
              <w:t>4.321</w:t>
            </w:r>
          </w:p>
        </w:tc>
        <w:tc>
          <w:tcPr>
            <w:tcW w:w="1962" w:type="dxa"/>
            <w:tcBorders>
              <w:top w:val="nil"/>
              <w:left w:val="nil"/>
              <w:bottom w:val="nil"/>
              <w:right w:val="nil"/>
            </w:tcBorders>
            <w:shd w:val="clear" w:color="000000" w:fill="FFFFFF"/>
            <w:noWrap/>
            <w:vAlign w:val="center"/>
            <w:hideMark/>
          </w:tcPr>
          <w:p w:rsidR="00572015" w:rsidRPr="00DF7832" w:rsidRDefault="00572015" w:rsidP="00DF7832">
            <w:pPr>
              <w:spacing w:after="0" w:line="240" w:lineRule="auto"/>
              <w:jc w:val="center"/>
              <w:rPr>
                <w:rFonts w:eastAsia="Times New Roman" w:cstheme="minorHAnsi"/>
                <w:sz w:val="20"/>
                <w:szCs w:val="20"/>
              </w:rPr>
            </w:pPr>
            <w:r w:rsidRPr="00DF7832">
              <w:rPr>
                <w:rFonts w:eastAsia="Times New Roman" w:cstheme="minorHAnsi"/>
                <w:sz w:val="20"/>
                <w:szCs w:val="20"/>
              </w:rPr>
              <w:t>2</w:t>
            </w:r>
          </w:p>
        </w:tc>
        <w:tc>
          <w:tcPr>
            <w:tcW w:w="1541" w:type="dxa"/>
            <w:tcBorders>
              <w:top w:val="nil"/>
              <w:left w:val="nil"/>
              <w:bottom w:val="nil"/>
              <w:right w:val="nil"/>
            </w:tcBorders>
            <w:shd w:val="clear" w:color="000000" w:fill="FFFFFF"/>
            <w:noWrap/>
            <w:vAlign w:val="center"/>
            <w:hideMark/>
          </w:tcPr>
          <w:p w:rsidR="00572015" w:rsidRPr="00DF7832" w:rsidRDefault="00572015" w:rsidP="00DF7832">
            <w:pPr>
              <w:spacing w:after="0" w:line="240" w:lineRule="auto"/>
              <w:jc w:val="center"/>
              <w:rPr>
                <w:rFonts w:eastAsia="Times New Roman" w:cstheme="minorHAnsi"/>
                <w:sz w:val="20"/>
                <w:szCs w:val="20"/>
              </w:rPr>
            </w:pPr>
            <w:r w:rsidRPr="00DF7832">
              <w:rPr>
                <w:rFonts w:eastAsia="Times New Roman" w:cstheme="minorHAnsi"/>
                <w:sz w:val="20"/>
                <w:szCs w:val="20"/>
              </w:rPr>
              <w:t>90.1</w:t>
            </w:r>
          </w:p>
        </w:tc>
        <w:tc>
          <w:tcPr>
            <w:tcW w:w="1822" w:type="dxa"/>
            <w:tcBorders>
              <w:top w:val="nil"/>
              <w:left w:val="nil"/>
              <w:bottom w:val="nil"/>
              <w:right w:val="nil"/>
            </w:tcBorders>
            <w:shd w:val="clear" w:color="000000" w:fill="FFFFFF"/>
            <w:noWrap/>
            <w:vAlign w:val="bottom"/>
            <w:hideMark/>
          </w:tcPr>
          <w:p w:rsidR="00572015" w:rsidRPr="00DF7832" w:rsidRDefault="00572015" w:rsidP="00F04CF2">
            <w:pPr>
              <w:spacing w:after="0" w:line="240" w:lineRule="auto"/>
              <w:jc w:val="center"/>
              <w:rPr>
                <w:rFonts w:eastAsia="Times New Roman" w:cstheme="minorHAnsi"/>
                <w:sz w:val="20"/>
                <w:szCs w:val="20"/>
              </w:rPr>
            </w:pPr>
            <w:r w:rsidRPr="00DF7832">
              <w:rPr>
                <w:rFonts w:eastAsia="Times New Roman" w:cstheme="minorHAnsi"/>
                <w:sz w:val="20"/>
                <w:szCs w:val="20"/>
              </w:rPr>
              <w:t>Fruity Flavor</w:t>
            </w:r>
          </w:p>
        </w:tc>
      </w:tr>
      <w:tr w:rsidR="00572015" w:rsidRPr="00DF7832" w:rsidTr="00572015">
        <w:trPr>
          <w:trHeight w:val="282"/>
        </w:trPr>
        <w:tc>
          <w:tcPr>
            <w:tcW w:w="1014" w:type="dxa"/>
            <w:tcBorders>
              <w:top w:val="nil"/>
              <w:left w:val="nil"/>
              <w:bottom w:val="nil"/>
              <w:right w:val="nil"/>
            </w:tcBorders>
            <w:shd w:val="clear" w:color="000000" w:fill="FFFFFF"/>
            <w:noWrap/>
            <w:vAlign w:val="center"/>
            <w:hideMark/>
          </w:tcPr>
          <w:p w:rsidR="00572015" w:rsidRPr="00DF7832" w:rsidRDefault="00572015" w:rsidP="00DF7832">
            <w:pPr>
              <w:spacing w:after="0" w:line="240" w:lineRule="auto"/>
              <w:jc w:val="center"/>
              <w:rPr>
                <w:rFonts w:eastAsia="Times New Roman" w:cstheme="minorHAnsi"/>
                <w:sz w:val="20"/>
                <w:szCs w:val="20"/>
              </w:rPr>
            </w:pPr>
            <w:r w:rsidRPr="00DF7832">
              <w:rPr>
                <w:rFonts w:eastAsia="Times New Roman" w:cstheme="minorHAnsi"/>
                <w:sz w:val="20"/>
                <w:szCs w:val="20"/>
              </w:rPr>
              <w:t>23</w:t>
            </w:r>
          </w:p>
        </w:tc>
        <w:tc>
          <w:tcPr>
            <w:tcW w:w="3049" w:type="dxa"/>
            <w:tcBorders>
              <w:top w:val="nil"/>
              <w:left w:val="nil"/>
              <w:bottom w:val="nil"/>
              <w:right w:val="nil"/>
            </w:tcBorders>
            <w:shd w:val="clear" w:color="000000" w:fill="FFFFFF"/>
            <w:noWrap/>
            <w:vAlign w:val="center"/>
            <w:hideMark/>
          </w:tcPr>
          <w:p w:rsidR="00572015" w:rsidRPr="00DF7832" w:rsidRDefault="00572015" w:rsidP="00DF7832">
            <w:pPr>
              <w:spacing w:after="0" w:line="240" w:lineRule="auto"/>
              <w:jc w:val="center"/>
              <w:rPr>
                <w:rFonts w:eastAsia="Times New Roman" w:cstheme="minorHAnsi"/>
                <w:sz w:val="20"/>
                <w:szCs w:val="20"/>
              </w:rPr>
            </w:pPr>
            <w:r w:rsidRPr="00DF7832">
              <w:rPr>
                <w:rFonts w:eastAsia="Times New Roman" w:cstheme="minorHAnsi"/>
                <w:sz w:val="20"/>
                <w:szCs w:val="20"/>
              </w:rPr>
              <w:t>4-Methyl-2-phenyl-1,3-dioxolane</w:t>
            </w:r>
          </w:p>
        </w:tc>
        <w:tc>
          <w:tcPr>
            <w:tcW w:w="222" w:type="dxa"/>
            <w:tcBorders>
              <w:top w:val="nil"/>
              <w:left w:val="nil"/>
              <w:bottom w:val="nil"/>
              <w:right w:val="nil"/>
            </w:tcBorders>
            <w:shd w:val="clear" w:color="000000" w:fill="FFFFFF"/>
          </w:tcPr>
          <w:p w:rsidR="00572015" w:rsidRPr="00DF7832" w:rsidRDefault="00572015" w:rsidP="00DF7832">
            <w:pPr>
              <w:spacing w:after="0" w:line="240" w:lineRule="auto"/>
              <w:jc w:val="center"/>
              <w:rPr>
                <w:rFonts w:eastAsia="Times New Roman" w:cstheme="minorHAnsi"/>
                <w:sz w:val="20"/>
                <w:szCs w:val="20"/>
              </w:rPr>
            </w:pPr>
          </w:p>
        </w:tc>
        <w:tc>
          <w:tcPr>
            <w:tcW w:w="982" w:type="dxa"/>
            <w:tcBorders>
              <w:top w:val="nil"/>
              <w:left w:val="nil"/>
              <w:bottom w:val="nil"/>
              <w:right w:val="nil"/>
            </w:tcBorders>
            <w:shd w:val="clear" w:color="000000" w:fill="FFFFFF"/>
            <w:noWrap/>
            <w:vAlign w:val="center"/>
            <w:hideMark/>
          </w:tcPr>
          <w:p w:rsidR="00572015" w:rsidRPr="00DF7832" w:rsidRDefault="00572015" w:rsidP="00DF7832">
            <w:pPr>
              <w:spacing w:after="0" w:line="240" w:lineRule="auto"/>
              <w:jc w:val="center"/>
              <w:rPr>
                <w:rFonts w:eastAsia="Times New Roman" w:cstheme="minorHAnsi"/>
                <w:sz w:val="20"/>
                <w:szCs w:val="20"/>
              </w:rPr>
            </w:pPr>
            <w:r w:rsidRPr="00DF7832">
              <w:rPr>
                <w:rFonts w:eastAsia="Times New Roman" w:cstheme="minorHAnsi"/>
                <w:sz w:val="20"/>
                <w:szCs w:val="20"/>
              </w:rPr>
              <w:t>164.20</w:t>
            </w:r>
          </w:p>
        </w:tc>
        <w:tc>
          <w:tcPr>
            <w:tcW w:w="1122" w:type="dxa"/>
            <w:tcBorders>
              <w:top w:val="nil"/>
              <w:left w:val="nil"/>
              <w:bottom w:val="nil"/>
              <w:right w:val="nil"/>
            </w:tcBorders>
            <w:shd w:val="clear" w:color="000000" w:fill="FFFFFF"/>
            <w:noWrap/>
            <w:vAlign w:val="bottom"/>
            <w:hideMark/>
          </w:tcPr>
          <w:p w:rsidR="00572015" w:rsidRPr="00DF7832" w:rsidRDefault="00572015" w:rsidP="00DF7832">
            <w:pPr>
              <w:spacing w:after="0" w:line="240" w:lineRule="auto"/>
              <w:rPr>
                <w:rFonts w:eastAsia="Times New Roman" w:cstheme="minorHAnsi"/>
                <w:sz w:val="20"/>
                <w:szCs w:val="20"/>
              </w:rPr>
            </w:pPr>
            <w:r w:rsidRPr="00DF7832">
              <w:rPr>
                <w:rFonts w:eastAsia="Times New Roman" w:cstheme="minorHAnsi"/>
                <w:sz w:val="20"/>
                <w:szCs w:val="20"/>
              </w:rPr>
              <w:t> </w:t>
            </w:r>
          </w:p>
        </w:tc>
        <w:tc>
          <w:tcPr>
            <w:tcW w:w="1122" w:type="dxa"/>
            <w:tcBorders>
              <w:top w:val="nil"/>
              <w:left w:val="nil"/>
              <w:bottom w:val="nil"/>
              <w:right w:val="nil"/>
            </w:tcBorders>
            <w:shd w:val="clear" w:color="000000" w:fill="FFFFFF"/>
            <w:noWrap/>
            <w:vAlign w:val="center"/>
            <w:hideMark/>
          </w:tcPr>
          <w:p w:rsidR="00572015" w:rsidRPr="00DF7832" w:rsidRDefault="00572015" w:rsidP="00DF7832">
            <w:pPr>
              <w:spacing w:after="0" w:line="240" w:lineRule="auto"/>
              <w:jc w:val="center"/>
              <w:rPr>
                <w:rFonts w:eastAsia="Times New Roman" w:cstheme="minorHAnsi"/>
                <w:sz w:val="20"/>
                <w:szCs w:val="20"/>
              </w:rPr>
            </w:pPr>
            <w:r w:rsidRPr="00DF7832">
              <w:rPr>
                <w:rFonts w:eastAsia="Times New Roman" w:cstheme="minorHAnsi"/>
                <w:sz w:val="20"/>
                <w:szCs w:val="20"/>
              </w:rPr>
              <w:t>C</w:t>
            </w:r>
            <w:r w:rsidRPr="00DF7832">
              <w:rPr>
                <w:rFonts w:eastAsia="Times New Roman" w:cstheme="minorHAnsi"/>
                <w:sz w:val="20"/>
                <w:szCs w:val="20"/>
                <w:vertAlign w:val="subscript"/>
              </w:rPr>
              <w:t>10</w:t>
            </w:r>
            <w:r w:rsidRPr="00DF7832">
              <w:rPr>
                <w:rFonts w:eastAsia="Times New Roman" w:cstheme="minorHAnsi"/>
                <w:sz w:val="20"/>
                <w:szCs w:val="20"/>
              </w:rPr>
              <w:t>H</w:t>
            </w:r>
            <w:r w:rsidRPr="00DF7832">
              <w:rPr>
                <w:rFonts w:eastAsia="Times New Roman" w:cstheme="minorHAnsi"/>
                <w:sz w:val="20"/>
                <w:szCs w:val="20"/>
                <w:vertAlign w:val="subscript"/>
              </w:rPr>
              <w:t>12</w:t>
            </w:r>
            <w:r w:rsidRPr="00DF7832">
              <w:rPr>
                <w:rFonts w:eastAsia="Times New Roman" w:cstheme="minorHAnsi"/>
                <w:sz w:val="20"/>
                <w:szCs w:val="20"/>
              </w:rPr>
              <w:t>O</w:t>
            </w:r>
            <w:r w:rsidRPr="00DF7832">
              <w:rPr>
                <w:rFonts w:eastAsia="Times New Roman" w:cstheme="minorHAnsi"/>
                <w:sz w:val="20"/>
                <w:szCs w:val="20"/>
                <w:vertAlign w:val="subscript"/>
              </w:rPr>
              <w:t>2</w:t>
            </w:r>
          </w:p>
        </w:tc>
        <w:tc>
          <w:tcPr>
            <w:tcW w:w="1122" w:type="dxa"/>
            <w:tcBorders>
              <w:top w:val="nil"/>
              <w:left w:val="nil"/>
              <w:bottom w:val="nil"/>
              <w:right w:val="nil"/>
            </w:tcBorders>
            <w:shd w:val="clear" w:color="000000" w:fill="FFFFFF"/>
            <w:noWrap/>
            <w:vAlign w:val="center"/>
            <w:hideMark/>
          </w:tcPr>
          <w:p w:rsidR="00572015" w:rsidRPr="00DF7832" w:rsidRDefault="00572015" w:rsidP="00DF7832">
            <w:pPr>
              <w:spacing w:after="0" w:line="240" w:lineRule="auto"/>
              <w:jc w:val="center"/>
              <w:rPr>
                <w:rFonts w:eastAsia="Times New Roman" w:cstheme="minorHAnsi"/>
                <w:sz w:val="20"/>
                <w:szCs w:val="20"/>
              </w:rPr>
            </w:pPr>
            <w:r w:rsidRPr="00DF7832">
              <w:rPr>
                <w:rFonts w:eastAsia="Times New Roman" w:cstheme="minorHAnsi"/>
                <w:sz w:val="20"/>
                <w:szCs w:val="20"/>
              </w:rPr>
              <w:t>4.435</w:t>
            </w:r>
          </w:p>
        </w:tc>
        <w:tc>
          <w:tcPr>
            <w:tcW w:w="1962" w:type="dxa"/>
            <w:tcBorders>
              <w:top w:val="nil"/>
              <w:left w:val="nil"/>
              <w:bottom w:val="nil"/>
              <w:right w:val="nil"/>
            </w:tcBorders>
            <w:shd w:val="clear" w:color="000000" w:fill="FFFFFF"/>
            <w:noWrap/>
            <w:vAlign w:val="center"/>
            <w:hideMark/>
          </w:tcPr>
          <w:p w:rsidR="00572015" w:rsidRPr="00DF7832" w:rsidRDefault="00572015" w:rsidP="00DF7832">
            <w:pPr>
              <w:spacing w:after="0" w:line="240" w:lineRule="auto"/>
              <w:jc w:val="center"/>
              <w:rPr>
                <w:rFonts w:eastAsia="Times New Roman" w:cstheme="minorHAnsi"/>
                <w:sz w:val="20"/>
                <w:szCs w:val="20"/>
              </w:rPr>
            </w:pPr>
            <w:r w:rsidRPr="00DF7832">
              <w:rPr>
                <w:rFonts w:eastAsia="Times New Roman" w:cstheme="minorHAnsi"/>
                <w:sz w:val="20"/>
                <w:szCs w:val="20"/>
              </w:rPr>
              <w:t>3</w:t>
            </w:r>
          </w:p>
        </w:tc>
        <w:tc>
          <w:tcPr>
            <w:tcW w:w="1541" w:type="dxa"/>
            <w:tcBorders>
              <w:top w:val="nil"/>
              <w:left w:val="nil"/>
              <w:bottom w:val="nil"/>
              <w:right w:val="nil"/>
            </w:tcBorders>
            <w:shd w:val="clear" w:color="000000" w:fill="FFFFFF"/>
            <w:noWrap/>
            <w:vAlign w:val="center"/>
            <w:hideMark/>
          </w:tcPr>
          <w:p w:rsidR="00572015" w:rsidRPr="00DF7832" w:rsidRDefault="00572015" w:rsidP="00DF7832">
            <w:pPr>
              <w:spacing w:after="0" w:line="240" w:lineRule="auto"/>
              <w:jc w:val="center"/>
              <w:rPr>
                <w:rFonts w:eastAsia="Times New Roman" w:cstheme="minorHAnsi"/>
                <w:sz w:val="20"/>
                <w:szCs w:val="20"/>
              </w:rPr>
            </w:pPr>
            <w:r w:rsidRPr="00DF7832">
              <w:rPr>
                <w:rFonts w:eastAsia="Times New Roman" w:cstheme="minorHAnsi"/>
                <w:sz w:val="20"/>
                <w:szCs w:val="20"/>
              </w:rPr>
              <w:t>51.7</w:t>
            </w:r>
          </w:p>
        </w:tc>
        <w:tc>
          <w:tcPr>
            <w:tcW w:w="1822" w:type="dxa"/>
            <w:tcBorders>
              <w:top w:val="nil"/>
              <w:left w:val="nil"/>
              <w:bottom w:val="nil"/>
              <w:right w:val="nil"/>
            </w:tcBorders>
            <w:shd w:val="clear" w:color="000000" w:fill="FFFFFF"/>
            <w:noWrap/>
            <w:vAlign w:val="bottom"/>
            <w:hideMark/>
          </w:tcPr>
          <w:p w:rsidR="00572015" w:rsidRPr="00DF7832" w:rsidRDefault="00572015" w:rsidP="00F04CF2">
            <w:pPr>
              <w:spacing w:after="0" w:line="240" w:lineRule="auto"/>
              <w:jc w:val="center"/>
              <w:rPr>
                <w:rFonts w:eastAsia="Times New Roman" w:cstheme="minorHAnsi"/>
                <w:sz w:val="20"/>
                <w:szCs w:val="20"/>
              </w:rPr>
            </w:pPr>
            <w:r w:rsidRPr="00DF7832">
              <w:rPr>
                <w:rFonts w:eastAsia="Times New Roman" w:cstheme="minorHAnsi"/>
                <w:sz w:val="20"/>
                <w:szCs w:val="20"/>
              </w:rPr>
              <w:t>Fruity Flavor</w:t>
            </w:r>
          </w:p>
        </w:tc>
      </w:tr>
      <w:tr w:rsidR="00572015" w:rsidRPr="00DF7832" w:rsidTr="00572015">
        <w:trPr>
          <w:trHeight w:val="282"/>
        </w:trPr>
        <w:tc>
          <w:tcPr>
            <w:tcW w:w="1014" w:type="dxa"/>
            <w:tcBorders>
              <w:top w:val="nil"/>
              <w:left w:val="nil"/>
              <w:bottom w:val="single" w:sz="4" w:space="0" w:color="auto"/>
              <w:right w:val="nil"/>
            </w:tcBorders>
            <w:shd w:val="clear" w:color="000000" w:fill="FFFFFF"/>
            <w:noWrap/>
            <w:vAlign w:val="center"/>
            <w:hideMark/>
          </w:tcPr>
          <w:p w:rsidR="00572015" w:rsidRPr="00DF7832" w:rsidRDefault="00572015" w:rsidP="00DF7832">
            <w:pPr>
              <w:spacing w:after="0" w:line="240" w:lineRule="auto"/>
              <w:jc w:val="center"/>
              <w:rPr>
                <w:rFonts w:eastAsia="Times New Roman" w:cstheme="minorHAnsi"/>
                <w:sz w:val="20"/>
                <w:szCs w:val="20"/>
              </w:rPr>
            </w:pPr>
            <w:r w:rsidRPr="00DF7832">
              <w:rPr>
                <w:rFonts w:eastAsia="Times New Roman" w:cstheme="minorHAnsi"/>
                <w:sz w:val="20"/>
                <w:szCs w:val="20"/>
              </w:rPr>
              <w:t>24</w:t>
            </w:r>
          </w:p>
        </w:tc>
        <w:tc>
          <w:tcPr>
            <w:tcW w:w="3049" w:type="dxa"/>
            <w:tcBorders>
              <w:top w:val="nil"/>
              <w:left w:val="nil"/>
              <w:bottom w:val="single" w:sz="4" w:space="0" w:color="auto"/>
              <w:right w:val="nil"/>
            </w:tcBorders>
            <w:shd w:val="clear" w:color="000000" w:fill="FFFFFF"/>
            <w:noWrap/>
            <w:vAlign w:val="center"/>
            <w:hideMark/>
          </w:tcPr>
          <w:p w:rsidR="00572015" w:rsidRPr="00DF7832" w:rsidRDefault="00572015" w:rsidP="00DF7832">
            <w:pPr>
              <w:spacing w:after="0" w:line="240" w:lineRule="auto"/>
              <w:jc w:val="center"/>
              <w:rPr>
                <w:rFonts w:eastAsia="Times New Roman" w:cstheme="minorHAnsi"/>
                <w:sz w:val="20"/>
                <w:szCs w:val="20"/>
              </w:rPr>
            </w:pPr>
            <w:r w:rsidRPr="00DF7832">
              <w:rPr>
                <w:rFonts w:eastAsia="Times New Roman" w:cstheme="minorHAnsi"/>
                <w:sz w:val="20"/>
                <w:szCs w:val="20"/>
              </w:rPr>
              <w:t>Nicotine</w:t>
            </w:r>
          </w:p>
        </w:tc>
        <w:tc>
          <w:tcPr>
            <w:tcW w:w="222" w:type="dxa"/>
            <w:tcBorders>
              <w:top w:val="nil"/>
              <w:left w:val="nil"/>
              <w:bottom w:val="single" w:sz="4" w:space="0" w:color="auto"/>
              <w:right w:val="nil"/>
            </w:tcBorders>
            <w:shd w:val="clear" w:color="000000" w:fill="FFFFFF"/>
          </w:tcPr>
          <w:p w:rsidR="00572015" w:rsidRPr="00DF7832" w:rsidRDefault="00572015" w:rsidP="00DF7832">
            <w:pPr>
              <w:spacing w:after="0" w:line="240" w:lineRule="auto"/>
              <w:jc w:val="center"/>
              <w:rPr>
                <w:rFonts w:eastAsia="Times New Roman" w:cstheme="minorHAnsi"/>
                <w:sz w:val="20"/>
                <w:szCs w:val="20"/>
              </w:rPr>
            </w:pPr>
          </w:p>
        </w:tc>
        <w:tc>
          <w:tcPr>
            <w:tcW w:w="982" w:type="dxa"/>
            <w:tcBorders>
              <w:top w:val="nil"/>
              <w:left w:val="nil"/>
              <w:bottom w:val="single" w:sz="4" w:space="0" w:color="auto"/>
              <w:right w:val="nil"/>
            </w:tcBorders>
            <w:shd w:val="clear" w:color="000000" w:fill="FFFFFF"/>
            <w:noWrap/>
            <w:vAlign w:val="center"/>
            <w:hideMark/>
          </w:tcPr>
          <w:p w:rsidR="00572015" w:rsidRPr="00DF7832" w:rsidRDefault="00572015" w:rsidP="00DF7832">
            <w:pPr>
              <w:spacing w:after="0" w:line="240" w:lineRule="auto"/>
              <w:jc w:val="center"/>
              <w:rPr>
                <w:rFonts w:eastAsia="Times New Roman" w:cstheme="minorHAnsi"/>
                <w:sz w:val="20"/>
                <w:szCs w:val="20"/>
              </w:rPr>
            </w:pPr>
            <w:r w:rsidRPr="00DF7832">
              <w:rPr>
                <w:rFonts w:eastAsia="Times New Roman" w:cstheme="minorHAnsi"/>
                <w:sz w:val="20"/>
                <w:szCs w:val="20"/>
              </w:rPr>
              <w:t>162.24</w:t>
            </w:r>
          </w:p>
        </w:tc>
        <w:tc>
          <w:tcPr>
            <w:tcW w:w="1122" w:type="dxa"/>
            <w:tcBorders>
              <w:top w:val="nil"/>
              <w:left w:val="nil"/>
              <w:bottom w:val="single" w:sz="4" w:space="0" w:color="auto"/>
              <w:right w:val="nil"/>
            </w:tcBorders>
            <w:shd w:val="clear" w:color="000000" w:fill="FFFFFF"/>
            <w:noWrap/>
            <w:vAlign w:val="center"/>
            <w:hideMark/>
          </w:tcPr>
          <w:p w:rsidR="00572015" w:rsidRPr="00DF7832" w:rsidRDefault="00572015" w:rsidP="00DF7832">
            <w:pPr>
              <w:spacing w:after="0" w:line="240" w:lineRule="auto"/>
              <w:jc w:val="center"/>
              <w:rPr>
                <w:rFonts w:eastAsia="Times New Roman" w:cstheme="minorHAnsi"/>
                <w:sz w:val="20"/>
                <w:szCs w:val="20"/>
              </w:rPr>
            </w:pPr>
            <w:r w:rsidRPr="00DF7832">
              <w:rPr>
                <w:rFonts w:eastAsia="Times New Roman" w:cstheme="minorHAnsi"/>
                <w:sz w:val="20"/>
                <w:szCs w:val="20"/>
              </w:rPr>
              <w:t>247</w:t>
            </w:r>
          </w:p>
        </w:tc>
        <w:tc>
          <w:tcPr>
            <w:tcW w:w="1122" w:type="dxa"/>
            <w:tcBorders>
              <w:top w:val="nil"/>
              <w:left w:val="nil"/>
              <w:bottom w:val="single" w:sz="4" w:space="0" w:color="auto"/>
              <w:right w:val="nil"/>
            </w:tcBorders>
            <w:shd w:val="clear" w:color="000000" w:fill="FFFFFF"/>
            <w:noWrap/>
            <w:vAlign w:val="center"/>
            <w:hideMark/>
          </w:tcPr>
          <w:p w:rsidR="00572015" w:rsidRPr="00DF7832" w:rsidRDefault="00572015" w:rsidP="00DF7832">
            <w:pPr>
              <w:spacing w:after="0" w:line="240" w:lineRule="auto"/>
              <w:jc w:val="center"/>
              <w:rPr>
                <w:rFonts w:eastAsia="Times New Roman" w:cstheme="minorHAnsi"/>
                <w:sz w:val="20"/>
                <w:szCs w:val="20"/>
              </w:rPr>
            </w:pPr>
            <w:r w:rsidRPr="00DF7832">
              <w:rPr>
                <w:rFonts w:eastAsia="Times New Roman" w:cstheme="minorHAnsi"/>
                <w:sz w:val="20"/>
                <w:szCs w:val="20"/>
              </w:rPr>
              <w:t>C</w:t>
            </w:r>
            <w:r w:rsidRPr="00DF7832">
              <w:rPr>
                <w:rFonts w:eastAsia="Times New Roman" w:cstheme="minorHAnsi"/>
                <w:sz w:val="20"/>
                <w:szCs w:val="20"/>
                <w:vertAlign w:val="subscript"/>
              </w:rPr>
              <w:t>10</w:t>
            </w:r>
            <w:r w:rsidRPr="00DF7832">
              <w:rPr>
                <w:rFonts w:eastAsia="Times New Roman" w:cstheme="minorHAnsi"/>
                <w:sz w:val="20"/>
                <w:szCs w:val="20"/>
              </w:rPr>
              <w:t>H</w:t>
            </w:r>
            <w:r w:rsidRPr="00DF7832">
              <w:rPr>
                <w:rFonts w:eastAsia="Times New Roman" w:cstheme="minorHAnsi"/>
                <w:sz w:val="20"/>
                <w:szCs w:val="20"/>
                <w:vertAlign w:val="subscript"/>
              </w:rPr>
              <w:t>14</w:t>
            </w:r>
            <w:r w:rsidRPr="00DF7832">
              <w:rPr>
                <w:rFonts w:eastAsia="Times New Roman" w:cstheme="minorHAnsi"/>
                <w:sz w:val="20"/>
                <w:szCs w:val="20"/>
              </w:rPr>
              <w:t>N</w:t>
            </w:r>
            <w:r w:rsidRPr="00DF7832">
              <w:rPr>
                <w:rFonts w:eastAsia="Times New Roman" w:cstheme="minorHAnsi"/>
                <w:sz w:val="20"/>
                <w:szCs w:val="20"/>
                <w:vertAlign w:val="subscript"/>
              </w:rPr>
              <w:t>2</w:t>
            </w:r>
          </w:p>
        </w:tc>
        <w:tc>
          <w:tcPr>
            <w:tcW w:w="1122" w:type="dxa"/>
            <w:tcBorders>
              <w:top w:val="nil"/>
              <w:left w:val="nil"/>
              <w:bottom w:val="single" w:sz="4" w:space="0" w:color="auto"/>
              <w:right w:val="nil"/>
            </w:tcBorders>
            <w:shd w:val="clear" w:color="000000" w:fill="FFFFFF"/>
            <w:noWrap/>
            <w:vAlign w:val="center"/>
            <w:hideMark/>
          </w:tcPr>
          <w:p w:rsidR="00572015" w:rsidRPr="00DF7832" w:rsidRDefault="00572015" w:rsidP="00DF7832">
            <w:pPr>
              <w:spacing w:after="0" w:line="240" w:lineRule="auto"/>
              <w:jc w:val="center"/>
              <w:rPr>
                <w:rFonts w:eastAsia="Times New Roman" w:cstheme="minorHAnsi"/>
                <w:sz w:val="20"/>
                <w:szCs w:val="20"/>
              </w:rPr>
            </w:pPr>
            <w:r w:rsidRPr="00DF7832">
              <w:rPr>
                <w:rFonts w:eastAsia="Times New Roman" w:cstheme="minorHAnsi"/>
                <w:sz w:val="20"/>
                <w:szCs w:val="20"/>
              </w:rPr>
              <w:t>4.75</w:t>
            </w:r>
          </w:p>
        </w:tc>
        <w:tc>
          <w:tcPr>
            <w:tcW w:w="1962" w:type="dxa"/>
            <w:tcBorders>
              <w:top w:val="nil"/>
              <w:left w:val="nil"/>
              <w:bottom w:val="single" w:sz="4" w:space="0" w:color="auto"/>
              <w:right w:val="nil"/>
            </w:tcBorders>
            <w:shd w:val="clear" w:color="000000" w:fill="FFFFFF"/>
            <w:noWrap/>
            <w:vAlign w:val="center"/>
            <w:hideMark/>
          </w:tcPr>
          <w:p w:rsidR="00572015" w:rsidRPr="00DF7832" w:rsidRDefault="00572015" w:rsidP="00DF7832">
            <w:pPr>
              <w:spacing w:after="0" w:line="240" w:lineRule="auto"/>
              <w:jc w:val="center"/>
              <w:rPr>
                <w:rFonts w:eastAsia="Times New Roman" w:cstheme="minorHAnsi"/>
                <w:sz w:val="20"/>
                <w:szCs w:val="20"/>
              </w:rPr>
            </w:pPr>
            <w:r w:rsidRPr="00DF7832">
              <w:rPr>
                <w:rFonts w:eastAsia="Times New Roman" w:cstheme="minorHAnsi"/>
                <w:sz w:val="20"/>
                <w:szCs w:val="20"/>
              </w:rPr>
              <w:t>3, 4, 5</w:t>
            </w:r>
          </w:p>
        </w:tc>
        <w:tc>
          <w:tcPr>
            <w:tcW w:w="1541" w:type="dxa"/>
            <w:tcBorders>
              <w:top w:val="nil"/>
              <w:left w:val="nil"/>
              <w:bottom w:val="single" w:sz="4" w:space="0" w:color="auto"/>
              <w:right w:val="nil"/>
            </w:tcBorders>
            <w:shd w:val="clear" w:color="000000" w:fill="FFFFFF"/>
            <w:noWrap/>
            <w:vAlign w:val="center"/>
            <w:hideMark/>
          </w:tcPr>
          <w:p w:rsidR="00572015" w:rsidRPr="00DF7832" w:rsidRDefault="00572015" w:rsidP="00DF7832">
            <w:pPr>
              <w:spacing w:after="0" w:line="240" w:lineRule="auto"/>
              <w:jc w:val="center"/>
              <w:rPr>
                <w:rFonts w:eastAsia="Times New Roman" w:cstheme="minorHAnsi"/>
                <w:sz w:val="20"/>
                <w:szCs w:val="20"/>
              </w:rPr>
            </w:pPr>
            <w:r w:rsidRPr="00DF7832">
              <w:rPr>
                <w:rFonts w:eastAsia="Times New Roman" w:cstheme="minorHAnsi"/>
                <w:sz w:val="20"/>
                <w:szCs w:val="20"/>
              </w:rPr>
              <w:t>74.3</w:t>
            </w:r>
          </w:p>
        </w:tc>
        <w:tc>
          <w:tcPr>
            <w:tcW w:w="1822" w:type="dxa"/>
            <w:tcBorders>
              <w:top w:val="nil"/>
              <w:left w:val="nil"/>
              <w:bottom w:val="single" w:sz="4" w:space="0" w:color="auto"/>
              <w:right w:val="nil"/>
            </w:tcBorders>
            <w:shd w:val="clear" w:color="000000" w:fill="FFFFFF"/>
            <w:noWrap/>
            <w:vAlign w:val="bottom"/>
            <w:hideMark/>
          </w:tcPr>
          <w:p w:rsidR="00572015" w:rsidRPr="00DF7832" w:rsidRDefault="00572015" w:rsidP="00DF7832">
            <w:pPr>
              <w:spacing w:after="0" w:line="240" w:lineRule="auto"/>
              <w:rPr>
                <w:rFonts w:eastAsia="Times New Roman" w:cstheme="minorHAnsi"/>
                <w:sz w:val="20"/>
                <w:szCs w:val="20"/>
              </w:rPr>
            </w:pPr>
            <w:r w:rsidRPr="00DF7832">
              <w:rPr>
                <w:rFonts w:eastAsia="Times New Roman" w:cstheme="minorHAnsi"/>
                <w:sz w:val="20"/>
                <w:szCs w:val="20"/>
              </w:rPr>
              <w:t> </w:t>
            </w:r>
          </w:p>
        </w:tc>
      </w:tr>
    </w:tbl>
    <w:p w:rsidR="00B91B55" w:rsidRDefault="00B91B55">
      <w:pPr>
        <w:sectPr w:rsidR="00B91B55" w:rsidSect="002E44B5">
          <w:footerReference w:type="first" r:id="rId20"/>
          <w:pgSz w:w="16838" w:h="11906" w:orient="landscape" w:code="9"/>
          <w:pgMar w:top="1440" w:right="1440" w:bottom="1440" w:left="1440" w:header="720" w:footer="720" w:gutter="0"/>
          <w:cols w:space="720"/>
          <w:titlePg/>
          <w:docGrid w:linePitch="360"/>
        </w:sectPr>
      </w:pPr>
    </w:p>
    <w:p w:rsidR="0089375F" w:rsidRDefault="0089375F" w:rsidP="0089375F">
      <w:pPr>
        <w:pStyle w:val="Heading2"/>
      </w:pPr>
      <w:bookmarkStart w:id="43" w:name="_Toc515617212"/>
      <w:bookmarkEnd w:id="39"/>
      <w:r>
        <w:lastRenderedPageBreak/>
        <w:t>CBD product analysis results</w:t>
      </w:r>
      <w:bookmarkEnd w:id="43"/>
    </w:p>
    <w:p w:rsidR="001A5989" w:rsidRDefault="001A5989" w:rsidP="0089375F">
      <w:pPr>
        <w:pStyle w:val="Heading3"/>
      </w:pPr>
      <w:bookmarkStart w:id="44" w:name="_Toc515617213"/>
      <w:r>
        <w:t>Results of cannabidiol and cannabinol quantification</w:t>
      </w:r>
      <w:bookmarkEnd w:id="44"/>
      <w:r>
        <w:t xml:space="preserve"> </w:t>
      </w:r>
    </w:p>
    <w:p w:rsidR="0089375F" w:rsidRPr="002C6902" w:rsidRDefault="00344C11" w:rsidP="00715BEF">
      <w:pPr>
        <w:jc w:val="both"/>
      </w:pPr>
      <w:r>
        <w:t>CBD and CBN were quantified</w:t>
      </w:r>
      <w:r w:rsidR="00F368F9">
        <w:t xml:space="preserve"> from the samples</w:t>
      </w:r>
      <w:r>
        <w:t xml:space="preserve"> with the help of a calibration curves w</w:t>
      </w:r>
      <w:r w:rsidR="004C7B3C">
        <w:t>hich can be found</w:t>
      </w:r>
      <w:r w:rsidR="00F368F9">
        <w:t xml:space="preserve"> in appendices</w:t>
      </w:r>
      <w:r>
        <w:t xml:space="preserve"> 1</w:t>
      </w:r>
      <w:r w:rsidR="00096BB2">
        <w:t>0</w:t>
      </w:r>
      <w:r w:rsidR="004C7B3C">
        <w:t xml:space="preserve"> and</w:t>
      </w:r>
      <w:r>
        <w:t xml:space="preserve"> 1</w:t>
      </w:r>
      <w:r w:rsidR="00096BB2">
        <w:t>1</w:t>
      </w:r>
      <w:r>
        <w:t xml:space="preserve">. </w:t>
      </w:r>
      <w:r w:rsidR="00F368F9">
        <w:t>The CBD concentration of CBD</w:t>
      </w:r>
      <w:r w:rsidR="00074309">
        <w:t xml:space="preserve"> e-liquid Fruitmix was 4.5 mg/mL</w:t>
      </w:r>
      <w:r w:rsidR="00F368F9">
        <w:t xml:space="preserve"> which differed 10</w:t>
      </w:r>
      <w:r w:rsidR="000D25F3">
        <w:t xml:space="preserve"> </w:t>
      </w:r>
      <w:r w:rsidR="00F368F9">
        <w:t>% from the label, CBD e-liquid Classic was 4.9 mg/</w:t>
      </w:r>
      <w:r w:rsidR="009E3B17">
        <w:t>m</w:t>
      </w:r>
      <w:r w:rsidR="00074309">
        <w:t>L</w:t>
      </w:r>
      <w:r w:rsidR="00F368F9">
        <w:t xml:space="preserve"> which differed 1</w:t>
      </w:r>
      <w:r w:rsidR="000D25F3">
        <w:t xml:space="preserve"> </w:t>
      </w:r>
      <w:r w:rsidR="00F368F9">
        <w:t>% and CBD oil was 25.3 mg/</w:t>
      </w:r>
      <w:r w:rsidR="009E3B17">
        <w:t>m</w:t>
      </w:r>
      <w:r w:rsidR="00074309">
        <w:t>L</w:t>
      </w:r>
      <w:r w:rsidR="00F368F9">
        <w:t xml:space="preserve"> which differed 8</w:t>
      </w:r>
      <w:r w:rsidR="000D25F3">
        <w:t xml:space="preserve"> </w:t>
      </w:r>
      <w:r w:rsidR="00F368F9">
        <w:t xml:space="preserve">%. </w:t>
      </w:r>
      <w:r w:rsidR="00553E96">
        <w:t>The relative standard deviations were 0.33</w:t>
      </w:r>
      <w:r w:rsidR="000D25F3">
        <w:t xml:space="preserve"> </w:t>
      </w:r>
      <w:r w:rsidR="00553E96">
        <w:t>%, 0.21</w:t>
      </w:r>
      <w:r w:rsidR="000D25F3">
        <w:t xml:space="preserve"> </w:t>
      </w:r>
      <w:r w:rsidR="00553E96">
        <w:t>%</w:t>
      </w:r>
      <w:r w:rsidR="00ED44A4">
        <w:t xml:space="preserve"> and 0.14</w:t>
      </w:r>
      <w:r w:rsidR="000D25F3">
        <w:t xml:space="preserve"> </w:t>
      </w:r>
      <w:r w:rsidR="00ED44A4">
        <w:t xml:space="preserve">% for Fruitmix, Classic and CBD oil respectively. This shows the precision between injections and </w:t>
      </w:r>
      <w:r w:rsidR="0050541E">
        <w:t>indicates that</w:t>
      </w:r>
      <w:r w:rsidR="00ED44A4">
        <w:t xml:space="preserve"> the method wor</w:t>
      </w:r>
      <w:r w:rsidR="0050541E">
        <w:t>ked well</w:t>
      </w:r>
      <w:r w:rsidR="00ED44A4">
        <w:t>.</w:t>
      </w:r>
      <w:r w:rsidR="00A96F5B">
        <w:t xml:space="preserve"> The CBD e-liquids did not seem to contain any other cannabinoids except CBD. </w:t>
      </w:r>
      <w:r w:rsidR="009E3B17">
        <w:t xml:space="preserve">The CBD oil is very likely to contain other cannabinoids too. In CBD oil the </w:t>
      </w:r>
      <w:r w:rsidR="00074309">
        <w:t>CBN concentration was 0.30 mg/mL</w:t>
      </w:r>
      <w:r w:rsidR="009E3B17">
        <w:t xml:space="preserve">. Other cannabinoids were not identified on the HPLC-UV as other </w:t>
      </w:r>
      <w:r w:rsidR="0050541E">
        <w:t xml:space="preserve">cannabinoid </w:t>
      </w:r>
      <w:r w:rsidR="009E3B17">
        <w:t>standards were not available at the time</w:t>
      </w:r>
      <w:r w:rsidR="0050541E">
        <w:t xml:space="preserve"> nor a liquid chromatography system </w:t>
      </w:r>
      <w:r w:rsidR="0050541E" w:rsidRPr="002C6902">
        <w:t xml:space="preserve">equipped with a mass spectrometer. </w:t>
      </w:r>
    </w:p>
    <w:p w:rsidR="009E3B17" w:rsidRDefault="004C7B3C" w:rsidP="00715BEF">
      <w:pPr>
        <w:jc w:val="both"/>
      </w:pPr>
      <w:r>
        <w:t>In the case of</w:t>
      </w:r>
      <w:r w:rsidR="00096BB2" w:rsidRPr="002C6902">
        <w:t xml:space="preserve"> CBD,</w:t>
      </w:r>
      <w:r w:rsidR="003F5B73" w:rsidRPr="002C6902">
        <w:t xml:space="preserve"> the method LOD was determined to be 0.00</w:t>
      </w:r>
      <w:r w:rsidR="008E62A5" w:rsidRPr="002C6902">
        <w:t>5</w:t>
      </w:r>
      <w:r w:rsidR="00086F4D">
        <w:t xml:space="preserve"> mg/L</w:t>
      </w:r>
      <w:r w:rsidR="008E62A5" w:rsidRPr="002C6902">
        <w:t xml:space="preserve"> and LOQ 0.06</w:t>
      </w:r>
      <w:r w:rsidR="00074309">
        <w:t xml:space="preserve"> mg/L</w:t>
      </w:r>
      <w:r w:rsidR="003F5B73" w:rsidRPr="002C6902">
        <w:t>.</w:t>
      </w:r>
      <w:r w:rsidR="00096BB2" w:rsidRPr="002C6902">
        <w:t xml:space="preserve"> </w:t>
      </w:r>
      <w:bookmarkStart w:id="45" w:name="_Hlk515888956"/>
      <w:r w:rsidR="00096BB2" w:rsidRPr="002C6902">
        <w:t xml:space="preserve">The calibration curve used for the calculation of LOD and LOQ for the method can be </w:t>
      </w:r>
      <w:r>
        <w:t>found</w:t>
      </w:r>
      <w:r w:rsidR="00096BB2" w:rsidRPr="002C6902">
        <w:t xml:space="preserve"> in appendix</w:t>
      </w:r>
      <w:r w:rsidR="008830AB">
        <w:t> </w:t>
      </w:r>
      <w:r w:rsidR="00096BB2" w:rsidRPr="002C6902">
        <w:t>12</w:t>
      </w:r>
      <w:bookmarkEnd w:id="45"/>
      <w:r w:rsidR="00096BB2" w:rsidRPr="002C6902">
        <w:t>.</w:t>
      </w:r>
      <w:r w:rsidR="003F5B73" w:rsidRPr="002C6902">
        <w:t xml:space="preserve"> For the instrument t</w:t>
      </w:r>
      <w:r w:rsidR="00617071" w:rsidRPr="002C6902">
        <w:t>he LOD was determined to be 0.01</w:t>
      </w:r>
      <w:r w:rsidR="00086F4D">
        <w:t xml:space="preserve"> mg/L</w:t>
      </w:r>
      <w:r w:rsidR="00074309">
        <w:t xml:space="preserve"> and LOQ 0.04 mg/L</w:t>
      </w:r>
      <w:r w:rsidR="003F5B73" w:rsidRPr="002C6902">
        <w:t xml:space="preserve">. </w:t>
      </w:r>
      <w:r w:rsidR="00096BB2" w:rsidRPr="002C6902">
        <w:t xml:space="preserve">The CBN LOD for </w:t>
      </w:r>
      <w:r>
        <w:t xml:space="preserve">the </w:t>
      </w:r>
      <w:r w:rsidR="00096BB2" w:rsidRPr="002C6902">
        <w:t>method was determi</w:t>
      </w:r>
      <w:r w:rsidR="00074309">
        <w:t xml:space="preserve">ned to be 0.02 </w:t>
      </w:r>
      <w:r w:rsidR="00086F4D">
        <w:t xml:space="preserve">mg/L </w:t>
      </w:r>
      <w:r w:rsidR="00074309">
        <w:t>and LOQ 0.03 mg/L</w:t>
      </w:r>
      <w:r w:rsidR="00096BB2" w:rsidRPr="002C6902">
        <w:t xml:space="preserve">. </w:t>
      </w:r>
      <w:r w:rsidR="008830AB" w:rsidRPr="008830AB">
        <w:t xml:space="preserve">The calibration curve </w:t>
      </w:r>
      <w:r w:rsidR="008830AB">
        <w:t xml:space="preserve">of CBN </w:t>
      </w:r>
      <w:r w:rsidR="008830AB" w:rsidRPr="008830AB">
        <w:t>used for the calculation of LOD and LOQ for the me</w:t>
      </w:r>
      <w:r w:rsidR="008830AB">
        <w:t xml:space="preserve">thod can be found in appendix 13. </w:t>
      </w:r>
      <w:r w:rsidR="00096BB2" w:rsidRPr="002C6902">
        <w:t xml:space="preserve">For the instrument it was the </w:t>
      </w:r>
      <w:r w:rsidR="00074309">
        <w:t xml:space="preserve">same, LOD 0.02 </w:t>
      </w:r>
      <w:r w:rsidR="00086F4D">
        <w:t xml:space="preserve">mg/L </w:t>
      </w:r>
      <w:r w:rsidR="00074309">
        <w:t>and LOQ 0.03 mg/L</w:t>
      </w:r>
      <w:r w:rsidR="00096BB2" w:rsidRPr="002C6902">
        <w:t xml:space="preserve">. </w:t>
      </w:r>
      <w:r w:rsidR="00C81E5E" w:rsidRPr="002C6902">
        <w:t>The correlation coefficient of the CBD calibration curve was 1</w:t>
      </w:r>
      <w:r>
        <w:t>.000</w:t>
      </w:r>
      <w:r w:rsidR="00C81E5E" w:rsidRPr="002C6902">
        <w:t xml:space="preserve"> which show</w:t>
      </w:r>
      <w:r>
        <w:t>s that the calibration curve had</w:t>
      </w:r>
      <w:r w:rsidR="00C81E5E" w:rsidRPr="002C6902">
        <w:t xml:space="preserve"> excellent linearity.</w:t>
      </w:r>
      <w:r w:rsidR="0015754D">
        <w:t xml:space="preserve"> The calibration line can be observed in figure 1. </w:t>
      </w:r>
      <w:r w:rsidR="00C81E5E" w:rsidRPr="002C6902">
        <w:t xml:space="preserve"> For the CBN the correlation coefficient was 0.999</w:t>
      </w:r>
      <w:r w:rsidR="00C45C0B" w:rsidRPr="002C6902">
        <w:t xml:space="preserve"> whic</w:t>
      </w:r>
      <w:r w:rsidR="009E3B17" w:rsidRPr="002C6902">
        <w:t xml:space="preserve">h shows good linearity as well. Over all this analysis works, it is sensitive and can detect very low concentrations of CBD and CBN.  </w:t>
      </w:r>
    </w:p>
    <w:p w:rsidR="0015754D" w:rsidRDefault="00001060">
      <w:r>
        <w:rPr>
          <w:noProof/>
        </w:rPr>
        <w:drawing>
          <wp:inline distT="0" distB="0" distL="0" distR="0" wp14:anchorId="6F850D5B">
            <wp:extent cx="5986780" cy="404801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92003" cy="4051549"/>
                    </a:xfrm>
                    <a:prstGeom prst="rect">
                      <a:avLst/>
                    </a:prstGeom>
                    <a:noFill/>
                  </pic:spPr>
                </pic:pic>
              </a:graphicData>
            </a:graphic>
          </wp:inline>
        </w:drawing>
      </w:r>
    </w:p>
    <w:p w:rsidR="0015754D" w:rsidRPr="002C6902" w:rsidRDefault="0015754D" w:rsidP="0015754D">
      <w:pPr>
        <w:pStyle w:val="Caption"/>
      </w:pPr>
      <w:r>
        <w:t xml:space="preserve">Figure </w:t>
      </w:r>
      <w:r w:rsidR="002E375B">
        <w:fldChar w:fldCharType="begin"/>
      </w:r>
      <w:r w:rsidR="002E375B">
        <w:instrText xml:space="preserve"> SEQ Figure \* ARABIC </w:instrText>
      </w:r>
      <w:r w:rsidR="002E375B">
        <w:fldChar w:fldCharType="separate"/>
      </w:r>
      <w:r w:rsidR="00D538BE">
        <w:rPr>
          <w:noProof/>
        </w:rPr>
        <w:t>7</w:t>
      </w:r>
      <w:r w:rsidR="002E375B">
        <w:rPr>
          <w:noProof/>
        </w:rPr>
        <w:fldChar w:fldCharType="end"/>
      </w:r>
      <w:r>
        <w:t xml:space="preserve">. Cannabidiol calibration curve which was achieved on the HPLC-UV system (n=3). </w:t>
      </w:r>
    </w:p>
    <w:p w:rsidR="00903CD8" w:rsidRPr="00C10C5B" w:rsidRDefault="001A5989" w:rsidP="00C10C5B">
      <w:pPr>
        <w:pStyle w:val="Heading3"/>
      </w:pPr>
      <w:bookmarkStart w:id="46" w:name="_Toc515617214"/>
      <w:r w:rsidRPr="00C10C5B">
        <w:lastRenderedPageBreak/>
        <w:t>CBD oil</w:t>
      </w:r>
      <w:r w:rsidR="002C722D" w:rsidRPr="00C10C5B">
        <w:t xml:space="preserve"> </w:t>
      </w:r>
      <w:r w:rsidR="00753679" w:rsidRPr="00C10C5B">
        <w:t xml:space="preserve">chemical </w:t>
      </w:r>
      <w:r w:rsidR="002C722D" w:rsidRPr="00C10C5B">
        <w:t xml:space="preserve">constituent </w:t>
      </w:r>
      <w:r w:rsidR="0091074E">
        <w:t xml:space="preserve">possible </w:t>
      </w:r>
      <w:r w:rsidR="00770C5D" w:rsidRPr="00C10C5B">
        <w:t>identification</w:t>
      </w:r>
      <w:r w:rsidR="002C722D" w:rsidRPr="00C10C5B">
        <w:t xml:space="preserve"> </w:t>
      </w:r>
      <w:r w:rsidR="00753679" w:rsidRPr="00C10C5B">
        <w:t>results</w:t>
      </w:r>
      <w:bookmarkEnd w:id="46"/>
    </w:p>
    <w:p w:rsidR="005C4433" w:rsidRPr="002C6902" w:rsidRDefault="004C7B3C" w:rsidP="00715BEF">
      <w:pPr>
        <w:jc w:val="both"/>
      </w:pPr>
      <w:r>
        <w:t>Initial test</w:t>
      </w:r>
      <w:r w:rsidR="0091074E">
        <w:t xml:space="preserve">s were made to find suitable sample preparation methods for the CBD oil. Three different sample preparation methods were tested with acetonitrile and methanol as solvent. </w:t>
      </w:r>
      <w:r w:rsidR="009E3B17" w:rsidRPr="002C6902">
        <w:t xml:space="preserve">Two different sample preparation methods were used as </w:t>
      </w:r>
      <w:r w:rsidR="0091074E">
        <w:t>it was concluded</w:t>
      </w:r>
      <w:r w:rsidR="00CF4EC8" w:rsidRPr="002C6902">
        <w:t xml:space="preserve"> these two had the best peak shapes for CBD peak. </w:t>
      </w:r>
      <w:r w:rsidR="00A14A1B" w:rsidRPr="002C6902">
        <w:t xml:space="preserve">The columns in the two GC systems were the same so that the systems could be compared. </w:t>
      </w:r>
      <w:r w:rsidR="00F71A12" w:rsidRPr="002C6902">
        <w:t>The</w:t>
      </w:r>
      <w:r w:rsidR="00DD60EA" w:rsidRPr="002C6902">
        <w:t xml:space="preserve"> chromatograms differ between</w:t>
      </w:r>
      <w:r w:rsidR="0091074E">
        <w:t xml:space="preserve"> the two</w:t>
      </w:r>
      <w:r w:rsidR="00DD60EA" w:rsidRPr="002C6902">
        <w:t xml:space="preserve"> different sample preparation methods which can be observed </w:t>
      </w:r>
      <w:r w:rsidR="002C6902" w:rsidRPr="002C6902">
        <w:t xml:space="preserve">and compared </w:t>
      </w:r>
      <w:r w:rsidR="00DD60EA" w:rsidRPr="002C6902">
        <w:t xml:space="preserve">in </w:t>
      </w:r>
      <w:r w:rsidR="0091074E">
        <w:t>appendices 17 and</w:t>
      </w:r>
      <w:r w:rsidR="00AC3607" w:rsidRPr="002C6902">
        <w:t xml:space="preserve"> 18.</w:t>
      </w:r>
      <w:r w:rsidR="00DD60EA" w:rsidRPr="002C6902">
        <w:t xml:space="preserve"> </w:t>
      </w:r>
      <w:r w:rsidR="0091074E">
        <w:t xml:space="preserve">With the EMR </w:t>
      </w:r>
      <w:r w:rsidR="00A031F7" w:rsidRPr="002C6902">
        <w:t>lipid sample preparation metho</w:t>
      </w:r>
      <w:r w:rsidR="00E17128" w:rsidRPr="002C6902">
        <w:t>d more oil constituents were</w:t>
      </w:r>
      <w:r w:rsidR="0091074E">
        <w:t xml:space="preserve"> removed and</w:t>
      </w:r>
      <w:r w:rsidR="00A031F7" w:rsidRPr="002C6902">
        <w:t xml:space="preserve"> </w:t>
      </w:r>
      <w:r w:rsidR="0091074E">
        <w:t xml:space="preserve">CBD peak is more visible. The CBD peak was co-eluting with linoelaidic acid peak when Captiva-method was used which interfered with the identification. </w:t>
      </w:r>
      <w:r w:rsidR="00AC3607" w:rsidRPr="002C6902">
        <w:t>Close-up images of the CBD peaks for both sample pre</w:t>
      </w:r>
      <w:r w:rsidR="0091074E">
        <w:t>paration methods can be found</w:t>
      </w:r>
      <w:r w:rsidR="00AC3607" w:rsidRPr="002C6902">
        <w:t xml:space="preserve"> in appendix 16 where it is evident that the EMR-method is more suitable for the identification of CBD from the sample. </w:t>
      </w:r>
    </w:p>
    <w:p w:rsidR="003D3349" w:rsidRDefault="00DD60EA" w:rsidP="00715BEF">
      <w:pPr>
        <w:jc w:val="both"/>
      </w:pPr>
      <w:r w:rsidRPr="002C6902">
        <w:t xml:space="preserve">The peaks were identified </w:t>
      </w:r>
      <w:r w:rsidR="006723F3" w:rsidRPr="002C6902">
        <w:t xml:space="preserve">as possible identifications </w:t>
      </w:r>
      <w:r w:rsidRPr="002C6902">
        <w:t>from both sample preparation methods and can be observed in table 2</w:t>
      </w:r>
      <w:r w:rsidR="00903CD8" w:rsidRPr="002C6902">
        <w:t>.</w:t>
      </w:r>
      <w:r w:rsidR="006B47C9" w:rsidRPr="002C6902">
        <w:t xml:space="preserve"> </w:t>
      </w:r>
      <w:r w:rsidR="00AD497F" w:rsidRPr="002C6902">
        <w:t>Please note that there were no reference standards and thus the identification is made purely with the aid of the NIST library. When referring to an i</w:t>
      </w:r>
      <w:r w:rsidR="00086F4D">
        <w:t>dentified compound, it is simply</w:t>
      </w:r>
      <w:r w:rsidR="00AD497F" w:rsidRPr="002C6902">
        <w:t xml:space="preserve"> a possible identification. </w:t>
      </w:r>
      <w:r w:rsidR="006B47C9" w:rsidRPr="002C6902">
        <w:t>Half of the integrated compounds could not be identified by the aid of the NIST library</w:t>
      </w:r>
      <w:r w:rsidR="005C4433" w:rsidRPr="002C6902">
        <w:t>.</w:t>
      </w:r>
      <w:r w:rsidR="006B47C9" w:rsidRPr="002C6902">
        <w:t xml:space="preserve"> The mass fractions </w:t>
      </w:r>
      <w:r w:rsidR="006B47C9">
        <w:t>of these peaks were compared to the other peaks that were identified with the NIST library and an assumption was made based on that whether it could be a fatty acid or a terpenoid. Most of the compounds were the</w:t>
      </w:r>
      <w:r w:rsidR="003D3349">
        <w:t xml:space="preserve"> trimethylsilyl derivates</w:t>
      </w:r>
      <w:r w:rsidR="00AC3607">
        <w:t xml:space="preserve"> </w:t>
      </w:r>
      <w:r w:rsidR="006B47C9">
        <w:t xml:space="preserve">which could </w:t>
      </w:r>
      <w:r w:rsidR="003D3349">
        <w:t>be concluded from the large signal</w:t>
      </w:r>
      <w:r w:rsidR="006B47C9">
        <w:t xml:space="preserve"> at 73 m/z. </w:t>
      </w:r>
      <w:r w:rsidR="009D5CAD" w:rsidRPr="009D5CAD">
        <w:t>Peaks eluting before five minutes were not identi</w:t>
      </w:r>
      <w:r w:rsidR="00AC3607">
        <w:t>fied with the GC/MS as they are a result</w:t>
      </w:r>
      <w:r w:rsidR="009D5CAD" w:rsidRPr="009D5CAD">
        <w:t xml:space="preserve"> from the derivatization </w:t>
      </w:r>
      <w:r w:rsidR="009D5CAD" w:rsidRPr="008A7032">
        <w:t xml:space="preserve">reagent and toluene. </w:t>
      </w:r>
      <w:r w:rsidR="00690B51" w:rsidRPr="008A7032">
        <w:t>C</w:t>
      </w:r>
      <w:r w:rsidR="009D5CAD" w:rsidRPr="008A7032">
        <w:t>hromatograms showing the peaks from</w:t>
      </w:r>
      <w:r w:rsidR="009D5CAD" w:rsidRPr="009D5CAD">
        <w:t xml:space="preserve"> toluene and BSTFA </w:t>
      </w:r>
      <w:r w:rsidR="008A7032">
        <w:t>on the Intuvo system can be observed</w:t>
      </w:r>
      <w:r w:rsidR="009D5CAD" w:rsidRPr="009D5CAD">
        <w:t xml:space="preserve"> in </w:t>
      </w:r>
      <w:r w:rsidR="003D3349">
        <w:t xml:space="preserve">appendices 19 and </w:t>
      </w:r>
      <w:r w:rsidR="008A7032" w:rsidRPr="008A7032">
        <w:t>20.</w:t>
      </w:r>
      <w:r w:rsidR="009D5CAD" w:rsidRPr="008A7032">
        <w:t xml:space="preserve"> </w:t>
      </w:r>
    </w:p>
    <w:p w:rsidR="009D5CAD" w:rsidRPr="009D5CAD" w:rsidRDefault="000652DE" w:rsidP="00715BEF">
      <w:pPr>
        <w:jc w:val="both"/>
      </w:pPr>
      <w:r w:rsidRPr="008A7032">
        <w:t>There are differences between the</w:t>
      </w:r>
      <w:r>
        <w:t xml:space="preserve"> </w:t>
      </w:r>
      <w:r w:rsidRPr="008A7032">
        <w:t>sample</w:t>
      </w:r>
      <w:r>
        <w:t xml:space="preserve"> preparation methods as in which compounds were identified. With the EMR-method the added methyl oleate had been completely removed where as it is still visible with the Captiva-method. </w:t>
      </w:r>
      <w:r w:rsidR="001E006B">
        <w:t xml:space="preserve">With the Captiva-method there are 15 fatty acids </w:t>
      </w:r>
      <w:r w:rsidR="001B29F8">
        <w:t>and with EMR-method there are 11 fatty acids. The difference is very visible with the compoun</w:t>
      </w:r>
      <w:r w:rsidR="002912FC">
        <w:t>ds that elute after the CBD</w:t>
      </w:r>
      <w:r w:rsidR="001B29F8">
        <w:t>, as with the EMR method there aren’t any fatty acids identified. This demonstrates how the enhanced matrix removal (EMR)-lipid sorbent targets the lipids in the sample more efficiently than the Captiva cartridges. Although, the EMR-method had also oil components identified which shows that the step could be still optimized for a CBD oil sample.</w:t>
      </w:r>
    </w:p>
    <w:p w:rsidR="00F5327F" w:rsidRDefault="00CA1472" w:rsidP="00715BEF">
      <w:pPr>
        <w:jc w:val="both"/>
      </w:pPr>
      <w:r>
        <w:t>On the GC</w:t>
      </w:r>
      <w:r w:rsidR="00A92D4B">
        <w:t>/MS the CBD peak eluted at 14</w:t>
      </w:r>
      <w:r w:rsidR="00F5327F">
        <w:t>.</w:t>
      </w:r>
      <w:r w:rsidR="00A92D4B">
        <w:t>391 min and on the Intuvo 9000 GC at 12</w:t>
      </w:r>
      <w:r w:rsidR="00F5327F">
        <w:t>.</w:t>
      </w:r>
      <w:r w:rsidR="00A92D4B">
        <w:t>564</w:t>
      </w:r>
      <w:r w:rsidR="00441DB0">
        <w:t xml:space="preserve"> min. </w:t>
      </w:r>
      <w:r w:rsidR="00264D26">
        <w:t>On the GC/MS relative standard deviation for Captiva-method was 45</w:t>
      </w:r>
      <w:r w:rsidR="000D25F3">
        <w:t xml:space="preserve"> </w:t>
      </w:r>
      <w:r w:rsidR="00264D26">
        <w:t>% and for the EMR-method 52</w:t>
      </w:r>
      <w:r w:rsidR="000D25F3">
        <w:t xml:space="preserve"> </w:t>
      </w:r>
      <w:r w:rsidR="00264D26">
        <w:t xml:space="preserve">%. On the Intuvo 9000 </w:t>
      </w:r>
      <w:r w:rsidR="003D3349">
        <w:t>GC RSD for Captiva-method was 0.92</w:t>
      </w:r>
      <w:r w:rsidR="000D25F3">
        <w:t xml:space="preserve"> </w:t>
      </w:r>
      <w:r w:rsidR="003D3349">
        <w:t>% and for the EMR-Method 5.</w:t>
      </w:r>
      <w:r w:rsidR="00264D26">
        <w:t>6</w:t>
      </w:r>
      <w:r w:rsidR="000D25F3">
        <w:t xml:space="preserve"> </w:t>
      </w:r>
      <w:r w:rsidR="00264D26">
        <w:t xml:space="preserve">%. </w:t>
      </w:r>
      <w:r w:rsidR="00907834">
        <w:t>Therefore,</w:t>
      </w:r>
      <w:r w:rsidR="00264D26">
        <w:t xml:space="preserve"> the precision has been significantly improved on the Intuvo system. </w:t>
      </w:r>
      <w:r w:rsidR="00F5327F" w:rsidRPr="00F5327F">
        <w:t>The other identified cannabino</w:t>
      </w:r>
      <w:r w:rsidR="003D3349">
        <w:t>id was ∆</w:t>
      </w:r>
      <w:r w:rsidR="003D3349">
        <w:rPr>
          <w:vertAlign w:val="superscript"/>
        </w:rPr>
        <w:t>9</w:t>
      </w:r>
      <w:r w:rsidR="00F5327F" w:rsidRPr="00F5327F">
        <w:t xml:space="preserve">-tetrahydrocannabinol which </w:t>
      </w:r>
      <w:r w:rsidR="00F5327F">
        <w:t>elutes at 16.576 min on the GC/MS and at 16.090 min on Intuvo.</w:t>
      </w:r>
      <w:r w:rsidR="00AF2674">
        <w:t xml:space="preserve"> Peak eluting at 16.432 min on the GC/MS was also identified as </w:t>
      </w:r>
      <w:r w:rsidR="00AF2674">
        <w:rPr>
          <w:rFonts w:cstheme="minorHAnsi"/>
        </w:rPr>
        <w:t>∆</w:t>
      </w:r>
      <w:r w:rsidR="003D3349">
        <w:rPr>
          <w:vertAlign w:val="superscript"/>
        </w:rPr>
        <w:t>9</w:t>
      </w:r>
      <w:r w:rsidR="00AF2674">
        <w:t>-THC with t</w:t>
      </w:r>
      <w:r w:rsidR="00AC3607">
        <w:t>he NIST library. This is likely to</w:t>
      </w:r>
      <w:r w:rsidR="00AF2674">
        <w:t xml:space="preserve"> be exo-THC which is an isomer of </w:t>
      </w:r>
      <w:r w:rsidR="00AF2674">
        <w:rPr>
          <w:rFonts w:cstheme="minorHAnsi"/>
        </w:rPr>
        <w:t>∆</w:t>
      </w:r>
      <w:r w:rsidR="003D3349">
        <w:rPr>
          <w:vertAlign w:val="superscript"/>
        </w:rPr>
        <w:t>9</w:t>
      </w:r>
      <w:r w:rsidR="00AF2674">
        <w:t>-THC.</w:t>
      </w:r>
      <w:r w:rsidR="00F5327F">
        <w:t xml:space="preserve"> </w:t>
      </w:r>
      <w:r w:rsidR="00155CB2">
        <w:t xml:space="preserve">The psychoactive compound </w:t>
      </w:r>
      <w:r w:rsidR="00155CB2">
        <w:rPr>
          <w:rFonts w:cstheme="minorHAnsi"/>
        </w:rPr>
        <w:t>∆</w:t>
      </w:r>
      <w:r w:rsidR="003D3349">
        <w:rPr>
          <w:vertAlign w:val="superscript"/>
        </w:rPr>
        <w:t>9</w:t>
      </w:r>
      <w:r w:rsidR="00155CB2">
        <w:t xml:space="preserve">-THC </w:t>
      </w:r>
      <w:r w:rsidR="00AC3607">
        <w:t xml:space="preserve">peak is very small and is </w:t>
      </w:r>
      <w:r w:rsidR="00CC706E">
        <w:t>seemingly</w:t>
      </w:r>
      <w:r w:rsidR="00155CB2">
        <w:t xml:space="preserve"> a trace level compound in the CBD oil</w:t>
      </w:r>
      <w:r w:rsidR="00644B52">
        <w:t xml:space="preserve"> as the CBD peak differs 199</w:t>
      </w:r>
      <w:r w:rsidR="000D25F3">
        <w:t xml:space="preserve"> </w:t>
      </w:r>
      <w:r w:rsidR="00644B52">
        <w:t>% from the peak are</w:t>
      </w:r>
      <w:r w:rsidR="00CC706E">
        <w:t>a</w:t>
      </w:r>
      <w:r w:rsidR="00644B52">
        <w:t xml:space="preserve"> of that of </w:t>
      </w:r>
      <w:r w:rsidR="00644B52">
        <w:rPr>
          <w:rFonts w:cstheme="minorHAnsi"/>
        </w:rPr>
        <w:t>∆</w:t>
      </w:r>
      <w:r w:rsidR="003D3349">
        <w:rPr>
          <w:vertAlign w:val="superscript"/>
        </w:rPr>
        <w:t>9</w:t>
      </w:r>
      <w:r w:rsidR="00644B52">
        <w:t>-THC.</w:t>
      </w:r>
      <w:r w:rsidR="00155CB2">
        <w:t xml:space="preserve"> </w:t>
      </w:r>
      <w:r w:rsidR="00CC706E">
        <w:t>It is possible</w:t>
      </w:r>
      <w:r w:rsidR="00AF3C9B">
        <w:t xml:space="preserve"> that th</w:t>
      </w:r>
      <w:r w:rsidR="00155CB2">
        <w:t xml:space="preserve">ere are also other cannabinoids present, however, they could not be identified with the NIST program. Regardless, the </w:t>
      </w:r>
      <w:r w:rsidR="00155CB2">
        <w:rPr>
          <w:rFonts w:cstheme="minorHAnsi"/>
        </w:rPr>
        <w:t>∆</w:t>
      </w:r>
      <w:r w:rsidR="003D3349">
        <w:rPr>
          <w:vertAlign w:val="superscript"/>
        </w:rPr>
        <w:t>9</w:t>
      </w:r>
      <w:r w:rsidR="00155CB2">
        <w:t xml:space="preserve">-THC is the most interesting compound besides CBD to detect as it has psychotropic effect </w:t>
      </w:r>
      <w:r w:rsidR="001C5F61">
        <w:t>whereas</w:t>
      </w:r>
      <w:r w:rsidR="00155CB2">
        <w:t xml:space="preserve"> the other cannabinoids do not. </w:t>
      </w:r>
    </w:p>
    <w:p w:rsidR="003E1FBE" w:rsidRDefault="004B53BB" w:rsidP="00715BEF">
      <w:pPr>
        <w:jc w:val="both"/>
      </w:pPr>
      <w:r>
        <w:t xml:space="preserve">Some of the </w:t>
      </w:r>
      <w:r w:rsidR="003D3349" w:rsidRPr="003D3349">
        <w:t xml:space="preserve">identified </w:t>
      </w:r>
      <w:r w:rsidR="00CC60DE">
        <w:t xml:space="preserve">compounds have a few of the therapeutic effects that CBD is </w:t>
      </w:r>
      <w:r w:rsidR="00E5102E">
        <w:t>claimed</w:t>
      </w:r>
      <w:r w:rsidR="00CC60DE">
        <w:t xml:space="preserve"> to have. </w:t>
      </w:r>
      <w:r w:rsidR="00AD4C6F">
        <w:t>Doconexent</w:t>
      </w:r>
      <w:r w:rsidR="003D3349">
        <w:t>,</w:t>
      </w:r>
      <w:r>
        <w:t xml:space="preserve"> which is an essential fatty aci</w:t>
      </w:r>
      <w:r w:rsidR="00CC60DE">
        <w:t>d</w:t>
      </w:r>
      <w:r w:rsidR="003D3349">
        <w:t>,</w:t>
      </w:r>
      <w:r w:rsidR="00CC60DE">
        <w:t xml:space="preserve"> is usually found in fish oil and it has anti-inflammatory </w:t>
      </w:r>
      <w:r w:rsidR="00CC60DE">
        <w:lastRenderedPageBreak/>
        <w:t xml:space="preserve">effects </w:t>
      </w:r>
      <w:sdt>
        <w:sdtPr>
          <w:id w:val="-1280102350"/>
          <w:citation/>
        </w:sdtPr>
        <w:sdtEndPr/>
        <w:sdtContent>
          <w:r w:rsidR="00CC60DE">
            <w:fldChar w:fldCharType="begin"/>
          </w:r>
          <w:r w:rsidR="00C170D1">
            <w:instrText xml:space="preserve">CITATION Wis \l 1033 </w:instrText>
          </w:r>
          <w:r w:rsidR="00CC60DE">
            <w:fldChar w:fldCharType="separate"/>
          </w:r>
          <w:r w:rsidR="00F1475E">
            <w:rPr>
              <w:noProof/>
            </w:rPr>
            <w:t>(Wishart, et al., Doconexent, n.d.)</w:t>
          </w:r>
          <w:r w:rsidR="00CC60DE">
            <w:fldChar w:fldCharType="end"/>
          </w:r>
        </w:sdtContent>
      </w:sdt>
      <w:r w:rsidR="001D7339">
        <w:t xml:space="preserve">. Caryophyllene oxide is a metabolite of </w:t>
      </w:r>
      <w:r w:rsidR="001D7339">
        <w:rPr>
          <w:rFonts w:cstheme="minorHAnsi"/>
        </w:rPr>
        <w:t>β</w:t>
      </w:r>
      <w:r w:rsidR="001D7339">
        <w:t xml:space="preserve">-caryophyllene which is an essential oil in C. Sativa. </w:t>
      </w:r>
      <w:r w:rsidR="00A95901">
        <w:rPr>
          <w:rFonts w:cstheme="minorHAnsi"/>
        </w:rPr>
        <w:t>β</w:t>
      </w:r>
      <w:r w:rsidR="001D7339">
        <w:t>-Caryophyllene has anti-inflammatory, anticarcinogenic and antioxidant properties</w:t>
      </w:r>
      <w:r w:rsidR="00C14CB6">
        <w:t xml:space="preserve"> </w:t>
      </w:r>
      <w:sdt>
        <w:sdtPr>
          <w:id w:val="-2057532812"/>
          <w:citation/>
        </w:sdtPr>
        <w:sdtEndPr/>
        <w:sdtContent>
          <w:r w:rsidR="00C14CB6">
            <w:fldChar w:fldCharType="begin"/>
          </w:r>
          <w:r w:rsidR="00C14CB6">
            <w:instrText xml:space="preserve"> CITATION Cay \l 1033 </w:instrText>
          </w:r>
          <w:r w:rsidR="00C14CB6">
            <w:fldChar w:fldCharType="separate"/>
          </w:r>
          <w:r w:rsidR="00F1475E">
            <w:rPr>
              <w:noProof/>
            </w:rPr>
            <w:t>(Cayman Chemical , n.d.)</w:t>
          </w:r>
          <w:r w:rsidR="00C14CB6">
            <w:fldChar w:fldCharType="end"/>
          </w:r>
        </w:sdtContent>
      </w:sdt>
      <w:r w:rsidR="00C14CB6">
        <w:t xml:space="preserve">. </w:t>
      </w:r>
      <w:bookmarkStart w:id="47" w:name="_Hlk515369584"/>
      <w:r w:rsidR="00476F48">
        <w:t xml:space="preserve">2-Methoxyestradiol </w:t>
      </w:r>
      <w:bookmarkEnd w:id="47"/>
      <w:r w:rsidR="006C103E">
        <w:t xml:space="preserve">is known to have potential as an anticancer agent </w:t>
      </w:r>
      <w:sdt>
        <w:sdtPr>
          <w:id w:val="-680355484"/>
          <w:citation/>
        </w:sdtPr>
        <w:sdtEndPr/>
        <w:sdtContent>
          <w:r w:rsidR="006C103E">
            <w:fldChar w:fldCharType="begin"/>
          </w:r>
          <w:r w:rsidR="006C103E">
            <w:instrText xml:space="preserve"> CITATION Lak03 \l 1033 </w:instrText>
          </w:r>
          <w:r w:rsidR="006C103E">
            <w:fldChar w:fldCharType="separate"/>
          </w:r>
          <w:r w:rsidR="00F1475E">
            <w:rPr>
              <w:noProof/>
            </w:rPr>
            <w:t>(Lakhani, Sarkar, Venitz, &amp; Figg, 2003)</w:t>
          </w:r>
          <w:r w:rsidR="006C103E">
            <w:fldChar w:fldCharType="end"/>
          </w:r>
        </w:sdtContent>
      </w:sdt>
      <w:r w:rsidR="00C170D1">
        <w:t>&amp;</w:t>
      </w:r>
      <w:sdt>
        <w:sdtPr>
          <w:id w:val="1462997670"/>
          <w:citation/>
        </w:sdtPr>
        <w:sdtEndPr/>
        <w:sdtContent>
          <w:r w:rsidR="00BF1023">
            <w:fldChar w:fldCharType="begin"/>
          </w:r>
          <w:r w:rsidR="00BF1023">
            <w:instrText xml:space="preserve"> CITATION Wis1 \l 1033 </w:instrText>
          </w:r>
          <w:r w:rsidR="00BF1023">
            <w:fldChar w:fldCharType="separate"/>
          </w:r>
          <w:r w:rsidR="00F1475E">
            <w:rPr>
              <w:noProof/>
            </w:rPr>
            <w:t xml:space="preserve"> (Wishart , et al., 2-Methoxyestradiol, n.d.)</w:t>
          </w:r>
          <w:r w:rsidR="00BF1023">
            <w:fldChar w:fldCharType="end"/>
          </w:r>
        </w:sdtContent>
      </w:sdt>
      <w:r w:rsidR="000C5498">
        <w:t>. The rest of the identified compounds are harmless when consu</w:t>
      </w:r>
      <w:r w:rsidR="00E5102E">
        <w:t xml:space="preserve">med, with the only exception of the 16th eluting compound </w:t>
      </w:r>
      <w:r w:rsidR="00E5102E" w:rsidRPr="00E5102E">
        <w:t xml:space="preserve">1H Indole-2,3-dione, 7-isobutyl-1-(trimethylsilyl)-,3-[O-(trimethylsilyl)oxime] </w:t>
      </w:r>
      <w:r w:rsidR="000C5498">
        <w:t xml:space="preserve">not having mentions regarding to its safety. </w:t>
      </w:r>
      <w:r w:rsidR="003E1FBE" w:rsidRPr="003F7801">
        <w:rPr>
          <w:noProof/>
        </w:rPr>
        <w:drawing>
          <wp:anchor distT="0" distB="0" distL="114300" distR="114300" simplePos="0" relativeHeight="251660288" behindDoc="0" locked="0" layoutInCell="1" allowOverlap="1" wp14:anchorId="7D071489">
            <wp:simplePos x="0" y="0"/>
            <wp:positionH relativeFrom="margin">
              <wp:align>left</wp:align>
            </wp:positionH>
            <wp:positionV relativeFrom="margin">
              <wp:posOffset>12065</wp:posOffset>
            </wp:positionV>
            <wp:extent cx="2016167" cy="6267450"/>
            <wp:effectExtent l="0" t="0" r="3175" b="0"/>
            <wp:wrapSquare wrapText="bothSides"/>
            <wp:docPr id="1" name="Picture 1" descr="E:\SEMESTER 2\Cannabinoids in CBD oil\DATA\CBD oil on GC\Pictures\captivacbdpeak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EMESTER 2\Cannabinoids in CBD oil\DATA\CBD oil on GC\Pictures\captivacbdpeak222.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16167" cy="62674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90C5C" w:rsidRDefault="003E1FBE" w:rsidP="001C3243">
      <w:pPr>
        <w:jc w:val="both"/>
        <w:sectPr w:rsidR="00990C5C" w:rsidSect="002E44B5">
          <w:pgSz w:w="11906" w:h="16838" w:code="9"/>
          <w:pgMar w:top="1440" w:right="1440" w:bottom="1440" w:left="1440" w:header="720" w:footer="720" w:gutter="0"/>
          <w:cols w:space="720"/>
          <w:titlePg/>
          <w:docGrid w:linePitch="360"/>
        </w:sectPr>
      </w:pPr>
      <w:r>
        <w:rPr>
          <w:noProof/>
        </w:rPr>
        <mc:AlternateContent>
          <mc:Choice Requires="wps">
            <w:drawing>
              <wp:anchor distT="0" distB="0" distL="114300" distR="114300" simplePos="0" relativeHeight="251662336" behindDoc="0" locked="0" layoutInCell="1" allowOverlap="1" wp14:anchorId="23F13D09" wp14:editId="78BF5284">
                <wp:simplePos x="0" y="0"/>
                <wp:positionH relativeFrom="margin">
                  <wp:align>left</wp:align>
                </wp:positionH>
                <wp:positionV relativeFrom="paragraph">
                  <wp:posOffset>4350385</wp:posOffset>
                </wp:positionV>
                <wp:extent cx="2016125" cy="635"/>
                <wp:effectExtent l="0" t="0" r="3175" b="0"/>
                <wp:wrapSquare wrapText="bothSides"/>
                <wp:docPr id="2" name="Text Box 2"/>
                <wp:cNvGraphicFramePr/>
                <a:graphic xmlns:a="http://schemas.openxmlformats.org/drawingml/2006/main">
                  <a:graphicData uri="http://schemas.microsoft.com/office/word/2010/wordprocessingShape">
                    <wps:wsp>
                      <wps:cNvSpPr txBox="1"/>
                      <wps:spPr>
                        <a:xfrm>
                          <a:off x="0" y="0"/>
                          <a:ext cx="2016125" cy="635"/>
                        </a:xfrm>
                        <a:prstGeom prst="rect">
                          <a:avLst/>
                        </a:prstGeom>
                        <a:solidFill>
                          <a:prstClr val="white"/>
                        </a:solidFill>
                        <a:ln>
                          <a:noFill/>
                        </a:ln>
                      </wps:spPr>
                      <wps:txbx>
                        <w:txbxContent>
                          <w:p w:rsidR="00E5102E" w:rsidRDefault="00E5102E" w:rsidP="003E1FBE">
                            <w:pPr>
                              <w:pStyle w:val="Caption"/>
                              <w:rPr>
                                <w:noProof/>
                              </w:rPr>
                            </w:pPr>
                            <w:r>
                              <w:t xml:space="preserve">Figure </w:t>
                            </w:r>
                            <w:r w:rsidR="002E375B">
                              <w:fldChar w:fldCharType="begin"/>
                            </w:r>
                            <w:r w:rsidR="002E375B">
                              <w:instrText xml:space="preserve"> SEQ Figure \* ARABIC </w:instrText>
                            </w:r>
                            <w:r w:rsidR="002E375B">
                              <w:fldChar w:fldCharType="separate"/>
                            </w:r>
                            <w:r>
                              <w:rPr>
                                <w:noProof/>
                              </w:rPr>
                              <w:t>8</w:t>
                            </w:r>
                            <w:r w:rsidR="002E375B">
                              <w:rPr>
                                <w:noProof/>
                              </w:rPr>
                              <w:fldChar w:fldCharType="end"/>
                            </w:r>
                            <w:r>
                              <w:t xml:space="preserve"> CBD peak on GC/MS Captiva-Method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3F13D09" id="Text Box 2" o:spid="_x0000_s1029" type="#_x0000_t202" style="position:absolute;left:0;text-align:left;margin-left:0;margin-top:342.55pt;width:158.75pt;height:.05pt;z-index:251662336;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XgKLQIAAGQEAAAOAAAAZHJzL2Uyb0RvYy54bWysVMFu2zAMvQ/YPwi6L05SNBiMOEWWIsOA&#10;oC3QFD0rshwbkESNUmJnXz9KttOt22nYRaZIitJ7j/TyrjOanRX6BmzBZ5MpZ8pKKBt7LPjLfvvp&#10;M2c+CFsKDVYV/KI8v1t9/LBsXa7mUIMuFTIqYn3euoLXIbg8y7yslRF+Ak5ZClaARgTa4jErUbRU&#10;3ehsPp0ushawdAhSeU/e+z7IV6l+VSkZHqvKq8B0weltIa2Y1kNcs9VS5EcUrm7k8AzxD68worF0&#10;6bXUvQiCnbD5o5RpJIKHKkwkmAyqqpEqYSA0s+k7NM+1cCphIXK8u9Lk/19Z+XB+QtaUBZ9zZoUh&#10;ifaqC+wLdGwe2Wmdzynp2VFa6MhNKo9+T84IuqvQxC/BYRQnni9XbmMxSU6Ct5jNbzmTFFvc3MYa&#10;2dtRhz58VWBYNAqOJFziU5x3PvSpY0q8yYNuym2jddzEwEYjOwsSua2boIbiv2VpG3MtxFN9wejJ&#10;Ir4eR7RCd+gSGzcjxgOUF4KO0LeOd3Lb0H074cOTQOoVQkv9Hx5pqTS0BYfB4qwG/PE3f8wnCSnK&#10;WUu9V3D//SRQcaa/WRI3Nupo4GgcRsOezAYI6Ywmy8lk0gEMejQrBPNKY7GOt1BIWEl3FTyM5ib0&#10;E0BjJdV6nZKoHZ0IO/vsZCw98rrvXgW6QZVAYj7A2JUifydOn5vkcetTIKaTcpHXnsWBbmrlpP0w&#10;dnFWft2nrLefw+onAAAA//8DAFBLAwQUAAYACAAAACEAKWl8NuAAAAAIAQAADwAAAGRycy9kb3du&#10;cmV2LnhtbEyPzU7DMBCE70i8g7VIXBB10p+0CnGqqoIDXCpCL7258TYOxOvIdtrw9phe4Dg7q5lv&#10;ivVoOnZG51tLAtJJAgyptqqlRsD+4+VxBcwHSUp2llDAN3pYl7c3hcyVvdA7nqvQsBhCPpcCdAh9&#10;zrmvNRrpJ7ZHit7JOiNDlK7hyslLDDcdnyZJxo1sKTZo2eNWY/1VDUbAbn7Y6Yfh9Py2mc/c637Y&#10;Zp9NJcT93bh5AhZwDH/P8Isf0aGMTEc7kPKsExCHBAHZapECi/YsXS6AHa+XKfCy4P8HlD8AAAD/&#10;/wMAUEsBAi0AFAAGAAgAAAAhALaDOJL+AAAA4QEAABMAAAAAAAAAAAAAAAAAAAAAAFtDb250ZW50&#10;X1R5cGVzXS54bWxQSwECLQAUAAYACAAAACEAOP0h/9YAAACUAQAACwAAAAAAAAAAAAAAAAAvAQAA&#10;X3JlbHMvLnJlbHNQSwECLQAUAAYACAAAACEAYFF4Ci0CAABkBAAADgAAAAAAAAAAAAAAAAAuAgAA&#10;ZHJzL2Uyb0RvYy54bWxQSwECLQAUAAYACAAAACEAKWl8NuAAAAAIAQAADwAAAAAAAAAAAAAAAACH&#10;BAAAZHJzL2Rvd25yZXYueG1sUEsFBgAAAAAEAAQA8wAAAJQFAAAAAA==&#10;" stroked="f">
                <v:textbox style="mso-fit-shape-to-text:t" inset="0,0,0,0">
                  <w:txbxContent>
                    <w:p w:rsidR="00E5102E" w:rsidRDefault="00E5102E" w:rsidP="003E1FBE">
                      <w:pPr>
                        <w:pStyle w:val="Caption"/>
                        <w:rPr>
                          <w:noProof/>
                        </w:rPr>
                      </w:pPr>
                      <w:r>
                        <w:t xml:space="preserve">Figure </w:t>
                      </w:r>
                      <w:r w:rsidR="002E375B">
                        <w:fldChar w:fldCharType="begin"/>
                      </w:r>
                      <w:r w:rsidR="002E375B">
                        <w:instrText xml:space="preserve"> SEQ Figure \* ARABIC </w:instrText>
                      </w:r>
                      <w:r w:rsidR="002E375B">
                        <w:fldChar w:fldCharType="separate"/>
                      </w:r>
                      <w:r>
                        <w:rPr>
                          <w:noProof/>
                        </w:rPr>
                        <w:t>8</w:t>
                      </w:r>
                      <w:r w:rsidR="002E375B">
                        <w:rPr>
                          <w:noProof/>
                        </w:rPr>
                        <w:fldChar w:fldCharType="end"/>
                      </w:r>
                      <w:r>
                        <w:t xml:space="preserve"> CBD peak on GC/MS Captiva-Method</w:t>
                      </w:r>
                    </w:p>
                  </w:txbxContent>
                </v:textbox>
                <w10:wrap type="square" anchorx="margin"/>
              </v:shape>
            </w:pict>
          </mc:Fallback>
        </mc:AlternateContent>
      </w:r>
      <w:r w:rsidR="00CC706E">
        <w:t xml:space="preserve">With the Intuvo 9000, the </w:t>
      </w:r>
      <w:r w:rsidR="003D3349">
        <w:t xml:space="preserve">peak </w:t>
      </w:r>
      <w:r w:rsidR="00CC706E">
        <w:t xml:space="preserve">resolution has been improved. This can be demonstrated by inspecting the resolution by calculating the resolution between the peak before CBD and CBD peak for the Captiva-method sample on both systems. </w:t>
      </w:r>
      <w:r w:rsidR="000E3521">
        <w:t xml:space="preserve">The resolution on </w:t>
      </w:r>
      <w:r w:rsidR="00690FDA">
        <w:t>GC/MS cannot be calcul</w:t>
      </w:r>
      <w:r>
        <w:t>ated as the peaks barely have separation. This phenomenon can be observer in figure 1. O</w:t>
      </w:r>
      <w:r w:rsidR="00FC4025">
        <w:t xml:space="preserve">n </w:t>
      </w:r>
      <w:r w:rsidR="000E3521">
        <w:t>Intuvo</w:t>
      </w:r>
      <w:r>
        <w:t xml:space="preserve"> the resolution for the same sample</w:t>
      </w:r>
      <w:r w:rsidR="000E3521">
        <w:t xml:space="preserve"> was 1.2</w:t>
      </w:r>
      <w:r w:rsidR="00FC4025">
        <w:t xml:space="preserve">. </w:t>
      </w:r>
      <w:r w:rsidR="00F607DC">
        <w:t>Intuvo has shown increased resolution before as well, as was discovered in the research where 7890A GC and Intuvo 9000 were compared</w:t>
      </w:r>
      <w:sdt>
        <w:sdtPr>
          <w:id w:val="1155721682"/>
          <w:citation/>
        </w:sdtPr>
        <w:sdtEndPr/>
        <w:sdtContent>
          <w:r w:rsidR="00F607DC">
            <w:fldChar w:fldCharType="begin"/>
          </w:r>
          <w:r w:rsidR="00F607DC">
            <w:instrText xml:space="preserve"> CITATION Kul18 \l 1033 </w:instrText>
          </w:r>
          <w:r w:rsidR="00F607DC">
            <w:fldChar w:fldCharType="separate"/>
          </w:r>
          <w:r w:rsidR="00F1475E">
            <w:rPr>
              <w:noProof/>
            </w:rPr>
            <w:t xml:space="preserve"> (Kulomaa, 2018)</w:t>
          </w:r>
          <w:r w:rsidR="00F607DC">
            <w:fldChar w:fldCharType="end"/>
          </w:r>
        </w:sdtContent>
      </w:sdt>
      <w:r w:rsidR="00F607DC">
        <w:t xml:space="preserve">. </w:t>
      </w:r>
      <w:r w:rsidR="00AF235A">
        <w:t xml:space="preserve">The efficiency of the Intuvo system was concluded to be higher than 7890A. This is likely </w:t>
      </w:r>
      <w:r w:rsidR="00F607DC">
        <w:t>due to the guard chip</w:t>
      </w:r>
      <w:r w:rsidR="00AF235A">
        <w:t xml:space="preserve"> providing additional separation in the system</w:t>
      </w:r>
      <w:r w:rsidR="00F607DC">
        <w:t xml:space="preserve">. </w:t>
      </w:r>
      <w:r w:rsidR="00AF235A">
        <w:t>Regarding to the temperature program that was chosen, a</w:t>
      </w:r>
      <w:r w:rsidR="004B6B37">
        <w:t xml:space="preserve">lthough the </w:t>
      </w:r>
      <w:r w:rsidR="006575D9">
        <w:t xml:space="preserve">last peaks elute around 25 minutes, it is beneficial to keep the </w:t>
      </w:r>
      <w:r w:rsidR="00FB04E0">
        <w:t>system at an elevated temperature for longer to avoid ‘ghost peaks’ or baseline increase.</w:t>
      </w:r>
    </w:p>
    <w:p w:rsidR="00990C5C" w:rsidRDefault="002C6902" w:rsidP="002C6902">
      <w:pPr>
        <w:pStyle w:val="Caption"/>
      </w:pPr>
      <w:r>
        <w:lastRenderedPageBreak/>
        <w:t xml:space="preserve">Table </w:t>
      </w:r>
      <w:r w:rsidR="002E375B">
        <w:fldChar w:fldCharType="begin"/>
      </w:r>
      <w:r w:rsidR="002E375B">
        <w:instrText xml:space="preserve"> SEQ Table \* ARABIC </w:instrText>
      </w:r>
      <w:r w:rsidR="002E375B">
        <w:fldChar w:fldCharType="separate"/>
      </w:r>
      <w:r w:rsidR="00715BEF">
        <w:rPr>
          <w:noProof/>
        </w:rPr>
        <w:t>2</w:t>
      </w:r>
      <w:r w:rsidR="002E375B">
        <w:rPr>
          <w:noProof/>
        </w:rPr>
        <w:fldChar w:fldCharType="end"/>
      </w:r>
      <w:r w:rsidRPr="002C6902">
        <w:t xml:space="preserve"> </w:t>
      </w:r>
      <w:r>
        <w:t xml:space="preserve">Possible identifications </w:t>
      </w:r>
      <w:r w:rsidRPr="002C6902">
        <w:t xml:space="preserve">of chemical constituents of commercially available CDB oil by </w:t>
      </w:r>
      <w:bookmarkStart w:id="48" w:name="_Hlk515456953"/>
      <w:r w:rsidRPr="002C6902">
        <w:t>means of GS/MS.</w:t>
      </w:r>
      <w:bookmarkEnd w:id="48"/>
    </w:p>
    <w:tbl>
      <w:tblPr>
        <w:tblW w:w="13958" w:type="dxa"/>
        <w:tblLook w:val="04A0" w:firstRow="1" w:lastRow="0" w:firstColumn="1" w:lastColumn="0" w:noHBand="0" w:noVBand="1"/>
      </w:tblPr>
      <w:tblGrid>
        <w:gridCol w:w="846"/>
        <w:gridCol w:w="4116"/>
        <w:gridCol w:w="1002"/>
        <w:gridCol w:w="1984"/>
        <w:gridCol w:w="1134"/>
        <w:gridCol w:w="1843"/>
        <w:gridCol w:w="1559"/>
        <w:gridCol w:w="1474"/>
      </w:tblGrid>
      <w:tr w:rsidR="0015754D" w:rsidRPr="009417F4" w:rsidTr="0015754D">
        <w:trPr>
          <w:trHeight w:val="1080"/>
        </w:trPr>
        <w:tc>
          <w:tcPr>
            <w:tcW w:w="846" w:type="dxa"/>
            <w:tcBorders>
              <w:top w:val="single" w:sz="4" w:space="0" w:color="auto"/>
              <w:left w:val="nil"/>
              <w:bottom w:val="single" w:sz="4" w:space="0" w:color="auto"/>
              <w:right w:val="nil"/>
            </w:tcBorders>
            <w:shd w:val="clear" w:color="auto" w:fill="auto"/>
            <w:vAlign w:val="center"/>
            <w:hideMark/>
          </w:tcPr>
          <w:p w:rsidR="0015754D" w:rsidRPr="009417F4" w:rsidRDefault="0015754D" w:rsidP="00B558C5">
            <w:pPr>
              <w:spacing w:after="0" w:line="240" w:lineRule="auto"/>
              <w:jc w:val="center"/>
              <w:rPr>
                <w:rFonts w:ascii="Calibri" w:eastAsia="Times New Roman" w:hAnsi="Calibri" w:cs="Times New Roman"/>
                <w:color w:val="000000"/>
              </w:rPr>
            </w:pPr>
            <w:r w:rsidRPr="009417F4">
              <w:rPr>
                <w:rFonts w:ascii="Calibri" w:eastAsia="Times New Roman" w:hAnsi="Calibri" w:cs="Times New Roman"/>
                <w:color w:val="000000"/>
              </w:rPr>
              <w:t xml:space="preserve">Elution Order </w:t>
            </w:r>
          </w:p>
        </w:tc>
        <w:tc>
          <w:tcPr>
            <w:tcW w:w="4116" w:type="dxa"/>
            <w:tcBorders>
              <w:top w:val="single" w:sz="4" w:space="0" w:color="auto"/>
              <w:left w:val="nil"/>
              <w:bottom w:val="single" w:sz="4" w:space="0" w:color="auto"/>
              <w:right w:val="nil"/>
            </w:tcBorders>
            <w:shd w:val="clear" w:color="auto" w:fill="auto"/>
            <w:vAlign w:val="center"/>
            <w:hideMark/>
          </w:tcPr>
          <w:p w:rsidR="0015754D" w:rsidRPr="009417F4" w:rsidRDefault="0015754D" w:rsidP="00B558C5">
            <w:pPr>
              <w:spacing w:after="0" w:line="240" w:lineRule="auto"/>
              <w:jc w:val="center"/>
              <w:rPr>
                <w:rFonts w:ascii="Calibri" w:eastAsia="Times New Roman" w:hAnsi="Calibri" w:cs="Times New Roman"/>
                <w:color w:val="000000"/>
              </w:rPr>
            </w:pPr>
            <w:r w:rsidRPr="009417F4">
              <w:rPr>
                <w:rFonts w:ascii="Calibri" w:eastAsia="Times New Roman" w:hAnsi="Calibri" w:cs="Times New Roman"/>
                <w:color w:val="000000"/>
              </w:rPr>
              <w:t>Compound name</w:t>
            </w:r>
            <w:r>
              <w:rPr>
                <w:rStyle w:val="FootnoteReference"/>
                <w:rFonts w:ascii="Calibri" w:eastAsia="Times New Roman" w:hAnsi="Calibri" w:cs="Times New Roman"/>
                <w:color w:val="000000"/>
              </w:rPr>
              <w:footnoteReference w:id="6"/>
            </w:r>
          </w:p>
        </w:tc>
        <w:tc>
          <w:tcPr>
            <w:tcW w:w="1002" w:type="dxa"/>
            <w:tcBorders>
              <w:top w:val="single" w:sz="4" w:space="0" w:color="auto"/>
              <w:left w:val="nil"/>
              <w:bottom w:val="single" w:sz="4" w:space="0" w:color="auto"/>
              <w:right w:val="nil"/>
            </w:tcBorders>
          </w:tcPr>
          <w:p w:rsidR="0015754D" w:rsidRPr="009417F4" w:rsidRDefault="0015754D" w:rsidP="00B558C5">
            <w:pPr>
              <w:spacing w:after="0" w:line="240" w:lineRule="auto"/>
              <w:jc w:val="center"/>
              <w:rPr>
                <w:rFonts w:ascii="Calibri" w:eastAsia="Times New Roman" w:hAnsi="Calibri" w:cs="Times New Roman"/>
                <w:color w:val="000000"/>
              </w:rPr>
            </w:pPr>
          </w:p>
        </w:tc>
        <w:tc>
          <w:tcPr>
            <w:tcW w:w="1984" w:type="dxa"/>
            <w:tcBorders>
              <w:top w:val="single" w:sz="4" w:space="0" w:color="auto"/>
              <w:left w:val="nil"/>
              <w:bottom w:val="single" w:sz="4" w:space="0" w:color="auto"/>
              <w:right w:val="nil"/>
            </w:tcBorders>
            <w:shd w:val="clear" w:color="auto" w:fill="auto"/>
            <w:vAlign w:val="center"/>
            <w:hideMark/>
          </w:tcPr>
          <w:p w:rsidR="0015754D" w:rsidRPr="009417F4" w:rsidRDefault="0015754D" w:rsidP="00B558C5">
            <w:pPr>
              <w:spacing w:after="0" w:line="240" w:lineRule="auto"/>
              <w:jc w:val="center"/>
              <w:rPr>
                <w:rFonts w:ascii="Calibri" w:eastAsia="Times New Roman" w:hAnsi="Calibri" w:cs="Times New Roman"/>
                <w:color w:val="000000"/>
              </w:rPr>
            </w:pPr>
            <w:r w:rsidRPr="009417F4">
              <w:rPr>
                <w:rFonts w:ascii="Calibri" w:eastAsia="Times New Roman" w:hAnsi="Calibri" w:cs="Times New Roman"/>
                <w:color w:val="000000"/>
              </w:rPr>
              <w:t>Retention time</w:t>
            </w:r>
          </w:p>
        </w:tc>
        <w:tc>
          <w:tcPr>
            <w:tcW w:w="1134" w:type="dxa"/>
            <w:tcBorders>
              <w:top w:val="single" w:sz="4" w:space="0" w:color="auto"/>
              <w:left w:val="nil"/>
              <w:bottom w:val="single" w:sz="4" w:space="0" w:color="auto"/>
              <w:right w:val="nil"/>
            </w:tcBorders>
            <w:shd w:val="clear" w:color="auto" w:fill="auto"/>
            <w:vAlign w:val="center"/>
            <w:hideMark/>
          </w:tcPr>
          <w:p w:rsidR="0015754D" w:rsidRPr="009417F4" w:rsidRDefault="0015754D" w:rsidP="00B558C5">
            <w:pPr>
              <w:spacing w:after="0" w:line="240" w:lineRule="auto"/>
              <w:jc w:val="center"/>
              <w:rPr>
                <w:rFonts w:ascii="Calibri" w:eastAsia="Times New Roman" w:hAnsi="Calibri" w:cs="Times New Roman"/>
                <w:color w:val="000000"/>
              </w:rPr>
            </w:pPr>
            <w:r w:rsidRPr="009417F4">
              <w:rPr>
                <w:rFonts w:ascii="Calibri" w:eastAsia="Times New Roman" w:hAnsi="Calibri" w:cs="Times New Roman"/>
                <w:color w:val="000000"/>
              </w:rPr>
              <w:t>Molar mass (g/mol)</w:t>
            </w:r>
          </w:p>
        </w:tc>
        <w:tc>
          <w:tcPr>
            <w:tcW w:w="1843" w:type="dxa"/>
            <w:tcBorders>
              <w:top w:val="single" w:sz="4" w:space="0" w:color="auto"/>
              <w:left w:val="nil"/>
              <w:bottom w:val="single" w:sz="4" w:space="0" w:color="auto"/>
              <w:right w:val="nil"/>
            </w:tcBorders>
            <w:shd w:val="clear" w:color="auto" w:fill="auto"/>
            <w:vAlign w:val="center"/>
            <w:hideMark/>
          </w:tcPr>
          <w:p w:rsidR="0015754D" w:rsidRPr="009417F4" w:rsidRDefault="0015754D" w:rsidP="00B558C5">
            <w:pPr>
              <w:spacing w:after="0" w:line="240" w:lineRule="auto"/>
              <w:jc w:val="center"/>
              <w:rPr>
                <w:rFonts w:ascii="Calibri" w:eastAsia="Times New Roman" w:hAnsi="Calibri" w:cs="Times New Roman"/>
                <w:color w:val="000000"/>
              </w:rPr>
            </w:pPr>
            <w:r w:rsidRPr="009417F4">
              <w:rPr>
                <w:rFonts w:ascii="Calibri" w:eastAsia="Times New Roman" w:hAnsi="Calibri" w:cs="Times New Roman"/>
                <w:color w:val="000000"/>
              </w:rPr>
              <w:t>Molecular formula</w:t>
            </w:r>
          </w:p>
        </w:tc>
        <w:tc>
          <w:tcPr>
            <w:tcW w:w="1559" w:type="dxa"/>
            <w:tcBorders>
              <w:top w:val="single" w:sz="4" w:space="0" w:color="auto"/>
              <w:left w:val="nil"/>
              <w:bottom w:val="single" w:sz="4" w:space="0" w:color="auto"/>
              <w:right w:val="nil"/>
            </w:tcBorders>
            <w:shd w:val="clear" w:color="auto" w:fill="auto"/>
            <w:vAlign w:val="center"/>
            <w:hideMark/>
          </w:tcPr>
          <w:p w:rsidR="0015754D" w:rsidRPr="009417F4" w:rsidRDefault="0015754D" w:rsidP="00B558C5">
            <w:pPr>
              <w:spacing w:after="0" w:line="240" w:lineRule="auto"/>
              <w:jc w:val="center"/>
              <w:rPr>
                <w:rFonts w:ascii="Calibri" w:eastAsia="Times New Roman" w:hAnsi="Calibri" w:cs="Times New Roman"/>
                <w:color w:val="000000"/>
              </w:rPr>
            </w:pPr>
            <w:r w:rsidRPr="009417F4">
              <w:rPr>
                <w:rFonts w:ascii="Calibri" w:eastAsia="Times New Roman" w:hAnsi="Calibri" w:cs="Times New Roman"/>
                <w:color w:val="000000"/>
              </w:rPr>
              <w:t>Sample prep. Method</w:t>
            </w:r>
          </w:p>
        </w:tc>
        <w:tc>
          <w:tcPr>
            <w:tcW w:w="1474" w:type="dxa"/>
            <w:tcBorders>
              <w:top w:val="single" w:sz="4" w:space="0" w:color="auto"/>
              <w:left w:val="nil"/>
              <w:bottom w:val="single" w:sz="4" w:space="0" w:color="auto"/>
              <w:right w:val="nil"/>
            </w:tcBorders>
            <w:shd w:val="clear" w:color="auto" w:fill="auto"/>
            <w:vAlign w:val="center"/>
            <w:hideMark/>
          </w:tcPr>
          <w:p w:rsidR="0015754D" w:rsidRPr="009417F4" w:rsidRDefault="0015754D" w:rsidP="00B558C5">
            <w:pPr>
              <w:spacing w:after="0" w:line="240" w:lineRule="auto"/>
              <w:jc w:val="center"/>
              <w:rPr>
                <w:rFonts w:ascii="Calibri" w:eastAsia="Times New Roman" w:hAnsi="Calibri" w:cs="Times New Roman"/>
                <w:color w:val="000000"/>
              </w:rPr>
            </w:pPr>
            <w:r w:rsidRPr="009417F4">
              <w:rPr>
                <w:rFonts w:ascii="Calibri" w:eastAsia="Times New Roman" w:hAnsi="Calibri" w:cs="Times New Roman"/>
                <w:color w:val="000000"/>
              </w:rPr>
              <w:t>NIST probability percentage</w:t>
            </w:r>
            <w:r>
              <w:rPr>
                <w:rFonts w:ascii="Calibri" w:eastAsia="Times New Roman" w:hAnsi="Calibri" w:cs="Times New Roman"/>
                <w:color w:val="000000"/>
              </w:rPr>
              <w:t xml:space="preserve"> </w:t>
            </w:r>
            <w:r w:rsidRPr="009417F4">
              <w:rPr>
                <w:rFonts w:ascii="Calibri" w:eastAsia="Times New Roman" w:hAnsi="Calibri" w:cs="Times New Roman"/>
                <w:color w:val="000000"/>
              </w:rPr>
              <w:t>(%)</w:t>
            </w:r>
          </w:p>
        </w:tc>
      </w:tr>
      <w:tr w:rsidR="0015754D" w:rsidRPr="009417F4" w:rsidTr="0015754D">
        <w:trPr>
          <w:trHeight w:val="300"/>
        </w:trPr>
        <w:tc>
          <w:tcPr>
            <w:tcW w:w="846" w:type="dxa"/>
            <w:tcBorders>
              <w:top w:val="single" w:sz="4" w:space="0" w:color="auto"/>
              <w:left w:val="nil"/>
              <w:bottom w:val="nil"/>
              <w:right w:val="nil"/>
            </w:tcBorders>
            <w:shd w:val="clear" w:color="auto" w:fill="auto"/>
            <w:noWrap/>
            <w:vAlign w:val="center"/>
            <w:hideMark/>
          </w:tcPr>
          <w:p w:rsidR="0015754D" w:rsidRPr="009417F4" w:rsidRDefault="0015754D" w:rsidP="00B558C5">
            <w:pPr>
              <w:spacing w:after="0" w:line="240" w:lineRule="auto"/>
              <w:jc w:val="center"/>
              <w:rPr>
                <w:rFonts w:ascii="Calibri" w:eastAsia="Times New Roman" w:hAnsi="Calibri" w:cs="Times New Roman"/>
                <w:color w:val="000000"/>
              </w:rPr>
            </w:pPr>
            <w:r w:rsidRPr="009417F4">
              <w:rPr>
                <w:rFonts w:ascii="Calibri" w:eastAsia="Times New Roman" w:hAnsi="Calibri" w:cs="Times New Roman"/>
                <w:color w:val="000000"/>
              </w:rPr>
              <w:t>1</w:t>
            </w:r>
          </w:p>
        </w:tc>
        <w:tc>
          <w:tcPr>
            <w:tcW w:w="4116" w:type="dxa"/>
            <w:tcBorders>
              <w:top w:val="single" w:sz="4" w:space="0" w:color="auto"/>
              <w:left w:val="nil"/>
              <w:bottom w:val="nil"/>
              <w:right w:val="nil"/>
            </w:tcBorders>
            <w:shd w:val="clear" w:color="auto" w:fill="auto"/>
            <w:noWrap/>
            <w:vAlign w:val="center"/>
            <w:hideMark/>
          </w:tcPr>
          <w:p w:rsidR="0015754D" w:rsidRPr="009417F4" w:rsidRDefault="0015754D" w:rsidP="00B558C5">
            <w:pPr>
              <w:spacing w:after="0" w:line="240" w:lineRule="auto"/>
              <w:jc w:val="center"/>
              <w:rPr>
                <w:rFonts w:ascii="Calibri" w:eastAsia="Times New Roman" w:hAnsi="Calibri" w:cs="Times New Roman"/>
                <w:color w:val="000000"/>
              </w:rPr>
            </w:pPr>
            <w:r w:rsidRPr="009417F4">
              <w:rPr>
                <w:rFonts w:ascii="Calibri" w:eastAsia="Times New Roman" w:hAnsi="Calibri" w:cs="Times New Roman"/>
                <w:color w:val="000000"/>
              </w:rPr>
              <w:t>Fatty acid-TMS</w:t>
            </w:r>
          </w:p>
        </w:tc>
        <w:tc>
          <w:tcPr>
            <w:tcW w:w="1002" w:type="dxa"/>
            <w:tcBorders>
              <w:top w:val="single" w:sz="4" w:space="0" w:color="auto"/>
              <w:left w:val="nil"/>
              <w:bottom w:val="nil"/>
              <w:right w:val="nil"/>
            </w:tcBorders>
          </w:tcPr>
          <w:p w:rsidR="0015754D" w:rsidRPr="009417F4" w:rsidRDefault="0015754D" w:rsidP="00B558C5">
            <w:pPr>
              <w:spacing w:after="0" w:line="240" w:lineRule="auto"/>
              <w:jc w:val="center"/>
              <w:rPr>
                <w:rFonts w:ascii="Calibri" w:eastAsia="Times New Roman" w:hAnsi="Calibri" w:cs="Times New Roman"/>
                <w:color w:val="000000"/>
              </w:rPr>
            </w:pPr>
          </w:p>
        </w:tc>
        <w:tc>
          <w:tcPr>
            <w:tcW w:w="1984" w:type="dxa"/>
            <w:tcBorders>
              <w:top w:val="single" w:sz="4" w:space="0" w:color="auto"/>
              <w:left w:val="nil"/>
              <w:bottom w:val="nil"/>
              <w:right w:val="nil"/>
            </w:tcBorders>
            <w:shd w:val="clear" w:color="auto" w:fill="auto"/>
            <w:noWrap/>
            <w:vAlign w:val="center"/>
            <w:hideMark/>
          </w:tcPr>
          <w:p w:rsidR="0015754D" w:rsidRPr="009417F4" w:rsidRDefault="0015754D" w:rsidP="00B558C5">
            <w:pPr>
              <w:spacing w:after="0" w:line="240" w:lineRule="auto"/>
              <w:jc w:val="center"/>
              <w:rPr>
                <w:rFonts w:ascii="Calibri" w:eastAsia="Times New Roman" w:hAnsi="Calibri" w:cs="Times New Roman"/>
                <w:color w:val="000000"/>
              </w:rPr>
            </w:pPr>
            <w:r w:rsidRPr="009417F4">
              <w:rPr>
                <w:rFonts w:ascii="Calibri" w:eastAsia="Times New Roman" w:hAnsi="Calibri" w:cs="Times New Roman"/>
                <w:color w:val="000000"/>
              </w:rPr>
              <w:t>6.063</w:t>
            </w:r>
          </w:p>
        </w:tc>
        <w:tc>
          <w:tcPr>
            <w:tcW w:w="1134" w:type="dxa"/>
            <w:tcBorders>
              <w:top w:val="single" w:sz="4" w:space="0" w:color="auto"/>
              <w:left w:val="nil"/>
              <w:bottom w:val="nil"/>
              <w:right w:val="nil"/>
            </w:tcBorders>
            <w:shd w:val="clear" w:color="auto" w:fill="auto"/>
            <w:noWrap/>
            <w:vAlign w:val="center"/>
            <w:hideMark/>
          </w:tcPr>
          <w:p w:rsidR="0015754D" w:rsidRPr="009417F4" w:rsidRDefault="0015754D" w:rsidP="00B558C5">
            <w:pPr>
              <w:spacing w:after="0" w:line="240" w:lineRule="auto"/>
              <w:jc w:val="center"/>
              <w:rPr>
                <w:rFonts w:ascii="Calibri" w:eastAsia="Times New Roman" w:hAnsi="Calibri" w:cs="Times New Roman"/>
                <w:color w:val="000000"/>
              </w:rPr>
            </w:pPr>
          </w:p>
        </w:tc>
        <w:tc>
          <w:tcPr>
            <w:tcW w:w="1843" w:type="dxa"/>
            <w:tcBorders>
              <w:top w:val="single" w:sz="4" w:space="0" w:color="auto"/>
              <w:left w:val="nil"/>
              <w:bottom w:val="nil"/>
              <w:right w:val="nil"/>
            </w:tcBorders>
            <w:shd w:val="clear" w:color="auto" w:fill="auto"/>
            <w:noWrap/>
            <w:vAlign w:val="center"/>
            <w:hideMark/>
          </w:tcPr>
          <w:p w:rsidR="0015754D" w:rsidRPr="009417F4" w:rsidRDefault="0015754D" w:rsidP="00B558C5">
            <w:pPr>
              <w:spacing w:after="0" w:line="240" w:lineRule="auto"/>
              <w:jc w:val="center"/>
              <w:rPr>
                <w:rFonts w:ascii="Times New Roman" w:eastAsia="Times New Roman" w:hAnsi="Times New Roman" w:cs="Times New Roman"/>
                <w:sz w:val="20"/>
                <w:szCs w:val="20"/>
              </w:rPr>
            </w:pPr>
          </w:p>
        </w:tc>
        <w:tc>
          <w:tcPr>
            <w:tcW w:w="1559" w:type="dxa"/>
            <w:tcBorders>
              <w:top w:val="single" w:sz="4" w:space="0" w:color="auto"/>
              <w:left w:val="nil"/>
              <w:bottom w:val="nil"/>
              <w:right w:val="nil"/>
            </w:tcBorders>
            <w:shd w:val="clear" w:color="auto" w:fill="auto"/>
            <w:noWrap/>
            <w:vAlign w:val="center"/>
            <w:hideMark/>
          </w:tcPr>
          <w:p w:rsidR="0015754D" w:rsidRPr="009417F4" w:rsidRDefault="0015754D" w:rsidP="00B558C5">
            <w:pPr>
              <w:spacing w:after="0" w:line="240" w:lineRule="auto"/>
              <w:jc w:val="center"/>
              <w:rPr>
                <w:rFonts w:ascii="Calibri" w:eastAsia="Times New Roman" w:hAnsi="Calibri" w:cs="Times New Roman"/>
                <w:color w:val="000000"/>
              </w:rPr>
            </w:pPr>
            <w:r w:rsidRPr="009417F4">
              <w:rPr>
                <w:rFonts w:ascii="Calibri" w:eastAsia="Times New Roman" w:hAnsi="Calibri" w:cs="Times New Roman"/>
                <w:color w:val="000000"/>
              </w:rPr>
              <w:t>Captiva, EMR</w:t>
            </w:r>
          </w:p>
        </w:tc>
        <w:tc>
          <w:tcPr>
            <w:tcW w:w="1474" w:type="dxa"/>
            <w:tcBorders>
              <w:top w:val="single" w:sz="4" w:space="0" w:color="auto"/>
              <w:left w:val="nil"/>
              <w:bottom w:val="nil"/>
              <w:right w:val="nil"/>
            </w:tcBorders>
            <w:shd w:val="clear" w:color="auto" w:fill="auto"/>
            <w:noWrap/>
            <w:vAlign w:val="center"/>
            <w:hideMark/>
          </w:tcPr>
          <w:p w:rsidR="0015754D" w:rsidRPr="009417F4" w:rsidRDefault="0015754D" w:rsidP="00B558C5">
            <w:pPr>
              <w:spacing w:after="0" w:line="240" w:lineRule="auto"/>
              <w:jc w:val="center"/>
              <w:rPr>
                <w:rFonts w:ascii="Calibri" w:eastAsia="Times New Roman" w:hAnsi="Calibri" w:cs="Times New Roman"/>
                <w:color w:val="000000"/>
              </w:rPr>
            </w:pPr>
          </w:p>
        </w:tc>
      </w:tr>
      <w:tr w:rsidR="0015754D" w:rsidRPr="009417F4" w:rsidTr="0015754D">
        <w:trPr>
          <w:trHeight w:val="300"/>
        </w:trPr>
        <w:tc>
          <w:tcPr>
            <w:tcW w:w="846" w:type="dxa"/>
            <w:tcBorders>
              <w:top w:val="nil"/>
              <w:left w:val="nil"/>
              <w:bottom w:val="nil"/>
              <w:right w:val="nil"/>
            </w:tcBorders>
            <w:shd w:val="clear" w:color="auto" w:fill="auto"/>
            <w:noWrap/>
            <w:vAlign w:val="center"/>
            <w:hideMark/>
          </w:tcPr>
          <w:p w:rsidR="0015754D" w:rsidRPr="009417F4" w:rsidRDefault="0015754D" w:rsidP="00B558C5">
            <w:pPr>
              <w:spacing w:after="0" w:line="240" w:lineRule="auto"/>
              <w:jc w:val="center"/>
              <w:rPr>
                <w:rFonts w:ascii="Calibri" w:eastAsia="Times New Roman" w:hAnsi="Calibri" w:cs="Times New Roman"/>
                <w:color w:val="000000"/>
              </w:rPr>
            </w:pPr>
            <w:r w:rsidRPr="009417F4">
              <w:rPr>
                <w:rFonts w:ascii="Calibri" w:eastAsia="Times New Roman" w:hAnsi="Calibri" w:cs="Times New Roman"/>
                <w:color w:val="000000"/>
              </w:rPr>
              <w:t>2</w:t>
            </w:r>
          </w:p>
        </w:tc>
        <w:tc>
          <w:tcPr>
            <w:tcW w:w="4116" w:type="dxa"/>
            <w:tcBorders>
              <w:top w:val="nil"/>
              <w:left w:val="nil"/>
              <w:bottom w:val="nil"/>
              <w:right w:val="nil"/>
            </w:tcBorders>
            <w:shd w:val="clear" w:color="auto" w:fill="auto"/>
            <w:noWrap/>
            <w:vAlign w:val="center"/>
            <w:hideMark/>
          </w:tcPr>
          <w:p w:rsidR="0015754D" w:rsidRPr="009417F4" w:rsidRDefault="0015754D" w:rsidP="00B558C5">
            <w:pPr>
              <w:spacing w:after="0" w:line="240" w:lineRule="auto"/>
              <w:jc w:val="center"/>
              <w:rPr>
                <w:rFonts w:ascii="Calibri" w:eastAsia="Times New Roman" w:hAnsi="Calibri" w:cs="Times New Roman"/>
                <w:color w:val="000000"/>
              </w:rPr>
            </w:pPr>
            <w:r w:rsidRPr="009417F4">
              <w:rPr>
                <w:rFonts w:ascii="Calibri" w:eastAsia="Times New Roman" w:hAnsi="Calibri" w:cs="Times New Roman"/>
                <w:color w:val="000000"/>
              </w:rPr>
              <w:t>Doconexent-TMS</w:t>
            </w:r>
          </w:p>
        </w:tc>
        <w:tc>
          <w:tcPr>
            <w:tcW w:w="1002" w:type="dxa"/>
            <w:tcBorders>
              <w:top w:val="nil"/>
              <w:left w:val="nil"/>
              <w:bottom w:val="nil"/>
              <w:right w:val="nil"/>
            </w:tcBorders>
          </w:tcPr>
          <w:p w:rsidR="0015754D" w:rsidRPr="009417F4" w:rsidRDefault="0015754D" w:rsidP="00B558C5">
            <w:pPr>
              <w:spacing w:after="0" w:line="240" w:lineRule="auto"/>
              <w:jc w:val="center"/>
              <w:rPr>
                <w:rFonts w:ascii="Calibri" w:eastAsia="Times New Roman" w:hAnsi="Calibri" w:cs="Times New Roman"/>
                <w:color w:val="000000"/>
              </w:rPr>
            </w:pPr>
          </w:p>
        </w:tc>
        <w:tc>
          <w:tcPr>
            <w:tcW w:w="1984" w:type="dxa"/>
            <w:tcBorders>
              <w:top w:val="nil"/>
              <w:left w:val="nil"/>
              <w:bottom w:val="nil"/>
              <w:right w:val="nil"/>
            </w:tcBorders>
            <w:shd w:val="clear" w:color="auto" w:fill="auto"/>
            <w:noWrap/>
            <w:vAlign w:val="center"/>
            <w:hideMark/>
          </w:tcPr>
          <w:p w:rsidR="0015754D" w:rsidRPr="009417F4" w:rsidRDefault="0015754D" w:rsidP="00B558C5">
            <w:pPr>
              <w:spacing w:after="0" w:line="240" w:lineRule="auto"/>
              <w:jc w:val="center"/>
              <w:rPr>
                <w:rFonts w:ascii="Calibri" w:eastAsia="Times New Roman" w:hAnsi="Calibri" w:cs="Times New Roman"/>
                <w:color w:val="000000"/>
              </w:rPr>
            </w:pPr>
            <w:r w:rsidRPr="009417F4">
              <w:rPr>
                <w:rFonts w:ascii="Calibri" w:eastAsia="Times New Roman" w:hAnsi="Calibri" w:cs="Times New Roman"/>
                <w:color w:val="000000"/>
              </w:rPr>
              <w:t>6.104</w:t>
            </w:r>
          </w:p>
        </w:tc>
        <w:tc>
          <w:tcPr>
            <w:tcW w:w="1134" w:type="dxa"/>
            <w:tcBorders>
              <w:top w:val="nil"/>
              <w:left w:val="nil"/>
              <w:bottom w:val="nil"/>
              <w:right w:val="nil"/>
            </w:tcBorders>
            <w:shd w:val="clear" w:color="auto" w:fill="auto"/>
            <w:noWrap/>
            <w:vAlign w:val="center"/>
            <w:hideMark/>
          </w:tcPr>
          <w:p w:rsidR="0015754D" w:rsidRPr="009417F4" w:rsidRDefault="0015754D" w:rsidP="00B558C5">
            <w:pPr>
              <w:spacing w:after="0" w:line="240" w:lineRule="auto"/>
              <w:jc w:val="center"/>
              <w:rPr>
                <w:rFonts w:ascii="Calibri" w:eastAsia="Times New Roman" w:hAnsi="Calibri" w:cs="Times New Roman"/>
                <w:color w:val="000000"/>
              </w:rPr>
            </w:pPr>
            <w:r w:rsidRPr="009417F4">
              <w:rPr>
                <w:rFonts w:ascii="Calibri" w:eastAsia="Times New Roman" w:hAnsi="Calibri" w:cs="Times New Roman"/>
                <w:color w:val="000000"/>
              </w:rPr>
              <w:t>400.29</w:t>
            </w:r>
          </w:p>
        </w:tc>
        <w:tc>
          <w:tcPr>
            <w:tcW w:w="1843" w:type="dxa"/>
            <w:tcBorders>
              <w:top w:val="nil"/>
              <w:left w:val="nil"/>
              <w:bottom w:val="nil"/>
              <w:right w:val="nil"/>
            </w:tcBorders>
            <w:shd w:val="clear" w:color="auto" w:fill="auto"/>
            <w:noWrap/>
            <w:vAlign w:val="center"/>
            <w:hideMark/>
          </w:tcPr>
          <w:p w:rsidR="0015754D" w:rsidRPr="009417F4" w:rsidRDefault="0015754D" w:rsidP="00B558C5">
            <w:pPr>
              <w:spacing w:after="0" w:line="240" w:lineRule="auto"/>
              <w:jc w:val="center"/>
              <w:rPr>
                <w:rFonts w:ascii="Calibri" w:eastAsia="Times New Roman" w:hAnsi="Calibri" w:cs="Times New Roman"/>
                <w:color w:val="000000"/>
              </w:rPr>
            </w:pPr>
            <w:r w:rsidRPr="009417F4">
              <w:rPr>
                <w:rFonts w:ascii="Calibri" w:eastAsia="Times New Roman" w:hAnsi="Calibri" w:cs="Times New Roman"/>
                <w:color w:val="000000"/>
              </w:rPr>
              <w:t>C</w:t>
            </w:r>
            <w:r w:rsidR="001C3243">
              <w:rPr>
                <w:rFonts w:ascii="Calibri" w:eastAsia="Times New Roman" w:hAnsi="Calibri" w:cs="Times New Roman"/>
                <w:color w:val="000000"/>
              </w:rPr>
              <w:t xml:space="preserve"> </w:t>
            </w:r>
            <w:r w:rsidR="001C3243">
              <w:rPr>
                <w:rFonts w:ascii="Calibri" w:eastAsia="Times New Roman" w:hAnsi="Calibri" w:cs="Times New Roman"/>
                <w:color w:val="000000"/>
                <w:vertAlign w:val="subscript"/>
              </w:rPr>
              <w:t>25</w:t>
            </w:r>
            <w:r w:rsidRPr="009417F4">
              <w:rPr>
                <w:rFonts w:ascii="Calibri" w:eastAsia="Times New Roman" w:hAnsi="Calibri" w:cs="Times New Roman"/>
                <w:color w:val="000000"/>
              </w:rPr>
              <w:t>H</w:t>
            </w:r>
            <w:r w:rsidRPr="001C3243">
              <w:rPr>
                <w:rFonts w:ascii="Calibri" w:eastAsia="Times New Roman" w:hAnsi="Calibri" w:cs="Times New Roman"/>
                <w:color w:val="000000"/>
                <w:vertAlign w:val="subscript"/>
              </w:rPr>
              <w:t>40</w:t>
            </w:r>
            <w:r w:rsidRPr="009417F4">
              <w:rPr>
                <w:rFonts w:ascii="Calibri" w:eastAsia="Times New Roman" w:hAnsi="Calibri" w:cs="Times New Roman"/>
                <w:color w:val="000000"/>
              </w:rPr>
              <w:t>O</w:t>
            </w:r>
            <w:r w:rsidRPr="001C3243">
              <w:rPr>
                <w:rFonts w:ascii="Calibri" w:eastAsia="Times New Roman" w:hAnsi="Calibri" w:cs="Times New Roman"/>
                <w:color w:val="000000"/>
                <w:vertAlign w:val="subscript"/>
              </w:rPr>
              <w:t>2</w:t>
            </w:r>
            <w:r w:rsidRPr="009417F4">
              <w:rPr>
                <w:rFonts w:ascii="Calibri" w:eastAsia="Times New Roman" w:hAnsi="Calibri" w:cs="Times New Roman"/>
                <w:color w:val="000000"/>
              </w:rPr>
              <w:t>Si</w:t>
            </w:r>
          </w:p>
        </w:tc>
        <w:tc>
          <w:tcPr>
            <w:tcW w:w="1559" w:type="dxa"/>
            <w:tcBorders>
              <w:top w:val="nil"/>
              <w:left w:val="nil"/>
              <w:bottom w:val="nil"/>
              <w:right w:val="nil"/>
            </w:tcBorders>
            <w:shd w:val="clear" w:color="auto" w:fill="auto"/>
            <w:noWrap/>
            <w:vAlign w:val="center"/>
            <w:hideMark/>
          </w:tcPr>
          <w:p w:rsidR="0015754D" w:rsidRPr="009417F4" w:rsidRDefault="0015754D" w:rsidP="00B558C5">
            <w:pPr>
              <w:spacing w:after="0" w:line="240" w:lineRule="auto"/>
              <w:jc w:val="center"/>
              <w:rPr>
                <w:rFonts w:ascii="Calibri" w:eastAsia="Times New Roman" w:hAnsi="Calibri" w:cs="Times New Roman"/>
                <w:color w:val="000000"/>
              </w:rPr>
            </w:pPr>
            <w:r w:rsidRPr="009417F4">
              <w:rPr>
                <w:rFonts w:ascii="Calibri" w:eastAsia="Times New Roman" w:hAnsi="Calibri" w:cs="Times New Roman"/>
                <w:color w:val="000000"/>
              </w:rPr>
              <w:t>Captiva, EMR</w:t>
            </w:r>
          </w:p>
        </w:tc>
        <w:tc>
          <w:tcPr>
            <w:tcW w:w="1474" w:type="dxa"/>
            <w:tcBorders>
              <w:top w:val="nil"/>
              <w:left w:val="nil"/>
              <w:bottom w:val="nil"/>
              <w:right w:val="nil"/>
            </w:tcBorders>
            <w:shd w:val="clear" w:color="auto" w:fill="auto"/>
            <w:noWrap/>
            <w:vAlign w:val="center"/>
            <w:hideMark/>
          </w:tcPr>
          <w:p w:rsidR="0015754D" w:rsidRPr="009417F4" w:rsidRDefault="0015754D" w:rsidP="00B558C5">
            <w:pPr>
              <w:spacing w:after="0" w:line="240" w:lineRule="auto"/>
              <w:jc w:val="center"/>
              <w:rPr>
                <w:rFonts w:ascii="Calibri" w:eastAsia="Times New Roman" w:hAnsi="Calibri" w:cs="Times New Roman"/>
                <w:color w:val="000000"/>
              </w:rPr>
            </w:pPr>
            <w:r w:rsidRPr="009417F4">
              <w:rPr>
                <w:rFonts w:ascii="Calibri" w:eastAsia="Times New Roman" w:hAnsi="Calibri" w:cs="Times New Roman"/>
                <w:color w:val="000000"/>
              </w:rPr>
              <w:t>11.8</w:t>
            </w:r>
          </w:p>
        </w:tc>
      </w:tr>
      <w:tr w:rsidR="0015754D" w:rsidRPr="009417F4" w:rsidTr="0015754D">
        <w:trPr>
          <w:trHeight w:val="300"/>
        </w:trPr>
        <w:tc>
          <w:tcPr>
            <w:tcW w:w="846" w:type="dxa"/>
            <w:tcBorders>
              <w:top w:val="nil"/>
              <w:left w:val="nil"/>
              <w:bottom w:val="nil"/>
              <w:right w:val="nil"/>
            </w:tcBorders>
            <w:shd w:val="clear" w:color="auto" w:fill="auto"/>
            <w:noWrap/>
            <w:vAlign w:val="center"/>
            <w:hideMark/>
          </w:tcPr>
          <w:p w:rsidR="0015754D" w:rsidRPr="009417F4" w:rsidRDefault="0015754D" w:rsidP="00B558C5">
            <w:pPr>
              <w:spacing w:after="0" w:line="240" w:lineRule="auto"/>
              <w:jc w:val="center"/>
              <w:rPr>
                <w:rFonts w:ascii="Calibri" w:eastAsia="Times New Roman" w:hAnsi="Calibri" w:cs="Times New Roman"/>
                <w:color w:val="000000"/>
              </w:rPr>
            </w:pPr>
            <w:r w:rsidRPr="009417F4">
              <w:rPr>
                <w:rFonts w:ascii="Calibri" w:eastAsia="Times New Roman" w:hAnsi="Calibri" w:cs="Times New Roman"/>
                <w:color w:val="000000"/>
              </w:rPr>
              <w:t>3</w:t>
            </w:r>
          </w:p>
        </w:tc>
        <w:tc>
          <w:tcPr>
            <w:tcW w:w="4116" w:type="dxa"/>
            <w:tcBorders>
              <w:top w:val="nil"/>
              <w:left w:val="nil"/>
              <w:bottom w:val="nil"/>
              <w:right w:val="nil"/>
            </w:tcBorders>
            <w:shd w:val="clear" w:color="auto" w:fill="auto"/>
            <w:noWrap/>
            <w:vAlign w:val="center"/>
            <w:hideMark/>
          </w:tcPr>
          <w:p w:rsidR="0015754D" w:rsidRPr="009417F4" w:rsidRDefault="0015754D" w:rsidP="00B558C5">
            <w:pPr>
              <w:spacing w:after="0" w:line="240" w:lineRule="auto"/>
              <w:jc w:val="center"/>
              <w:rPr>
                <w:rFonts w:ascii="Calibri" w:eastAsia="Times New Roman" w:hAnsi="Calibri" w:cs="Times New Roman"/>
                <w:color w:val="000000"/>
              </w:rPr>
            </w:pPr>
            <w:r w:rsidRPr="009417F4">
              <w:rPr>
                <w:rFonts w:ascii="Calibri" w:eastAsia="Times New Roman" w:hAnsi="Calibri" w:cs="Times New Roman"/>
                <w:color w:val="000000"/>
              </w:rPr>
              <w:t>Fatty acid-TMS</w:t>
            </w:r>
          </w:p>
        </w:tc>
        <w:tc>
          <w:tcPr>
            <w:tcW w:w="1002" w:type="dxa"/>
            <w:tcBorders>
              <w:top w:val="nil"/>
              <w:left w:val="nil"/>
              <w:bottom w:val="nil"/>
              <w:right w:val="nil"/>
            </w:tcBorders>
          </w:tcPr>
          <w:p w:rsidR="0015754D" w:rsidRPr="009417F4" w:rsidRDefault="0015754D" w:rsidP="00B558C5">
            <w:pPr>
              <w:spacing w:after="0" w:line="240" w:lineRule="auto"/>
              <w:jc w:val="center"/>
              <w:rPr>
                <w:rFonts w:ascii="Calibri" w:eastAsia="Times New Roman" w:hAnsi="Calibri" w:cs="Times New Roman"/>
                <w:color w:val="000000"/>
              </w:rPr>
            </w:pPr>
          </w:p>
        </w:tc>
        <w:tc>
          <w:tcPr>
            <w:tcW w:w="1984" w:type="dxa"/>
            <w:tcBorders>
              <w:top w:val="nil"/>
              <w:left w:val="nil"/>
              <w:bottom w:val="nil"/>
              <w:right w:val="nil"/>
            </w:tcBorders>
            <w:shd w:val="clear" w:color="auto" w:fill="auto"/>
            <w:noWrap/>
            <w:vAlign w:val="center"/>
            <w:hideMark/>
          </w:tcPr>
          <w:p w:rsidR="0015754D" w:rsidRPr="009417F4" w:rsidRDefault="0015754D" w:rsidP="00B558C5">
            <w:pPr>
              <w:spacing w:after="0" w:line="240" w:lineRule="auto"/>
              <w:jc w:val="center"/>
              <w:rPr>
                <w:rFonts w:ascii="Calibri" w:eastAsia="Times New Roman" w:hAnsi="Calibri" w:cs="Times New Roman"/>
                <w:color w:val="000000"/>
              </w:rPr>
            </w:pPr>
            <w:r w:rsidRPr="009417F4">
              <w:rPr>
                <w:rFonts w:ascii="Calibri" w:eastAsia="Times New Roman" w:hAnsi="Calibri" w:cs="Times New Roman"/>
                <w:color w:val="000000"/>
              </w:rPr>
              <w:t>6.314</w:t>
            </w:r>
          </w:p>
        </w:tc>
        <w:tc>
          <w:tcPr>
            <w:tcW w:w="1134" w:type="dxa"/>
            <w:tcBorders>
              <w:top w:val="nil"/>
              <w:left w:val="nil"/>
              <w:bottom w:val="nil"/>
              <w:right w:val="nil"/>
            </w:tcBorders>
            <w:shd w:val="clear" w:color="auto" w:fill="auto"/>
            <w:noWrap/>
            <w:vAlign w:val="center"/>
            <w:hideMark/>
          </w:tcPr>
          <w:p w:rsidR="0015754D" w:rsidRPr="009417F4" w:rsidRDefault="0015754D" w:rsidP="00B558C5">
            <w:pPr>
              <w:spacing w:after="0" w:line="240" w:lineRule="auto"/>
              <w:jc w:val="center"/>
              <w:rPr>
                <w:rFonts w:ascii="Calibri" w:eastAsia="Times New Roman" w:hAnsi="Calibri" w:cs="Times New Roman"/>
                <w:color w:val="000000"/>
              </w:rPr>
            </w:pPr>
          </w:p>
        </w:tc>
        <w:tc>
          <w:tcPr>
            <w:tcW w:w="1843" w:type="dxa"/>
            <w:tcBorders>
              <w:top w:val="nil"/>
              <w:left w:val="nil"/>
              <w:bottom w:val="nil"/>
              <w:right w:val="nil"/>
            </w:tcBorders>
            <w:shd w:val="clear" w:color="auto" w:fill="auto"/>
            <w:noWrap/>
            <w:vAlign w:val="center"/>
            <w:hideMark/>
          </w:tcPr>
          <w:p w:rsidR="0015754D" w:rsidRPr="009417F4" w:rsidRDefault="0015754D" w:rsidP="00B558C5">
            <w:pPr>
              <w:spacing w:after="0" w:line="240" w:lineRule="auto"/>
              <w:jc w:val="center"/>
              <w:rPr>
                <w:rFonts w:ascii="Times New Roman" w:eastAsia="Times New Roman" w:hAnsi="Times New Roman" w:cs="Times New Roman"/>
                <w:sz w:val="20"/>
                <w:szCs w:val="20"/>
              </w:rPr>
            </w:pPr>
          </w:p>
        </w:tc>
        <w:tc>
          <w:tcPr>
            <w:tcW w:w="1559" w:type="dxa"/>
            <w:tcBorders>
              <w:top w:val="nil"/>
              <w:left w:val="nil"/>
              <w:bottom w:val="nil"/>
              <w:right w:val="nil"/>
            </w:tcBorders>
            <w:shd w:val="clear" w:color="auto" w:fill="auto"/>
            <w:noWrap/>
            <w:vAlign w:val="center"/>
            <w:hideMark/>
          </w:tcPr>
          <w:p w:rsidR="0015754D" w:rsidRPr="009417F4" w:rsidRDefault="0015754D" w:rsidP="00B558C5">
            <w:pPr>
              <w:spacing w:after="0" w:line="240" w:lineRule="auto"/>
              <w:jc w:val="center"/>
              <w:rPr>
                <w:rFonts w:ascii="Calibri" w:eastAsia="Times New Roman" w:hAnsi="Calibri" w:cs="Times New Roman"/>
                <w:color w:val="000000"/>
              </w:rPr>
            </w:pPr>
            <w:r w:rsidRPr="009417F4">
              <w:rPr>
                <w:rFonts w:ascii="Calibri" w:eastAsia="Times New Roman" w:hAnsi="Calibri" w:cs="Times New Roman"/>
                <w:color w:val="000000"/>
              </w:rPr>
              <w:t>EMR</w:t>
            </w:r>
          </w:p>
        </w:tc>
        <w:tc>
          <w:tcPr>
            <w:tcW w:w="1474" w:type="dxa"/>
            <w:tcBorders>
              <w:top w:val="nil"/>
              <w:left w:val="nil"/>
              <w:bottom w:val="nil"/>
              <w:right w:val="nil"/>
            </w:tcBorders>
            <w:shd w:val="clear" w:color="auto" w:fill="auto"/>
            <w:noWrap/>
            <w:vAlign w:val="center"/>
            <w:hideMark/>
          </w:tcPr>
          <w:p w:rsidR="0015754D" w:rsidRPr="009417F4" w:rsidRDefault="0015754D" w:rsidP="00B558C5">
            <w:pPr>
              <w:spacing w:after="0" w:line="240" w:lineRule="auto"/>
              <w:jc w:val="center"/>
              <w:rPr>
                <w:rFonts w:ascii="Calibri" w:eastAsia="Times New Roman" w:hAnsi="Calibri" w:cs="Times New Roman"/>
                <w:color w:val="000000"/>
              </w:rPr>
            </w:pPr>
          </w:p>
        </w:tc>
      </w:tr>
      <w:tr w:rsidR="0015754D" w:rsidRPr="009417F4" w:rsidTr="0015754D">
        <w:trPr>
          <w:trHeight w:val="300"/>
        </w:trPr>
        <w:tc>
          <w:tcPr>
            <w:tcW w:w="846" w:type="dxa"/>
            <w:tcBorders>
              <w:top w:val="nil"/>
              <w:left w:val="nil"/>
              <w:bottom w:val="nil"/>
              <w:right w:val="nil"/>
            </w:tcBorders>
            <w:shd w:val="clear" w:color="auto" w:fill="auto"/>
            <w:noWrap/>
            <w:vAlign w:val="center"/>
            <w:hideMark/>
          </w:tcPr>
          <w:p w:rsidR="0015754D" w:rsidRPr="009417F4" w:rsidRDefault="0015754D" w:rsidP="00B558C5">
            <w:pPr>
              <w:spacing w:after="0" w:line="240" w:lineRule="auto"/>
              <w:jc w:val="center"/>
              <w:rPr>
                <w:rFonts w:ascii="Calibri" w:eastAsia="Times New Roman" w:hAnsi="Calibri" w:cs="Times New Roman"/>
                <w:color w:val="000000"/>
              </w:rPr>
            </w:pPr>
            <w:r w:rsidRPr="009417F4">
              <w:rPr>
                <w:rFonts w:ascii="Calibri" w:eastAsia="Times New Roman" w:hAnsi="Calibri" w:cs="Times New Roman"/>
                <w:color w:val="000000"/>
              </w:rPr>
              <w:t>4</w:t>
            </w:r>
          </w:p>
        </w:tc>
        <w:tc>
          <w:tcPr>
            <w:tcW w:w="4116" w:type="dxa"/>
            <w:tcBorders>
              <w:top w:val="nil"/>
              <w:left w:val="nil"/>
              <w:bottom w:val="nil"/>
              <w:right w:val="nil"/>
            </w:tcBorders>
            <w:shd w:val="clear" w:color="auto" w:fill="auto"/>
            <w:noWrap/>
            <w:vAlign w:val="center"/>
            <w:hideMark/>
          </w:tcPr>
          <w:p w:rsidR="0015754D" w:rsidRPr="009417F4" w:rsidRDefault="0015754D" w:rsidP="00B558C5">
            <w:pPr>
              <w:spacing w:after="0" w:line="240" w:lineRule="auto"/>
              <w:jc w:val="center"/>
              <w:rPr>
                <w:rFonts w:ascii="Calibri" w:eastAsia="Times New Roman" w:hAnsi="Calibri" w:cs="Times New Roman"/>
                <w:color w:val="000000"/>
              </w:rPr>
            </w:pPr>
            <w:r w:rsidRPr="009417F4">
              <w:rPr>
                <w:rFonts w:ascii="Calibri" w:eastAsia="Times New Roman" w:hAnsi="Calibri" w:cs="Times New Roman"/>
                <w:color w:val="000000"/>
              </w:rPr>
              <w:t>Doconexent-TMS</w:t>
            </w:r>
          </w:p>
        </w:tc>
        <w:tc>
          <w:tcPr>
            <w:tcW w:w="1002" w:type="dxa"/>
            <w:tcBorders>
              <w:top w:val="nil"/>
              <w:left w:val="nil"/>
              <w:bottom w:val="nil"/>
              <w:right w:val="nil"/>
            </w:tcBorders>
          </w:tcPr>
          <w:p w:rsidR="0015754D" w:rsidRPr="009417F4" w:rsidRDefault="0015754D" w:rsidP="00B558C5">
            <w:pPr>
              <w:spacing w:after="0" w:line="240" w:lineRule="auto"/>
              <w:jc w:val="center"/>
              <w:rPr>
                <w:rFonts w:ascii="Calibri" w:eastAsia="Times New Roman" w:hAnsi="Calibri" w:cs="Times New Roman"/>
                <w:color w:val="000000"/>
              </w:rPr>
            </w:pPr>
          </w:p>
        </w:tc>
        <w:tc>
          <w:tcPr>
            <w:tcW w:w="1984" w:type="dxa"/>
            <w:tcBorders>
              <w:top w:val="nil"/>
              <w:left w:val="nil"/>
              <w:bottom w:val="nil"/>
              <w:right w:val="nil"/>
            </w:tcBorders>
            <w:shd w:val="clear" w:color="auto" w:fill="auto"/>
            <w:noWrap/>
            <w:vAlign w:val="center"/>
            <w:hideMark/>
          </w:tcPr>
          <w:p w:rsidR="0015754D" w:rsidRPr="009417F4" w:rsidRDefault="0015754D" w:rsidP="00B558C5">
            <w:pPr>
              <w:spacing w:after="0" w:line="240" w:lineRule="auto"/>
              <w:jc w:val="center"/>
              <w:rPr>
                <w:rFonts w:ascii="Calibri" w:eastAsia="Times New Roman" w:hAnsi="Calibri" w:cs="Times New Roman"/>
                <w:color w:val="000000"/>
              </w:rPr>
            </w:pPr>
            <w:r w:rsidRPr="009417F4">
              <w:rPr>
                <w:rFonts w:ascii="Calibri" w:eastAsia="Times New Roman" w:hAnsi="Calibri" w:cs="Times New Roman"/>
                <w:color w:val="000000"/>
              </w:rPr>
              <w:t>6.321</w:t>
            </w:r>
          </w:p>
        </w:tc>
        <w:tc>
          <w:tcPr>
            <w:tcW w:w="1134" w:type="dxa"/>
            <w:tcBorders>
              <w:top w:val="nil"/>
              <w:left w:val="nil"/>
              <w:bottom w:val="nil"/>
              <w:right w:val="nil"/>
            </w:tcBorders>
            <w:shd w:val="clear" w:color="auto" w:fill="auto"/>
            <w:noWrap/>
            <w:vAlign w:val="center"/>
            <w:hideMark/>
          </w:tcPr>
          <w:p w:rsidR="0015754D" w:rsidRPr="009417F4" w:rsidRDefault="0015754D" w:rsidP="00B558C5">
            <w:pPr>
              <w:spacing w:after="0" w:line="240" w:lineRule="auto"/>
              <w:jc w:val="center"/>
              <w:rPr>
                <w:rFonts w:ascii="Calibri" w:eastAsia="Times New Roman" w:hAnsi="Calibri" w:cs="Times New Roman"/>
                <w:color w:val="000000"/>
              </w:rPr>
            </w:pPr>
            <w:r w:rsidRPr="009417F4">
              <w:rPr>
                <w:rFonts w:ascii="Calibri" w:eastAsia="Times New Roman" w:hAnsi="Calibri" w:cs="Times New Roman"/>
                <w:color w:val="000000"/>
              </w:rPr>
              <w:t>400.29</w:t>
            </w:r>
          </w:p>
        </w:tc>
        <w:tc>
          <w:tcPr>
            <w:tcW w:w="1843" w:type="dxa"/>
            <w:tcBorders>
              <w:top w:val="nil"/>
              <w:left w:val="nil"/>
              <w:bottom w:val="nil"/>
              <w:right w:val="nil"/>
            </w:tcBorders>
            <w:shd w:val="clear" w:color="auto" w:fill="auto"/>
            <w:noWrap/>
            <w:vAlign w:val="center"/>
            <w:hideMark/>
          </w:tcPr>
          <w:p w:rsidR="0015754D" w:rsidRPr="009417F4" w:rsidRDefault="0015754D" w:rsidP="00B558C5">
            <w:pPr>
              <w:spacing w:after="0" w:line="240" w:lineRule="auto"/>
              <w:jc w:val="center"/>
              <w:rPr>
                <w:rFonts w:ascii="Calibri" w:eastAsia="Times New Roman" w:hAnsi="Calibri" w:cs="Times New Roman"/>
                <w:color w:val="000000"/>
              </w:rPr>
            </w:pPr>
            <w:r w:rsidRPr="009417F4">
              <w:rPr>
                <w:rFonts w:ascii="Calibri" w:eastAsia="Times New Roman" w:hAnsi="Calibri" w:cs="Times New Roman"/>
                <w:color w:val="000000"/>
              </w:rPr>
              <w:t>C</w:t>
            </w:r>
            <w:r w:rsidRPr="001C3243">
              <w:rPr>
                <w:rFonts w:ascii="Calibri" w:eastAsia="Times New Roman" w:hAnsi="Calibri" w:cs="Times New Roman"/>
                <w:color w:val="000000"/>
                <w:vertAlign w:val="subscript"/>
              </w:rPr>
              <w:t>25</w:t>
            </w:r>
            <w:r w:rsidRPr="009417F4">
              <w:rPr>
                <w:rFonts w:ascii="Calibri" w:eastAsia="Times New Roman" w:hAnsi="Calibri" w:cs="Times New Roman"/>
                <w:color w:val="000000"/>
              </w:rPr>
              <w:t>H</w:t>
            </w:r>
            <w:r w:rsidRPr="001C3243">
              <w:rPr>
                <w:rFonts w:ascii="Calibri" w:eastAsia="Times New Roman" w:hAnsi="Calibri" w:cs="Times New Roman"/>
                <w:color w:val="000000"/>
                <w:vertAlign w:val="subscript"/>
              </w:rPr>
              <w:t>40</w:t>
            </w:r>
            <w:r w:rsidRPr="009417F4">
              <w:rPr>
                <w:rFonts w:ascii="Calibri" w:eastAsia="Times New Roman" w:hAnsi="Calibri" w:cs="Times New Roman"/>
                <w:color w:val="000000"/>
              </w:rPr>
              <w:t>O</w:t>
            </w:r>
            <w:r w:rsidRPr="001C3243">
              <w:rPr>
                <w:rFonts w:ascii="Calibri" w:eastAsia="Times New Roman" w:hAnsi="Calibri" w:cs="Times New Roman"/>
                <w:color w:val="000000"/>
                <w:vertAlign w:val="subscript"/>
              </w:rPr>
              <w:t>2</w:t>
            </w:r>
            <w:r w:rsidRPr="009417F4">
              <w:rPr>
                <w:rFonts w:ascii="Calibri" w:eastAsia="Times New Roman" w:hAnsi="Calibri" w:cs="Times New Roman"/>
                <w:color w:val="000000"/>
              </w:rPr>
              <w:t>Si</w:t>
            </w:r>
          </w:p>
        </w:tc>
        <w:tc>
          <w:tcPr>
            <w:tcW w:w="1559" w:type="dxa"/>
            <w:tcBorders>
              <w:top w:val="nil"/>
              <w:left w:val="nil"/>
              <w:bottom w:val="nil"/>
              <w:right w:val="nil"/>
            </w:tcBorders>
            <w:shd w:val="clear" w:color="auto" w:fill="auto"/>
            <w:noWrap/>
            <w:vAlign w:val="center"/>
            <w:hideMark/>
          </w:tcPr>
          <w:p w:rsidR="0015754D" w:rsidRPr="009417F4" w:rsidRDefault="0015754D" w:rsidP="00B558C5">
            <w:pPr>
              <w:spacing w:after="0" w:line="240" w:lineRule="auto"/>
              <w:jc w:val="center"/>
              <w:rPr>
                <w:rFonts w:ascii="Calibri" w:eastAsia="Times New Roman" w:hAnsi="Calibri" w:cs="Times New Roman"/>
                <w:color w:val="000000"/>
              </w:rPr>
            </w:pPr>
            <w:r w:rsidRPr="009417F4">
              <w:rPr>
                <w:rFonts w:ascii="Calibri" w:eastAsia="Times New Roman" w:hAnsi="Calibri" w:cs="Times New Roman"/>
                <w:color w:val="000000"/>
              </w:rPr>
              <w:t>Captiva</w:t>
            </w:r>
          </w:p>
        </w:tc>
        <w:tc>
          <w:tcPr>
            <w:tcW w:w="1474" w:type="dxa"/>
            <w:tcBorders>
              <w:top w:val="nil"/>
              <w:left w:val="nil"/>
              <w:bottom w:val="nil"/>
              <w:right w:val="nil"/>
            </w:tcBorders>
            <w:shd w:val="clear" w:color="auto" w:fill="auto"/>
            <w:noWrap/>
            <w:vAlign w:val="center"/>
            <w:hideMark/>
          </w:tcPr>
          <w:p w:rsidR="0015754D" w:rsidRPr="009417F4" w:rsidRDefault="0015754D" w:rsidP="00B558C5">
            <w:pPr>
              <w:spacing w:after="0" w:line="240" w:lineRule="auto"/>
              <w:jc w:val="center"/>
              <w:rPr>
                <w:rFonts w:ascii="Calibri" w:eastAsia="Times New Roman" w:hAnsi="Calibri" w:cs="Times New Roman"/>
                <w:color w:val="000000"/>
              </w:rPr>
            </w:pPr>
            <w:r w:rsidRPr="009417F4">
              <w:rPr>
                <w:rFonts w:ascii="Calibri" w:eastAsia="Times New Roman" w:hAnsi="Calibri" w:cs="Times New Roman"/>
                <w:color w:val="000000"/>
              </w:rPr>
              <w:t>14.0</w:t>
            </w:r>
          </w:p>
        </w:tc>
      </w:tr>
      <w:tr w:rsidR="0015754D" w:rsidRPr="009417F4" w:rsidTr="0015754D">
        <w:trPr>
          <w:trHeight w:val="300"/>
        </w:trPr>
        <w:tc>
          <w:tcPr>
            <w:tcW w:w="846" w:type="dxa"/>
            <w:tcBorders>
              <w:top w:val="nil"/>
              <w:left w:val="nil"/>
              <w:bottom w:val="nil"/>
              <w:right w:val="nil"/>
            </w:tcBorders>
            <w:shd w:val="clear" w:color="auto" w:fill="F2F2F2" w:themeFill="background1" w:themeFillShade="F2"/>
            <w:noWrap/>
            <w:vAlign w:val="center"/>
            <w:hideMark/>
          </w:tcPr>
          <w:p w:rsidR="0015754D" w:rsidRPr="009417F4" w:rsidRDefault="0015754D" w:rsidP="00B558C5">
            <w:pPr>
              <w:spacing w:after="0" w:line="240" w:lineRule="auto"/>
              <w:jc w:val="center"/>
              <w:rPr>
                <w:rFonts w:ascii="Calibri" w:eastAsia="Times New Roman" w:hAnsi="Calibri" w:cs="Times New Roman"/>
                <w:color w:val="000000"/>
              </w:rPr>
            </w:pPr>
            <w:r w:rsidRPr="009417F4">
              <w:rPr>
                <w:rFonts w:ascii="Calibri" w:eastAsia="Times New Roman" w:hAnsi="Calibri" w:cs="Times New Roman"/>
                <w:color w:val="000000"/>
              </w:rPr>
              <w:t>5</w:t>
            </w:r>
          </w:p>
        </w:tc>
        <w:tc>
          <w:tcPr>
            <w:tcW w:w="4116" w:type="dxa"/>
            <w:tcBorders>
              <w:top w:val="nil"/>
              <w:left w:val="nil"/>
              <w:bottom w:val="nil"/>
              <w:right w:val="nil"/>
            </w:tcBorders>
            <w:shd w:val="clear" w:color="auto" w:fill="F2F2F2" w:themeFill="background1" w:themeFillShade="F2"/>
            <w:noWrap/>
            <w:vAlign w:val="center"/>
            <w:hideMark/>
          </w:tcPr>
          <w:p w:rsidR="0015754D" w:rsidRPr="009417F4" w:rsidRDefault="0015754D" w:rsidP="00B558C5">
            <w:pPr>
              <w:spacing w:after="0" w:line="240" w:lineRule="auto"/>
              <w:jc w:val="center"/>
              <w:rPr>
                <w:rFonts w:ascii="Calibri" w:eastAsia="Times New Roman" w:hAnsi="Calibri" w:cs="Times New Roman"/>
                <w:color w:val="000000"/>
              </w:rPr>
            </w:pPr>
            <w:r w:rsidRPr="009417F4">
              <w:rPr>
                <w:rFonts w:ascii="Calibri" w:eastAsia="Times New Roman" w:hAnsi="Calibri" w:cs="Times New Roman"/>
                <w:color w:val="000000"/>
              </w:rPr>
              <w:t xml:space="preserve">Caryophyllene oxide </w:t>
            </w:r>
          </w:p>
        </w:tc>
        <w:tc>
          <w:tcPr>
            <w:tcW w:w="1002" w:type="dxa"/>
            <w:tcBorders>
              <w:top w:val="nil"/>
              <w:left w:val="nil"/>
              <w:bottom w:val="nil"/>
              <w:right w:val="nil"/>
            </w:tcBorders>
            <w:shd w:val="clear" w:color="auto" w:fill="F2F2F2" w:themeFill="background1" w:themeFillShade="F2"/>
          </w:tcPr>
          <w:p w:rsidR="0015754D" w:rsidRPr="009417F4" w:rsidRDefault="0015754D" w:rsidP="00B558C5">
            <w:pPr>
              <w:spacing w:after="0" w:line="240" w:lineRule="auto"/>
              <w:jc w:val="center"/>
              <w:rPr>
                <w:rFonts w:ascii="Calibri" w:eastAsia="Times New Roman" w:hAnsi="Calibri" w:cs="Times New Roman"/>
                <w:color w:val="000000"/>
              </w:rPr>
            </w:pPr>
          </w:p>
        </w:tc>
        <w:tc>
          <w:tcPr>
            <w:tcW w:w="1984" w:type="dxa"/>
            <w:tcBorders>
              <w:top w:val="nil"/>
              <w:left w:val="nil"/>
              <w:bottom w:val="nil"/>
              <w:right w:val="nil"/>
            </w:tcBorders>
            <w:shd w:val="clear" w:color="auto" w:fill="F2F2F2" w:themeFill="background1" w:themeFillShade="F2"/>
            <w:noWrap/>
            <w:vAlign w:val="center"/>
            <w:hideMark/>
          </w:tcPr>
          <w:p w:rsidR="0015754D" w:rsidRPr="009417F4" w:rsidRDefault="0015754D" w:rsidP="00B558C5">
            <w:pPr>
              <w:spacing w:after="0" w:line="240" w:lineRule="auto"/>
              <w:jc w:val="center"/>
              <w:rPr>
                <w:rFonts w:ascii="Calibri" w:eastAsia="Times New Roman" w:hAnsi="Calibri" w:cs="Times New Roman"/>
                <w:color w:val="000000"/>
              </w:rPr>
            </w:pPr>
            <w:r w:rsidRPr="009417F4">
              <w:rPr>
                <w:rFonts w:ascii="Calibri" w:eastAsia="Times New Roman" w:hAnsi="Calibri" w:cs="Times New Roman"/>
                <w:color w:val="000000"/>
              </w:rPr>
              <w:t>6.438</w:t>
            </w:r>
          </w:p>
        </w:tc>
        <w:tc>
          <w:tcPr>
            <w:tcW w:w="1134" w:type="dxa"/>
            <w:tcBorders>
              <w:top w:val="nil"/>
              <w:left w:val="nil"/>
              <w:bottom w:val="nil"/>
              <w:right w:val="nil"/>
            </w:tcBorders>
            <w:shd w:val="clear" w:color="auto" w:fill="F2F2F2" w:themeFill="background1" w:themeFillShade="F2"/>
            <w:noWrap/>
            <w:vAlign w:val="center"/>
            <w:hideMark/>
          </w:tcPr>
          <w:p w:rsidR="0015754D" w:rsidRPr="009417F4" w:rsidRDefault="0015754D" w:rsidP="00B558C5">
            <w:pPr>
              <w:spacing w:after="0" w:line="240" w:lineRule="auto"/>
              <w:jc w:val="center"/>
              <w:rPr>
                <w:rFonts w:ascii="Calibri" w:eastAsia="Times New Roman" w:hAnsi="Calibri" w:cs="Times New Roman"/>
                <w:color w:val="000000"/>
              </w:rPr>
            </w:pPr>
            <w:r w:rsidRPr="009417F4">
              <w:rPr>
                <w:rFonts w:ascii="Calibri" w:eastAsia="Times New Roman" w:hAnsi="Calibri" w:cs="Times New Roman"/>
                <w:color w:val="000000"/>
              </w:rPr>
              <w:t>220.18</w:t>
            </w:r>
          </w:p>
        </w:tc>
        <w:tc>
          <w:tcPr>
            <w:tcW w:w="1843" w:type="dxa"/>
            <w:tcBorders>
              <w:top w:val="nil"/>
              <w:left w:val="nil"/>
              <w:bottom w:val="nil"/>
              <w:right w:val="nil"/>
            </w:tcBorders>
            <w:shd w:val="clear" w:color="auto" w:fill="F2F2F2" w:themeFill="background1" w:themeFillShade="F2"/>
            <w:noWrap/>
            <w:vAlign w:val="center"/>
            <w:hideMark/>
          </w:tcPr>
          <w:p w:rsidR="0015754D" w:rsidRPr="009417F4" w:rsidRDefault="0015754D" w:rsidP="00B558C5">
            <w:pPr>
              <w:spacing w:after="0" w:line="240" w:lineRule="auto"/>
              <w:jc w:val="center"/>
              <w:rPr>
                <w:rFonts w:ascii="Calibri" w:eastAsia="Times New Roman" w:hAnsi="Calibri" w:cs="Times New Roman"/>
                <w:color w:val="000000"/>
              </w:rPr>
            </w:pPr>
            <w:r w:rsidRPr="009417F4">
              <w:rPr>
                <w:rFonts w:ascii="Calibri" w:eastAsia="Times New Roman" w:hAnsi="Calibri" w:cs="Times New Roman"/>
                <w:color w:val="000000"/>
              </w:rPr>
              <w:t>C</w:t>
            </w:r>
            <w:r w:rsidRPr="001C3243">
              <w:rPr>
                <w:rFonts w:ascii="Calibri" w:eastAsia="Times New Roman" w:hAnsi="Calibri" w:cs="Times New Roman"/>
                <w:color w:val="000000"/>
                <w:vertAlign w:val="subscript"/>
              </w:rPr>
              <w:t>15</w:t>
            </w:r>
            <w:r w:rsidRPr="009417F4">
              <w:rPr>
                <w:rFonts w:ascii="Calibri" w:eastAsia="Times New Roman" w:hAnsi="Calibri" w:cs="Times New Roman"/>
                <w:color w:val="000000"/>
              </w:rPr>
              <w:t>H</w:t>
            </w:r>
            <w:r w:rsidRPr="001C3243">
              <w:rPr>
                <w:rFonts w:ascii="Calibri" w:eastAsia="Times New Roman" w:hAnsi="Calibri" w:cs="Times New Roman"/>
                <w:color w:val="000000"/>
                <w:vertAlign w:val="subscript"/>
              </w:rPr>
              <w:t>24</w:t>
            </w:r>
            <w:r w:rsidRPr="009417F4">
              <w:rPr>
                <w:rFonts w:ascii="Calibri" w:eastAsia="Times New Roman" w:hAnsi="Calibri" w:cs="Times New Roman"/>
                <w:color w:val="000000"/>
              </w:rPr>
              <w:t>O</w:t>
            </w:r>
          </w:p>
        </w:tc>
        <w:tc>
          <w:tcPr>
            <w:tcW w:w="1559" w:type="dxa"/>
            <w:tcBorders>
              <w:top w:val="nil"/>
              <w:left w:val="nil"/>
              <w:bottom w:val="nil"/>
              <w:right w:val="nil"/>
            </w:tcBorders>
            <w:shd w:val="clear" w:color="auto" w:fill="F2F2F2" w:themeFill="background1" w:themeFillShade="F2"/>
            <w:noWrap/>
            <w:vAlign w:val="center"/>
            <w:hideMark/>
          </w:tcPr>
          <w:p w:rsidR="0015754D" w:rsidRPr="009417F4" w:rsidRDefault="0015754D" w:rsidP="00B558C5">
            <w:pPr>
              <w:spacing w:after="0" w:line="240" w:lineRule="auto"/>
              <w:jc w:val="center"/>
              <w:rPr>
                <w:rFonts w:ascii="Calibri" w:eastAsia="Times New Roman" w:hAnsi="Calibri" w:cs="Times New Roman"/>
                <w:color w:val="000000"/>
              </w:rPr>
            </w:pPr>
            <w:r w:rsidRPr="009417F4">
              <w:rPr>
                <w:rFonts w:ascii="Calibri" w:eastAsia="Times New Roman" w:hAnsi="Calibri" w:cs="Times New Roman"/>
                <w:color w:val="000000"/>
              </w:rPr>
              <w:t>Captiva, EMR</w:t>
            </w:r>
          </w:p>
        </w:tc>
        <w:tc>
          <w:tcPr>
            <w:tcW w:w="1474" w:type="dxa"/>
            <w:tcBorders>
              <w:top w:val="nil"/>
              <w:left w:val="nil"/>
              <w:bottom w:val="nil"/>
              <w:right w:val="nil"/>
            </w:tcBorders>
            <w:shd w:val="clear" w:color="auto" w:fill="F2F2F2" w:themeFill="background1" w:themeFillShade="F2"/>
            <w:noWrap/>
            <w:vAlign w:val="center"/>
            <w:hideMark/>
          </w:tcPr>
          <w:p w:rsidR="0015754D" w:rsidRPr="009417F4" w:rsidRDefault="0015754D" w:rsidP="00B558C5">
            <w:pPr>
              <w:spacing w:after="0" w:line="240" w:lineRule="auto"/>
              <w:jc w:val="center"/>
              <w:rPr>
                <w:rFonts w:ascii="Calibri" w:eastAsia="Times New Roman" w:hAnsi="Calibri" w:cs="Times New Roman"/>
                <w:color w:val="000000"/>
              </w:rPr>
            </w:pPr>
            <w:r w:rsidRPr="009417F4">
              <w:rPr>
                <w:rFonts w:ascii="Calibri" w:eastAsia="Times New Roman" w:hAnsi="Calibri" w:cs="Times New Roman"/>
                <w:color w:val="000000"/>
              </w:rPr>
              <w:t>44.0</w:t>
            </w:r>
          </w:p>
        </w:tc>
      </w:tr>
      <w:tr w:rsidR="0015754D" w:rsidRPr="009417F4" w:rsidTr="0015754D">
        <w:trPr>
          <w:trHeight w:val="300"/>
        </w:trPr>
        <w:tc>
          <w:tcPr>
            <w:tcW w:w="846" w:type="dxa"/>
            <w:tcBorders>
              <w:top w:val="nil"/>
              <w:left w:val="nil"/>
              <w:bottom w:val="nil"/>
              <w:right w:val="nil"/>
            </w:tcBorders>
            <w:shd w:val="clear" w:color="auto" w:fill="auto"/>
            <w:noWrap/>
            <w:vAlign w:val="center"/>
            <w:hideMark/>
          </w:tcPr>
          <w:p w:rsidR="0015754D" w:rsidRPr="009417F4" w:rsidRDefault="0015754D" w:rsidP="00B558C5">
            <w:pPr>
              <w:spacing w:after="0" w:line="240" w:lineRule="auto"/>
              <w:jc w:val="center"/>
              <w:rPr>
                <w:rFonts w:ascii="Calibri" w:eastAsia="Times New Roman" w:hAnsi="Calibri" w:cs="Times New Roman"/>
                <w:color w:val="000000"/>
              </w:rPr>
            </w:pPr>
            <w:r w:rsidRPr="009417F4">
              <w:rPr>
                <w:rFonts w:ascii="Calibri" w:eastAsia="Times New Roman" w:hAnsi="Calibri" w:cs="Times New Roman"/>
                <w:color w:val="000000"/>
              </w:rPr>
              <w:t>6</w:t>
            </w:r>
          </w:p>
        </w:tc>
        <w:tc>
          <w:tcPr>
            <w:tcW w:w="4116" w:type="dxa"/>
            <w:tcBorders>
              <w:top w:val="nil"/>
              <w:left w:val="nil"/>
              <w:bottom w:val="nil"/>
              <w:right w:val="nil"/>
            </w:tcBorders>
            <w:shd w:val="clear" w:color="auto" w:fill="auto"/>
            <w:noWrap/>
            <w:vAlign w:val="center"/>
            <w:hideMark/>
          </w:tcPr>
          <w:p w:rsidR="0015754D" w:rsidRPr="009417F4" w:rsidRDefault="0015754D" w:rsidP="00B558C5">
            <w:pPr>
              <w:spacing w:after="0" w:line="240" w:lineRule="auto"/>
              <w:jc w:val="center"/>
              <w:rPr>
                <w:rFonts w:ascii="Calibri" w:eastAsia="Times New Roman" w:hAnsi="Calibri" w:cs="Times New Roman"/>
                <w:color w:val="000000"/>
              </w:rPr>
            </w:pPr>
            <w:r w:rsidRPr="009417F4">
              <w:rPr>
                <w:rFonts w:ascii="Calibri" w:eastAsia="Times New Roman" w:hAnsi="Calibri" w:cs="Times New Roman"/>
                <w:color w:val="000000"/>
              </w:rPr>
              <w:t>Doconexent-TBDMS</w:t>
            </w:r>
          </w:p>
        </w:tc>
        <w:tc>
          <w:tcPr>
            <w:tcW w:w="1002" w:type="dxa"/>
            <w:tcBorders>
              <w:top w:val="nil"/>
              <w:left w:val="nil"/>
              <w:bottom w:val="nil"/>
              <w:right w:val="nil"/>
            </w:tcBorders>
          </w:tcPr>
          <w:p w:rsidR="0015754D" w:rsidRPr="009417F4" w:rsidRDefault="0015754D" w:rsidP="00B558C5">
            <w:pPr>
              <w:spacing w:after="0" w:line="240" w:lineRule="auto"/>
              <w:jc w:val="center"/>
              <w:rPr>
                <w:rFonts w:ascii="Calibri" w:eastAsia="Times New Roman" w:hAnsi="Calibri" w:cs="Times New Roman"/>
                <w:color w:val="000000"/>
              </w:rPr>
            </w:pPr>
          </w:p>
        </w:tc>
        <w:tc>
          <w:tcPr>
            <w:tcW w:w="1984" w:type="dxa"/>
            <w:tcBorders>
              <w:top w:val="nil"/>
              <w:left w:val="nil"/>
              <w:bottom w:val="nil"/>
              <w:right w:val="nil"/>
            </w:tcBorders>
            <w:shd w:val="clear" w:color="auto" w:fill="auto"/>
            <w:noWrap/>
            <w:vAlign w:val="center"/>
            <w:hideMark/>
          </w:tcPr>
          <w:p w:rsidR="0015754D" w:rsidRPr="009417F4" w:rsidRDefault="0015754D" w:rsidP="00B558C5">
            <w:pPr>
              <w:spacing w:after="0" w:line="240" w:lineRule="auto"/>
              <w:jc w:val="center"/>
              <w:rPr>
                <w:rFonts w:ascii="Calibri" w:eastAsia="Times New Roman" w:hAnsi="Calibri" w:cs="Times New Roman"/>
                <w:color w:val="000000"/>
              </w:rPr>
            </w:pPr>
            <w:r w:rsidRPr="009417F4">
              <w:rPr>
                <w:rFonts w:ascii="Calibri" w:eastAsia="Times New Roman" w:hAnsi="Calibri" w:cs="Times New Roman"/>
                <w:color w:val="000000"/>
              </w:rPr>
              <w:t>6.452</w:t>
            </w:r>
          </w:p>
        </w:tc>
        <w:tc>
          <w:tcPr>
            <w:tcW w:w="1134" w:type="dxa"/>
            <w:tcBorders>
              <w:top w:val="nil"/>
              <w:left w:val="nil"/>
              <w:bottom w:val="nil"/>
              <w:right w:val="nil"/>
            </w:tcBorders>
            <w:shd w:val="clear" w:color="auto" w:fill="auto"/>
            <w:noWrap/>
            <w:vAlign w:val="center"/>
            <w:hideMark/>
          </w:tcPr>
          <w:p w:rsidR="0015754D" w:rsidRPr="009417F4" w:rsidRDefault="0015754D" w:rsidP="00B558C5">
            <w:pPr>
              <w:spacing w:after="0" w:line="240" w:lineRule="auto"/>
              <w:jc w:val="center"/>
              <w:rPr>
                <w:rFonts w:ascii="Calibri" w:eastAsia="Times New Roman" w:hAnsi="Calibri" w:cs="Times New Roman"/>
                <w:color w:val="000000"/>
              </w:rPr>
            </w:pPr>
            <w:r w:rsidRPr="009417F4">
              <w:rPr>
                <w:rFonts w:ascii="Calibri" w:eastAsia="Times New Roman" w:hAnsi="Calibri" w:cs="Times New Roman"/>
                <w:color w:val="000000"/>
              </w:rPr>
              <w:t>442.32</w:t>
            </w:r>
          </w:p>
        </w:tc>
        <w:tc>
          <w:tcPr>
            <w:tcW w:w="1843" w:type="dxa"/>
            <w:tcBorders>
              <w:top w:val="nil"/>
              <w:left w:val="nil"/>
              <w:bottom w:val="nil"/>
              <w:right w:val="nil"/>
            </w:tcBorders>
            <w:shd w:val="clear" w:color="auto" w:fill="auto"/>
            <w:noWrap/>
            <w:vAlign w:val="center"/>
            <w:hideMark/>
          </w:tcPr>
          <w:p w:rsidR="0015754D" w:rsidRPr="009417F4" w:rsidRDefault="0015754D" w:rsidP="00B558C5">
            <w:pPr>
              <w:spacing w:after="0" w:line="240" w:lineRule="auto"/>
              <w:jc w:val="center"/>
              <w:rPr>
                <w:rFonts w:ascii="Calibri" w:eastAsia="Times New Roman" w:hAnsi="Calibri" w:cs="Times New Roman"/>
                <w:color w:val="000000"/>
              </w:rPr>
            </w:pPr>
            <w:r w:rsidRPr="009417F4">
              <w:rPr>
                <w:rFonts w:ascii="Calibri" w:eastAsia="Times New Roman" w:hAnsi="Calibri" w:cs="Times New Roman"/>
                <w:color w:val="000000"/>
              </w:rPr>
              <w:t>C</w:t>
            </w:r>
            <w:r w:rsidRPr="001C3243">
              <w:rPr>
                <w:rFonts w:ascii="Calibri" w:eastAsia="Times New Roman" w:hAnsi="Calibri" w:cs="Times New Roman"/>
                <w:color w:val="000000"/>
                <w:vertAlign w:val="subscript"/>
              </w:rPr>
              <w:t>28</w:t>
            </w:r>
            <w:r w:rsidRPr="009417F4">
              <w:rPr>
                <w:rFonts w:ascii="Calibri" w:eastAsia="Times New Roman" w:hAnsi="Calibri" w:cs="Times New Roman"/>
                <w:color w:val="000000"/>
              </w:rPr>
              <w:t>H</w:t>
            </w:r>
            <w:r w:rsidRPr="001C3243">
              <w:rPr>
                <w:rFonts w:ascii="Calibri" w:eastAsia="Times New Roman" w:hAnsi="Calibri" w:cs="Times New Roman"/>
                <w:color w:val="000000"/>
                <w:vertAlign w:val="subscript"/>
              </w:rPr>
              <w:t>46</w:t>
            </w:r>
            <w:r w:rsidRPr="009417F4">
              <w:rPr>
                <w:rFonts w:ascii="Calibri" w:eastAsia="Times New Roman" w:hAnsi="Calibri" w:cs="Times New Roman"/>
                <w:color w:val="000000"/>
              </w:rPr>
              <w:t>O</w:t>
            </w:r>
            <w:r w:rsidRPr="001C3243">
              <w:rPr>
                <w:rFonts w:ascii="Calibri" w:eastAsia="Times New Roman" w:hAnsi="Calibri" w:cs="Times New Roman"/>
                <w:color w:val="000000"/>
                <w:vertAlign w:val="subscript"/>
              </w:rPr>
              <w:t>2</w:t>
            </w:r>
            <w:r w:rsidRPr="009417F4">
              <w:rPr>
                <w:rFonts w:ascii="Calibri" w:eastAsia="Times New Roman" w:hAnsi="Calibri" w:cs="Times New Roman"/>
                <w:color w:val="000000"/>
              </w:rPr>
              <w:t>Si</w:t>
            </w:r>
          </w:p>
        </w:tc>
        <w:tc>
          <w:tcPr>
            <w:tcW w:w="1559" w:type="dxa"/>
            <w:tcBorders>
              <w:top w:val="nil"/>
              <w:left w:val="nil"/>
              <w:bottom w:val="nil"/>
              <w:right w:val="nil"/>
            </w:tcBorders>
            <w:shd w:val="clear" w:color="auto" w:fill="auto"/>
            <w:noWrap/>
            <w:vAlign w:val="center"/>
            <w:hideMark/>
          </w:tcPr>
          <w:p w:rsidR="0015754D" w:rsidRPr="009417F4" w:rsidRDefault="0015754D" w:rsidP="00B558C5">
            <w:pPr>
              <w:spacing w:after="0" w:line="240" w:lineRule="auto"/>
              <w:jc w:val="center"/>
              <w:rPr>
                <w:rFonts w:ascii="Calibri" w:eastAsia="Times New Roman" w:hAnsi="Calibri" w:cs="Times New Roman"/>
                <w:color w:val="000000"/>
              </w:rPr>
            </w:pPr>
            <w:r w:rsidRPr="009417F4">
              <w:rPr>
                <w:rFonts w:ascii="Calibri" w:eastAsia="Times New Roman" w:hAnsi="Calibri" w:cs="Times New Roman"/>
                <w:color w:val="000000"/>
              </w:rPr>
              <w:t>Captiva</w:t>
            </w:r>
          </w:p>
        </w:tc>
        <w:tc>
          <w:tcPr>
            <w:tcW w:w="1474" w:type="dxa"/>
            <w:tcBorders>
              <w:top w:val="nil"/>
              <w:left w:val="nil"/>
              <w:bottom w:val="nil"/>
              <w:right w:val="nil"/>
            </w:tcBorders>
            <w:shd w:val="clear" w:color="auto" w:fill="auto"/>
            <w:noWrap/>
            <w:vAlign w:val="center"/>
            <w:hideMark/>
          </w:tcPr>
          <w:p w:rsidR="0015754D" w:rsidRPr="009417F4" w:rsidRDefault="0015754D" w:rsidP="00B558C5">
            <w:pPr>
              <w:spacing w:after="0" w:line="240" w:lineRule="auto"/>
              <w:jc w:val="center"/>
              <w:rPr>
                <w:rFonts w:ascii="Calibri" w:eastAsia="Times New Roman" w:hAnsi="Calibri" w:cs="Times New Roman"/>
                <w:color w:val="000000"/>
              </w:rPr>
            </w:pPr>
            <w:r w:rsidRPr="009417F4">
              <w:rPr>
                <w:rFonts w:ascii="Calibri" w:eastAsia="Times New Roman" w:hAnsi="Calibri" w:cs="Times New Roman"/>
                <w:color w:val="000000"/>
              </w:rPr>
              <w:t>26.2</w:t>
            </w:r>
          </w:p>
        </w:tc>
      </w:tr>
      <w:tr w:rsidR="0015754D" w:rsidRPr="009417F4" w:rsidTr="0015754D">
        <w:trPr>
          <w:trHeight w:val="300"/>
        </w:trPr>
        <w:tc>
          <w:tcPr>
            <w:tcW w:w="846" w:type="dxa"/>
            <w:tcBorders>
              <w:top w:val="nil"/>
              <w:left w:val="nil"/>
              <w:bottom w:val="nil"/>
              <w:right w:val="nil"/>
            </w:tcBorders>
            <w:shd w:val="clear" w:color="auto" w:fill="auto"/>
            <w:noWrap/>
            <w:vAlign w:val="center"/>
            <w:hideMark/>
          </w:tcPr>
          <w:p w:rsidR="0015754D" w:rsidRPr="009417F4" w:rsidRDefault="0015754D" w:rsidP="00B558C5">
            <w:pPr>
              <w:spacing w:after="0" w:line="240" w:lineRule="auto"/>
              <w:jc w:val="center"/>
              <w:rPr>
                <w:rFonts w:ascii="Calibri" w:eastAsia="Times New Roman" w:hAnsi="Calibri" w:cs="Times New Roman"/>
                <w:color w:val="000000"/>
              </w:rPr>
            </w:pPr>
            <w:r w:rsidRPr="009417F4">
              <w:rPr>
                <w:rFonts w:ascii="Calibri" w:eastAsia="Times New Roman" w:hAnsi="Calibri" w:cs="Times New Roman"/>
                <w:color w:val="000000"/>
              </w:rPr>
              <w:t>7</w:t>
            </w:r>
          </w:p>
        </w:tc>
        <w:tc>
          <w:tcPr>
            <w:tcW w:w="4116" w:type="dxa"/>
            <w:tcBorders>
              <w:top w:val="nil"/>
              <w:left w:val="nil"/>
              <w:bottom w:val="nil"/>
              <w:right w:val="nil"/>
            </w:tcBorders>
            <w:shd w:val="clear" w:color="auto" w:fill="auto"/>
            <w:noWrap/>
            <w:vAlign w:val="center"/>
            <w:hideMark/>
          </w:tcPr>
          <w:p w:rsidR="0015754D" w:rsidRPr="009417F4" w:rsidRDefault="0015754D" w:rsidP="00B558C5">
            <w:pPr>
              <w:spacing w:after="0" w:line="240" w:lineRule="auto"/>
              <w:jc w:val="center"/>
              <w:rPr>
                <w:rFonts w:ascii="Calibri" w:eastAsia="Times New Roman" w:hAnsi="Calibri" w:cs="Times New Roman"/>
                <w:color w:val="000000"/>
              </w:rPr>
            </w:pPr>
            <w:r w:rsidRPr="009417F4">
              <w:rPr>
                <w:rFonts w:ascii="Calibri" w:eastAsia="Times New Roman" w:hAnsi="Calibri" w:cs="Times New Roman"/>
                <w:color w:val="000000"/>
              </w:rPr>
              <w:t>Humulene epoxide II</w:t>
            </w:r>
          </w:p>
        </w:tc>
        <w:tc>
          <w:tcPr>
            <w:tcW w:w="1002" w:type="dxa"/>
            <w:tcBorders>
              <w:top w:val="nil"/>
              <w:left w:val="nil"/>
              <w:bottom w:val="nil"/>
              <w:right w:val="nil"/>
            </w:tcBorders>
          </w:tcPr>
          <w:p w:rsidR="0015754D" w:rsidRPr="009417F4" w:rsidRDefault="0015754D" w:rsidP="00B558C5">
            <w:pPr>
              <w:spacing w:after="0" w:line="240" w:lineRule="auto"/>
              <w:jc w:val="center"/>
              <w:rPr>
                <w:rFonts w:ascii="Calibri" w:eastAsia="Times New Roman" w:hAnsi="Calibri" w:cs="Times New Roman"/>
                <w:color w:val="000000"/>
              </w:rPr>
            </w:pPr>
          </w:p>
        </w:tc>
        <w:tc>
          <w:tcPr>
            <w:tcW w:w="1984" w:type="dxa"/>
            <w:tcBorders>
              <w:top w:val="nil"/>
              <w:left w:val="nil"/>
              <w:bottom w:val="nil"/>
              <w:right w:val="nil"/>
            </w:tcBorders>
            <w:shd w:val="clear" w:color="auto" w:fill="auto"/>
            <w:noWrap/>
            <w:vAlign w:val="center"/>
            <w:hideMark/>
          </w:tcPr>
          <w:p w:rsidR="0015754D" w:rsidRPr="009417F4" w:rsidRDefault="0015754D" w:rsidP="00B558C5">
            <w:pPr>
              <w:spacing w:after="0" w:line="240" w:lineRule="auto"/>
              <w:jc w:val="center"/>
              <w:rPr>
                <w:rFonts w:ascii="Calibri" w:eastAsia="Times New Roman" w:hAnsi="Calibri" w:cs="Times New Roman"/>
                <w:color w:val="000000"/>
              </w:rPr>
            </w:pPr>
            <w:r w:rsidRPr="009417F4">
              <w:rPr>
                <w:rFonts w:ascii="Calibri" w:eastAsia="Times New Roman" w:hAnsi="Calibri" w:cs="Times New Roman"/>
                <w:color w:val="000000"/>
              </w:rPr>
              <w:t>6.613</w:t>
            </w:r>
          </w:p>
        </w:tc>
        <w:tc>
          <w:tcPr>
            <w:tcW w:w="1134" w:type="dxa"/>
            <w:tcBorders>
              <w:top w:val="nil"/>
              <w:left w:val="nil"/>
              <w:bottom w:val="nil"/>
              <w:right w:val="nil"/>
            </w:tcBorders>
            <w:shd w:val="clear" w:color="auto" w:fill="auto"/>
            <w:noWrap/>
            <w:vAlign w:val="center"/>
            <w:hideMark/>
          </w:tcPr>
          <w:p w:rsidR="0015754D" w:rsidRPr="009417F4" w:rsidRDefault="0015754D" w:rsidP="00B558C5">
            <w:pPr>
              <w:spacing w:after="0" w:line="240" w:lineRule="auto"/>
              <w:jc w:val="center"/>
              <w:rPr>
                <w:rFonts w:ascii="Calibri" w:eastAsia="Times New Roman" w:hAnsi="Calibri" w:cs="Times New Roman"/>
                <w:color w:val="000000"/>
              </w:rPr>
            </w:pPr>
            <w:r w:rsidRPr="009417F4">
              <w:rPr>
                <w:rFonts w:ascii="Calibri" w:eastAsia="Times New Roman" w:hAnsi="Calibri" w:cs="Times New Roman"/>
                <w:color w:val="000000"/>
              </w:rPr>
              <w:t>220.35</w:t>
            </w:r>
          </w:p>
        </w:tc>
        <w:tc>
          <w:tcPr>
            <w:tcW w:w="1843" w:type="dxa"/>
            <w:tcBorders>
              <w:top w:val="nil"/>
              <w:left w:val="nil"/>
              <w:bottom w:val="nil"/>
              <w:right w:val="nil"/>
            </w:tcBorders>
            <w:shd w:val="clear" w:color="auto" w:fill="auto"/>
            <w:noWrap/>
            <w:vAlign w:val="center"/>
            <w:hideMark/>
          </w:tcPr>
          <w:p w:rsidR="0015754D" w:rsidRPr="009417F4" w:rsidRDefault="0015754D" w:rsidP="00B558C5">
            <w:pPr>
              <w:spacing w:after="0" w:line="240" w:lineRule="auto"/>
              <w:jc w:val="center"/>
              <w:rPr>
                <w:rFonts w:ascii="Calibri" w:eastAsia="Times New Roman" w:hAnsi="Calibri" w:cs="Times New Roman"/>
                <w:color w:val="000000"/>
              </w:rPr>
            </w:pPr>
            <w:r w:rsidRPr="009417F4">
              <w:rPr>
                <w:rFonts w:ascii="Calibri" w:eastAsia="Times New Roman" w:hAnsi="Calibri" w:cs="Times New Roman"/>
                <w:color w:val="000000"/>
              </w:rPr>
              <w:t>C</w:t>
            </w:r>
            <w:r w:rsidRPr="001C3243">
              <w:rPr>
                <w:rFonts w:ascii="Calibri" w:eastAsia="Times New Roman" w:hAnsi="Calibri" w:cs="Times New Roman"/>
                <w:color w:val="000000"/>
                <w:vertAlign w:val="subscript"/>
              </w:rPr>
              <w:t>15</w:t>
            </w:r>
            <w:r w:rsidRPr="009417F4">
              <w:rPr>
                <w:rFonts w:ascii="Calibri" w:eastAsia="Times New Roman" w:hAnsi="Calibri" w:cs="Times New Roman"/>
                <w:color w:val="000000"/>
              </w:rPr>
              <w:t>H</w:t>
            </w:r>
            <w:r w:rsidRPr="001C3243">
              <w:rPr>
                <w:rFonts w:ascii="Calibri" w:eastAsia="Times New Roman" w:hAnsi="Calibri" w:cs="Times New Roman"/>
                <w:color w:val="000000"/>
                <w:vertAlign w:val="subscript"/>
              </w:rPr>
              <w:t>24</w:t>
            </w:r>
            <w:r w:rsidRPr="009417F4">
              <w:rPr>
                <w:rFonts w:ascii="Calibri" w:eastAsia="Times New Roman" w:hAnsi="Calibri" w:cs="Times New Roman"/>
                <w:color w:val="000000"/>
              </w:rPr>
              <w:t>O</w:t>
            </w:r>
          </w:p>
        </w:tc>
        <w:tc>
          <w:tcPr>
            <w:tcW w:w="1559" w:type="dxa"/>
            <w:tcBorders>
              <w:top w:val="nil"/>
              <w:left w:val="nil"/>
              <w:bottom w:val="nil"/>
              <w:right w:val="nil"/>
            </w:tcBorders>
            <w:shd w:val="clear" w:color="auto" w:fill="auto"/>
            <w:noWrap/>
            <w:vAlign w:val="center"/>
            <w:hideMark/>
          </w:tcPr>
          <w:p w:rsidR="0015754D" w:rsidRPr="009417F4" w:rsidRDefault="0015754D" w:rsidP="00B558C5">
            <w:pPr>
              <w:spacing w:after="0" w:line="240" w:lineRule="auto"/>
              <w:jc w:val="center"/>
              <w:rPr>
                <w:rFonts w:ascii="Calibri" w:eastAsia="Times New Roman" w:hAnsi="Calibri" w:cs="Times New Roman"/>
                <w:color w:val="000000"/>
              </w:rPr>
            </w:pPr>
            <w:r w:rsidRPr="009417F4">
              <w:rPr>
                <w:rFonts w:ascii="Calibri" w:eastAsia="Times New Roman" w:hAnsi="Calibri" w:cs="Times New Roman"/>
                <w:color w:val="000000"/>
              </w:rPr>
              <w:t>EMR</w:t>
            </w:r>
          </w:p>
        </w:tc>
        <w:tc>
          <w:tcPr>
            <w:tcW w:w="1474" w:type="dxa"/>
            <w:tcBorders>
              <w:top w:val="nil"/>
              <w:left w:val="nil"/>
              <w:bottom w:val="nil"/>
              <w:right w:val="nil"/>
            </w:tcBorders>
            <w:shd w:val="clear" w:color="auto" w:fill="auto"/>
            <w:noWrap/>
            <w:vAlign w:val="center"/>
            <w:hideMark/>
          </w:tcPr>
          <w:p w:rsidR="0015754D" w:rsidRPr="009417F4" w:rsidRDefault="0015754D" w:rsidP="00B558C5">
            <w:pPr>
              <w:spacing w:after="0" w:line="240" w:lineRule="auto"/>
              <w:jc w:val="center"/>
              <w:rPr>
                <w:rFonts w:ascii="Calibri" w:eastAsia="Times New Roman" w:hAnsi="Calibri" w:cs="Times New Roman"/>
                <w:color w:val="000000"/>
              </w:rPr>
            </w:pPr>
            <w:r w:rsidRPr="009417F4">
              <w:rPr>
                <w:rFonts w:ascii="Calibri" w:eastAsia="Times New Roman" w:hAnsi="Calibri" w:cs="Times New Roman"/>
                <w:color w:val="000000"/>
              </w:rPr>
              <w:t>34.3</w:t>
            </w:r>
          </w:p>
        </w:tc>
      </w:tr>
      <w:tr w:rsidR="0015754D" w:rsidRPr="009417F4" w:rsidTr="0015754D">
        <w:trPr>
          <w:trHeight w:val="300"/>
        </w:trPr>
        <w:tc>
          <w:tcPr>
            <w:tcW w:w="846" w:type="dxa"/>
            <w:tcBorders>
              <w:top w:val="nil"/>
              <w:left w:val="nil"/>
              <w:bottom w:val="nil"/>
              <w:right w:val="nil"/>
            </w:tcBorders>
            <w:shd w:val="clear" w:color="auto" w:fill="auto"/>
            <w:noWrap/>
            <w:vAlign w:val="center"/>
            <w:hideMark/>
          </w:tcPr>
          <w:p w:rsidR="0015754D" w:rsidRPr="009417F4" w:rsidRDefault="0015754D" w:rsidP="00B558C5">
            <w:pPr>
              <w:spacing w:after="0" w:line="240" w:lineRule="auto"/>
              <w:jc w:val="center"/>
              <w:rPr>
                <w:rFonts w:ascii="Calibri" w:eastAsia="Times New Roman" w:hAnsi="Calibri" w:cs="Times New Roman"/>
                <w:color w:val="000000"/>
              </w:rPr>
            </w:pPr>
            <w:r w:rsidRPr="009417F4">
              <w:rPr>
                <w:rFonts w:ascii="Calibri" w:eastAsia="Times New Roman" w:hAnsi="Calibri" w:cs="Times New Roman"/>
                <w:color w:val="000000"/>
              </w:rPr>
              <w:t>8</w:t>
            </w:r>
          </w:p>
        </w:tc>
        <w:tc>
          <w:tcPr>
            <w:tcW w:w="4116" w:type="dxa"/>
            <w:tcBorders>
              <w:top w:val="nil"/>
              <w:left w:val="nil"/>
              <w:bottom w:val="nil"/>
              <w:right w:val="nil"/>
            </w:tcBorders>
            <w:shd w:val="clear" w:color="auto" w:fill="auto"/>
            <w:noWrap/>
            <w:vAlign w:val="center"/>
            <w:hideMark/>
          </w:tcPr>
          <w:p w:rsidR="0015754D" w:rsidRPr="009417F4" w:rsidRDefault="0015754D" w:rsidP="00B558C5">
            <w:pPr>
              <w:spacing w:after="0" w:line="240" w:lineRule="auto"/>
              <w:jc w:val="center"/>
              <w:rPr>
                <w:rFonts w:ascii="Calibri" w:eastAsia="Times New Roman" w:hAnsi="Calibri" w:cs="Times New Roman"/>
                <w:color w:val="000000"/>
              </w:rPr>
            </w:pPr>
            <w:r w:rsidRPr="009417F4">
              <w:rPr>
                <w:rFonts w:ascii="Calibri" w:eastAsia="Times New Roman" w:hAnsi="Calibri" w:cs="Times New Roman"/>
                <w:color w:val="000000"/>
              </w:rPr>
              <w:t>Fatty acid-TMS</w:t>
            </w:r>
          </w:p>
        </w:tc>
        <w:tc>
          <w:tcPr>
            <w:tcW w:w="1002" w:type="dxa"/>
            <w:tcBorders>
              <w:top w:val="nil"/>
              <w:left w:val="nil"/>
              <w:bottom w:val="nil"/>
              <w:right w:val="nil"/>
            </w:tcBorders>
          </w:tcPr>
          <w:p w:rsidR="0015754D" w:rsidRPr="009417F4" w:rsidRDefault="0015754D" w:rsidP="00B558C5">
            <w:pPr>
              <w:spacing w:after="0" w:line="240" w:lineRule="auto"/>
              <w:jc w:val="center"/>
              <w:rPr>
                <w:rFonts w:ascii="Calibri" w:eastAsia="Times New Roman" w:hAnsi="Calibri" w:cs="Times New Roman"/>
                <w:color w:val="000000"/>
              </w:rPr>
            </w:pPr>
          </w:p>
        </w:tc>
        <w:tc>
          <w:tcPr>
            <w:tcW w:w="1984" w:type="dxa"/>
            <w:tcBorders>
              <w:top w:val="nil"/>
              <w:left w:val="nil"/>
              <w:bottom w:val="nil"/>
              <w:right w:val="nil"/>
            </w:tcBorders>
            <w:shd w:val="clear" w:color="auto" w:fill="auto"/>
            <w:noWrap/>
            <w:vAlign w:val="center"/>
            <w:hideMark/>
          </w:tcPr>
          <w:p w:rsidR="0015754D" w:rsidRPr="009417F4" w:rsidRDefault="0015754D" w:rsidP="00B558C5">
            <w:pPr>
              <w:spacing w:after="0" w:line="240" w:lineRule="auto"/>
              <w:jc w:val="center"/>
              <w:rPr>
                <w:rFonts w:ascii="Calibri" w:eastAsia="Times New Roman" w:hAnsi="Calibri" w:cs="Times New Roman"/>
                <w:color w:val="000000"/>
              </w:rPr>
            </w:pPr>
            <w:r w:rsidRPr="009417F4">
              <w:rPr>
                <w:rFonts w:ascii="Calibri" w:eastAsia="Times New Roman" w:hAnsi="Calibri" w:cs="Times New Roman"/>
                <w:color w:val="000000"/>
              </w:rPr>
              <w:t>6.731</w:t>
            </w:r>
          </w:p>
        </w:tc>
        <w:tc>
          <w:tcPr>
            <w:tcW w:w="1134" w:type="dxa"/>
            <w:tcBorders>
              <w:top w:val="nil"/>
              <w:left w:val="nil"/>
              <w:bottom w:val="nil"/>
              <w:right w:val="nil"/>
            </w:tcBorders>
            <w:shd w:val="clear" w:color="auto" w:fill="auto"/>
            <w:noWrap/>
            <w:vAlign w:val="center"/>
            <w:hideMark/>
          </w:tcPr>
          <w:p w:rsidR="0015754D" w:rsidRPr="009417F4" w:rsidRDefault="0015754D" w:rsidP="00B558C5">
            <w:pPr>
              <w:spacing w:after="0" w:line="240" w:lineRule="auto"/>
              <w:jc w:val="center"/>
              <w:rPr>
                <w:rFonts w:ascii="Calibri" w:eastAsia="Times New Roman" w:hAnsi="Calibri" w:cs="Times New Roman"/>
                <w:color w:val="000000"/>
              </w:rPr>
            </w:pPr>
          </w:p>
        </w:tc>
        <w:tc>
          <w:tcPr>
            <w:tcW w:w="1843" w:type="dxa"/>
            <w:tcBorders>
              <w:top w:val="nil"/>
              <w:left w:val="nil"/>
              <w:bottom w:val="nil"/>
              <w:right w:val="nil"/>
            </w:tcBorders>
            <w:shd w:val="clear" w:color="auto" w:fill="auto"/>
            <w:noWrap/>
            <w:vAlign w:val="center"/>
            <w:hideMark/>
          </w:tcPr>
          <w:p w:rsidR="0015754D" w:rsidRPr="009417F4" w:rsidRDefault="0015754D" w:rsidP="00B558C5">
            <w:pPr>
              <w:spacing w:after="0" w:line="240" w:lineRule="auto"/>
              <w:jc w:val="center"/>
              <w:rPr>
                <w:rFonts w:ascii="Times New Roman" w:eastAsia="Times New Roman" w:hAnsi="Times New Roman" w:cs="Times New Roman"/>
                <w:sz w:val="20"/>
                <w:szCs w:val="20"/>
              </w:rPr>
            </w:pPr>
          </w:p>
        </w:tc>
        <w:tc>
          <w:tcPr>
            <w:tcW w:w="1559" w:type="dxa"/>
            <w:tcBorders>
              <w:top w:val="nil"/>
              <w:left w:val="nil"/>
              <w:bottom w:val="nil"/>
              <w:right w:val="nil"/>
            </w:tcBorders>
            <w:shd w:val="clear" w:color="auto" w:fill="auto"/>
            <w:noWrap/>
            <w:vAlign w:val="center"/>
            <w:hideMark/>
          </w:tcPr>
          <w:p w:rsidR="0015754D" w:rsidRPr="009417F4" w:rsidRDefault="0015754D" w:rsidP="00B558C5">
            <w:pPr>
              <w:spacing w:after="0" w:line="240" w:lineRule="auto"/>
              <w:jc w:val="center"/>
              <w:rPr>
                <w:rFonts w:ascii="Calibri" w:eastAsia="Times New Roman" w:hAnsi="Calibri" w:cs="Times New Roman"/>
                <w:color w:val="000000"/>
              </w:rPr>
            </w:pPr>
            <w:r w:rsidRPr="009417F4">
              <w:rPr>
                <w:rFonts w:ascii="Calibri" w:eastAsia="Times New Roman" w:hAnsi="Calibri" w:cs="Times New Roman"/>
                <w:color w:val="000000"/>
              </w:rPr>
              <w:t>EMR</w:t>
            </w:r>
          </w:p>
        </w:tc>
        <w:tc>
          <w:tcPr>
            <w:tcW w:w="1474" w:type="dxa"/>
            <w:tcBorders>
              <w:top w:val="nil"/>
              <w:left w:val="nil"/>
              <w:bottom w:val="nil"/>
              <w:right w:val="nil"/>
            </w:tcBorders>
            <w:shd w:val="clear" w:color="auto" w:fill="auto"/>
            <w:noWrap/>
            <w:vAlign w:val="center"/>
            <w:hideMark/>
          </w:tcPr>
          <w:p w:rsidR="0015754D" w:rsidRPr="009417F4" w:rsidRDefault="0015754D" w:rsidP="00B558C5">
            <w:pPr>
              <w:spacing w:after="0" w:line="240" w:lineRule="auto"/>
              <w:jc w:val="center"/>
              <w:rPr>
                <w:rFonts w:ascii="Calibri" w:eastAsia="Times New Roman" w:hAnsi="Calibri" w:cs="Times New Roman"/>
                <w:color w:val="000000"/>
              </w:rPr>
            </w:pPr>
          </w:p>
        </w:tc>
      </w:tr>
      <w:tr w:rsidR="0015754D" w:rsidRPr="009417F4" w:rsidTr="0015754D">
        <w:trPr>
          <w:trHeight w:val="300"/>
        </w:trPr>
        <w:tc>
          <w:tcPr>
            <w:tcW w:w="846" w:type="dxa"/>
            <w:tcBorders>
              <w:top w:val="nil"/>
              <w:left w:val="nil"/>
              <w:bottom w:val="nil"/>
              <w:right w:val="nil"/>
            </w:tcBorders>
            <w:shd w:val="clear" w:color="auto" w:fill="auto"/>
            <w:noWrap/>
            <w:vAlign w:val="center"/>
            <w:hideMark/>
          </w:tcPr>
          <w:p w:rsidR="0015754D" w:rsidRPr="009417F4" w:rsidRDefault="0015754D" w:rsidP="00B558C5">
            <w:pPr>
              <w:spacing w:after="0" w:line="240" w:lineRule="auto"/>
              <w:jc w:val="center"/>
              <w:rPr>
                <w:rFonts w:ascii="Calibri" w:eastAsia="Times New Roman" w:hAnsi="Calibri" w:cs="Times New Roman"/>
                <w:color w:val="000000"/>
              </w:rPr>
            </w:pPr>
            <w:r w:rsidRPr="009417F4">
              <w:rPr>
                <w:rFonts w:ascii="Calibri" w:eastAsia="Times New Roman" w:hAnsi="Calibri" w:cs="Times New Roman"/>
                <w:color w:val="000000"/>
              </w:rPr>
              <w:t>9</w:t>
            </w:r>
          </w:p>
        </w:tc>
        <w:tc>
          <w:tcPr>
            <w:tcW w:w="4116" w:type="dxa"/>
            <w:tcBorders>
              <w:top w:val="nil"/>
              <w:left w:val="nil"/>
              <w:bottom w:val="nil"/>
              <w:right w:val="nil"/>
            </w:tcBorders>
            <w:shd w:val="clear" w:color="auto" w:fill="auto"/>
            <w:noWrap/>
            <w:vAlign w:val="center"/>
            <w:hideMark/>
          </w:tcPr>
          <w:p w:rsidR="0015754D" w:rsidRPr="009417F4" w:rsidRDefault="0015754D" w:rsidP="00B558C5">
            <w:pPr>
              <w:spacing w:after="0" w:line="240" w:lineRule="auto"/>
              <w:jc w:val="center"/>
              <w:rPr>
                <w:rFonts w:ascii="Calibri" w:eastAsia="Times New Roman" w:hAnsi="Calibri" w:cs="Times New Roman"/>
                <w:color w:val="000000"/>
              </w:rPr>
            </w:pPr>
            <w:r w:rsidRPr="009417F4">
              <w:rPr>
                <w:rFonts w:ascii="Calibri" w:eastAsia="Times New Roman" w:hAnsi="Calibri" w:cs="Times New Roman"/>
                <w:color w:val="000000"/>
              </w:rPr>
              <w:t>Caryophylla-4,8-dien-5-ol</w:t>
            </w:r>
          </w:p>
        </w:tc>
        <w:tc>
          <w:tcPr>
            <w:tcW w:w="1002" w:type="dxa"/>
            <w:tcBorders>
              <w:top w:val="nil"/>
              <w:left w:val="nil"/>
              <w:bottom w:val="nil"/>
              <w:right w:val="nil"/>
            </w:tcBorders>
          </w:tcPr>
          <w:p w:rsidR="0015754D" w:rsidRPr="009417F4" w:rsidRDefault="0015754D" w:rsidP="00B558C5">
            <w:pPr>
              <w:spacing w:after="0" w:line="240" w:lineRule="auto"/>
              <w:jc w:val="center"/>
              <w:rPr>
                <w:rFonts w:ascii="Calibri" w:eastAsia="Times New Roman" w:hAnsi="Calibri" w:cs="Times New Roman"/>
                <w:color w:val="000000"/>
              </w:rPr>
            </w:pPr>
          </w:p>
        </w:tc>
        <w:tc>
          <w:tcPr>
            <w:tcW w:w="1984" w:type="dxa"/>
            <w:tcBorders>
              <w:top w:val="nil"/>
              <w:left w:val="nil"/>
              <w:bottom w:val="nil"/>
              <w:right w:val="nil"/>
            </w:tcBorders>
            <w:shd w:val="clear" w:color="auto" w:fill="auto"/>
            <w:noWrap/>
            <w:vAlign w:val="center"/>
            <w:hideMark/>
          </w:tcPr>
          <w:p w:rsidR="0015754D" w:rsidRPr="009417F4" w:rsidRDefault="0015754D" w:rsidP="00B558C5">
            <w:pPr>
              <w:spacing w:after="0" w:line="240" w:lineRule="auto"/>
              <w:jc w:val="center"/>
              <w:rPr>
                <w:rFonts w:ascii="Calibri" w:eastAsia="Times New Roman" w:hAnsi="Calibri" w:cs="Times New Roman"/>
                <w:color w:val="000000"/>
              </w:rPr>
            </w:pPr>
            <w:r w:rsidRPr="009417F4">
              <w:rPr>
                <w:rFonts w:ascii="Calibri" w:eastAsia="Times New Roman" w:hAnsi="Calibri" w:cs="Times New Roman"/>
                <w:color w:val="000000"/>
              </w:rPr>
              <w:t>6.751</w:t>
            </w:r>
          </w:p>
        </w:tc>
        <w:tc>
          <w:tcPr>
            <w:tcW w:w="1134" w:type="dxa"/>
            <w:tcBorders>
              <w:top w:val="nil"/>
              <w:left w:val="nil"/>
              <w:bottom w:val="nil"/>
              <w:right w:val="nil"/>
            </w:tcBorders>
            <w:shd w:val="clear" w:color="auto" w:fill="auto"/>
            <w:noWrap/>
            <w:vAlign w:val="center"/>
            <w:hideMark/>
          </w:tcPr>
          <w:p w:rsidR="0015754D" w:rsidRPr="009417F4" w:rsidRDefault="0015754D" w:rsidP="00B558C5">
            <w:pPr>
              <w:spacing w:after="0" w:line="240" w:lineRule="auto"/>
              <w:jc w:val="center"/>
              <w:rPr>
                <w:rFonts w:ascii="Calibri" w:eastAsia="Times New Roman" w:hAnsi="Calibri" w:cs="Times New Roman"/>
                <w:color w:val="000000"/>
              </w:rPr>
            </w:pPr>
            <w:r w:rsidRPr="009417F4">
              <w:rPr>
                <w:rFonts w:ascii="Calibri" w:eastAsia="Times New Roman" w:hAnsi="Calibri" w:cs="Times New Roman"/>
                <w:color w:val="000000"/>
              </w:rPr>
              <w:t>220.35</w:t>
            </w:r>
          </w:p>
        </w:tc>
        <w:tc>
          <w:tcPr>
            <w:tcW w:w="1843" w:type="dxa"/>
            <w:tcBorders>
              <w:top w:val="nil"/>
              <w:left w:val="nil"/>
              <w:bottom w:val="nil"/>
              <w:right w:val="nil"/>
            </w:tcBorders>
            <w:shd w:val="clear" w:color="auto" w:fill="auto"/>
            <w:noWrap/>
            <w:vAlign w:val="center"/>
            <w:hideMark/>
          </w:tcPr>
          <w:p w:rsidR="0015754D" w:rsidRPr="009417F4" w:rsidRDefault="0015754D" w:rsidP="00B558C5">
            <w:pPr>
              <w:spacing w:after="0" w:line="240" w:lineRule="auto"/>
              <w:jc w:val="center"/>
              <w:rPr>
                <w:rFonts w:ascii="Calibri" w:eastAsia="Times New Roman" w:hAnsi="Calibri" w:cs="Times New Roman"/>
                <w:color w:val="000000"/>
              </w:rPr>
            </w:pPr>
            <w:r w:rsidRPr="009417F4">
              <w:rPr>
                <w:rFonts w:ascii="Calibri" w:eastAsia="Times New Roman" w:hAnsi="Calibri" w:cs="Times New Roman"/>
                <w:color w:val="000000"/>
              </w:rPr>
              <w:t>C</w:t>
            </w:r>
            <w:r w:rsidRPr="001C3243">
              <w:rPr>
                <w:rFonts w:ascii="Calibri" w:eastAsia="Times New Roman" w:hAnsi="Calibri" w:cs="Times New Roman"/>
                <w:color w:val="000000"/>
                <w:vertAlign w:val="subscript"/>
              </w:rPr>
              <w:t>15</w:t>
            </w:r>
            <w:r w:rsidRPr="009417F4">
              <w:rPr>
                <w:rFonts w:ascii="Calibri" w:eastAsia="Times New Roman" w:hAnsi="Calibri" w:cs="Times New Roman"/>
                <w:color w:val="000000"/>
              </w:rPr>
              <w:t>H</w:t>
            </w:r>
            <w:r w:rsidRPr="001C3243">
              <w:rPr>
                <w:rFonts w:ascii="Calibri" w:eastAsia="Times New Roman" w:hAnsi="Calibri" w:cs="Times New Roman"/>
                <w:color w:val="000000"/>
                <w:vertAlign w:val="subscript"/>
              </w:rPr>
              <w:t>24</w:t>
            </w:r>
            <w:r w:rsidRPr="009417F4">
              <w:rPr>
                <w:rFonts w:ascii="Calibri" w:eastAsia="Times New Roman" w:hAnsi="Calibri" w:cs="Times New Roman"/>
                <w:color w:val="000000"/>
              </w:rPr>
              <w:t>O</w:t>
            </w:r>
          </w:p>
        </w:tc>
        <w:tc>
          <w:tcPr>
            <w:tcW w:w="1559" w:type="dxa"/>
            <w:tcBorders>
              <w:top w:val="nil"/>
              <w:left w:val="nil"/>
              <w:bottom w:val="nil"/>
              <w:right w:val="nil"/>
            </w:tcBorders>
            <w:shd w:val="clear" w:color="auto" w:fill="auto"/>
            <w:noWrap/>
            <w:vAlign w:val="center"/>
            <w:hideMark/>
          </w:tcPr>
          <w:p w:rsidR="0015754D" w:rsidRPr="009417F4" w:rsidRDefault="0015754D" w:rsidP="00B558C5">
            <w:pPr>
              <w:spacing w:after="0" w:line="240" w:lineRule="auto"/>
              <w:jc w:val="center"/>
              <w:rPr>
                <w:rFonts w:ascii="Calibri" w:eastAsia="Times New Roman" w:hAnsi="Calibri" w:cs="Times New Roman"/>
                <w:color w:val="000000"/>
              </w:rPr>
            </w:pPr>
            <w:r w:rsidRPr="009417F4">
              <w:rPr>
                <w:rFonts w:ascii="Calibri" w:eastAsia="Times New Roman" w:hAnsi="Calibri" w:cs="Times New Roman"/>
                <w:color w:val="000000"/>
              </w:rPr>
              <w:t>EMR</w:t>
            </w:r>
          </w:p>
        </w:tc>
        <w:tc>
          <w:tcPr>
            <w:tcW w:w="1474" w:type="dxa"/>
            <w:tcBorders>
              <w:top w:val="nil"/>
              <w:left w:val="nil"/>
              <w:bottom w:val="nil"/>
              <w:right w:val="nil"/>
            </w:tcBorders>
            <w:shd w:val="clear" w:color="auto" w:fill="auto"/>
            <w:noWrap/>
            <w:vAlign w:val="center"/>
            <w:hideMark/>
          </w:tcPr>
          <w:p w:rsidR="0015754D" w:rsidRPr="009417F4" w:rsidRDefault="0015754D" w:rsidP="00B558C5">
            <w:pPr>
              <w:spacing w:after="0" w:line="240" w:lineRule="auto"/>
              <w:jc w:val="center"/>
              <w:rPr>
                <w:rFonts w:ascii="Calibri" w:eastAsia="Times New Roman" w:hAnsi="Calibri" w:cs="Times New Roman"/>
                <w:color w:val="000000"/>
              </w:rPr>
            </w:pPr>
            <w:r w:rsidRPr="009417F4">
              <w:rPr>
                <w:rFonts w:ascii="Calibri" w:eastAsia="Times New Roman" w:hAnsi="Calibri" w:cs="Times New Roman"/>
                <w:color w:val="000000"/>
              </w:rPr>
              <w:t>12.7</w:t>
            </w:r>
          </w:p>
        </w:tc>
      </w:tr>
      <w:tr w:rsidR="0015754D" w:rsidRPr="009417F4" w:rsidTr="0015754D">
        <w:trPr>
          <w:trHeight w:val="300"/>
        </w:trPr>
        <w:tc>
          <w:tcPr>
            <w:tcW w:w="846" w:type="dxa"/>
            <w:tcBorders>
              <w:top w:val="nil"/>
              <w:left w:val="nil"/>
              <w:bottom w:val="nil"/>
              <w:right w:val="nil"/>
            </w:tcBorders>
            <w:shd w:val="clear" w:color="auto" w:fill="F2F2F2" w:themeFill="background1" w:themeFillShade="F2"/>
            <w:noWrap/>
            <w:vAlign w:val="center"/>
            <w:hideMark/>
          </w:tcPr>
          <w:p w:rsidR="0015754D" w:rsidRPr="009417F4" w:rsidRDefault="0015754D" w:rsidP="00B558C5">
            <w:pPr>
              <w:spacing w:after="0" w:line="240" w:lineRule="auto"/>
              <w:jc w:val="center"/>
              <w:rPr>
                <w:rFonts w:ascii="Calibri" w:eastAsia="Times New Roman" w:hAnsi="Calibri" w:cs="Times New Roman"/>
                <w:color w:val="000000"/>
              </w:rPr>
            </w:pPr>
            <w:r w:rsidRPr="009417F4">
              <w:rPr>
                <w:rFonts w:ascii="Calibri" w:eastAsia="Times New Roman" w:hAnsi="Calibri" w:cs="Times New Roman"/>
                <w:color w:val="000000"/>
              </w:rPr>
              <w:t>10</w:t>
            </w:r>
          </w:p>
        </w:tc>
        <w:tc>
          <w:tcPr>
            <w:tcW w:w="4116" w:type="dxa"/>
            <w:tcBorders>
              <w:top w:val="nil"/>
              <w:left w:val="nil"/>
              <w:bottom w:val="nil"/>
              <w:right w:val="nil"/>
            </w:tcBorders>
            <w:shd w:val="clear" w:color="auto" w:fill="F2F2F2" w:themeFill="background1" w:themeFillShade="F2"/>
            <w:noWrap/>
            <w:vAlign w:val="center"/>
            <w:hideMark/>
          </w:tcPr>
          <w:p w:rsidR="0015754D" w:rsidRPr="009417F4" w:rsidRDefault="0015754D" w:rsidP="00B558C5">
            <w:pPr>
              <w:spacing w:after="0" w:line="240" w:lineRule="auto"/>
              <w:jc w:val="center"/>
              <w:rPr>
                <w:rFonts w:ascii="Calibri" w:eastAsia="Times New Roman" w:hAnsi="Calibri" w:cs="Times New Roman"/>
                <w:color w:val="000000"/>
              </w:rPr>
            </w:pPr>
            <w:r w:rsidRPr="009417F4">
              <w:rPr>
                <w:rFonts w:ascii="Calibri" w:eastAsia="Times New Roman" w:hAnsi="Calibri" w:cs="Times New Roman"/>
                <w:color w:val="000000"/>
              </w:rPr>
              <w:t>Terpenoid-TMS</w:t>
            </w:r>
          </w:p>
        </w:tc>
        <w:tc>
          <w:tcPr>
            <w:tcW w:w="1002" w:type="dxa"/>
            <w:tcBorders>
              <w:top w:val="nil"/>
              <w:left w:val="nil"/>
              <w:bottom w:val="nil"/>
              <w:right w:val="nil"/>
            </w:tcBorders>
            <w:shd w:val="clear" w:color="auto" w:fill="F2F2F2" w:themeFill="background1" w:themeFillShade="F2"/>
          </w:tcPr>
          <w:p w:rsidR="0015754D" w:rsidRPr="009417F4" w:rsidRDefault="0015754D" w:rsidP="00B558C5">
            <w:pPr>
              <w:spacing w:after="0" w:line="240" w:lineRule="auto"/>
              <w:jc w:val="center"/>
              <w:rPr>
                <w:rFonts w:ascii="Calibri" w:eastAsia="Times New Roman" w:hAnsi="Calibri" w:cs="Times New Roman"/>
                <w:color w:val="000000"/>
              </w:rPr>
            </w:pPr>
          </w:p>
        </w:tc>
        <w:tc>
          <w:tcPr>
            <w:tcW w:w="1984" w:type="dxa"/>
            <w:tcBorders>
              <w:top w:val="nil"/>
              <w:left w:val="nil"/>
              <w:bottom w:val="nil"/>
              <w:right w:val="nil"/>
            </w:tcBorders>
            <w:shd w:val="clear" w:color="auto" w:fill="F2F2F2" w:themeFill="background1" w:themeFillShade="F2"/>
            <w:noWrap/>
            <w:vAlign w:val="center"/>
            <w:hideMark/>
          </w:tcPr>
          <w:p w:rsidR="0015754D" w:rsidRPr="009417F4" w:rsidRDefault="0015754D" w:rsidP="00B558C5">
            <w:pPr>
              <w:spacing w:after="0" w:line="240" w:lineRule="auto"/>
              <w:jc w:val="center"/>
              <w:rPr>
                <w:rFonts w:ascii="Calibri" w:eastAsia="Times New Roman" w:hAnsi="Calibri" w:cs="Times New Roman"/>
                <w:color w:val="000000"/>
              </w:rPr>
            </w:pPr>
            <w:r w:rsidRPr="009417F4">
              <w:rPr>
                <w:rFonts w:ascii="Calibri" w:eastAsia="Times New Roman" w:hAnsi="Calibri" w:cs="Times New Roman"/>
                <w:color w:val="000000"/>
              </w:rPr>
              <w:t>6.844</w:t>
            </w:r>
          </w:p>
        </w:tc>
        <w:tc>
          <w:tcPr>
            <w:tcW w:w="1134" w:type="dxa"/>
            <w:tcBorders>
              <w:top w:val="nil"/>
              <w:left w:val="nil"/>
              <w:bottom w:val="nil"/>
              <w:right w:val="nil"/>
            </w:tcBorders>
            <w:shd w:val="clear" w:color="auto" w:fill="F2F2F2" w:themeFill="background1" w:themeFillShade="F2"/>
            <w:noWrap/>
            <w:vAlign w:val="center"/>
            <w:hideMark/>
          </w:tcPr>
          <w:p w:rsidR="0015754D" w:rsidRPr="009417F4" w:rsidRDefault="0015754D" w:rsidP="00B558C5">
            <w:pPr>
              <w:spacing w:after="0" w:line="240" w:lineRule="auto"/>
              <w:jc w:val="center"/>
              <w:rPr>
                <w:rFonts w:ascii="Calibri" w:eastAsia="Times New Roman" w:hAnsi="Calibri" w:cs="Times New Roman"/>
                <w:color w:val="000000"/>
              </w:rPr>
            </w:pPr>
          </w:p>
        </w:tc>
        <w:tc>
          <w:tcPr>
            <w:tcW w:w="1843" w:type="dxa"/>
            <w:tcBorders>
              <w:top w:val="nil"/>
              <w:left w:val="nil"/>
              <w:bottom w:val="nil"/>
              <w:right w:val="nil"/>
            </w:tcBorders>
            <w:shd w:val="clear" w:color="auto" w:fill="F2F2F2" w:themeFill="background1" w:themeFillShade="F2"/>
            <w:noWrap/>
            <w:vAlign w:val="center"/>
            <w:hideMark/>
          </w:tcPr>
          <w:p w:rsidR="0015754D" w:rsidRPr="009417F4" w:rsidRDefault="0015754D" w:rsidP="00B558C5">
            <w:pPr>
              <w:spacing w:after="0" w:line="240" w:lineRule="auto"/>
              <w:jc w:val="center"/>
              <w:rPr>
                <w:rFonts w:ascii="Times New Roman" w:eastAsia="Times New Roman" w:hAnsi="Times New Roman" w:cs="Times New Roman"/>
                <w:sz w:val="20"/>
                <w:szCs w:val="20"/>
              </w:rPr>
            </w:pPr>
          </w:p>
        </w:tc>
        <w:tc>
          <w:tcPr>
            <w:tcW w:w="1559" w:type="dxa"/>
            <w:tcBorders>
              <w:top w:val="nil"/>
              <w:left w:val="nil"/>
              <w:bottom w:val="nil"/>
              <w:right w:val="nil"/>
            </w:tcBorders>
            <w:shd w:val="clear" w:color="auto" w:fill="F2F2F2" w:themeFill="background1" w:themeFillShade="F2"/>
            <w:noWrap/>
            <w:vAlign w:val="center"/>
            <w:hideMark/>
          </w:tcPr>
          <w:p w:rsidR="0015754D" w:rsidRPr="009417F4" w:rsidRDefault="0015754D" w:rsidP="00B558C5">
            <w:pPr>
              <w:spacing w:after="0" w:line="240" w:lineRule="auto"/>
              <w:jc w:val="center"/>
              <w:rPr>
                <w:rFonts w:ascii="Calibri" w:eastAsia="Times New Roman" w:hAnsi="Calibri" w:cs="Times New Roman"/>
                <w:color w:val="000000"/>
              </w:rPr>
            </w:pPr>
            <w:r w:rsidRPr="009417F4">
              <w:rPr>
                <w:rFonts w:ascii="Calibri" w:eastAsia="Times New Roman" w:hAnsi="Calibri" w:cs="Times New Roman"/>
                <w:color w:val="000000"/>
              </w:rPr>
              <w:t>EMR</w:t>
            </w:r>
          </w:p>
        </w:tc>
        <w:tc>
          <w:tcPr>
            <w:tcW w:w="1474" w:type="dxa"/>
            <w:tcBorders>
              <w:top w:val="nil"/>
              <w:left w:val="nil"/>
              <w:bottom w:val="nil"/>
              <w:right w:val="nil"/>
            </w:tcBorders>
            <w:shd w:val="clear" w:color="auto" w:fill="F2F2F2" w:themeFill="background1" w:themeFillShade="F2"/>
            <w:noWrap/>
            <w:vAlign w:val="center"/>
            <w:hideMark/>
          </w:tcPr>
          <w:p w:rsidR="0015754D" w:rsidRPr="009417F4" w:rsidRDefault="0015754D" w:rsidP="00B558C5">
            <w:pPr>
              <w:spacing w:after="0" w:line="240" w:lineRule="auto"/>
              <w:jc w:val="center"/>
              <w:rPr>
                <w:rFonts w:ascii="Calibri" w:eastAsia="Times New Roman" w:hAnsi="Calibri" w:cs="Times New Roman"/>
                <w:color w:val="000000"/>
              </w:rPr>
            </w:pPr>
          </w:p>
        </w:tc>
      </w:tr>
      <w:tr w:rsidR="0015754D" w:rsidRPr="009417F4" w:rsidTr="0015754D">
        <w:trPr>
          <w:trHeight w:val="300"/>
        </w:trPr>
        <w:tc>
          <w:tcPr>
            <w:tcW w:w="846" w:type="dxa"/>
            <w:tcBorders>
              <w:top w:val="nil"/>
              <w:left w:val="nil"/>
              <w:bottom w:val="nil"/>
              <w:right w:val="nil"/>
            </w:tcBorders>
            <w:shd w:val="clear" w:color="auto" w:fill="auto"/>
            <w:noWrap/>
            <w:vAlign w:val="center"/>
            <w:hideMark/>
          </w:tcPr>
          <w:p w:rsidR="0015754D" w:rsidRPr="009417F4" w:rsidRDefault="0015754D" w:rsidP="00B558C5">
            <w:pPr>
              <w:spacing w:after="0" w:line="240" w:lineRule="auto"/>
              <w:jc w:val="center"/>
              <w:rPr>
                <w:rFonts w:ascii="Calibri" w:eastAsia="Times New Roman" w:hAnsi="Calibri" w:cs="Times New Roman"/>
                <w:color w:val="000000"/>
              </w:rPr>
            </w:pPr>
            <w:r w:rsidRPr="009417F4">
              <w:rPr>
                <w:rFonts w:ascii="Calibri" w:eastAsia="Times New Roman" w:hAnsi="Calibri" w:cs="Times New Roman"/>
                <w:color w:val="000000"/>
              </w:rPr>
              <w:t>11</w:t>
            </w:r>
          </w:p>
        </w:tc>
        <w:tc>
          <w:tcPr>
            <w:tcW w:w="4116" w:type="dxa"/>
            <w:tcBorders>
              <w:top w:val="nil"/>
              <w:left w:val="nil"/>
              <w:bottom w:val="nil"/>
              <w:right w:val="nil"/>
            </w:tcBorders>
            <w:shd w:val="clear" w:color="auto" w:fill="auto"/>
            <w:noWrap/>
            <w:vAlign w:val="center"/>
            <w:hideMark/>
          </w:tcPr>
          <w:p w:rsidR="0015754D" w:rsidRPr="009417F4" w:rsidRDefault="0015754D" w:rsidP="00B558C5">
            <w:pPr>
              <w:spacing w:after="0" w:line="240" w:lineRule="auto"/>
              <w:jc w:val="center"/>
              <w:rPr>
                <w:rFonts w:ascii="Calibri" w:eastAsia="Times New Roman" w:hAnsi="Calibri" w:cs="Times New Roman"/>
                <w:color w:val="000000"/>
              </w:rPr>
            </w:pPr>
            <w:r w:rsidRPr="009417F4">
              <w:rPr>
                <w:rFonts w:ascii="Calibri" w:eastAsia="Times New Roman" w:hAnsi="Calibri" w:cs="Times New Roman"/>
                <w:color w:val="000000"/>
              </w:rPr>
              <w:t>Myristic acid-TMS</w:t>
            </w:r>
          </w:p>
        </w:tc>
        <w:tc>
          <w:tcPr>
            <w:tcW w:w="1002" w:type="dxa"/>
            <w:tcBorders>
              <w:top w:val="nil"/>
              <w:left w:val="nil"/>
              <w:bottom w:val="nil"/>
              <w:right w:val="nil"/>
            </w:tcBorders>
          </w:tcPr>
          <w:p w:rsidR="0015754D" w:rsidRPr="009417F4" w:rsidRDefault="0015754D" w:rsidP="00B558C5">
            <w:pPr>
              <w:spacing w:after="0" w:line="240" w:lineRule="auto"/>
              <w:jc w:val="center"/>
              <w:rPr>
                <w:rFonts w:ascii="Calibri" w:eastAsia="Times New Roman" w:hAnsi="Calibri" w:cs="Times New Roman"/>
                <w:color w:val="000000"/>
              </w:rPr>
            </w:pPr>
          </w:p>
        </w:tc>
        <w:tc>
          <w:tcPr>
            <w:tcW w:w="1984" w:type="dxa"/>
            <w:tcBorders>
              <w:top w:val="nil"/>
              <w:left w:val="nil"/>
              <w:bottom w:val="nil"/>
              <w:right w:val="nil"/>
            </w:tcBorders>
            <w:shd w:val="clear" w:color="auto" w:fill="auto"/>
            <w:noWrap/>
            <w:vAlign w:val="center"/>
            <w:hideMark/>
          </w:tcPr>
          <w:p w:rsidR="0015754D" w:rsidRPr="009417F4" w:rsidRDefault="0015754D" w:rsidP="00B558C5">
            <w:pPr>
              <w:spacing w:after="0" w:line="240" w:lineRule="auto"/>
              <w:jc w:val="center"/>
              <w:rPr>
                <w:rFonts w:ascii="Calibri" w:eastAsia="Times New Roman" w:hAnsi="Calibri" w:cs="Times New Roman"/>
                <w:color w:val="000000"/>
              </w:rPr>
            </w:pPr>
            <w:r w:rsidRPr="009417F4">
              <w:rPr>
                <w:rFonts w:ascii="Calibri" w:eastAsia="Times New Roman" w:hAnsi="Calibri" w:cs="Times New Roman"/>
                <w:color w:val="000000"/>
              </w:rPr>
              <w:t>7.088</w:t>
            </w:r>
          </w:p>
        </w:tc>
        <w:tc>
          <w:tcPr>
            <w:tcW w:w="1134" w:type="dxa"/>
            <w:tcBorders>
              <w:top w:val="nil"/>
              <w:left w:val="nil"/>
              <w:bottom w:val="nil"/>
              <w:right w:val="nil"/>
            </w:tcBorders>
            <w:shd w:val="clear" w:color="auto" w:fill="auto"/>
            <w:noWrap/>
            <w:vAlign w:val="center"/>
            <w:hideMark/>
          </w:tcPr>
          <w:p w:rsidR="0015754D" w:rsidRPr="009417F4" w:rsidRDefault="0015754D" w:rsidP="00B558C5">
            <w:pPr>
              <w:spacing w:after="0" w:line="240" w:lineRule="auto"/>
              <w:jc w:val="center"/>
              <w:rPr>
                <w:rFonts w:ascii="Calibri" w:eastAsia="Times New Roman" w:hAnsi="Calibri" w:cs="Times New Roman"/>
                <w:color w:val="000000"/>
              </w:rPr>
            </w:pPr>
            <w:r w:rsidRPr="009417F4">
              <w:rPr>
                <w:rFonts w:ascii="Calibri" w:eastAsia="Times New Roman" w:hAnsi="Calibri" w:cs="Times New Roman"/>
                <w:color w:val="000000"/>
              </w:rPr>
              <w:t>300.24</w:t>
            </w:r>
          </w:p>
        </w:tc>
        <w:tc>
          <w:tcPr>
            <w:tcW w:w="1843" w:type="dxa"/>
            <w:tcBorders>
              <w:top w:val="nil"/>
              <w:left w:val="nil"/>
              <w:bottom w:val="nil"/>
              <w:right w:val="nil"/>
            </w:tcBorders>
            <w:shd w:val="clear" w:color="auto" w:fill="auto"/>
            <w:noWrap/>
            <w:vAlign w:val="center"/>
            <w:hideMark/>
          </w:tcPr>
          <w:p w:rsidR="0015754D" w:rsidRPr="009417F4" w:rsidRDefault="0015754D" w:rsidP="00B558C5">
            <w:pPr>
              <w:spacing w:after="0" w:line="240" w:lineRule="auto"/>
              <w:jc w:val="center"/>
              <w:rPr>
                <w:rFonts w:ascii="Calibri" w:eastAsia="Times New Roman" w:hAnsi="Calibri" w:cs="Times New Roman"/>
                <w:color w:val="000000"/>
              </w:rPr>
            </w:pPr>
            <w:r w:rsidRPr="009417F4">
              <w:rPr>
                <w:rFonts w:ascii="Calibri" w:eastAsia="Times New Roman" w:hAnsi="Calibri" w:cs="Times New Roman"/>
                <w:color w:val="000000"/>
              </w:rPr>
              <w:t>C</w:t>
            </w:r>
            <w:r w:rsidRPr="001C3243">
              <w:rPr>
                <w:rFonts w:ascii="Calibri" w:eastAsia="Times New Roman" w:hAnsi="Calibri" w:cs="Times New Roman"/>
                <w:color w:val="000000"/>
                <w:vertAlign w:val="subscript"/>
              </w:rPr>
              <w:t>17</w:t>
            </w:r>
            <w:r w:rsidRPr="009417F4">
              <w:rPr>
                <w:rFonts w:ascii="Calibri" w:eastAsia="Times New Roman" w:hAnsi="Calibri" w:cs="Times New Roman"/>
                <w:color w:val="000000"/>
              </w:rPr>
              <w:t>H</w:t>
            </w:r>
            <w:r w:rsidRPr="001C3243">
              <w:rPr>
                <w:rFonts w:ascii="Calibri" w:eastAsia="Times New Roman" w:hAnsi="Calibri" w:cs="Times New Roman"/>
                <w:color w:val="000000"/>
                <w:vertAlign w:val="subscript"/>
              </w:rPr>
              <w:t>36</w:t>
            </w:r>
            <w:r w:rsidRPr="009417F4">
              <w:rPr>
                <w:rFonts w:ascii="Calibri" w:eastAsia="Times New Roman" w:hAnsi="Calibri" w:cs="Times New Roman"/>
                <w:color w:val="000000"/>
              </w:rPr>
              <w:t>O</w:t>
            </w:r>
            <w:r w:rsidRPr="001C3243">
              <w:rPr>
                <w:rFonts w:ascii="Calibri" w:eastAsia="Times New Roman" w:hAnsi="Calibri" w:cs="Times New Roman"/>
                <w:color w:val="000000"/>
                <w:vertAlign w:val="subscript"/>
              </w:rPr>
              <w:t>2</w:t>
            </w:r>
            <w:r w:rsidRPr="009417F4">
              <w:rPr>
                <w:rFonts w:ascii="Calibri" w:eastAsia="Times New Roman" w:hAnsi="Calibri" w:cs="Times New Roman"/>
                <w:color w:val="000000"/>
              </w:rPr>
              <w:t>Si</w:t>
            </w:r>
          </w:p>
        </w:tc>
        <w:tc>
          <w:tcPr>
            <w:tcW w:w="1559" w:type="dxa"/>
            <w:tcBorders>
              <w:top w:val="nil"/>
              <w:left w:val="nil"/>
              <w:bottom w:val="nil"/>
              <w:right w:val="nil"/>
            </w:tcBorders>
            <w:shd w:val="clear" w:color="auto" w:fill="auto"/>
            <w:noWrap/>
            <w:vAlign w:val="center"/>
            <w:hideMark/>
          </w:tcPr>
          <w:p w:rsidR="0015754D" w:rsidRPr="009417F4" w:rsidRDefault="0015754D" w:rsidP="00B558C5">
            <w:pPr>
              <w:spacing w:after="0" w:line="240" w:lineRule="auto"/>
              <w:jc w:val="center"/>
              <w:rPr>
                <w:rFonts w:ascii="Calibri" w:eastAsia="Times New Roman" w:hAnsi="Calibri" w:cs="Times New Roman"/>
                <w:color w:val="000000"/>
              </w:rPr>
            </w:pPr>
            <w:r w:rsidRPr="009417F4">
              <w:rPr>
                <w:rFonts w:ascii="Calibri" w:eastAsia="Times New Roman" w:hAnsi="Calibri" w:cs="Times New Roman"/>
                <w:color w:val="000000"/>
              </w:rPr>
              <w:t>Captiva</w:t>
            </w:r>
          </w:p>
        </w:tc>
        <w:tc>
          <w:tcPr>
            <w:tcW w:w="1474" w:type="dxa"/>
            <w:tcBorders>
              <w:top w:val="nil"/>
              <w:left w:val="nil"/>
              <w:bottom w:val="nil"/>
              <w:right w:val="nil"/>
            </w:tcBorders>
            <w:shd w:val="clear" w:color="auto" w:fill="auto"/>
            <w:noWrap/>
            <w:vAlign w:val="center"/>
            <w:hideMark/>
          </w:tcPr>
          <w:p w:rsidR="0015754D" w:rsidRPr="009417F4" w:rsidRDefault="0015754D" w:rsidP="00B558C5">
            <w:pPr>
              <w:spacing w:after="0" w:line="240" w:lineRule="auto"/>
              <w:jc w:val="center"/>
              <w:rPr>
                <w:rFonts w:ascii="Calibri" w:eastAsia="Times New Roman" w:hAnsi="Calibri" w:cs="Times New Roman"/>
                <w:color w:val="000000"/>
              </w:rPr>
            </w:pPr>
            <w:r w:rsidRPr="009417F4">
              <w:rPr>
                <w:rFonts w:ascii="Calibri" w:eastAsia="Times New Roman" w:hAnsi="Calibri" w:cs="Times New Roman"/>
                <w:color w:val="000000"/>
              </w:rPr>
              <w:t>86.8</w:t>
            </w:r>
          </w:p>
        </w:tc>
      </w:tr>
      <w:tr w:rsidR="0015754D" w:rsidRPr="009417F4" w:rsidTr="0015754D">
        <w:trPr>
          <w:trHeight w:val="300"/>
        </w:trPr>
        <w:tc>
          <w:tcPr>
            <w:tcW w:w="846" w:type="dxa"/>
            <w:tcBorders>
              <w:top w:val="nil"/>
              <w:left w:val="nil"/>
              <w:bottom w:val="nil"/>
              <w:right w:val="nil"/>
            </w:tcBorders>
            <w:shd w:val="clear" w:color="auto" w:fill="auto"/>
            <w:noWrap/>
            <w:vAlign w:val="center"/>
            <w:hideMark/>
          </w:tcPr>
          <w:p w:rsidR="0015754D" w:rsidRPr="009417F4" w:rsidRDefault="0015754D" w:rsidP="00B558C5">
            <w:pPr>
              <w:spacing w:after="0" w:line="240" w:lineRule="auto"/>
              <w:jc w:val="center"/>
              <w:rPr>
                <w:rFonts w:ascii="Calibri" w:eastAsia="Times New Roman" w:hAnsi="Calibri" w:cs="Times New Roman"/>
                <w:color w:val="000000"/>
              </w:rPr>
            </w:pPr>
            <w:r w:rsidRPr="009417F4">
              <w:rPr>
                <w:rFonts w:ascii="Calibri" w:eastAsia="Times New Roman" w:hAnsi="Calibri" w:cs="Times New Roman"/>
                <w:color w:val="000000"/>
              </w:rPr>
              <w:t>12</w:t>
            </w:r>
          </w:p>
        </w:tc>
        <w:tc>
          <w:tcPr>
            <w:tcW w:w="4116" w:type="dxa"/>
            <w:tcBorders>
              <w:top w:val="nil"/>
              <w:left w:val="nil"/>
              <w:bottom w:val="nil"/>
              <w:right w:val="nil"/>
            </w:tcBorders>
            <w:shd w:val="clear" w:color="auto" w:fill="auto"/>
            <w:noWrap/>
            <w:vAlign w:val="center"/>
            <w:hideMark/>
          </w:tcPr>
          <w:p w:rsidR="0015754D" w:rsidRPr="009417F4" w:rsidRDefault="0015754D" w:rsidP="00B558C5">
            <w:pPr>
              <w:spacing w:after="0" w:line="240" w:lineRule="auto"/>
              <w:jc w:val="center"/>
              <w:rPr>
                <w:rFonts w:ascii="Calibri" w:eastAsia="Times New Roman" w:hAnsi="Calibri" w:cs="Times New Roman"/>
                <w:color w:val="000000"/>
              </w:rPr>
            </w:pPr>
            <w:r w:rsidRPr="009417F4">
              <w:rPr>
                <w:rFonts w:ascii="Calibri" w:eastAsia="Times New Roman" w:hAnsi="Calibri" w:cs="Times New Roman"/>
                <w:color w:val="000000"/>
              </w:rPr>
              <w:t>10-Undecanoate-TMS</w:t>
            </w:r>
          </w:p>
        </w:tc>
        <w:tc>
          <w:tcPr>
            <w:tcW w:w="1002" w:type="dxa"/>
            <w:tcBorders>
              <w:top w:val="nil"/>
              <w:left w:val="nil"/>
              <w:bottom w:val="nil"/>
              <w:right w:val="nil"/>
            </w:tcBorders>
          </w:tcPr>
          <w:p w:rsidR="0015754D" w:rsidRPr="009417F4" w:rsidRDefault="0015754D" w:rsidP="00B558C5">
            <w:pPr>
              <w:spacing w:after="0" w:line="240" w:lineRule="auto"/>
              <w:jc w:val="center"/>
              <w:rPr>
                <w:rFonts w:ascii="Calibri" w:eastAsia="Times New Roman" w:hAnsi="Calibri" w:cs="Times New Roman"/>
                <w:color w:val="000000"/>
              </w:rPr>
            </w:pPr>
          </w:p>
        </w:tc>
        <w:tc>
          <w:tcPr>
            <w:tcW w:w="1984" w:type="dxa"/>
            <w:tcBorders>
              <w:top w:val="nil"/>
              <w:left w:val="nil"/>
              <w:bottom w:val="nil"/>
              <w:right w:val="nil"/>
            </w:tcBorders>
            <w:shd w:val="clear" w:color="auto" w:fill="auto"/>
            <w:noWrap/>
            <w:vAlign w:val="center"/>
            <w:hideMark/>
          </w:tcPr>
          <w:p w:rsidR="0015754D" w:rsidRPr="009417F4" w:rsidRDefault="0015754D" w:rsidP="00B558C5">
            <w:pPr>
              <w:spacing w:after="0" w:line="240" w:lineRule="auto"/>
              <w:jc w:val="center"/>
              <w:rPr>
                <w:rFonts w:ascii="Calibri" w:eastAsia="Times New Roman" w:hAnsi="Calibri" w:cs="Times New Roman"/>
                <w:color w:val="000000"/>
              </w:rPr>
            </w:pPr>
            <w:r w:rsidRPr="009417F4">
              <w:rPr>
                <w:rFonts w:ascii="Calibri" w:eastAsia="Times New Roman" w:hAnsi="Calibri" w:cs="Times New Roman"/>
                <w:color w:val="000000"/>
              </w:rPr>
              <w:t>7.947</w:t>
            </w:r>
          </w:p>
        </w:tc>
        <w:tc>
          <w:tcPr>
            <w:tcW w:w="1134" w:type="dxa"/>
            <w:tcBorders>
              <w:top w:val="nil"/>
              <w:left w:val="nil"/>
              <w:bottom w:val="nil"/>
              <w:right w:val="nil"/>
            </w:tcBorders>
            <w:shd w:val="clear" w:color="auto" w:fill="auto"/>
            <w:noWrap/>
            <w:vAlign w:val="center"/>
            <w:hideMark/>
          </w:tcPr>
          <w:p w:rsidR="0015754D" w:rsidRPr="009417F4" w:rsidRDefault="0015754D" w:rsidP="00B558C5">
            <w:pPr>
              <w:spacing w:after="0" w:line="240" w:lineRule="auto"/>
              <w:jc w:val="center"/>
              <w:rPr>
                <w:rFonts w:ascii="Calibri" w:eastAsia="Times New Roman" w:hAnsi="Calibri" w:cs="Times New Roman"/>
                <w:color w:val="000000"/>
              </w:rPr>
            </w:pPr>
            <w:r w:rsidRPr="009417F4">
              <w:rPr>
                <w:rFonts w:ascii="Calibri" w:eastAsia="Times New Roman" w:hAnsi="Calibri" w:cs="Times New Roman"/>
                <w:color w:val="000000"/>
              </w:rPr>
              <w:t>254.17</w:t>
            </w:r>
          </w:p>
        </w:tc>
        <w:tc>
          <w:tcPr>
            <w:tcW w:w="1843" w:type="dxa"/>
            <w:tcBorders>
              <w:top w:val="nil"/>
              <w:left w:val="nil"/>
              <w:bottom w:val="nil"/>
              <w:right w:val="nil"/>
            </w:tcBorders>
            <w:shd w:val="clear" w:color="auto" w:fill="auto"/>
            <w:noWrap/>
            <w:vAlign w:val="center"/>
            <w:hideMark/>
          </w:tcPr>
          <w:p w:rsidR="0015754D" w:rsidRPr="009417F4" w:rsidRDefault="0015754D" w:rsidP="00B558C5">
            <w:pPr>
              <w:spacing w:after="0" w:line="240" w:lineRule="auto"/>
              <w:jc w:val="center"/>
              <w:rPr>
                <w:rFonts w:ascii="Calibri" w:eastAsia="Times New Roman" w:hAnsi="Calibri" w:cs="Times New Roman"/>
                <w:color w:val="000000"/>
              </w:rPr>
            </w:pPr>
            <w:r w:rsidRPr="009417F4">
              <w:rPr>
                <w:rFonts w:ascii="Calibri" w:eastAsia="Times New Roman" w:hAnsi="Calibri" w:cs="Times New Roman"/>
                <w:color w:val="000000"/>
              </w:rPr>
              <w:t>C</w:t>
            </w:r>
            <w:r w:rsidRPr="001C3243">
              <w:rPr>
                <w:rFonts w:ascii="Calibri" w:eastAsia="Times New Roman" w:hAnsi="Calibri" w:cs="Times New Roman"/>
                <w:color w:val="000000"/>
                <w:vertAlign w:val="subscript"/>
              </w:rPr>
              <w:t>14</w:t>
            </w:r>
            <w:r w:rsidRPr="009417F4">
              <w:rPr>
                <w:rFonts w:ascii="Calibri" w:eastAsia="Times New Roman" w:hAnsi="Calibri" w:cs="Times New Roman"/>
                <w:color w:val="000000"/>
              </w:rPr>
              <w:t>H</w:t>
            </w:r>
            <w:r w:rsidRPr="001C3243">
              <w:rPr>
                <w:rFonts w:ascii="Calibri" w:eastAsia="Times New Roman" w:hAnsi="Calibri" w:cs="Times New Roman"/>
                <w:color w:val="000000"/>
                <w:vertAlign w:val="subscript"/>
              </w:rPr>
              <w:t>26</w:t>
            </w:r>
            <w:r w:rsidRPr="009417F4">
              <w:rPr>
                <w:rFonts w:ascii="Calibri" w:eastAsia="Times New Roman" w:hAnsi="Calibri" w:cs="Times New Roman"/>
                <w:color w:val="000000"/>
              </w:rPr>
              <w:t>O</w:t>
            </w:r>
            <w:r w:rsidRPr="001C3243">
              <w:rPr>
                <w:rFonts w:ascii="Calibri" w:eastAsia="Times New Roman" w:hAnsi="Calibri" w:cs="Times New Roman"/>
                <w:color w:val="000000"/>
                <w:vertAlign w:val="subscript"/>
              </w:rPr>
              <w:t>2</w:t>
            </w:r>
            <w:r w:rsidRPr="009417F4">
              <w:rPr>
                <w:rFonts w:ascii="Calibri" w:eastAsia="Times New Roman" w:hAnsi="Calibri" w:cs="Times New Roman"/>
                <w:color w:val="000000"/>
              </w:rPr>
              <w:t>Si</w:t>
            </w:r>
          </w:p>
        </w:tc>
        <w:tc>
          <w:tcPr>
            <w:tcW w:w="1559" w:type="dxa"/>
            <w:tcBorders>
              <w:top w:val="nil"/>
              <w:left w:val="nil"/>
              <w:bottom w:val="nil"/>
              <w:right w:val="nil"/>
            </w:tcBorders>
            <w:shd w:val="clear" w:color="auto" w:fill="auto"/>
            <w:noWrap/>
            <w:vAlign w:val="center"/>
            <w:hideMark/>
          </w:tcPr>
          <w:p w:rsidR="0015754D" w:rsidRPr="009417F4" w:rsidRDefault="0015754D" w:rsidP="00B558C5">
            <w:pPr>
              <w:spacing w:after="0" w:line="240" w:lineRule="auto"/>
              <w:jc w:val="center"/>
              <w:rPr>
                <w:rFonts w:ascii="Calibri" w:eastAsia="Times New Roman" w:hAnsi="Calibri" w:cs="Times New Roman"/>
                <w:color w:val="000000"/>
              </w:rPr>
            </w:pPr>
            <w:r w:rsidRPr="009417F4">
              <w:rPr>
                <w:rFonts w:ascii="Calibri" w:eastAsia="Times New Roman" w:hAnsi="Calibri" w:cs="Times New Roman"/>
                <w:color w:val="000000"/>
              </w:rPr>
              <w:t>Captiva</w:t>
            </w:r>
          </w:p>
        </w:tc>
        <w:tc>
          <w:tcPr>
            <w:tcW w:w="1474" w:type="dxa"/>
            <w:tcBorders>
              <w:top w:val="nil"/>
              <w:left w:val="nil"/>
              <w:bottom w:val="nil"/>
              <w:right w:val="nil"/>
            </w:tcBorders>
            <w:shd w:val="clear" w:color="auto" w:fill="auto"/>
            <w:noWrap/>
            <w:vAlign w:val="center"/>
            <w:hideMark/>
          </w:tcPr>
          <w:p w:rsidR="0015754D" w:rsidRPr="009417F4" w:rsidRDefault="0015754D" w:rsidP="00B558C5">
            <w:pPr>
              <w:spacing w:after="0" w:line="240" w:lineRule="auto"/>
              <w:jc w:val="center"/>
              <w:rPr>
                <w:rFonts w:ascii="Calibri" w:eastAsia="Times New Roman" w:hAnsi="Calibri" w:cs="Times New Roman"/>
                <w:color w:val="000000"/>
              </w:rPr>
            </w:pPr>
            <w:r w:rsidRPr="009417F4">
              <w:rPr>
                <w:rFonts w:ascii="Calibri" w:eastAsia="Times New Roman" w:hAnsi="Calibri" w:cs="Times New Roman"/>
                <w:color w:val="000000"/>
              </w:rPr>
              <w:t>9.5</w:t>
            </w:r>
          </w:p>
        </w:tc>
      </w:tr>
      <w:tr w:rsidR="0015754D" w:rsidRPr="009417F4" w:rsidTr="0015754D">
        <w:trPr>
          <w:trHeight w:val="300"/>
        </w:trPr>
        <w:tc>
          <w:tcPr>
            <w:tcW w:w="846" w:type="dxa"/>
            <w:tcBorders>
              <w:top w:val="nil"/>
              <w:left w:val="nil"/>
              <w:bottom w:val="nil"/>
              <w:right w:val="nil"/>
            </w:tcBorders>
            <w:shd w:val="clear" w:color="auto" w:fill="auto"/>
            <w:noWrap/>
            <w:vAlign w:val="center"/>
            <w:hideMark/>
          </w:tcPr>
          <w:p w:rsidR="0015754D" w:rsidRPr="009417F4" w:rsidRDefault="0015754D" w:rsidP="00B558C5">
            <w:pPr>
              <w:spacing w:after="0" w:line="240" w:lineRule="auto"/>
              <w:jc w:val="center"/>
              <w:rPr>
                <w:rFonts w:ascii="Calibri" w:eastAsia="Times New Roman" w:hAnsi="Calibri" w:cs="Times New Roman"/>
                <w:color w:val="000000"/>
              </w:rPr>
            </w:pPr>
            <w:r w:rsidRPr="009417F4">
              <w:rPr>
                <w:rFonts w:ascii="Calibri" w:eastAsia="Times New Roman" w:hAnsi="Calibri" w:cs="Times New Roman"/>
                <w:color w:val="000000"/>
              </w:rPr>
              <w:t>13</w:t>
            </w:r>
          </w:p>
        </w:tc>
        <w:tc>
          <w:tcPr>
            <w:tcW w:w="4116" w:type="dxa"/>
            <w:tcBorders>
              <w:top w:val="nil"/>
              <w:left w:val="nil"/>
              <w:bottom w:val="nil"/>
              <w:right w:val="nil"/>
            </w:tcBorders>
            <w:shd w:val="clear" w:color="auto" w:fill="auto"/>
            <w:noWrap/>
            <w:vAlign w:val="center"/>
            <w:hideMark/>
          </w:tcPr>
          <w:p w:rsidR="0015754D" w:rsidRPr="009417F4" w:rsidRDefault="0015754D" w:rsidP="00B558C5">
            <w:pPr>
              <w:spacing w:after="0" w:line="240" w:lineRule="auto"/>
              <w:jc w:val="center"/>
              <w:rPr>
                <w:rFonts w:ascii="Calibri" w:eastAsia="Times New Roman" w:hAnsi="Calibri" w:cs="Times New Roman"/>
                <w:color w:val="000000"/>
              </w:rPr>
            </w:pPr>
            <w:r w:rsidRPr="009417F4">
              <w:rPr>
                <w:rFonts w:ascii="Calibri" w:eastAsia="Times New Roman" w:hAnsi="Calibri" w:cs="Times New Roman"/>
                <w:color w:val="000000"/>
              </w:rPr>
              <w:t>Fatty acid-TMS</w:t>
            </w:r>
          </w:p>
        </w:tc>
        <w:tc>
          <w:tcPr>
            <w:tcW w:w="1002" w:type="dxa"/>
            <w:tcBorders>
              <w:top w:val="nil"/>
              <w:left w:val="nil"/>
              <w:bottom w:val="nil"/>
              <w:right w:val="nil"/>
            </w:tcBorders>
          </w:tcPr>
          <w:p w:rsidR="0015754D" w:rsidRPr="009417F4" w:rsidRDefault="0015754D" w:rsidP="00B558C5">
            <w:pPr>
              <w:spacing w:after="0" w:line="240" w:lineRule="auto"/>
              <w:jc w:val="center"/>
              <w:rPr>
                <w:rFonts w:ascii="Calibri" w:eastAsia="Times New Roman" w:hAnsi="Calibri" w:cs="Times New Roman"/>
                <w:color w:val="000000"/>
              </w:rPr>
            </w:pPr>
          </w:p>
        </w:tc>
        <w:tc>
          <w:tcPr>
            <w:tcW w:w="1984" w:type="dxa"/>
            <w:tcBorders>
              <w:top w:val="nil"/>
              <w:left w:val="nil"/>
              <w:bottom w:val="nil"/>
              <w:right w:val="nil"/>
            </w:tcBorders>
            <w:shd w:val="clear" w:color="auto" w:fill="auto"/>
            <w:noWrap/>
            <w:vAlign w:val="center"/>
            <w:hideMark/>
          </w:tcPr>
          <w:p w:rsidR="0015754D" w:rsidRPr="009417F4" w:rsidRDefault="0015754D" w:rsidP="00B558C5">
            <w:pPr>
              <w:spacing w:after="0" w:line="240" w:lineRule="auto"/>
              <w:jc w:val="center"/>
              <w:rPr>
                <w:rFonts w:ascii="Calibri" w:eastAsia="Times New Roman" w:hAnsi="Calibri" w:cs="Times New Roman"/>
                <w:color w:val="000000"/>
              </w:rPr>
            </w:pPr>
            <w:r w:rsidRPr="009417F4">
              <w:rPr>
                <w:rFonts w:ascii="Calibri" w:eastAsia="Times New Roman" w:hAnsi="Calibri" w:cs="Times New Roman"/>
                <w:color w:val="000000"/>
              </w:rPr>
              <w:t>8.670</w:t>
            </w:r>
          </w:p>
        </w:tc>
        <w:tc>
          <w:tcPr>
            <w:tcW w:w="1134" w:type="dxa"/>
            <w:tcBorders>
              <w:top w:val="nil"/>
              <w:left w:val="nil"/>
              <w:bottom w:val="nil"/>
              <w:right w:val="nil"/>
            </w:tcBorders>
            <w:shd w:val="clear" w:color="auto" w:fill="auto"/>
            <w:noWrap/>
            <w:vAlign w:val="center"/>
            <w:hideMark/>
          </w:tcPr>
          <w:p w:rsidR="0015754D" w:rsidRPr="009417F4" w:rsidRDefault="0015754D" w:rsidP="00B558C5">
            <w:pPr>
              <w:spacing w:after="0" w:line="240" w:lineRule="auto"/>
              <w:jc w:val="center"/>
              <w:rPr>
                <w:rFonts w:ascii="Calibri" w:eastAsia="Times New Roman" w:hAnsi="Calibri" w:cs="Times New Roman"/>
                <w:color w:val="000000"/>
              </w:rPr>
            </w:pPr>
          </w:p>
        </w:tc>
        <w:tc>
          <w:tcPr>
            <w:tcW w:w="1843" w:type="dxa"/>
            <w:tcBorders>
              <w:top w:val="nil"/>
              <w:left w:val="nil"/>
              <w:bottom w:val="nil"/>
              <w:right w:val="nil"/>
            </w:tcBorders>
            <w:shd w:val="clear" w:color="auto" w:fill="auto"/>
            <w:noWrap/>
            <w:vAlign w:val="center"/>
            <w:hideMark/>
          </w:tcPr>
          <w:p w:rsidR="0015754D" w:rsidRPr="009417F4" w:rsidRDefault="0015754D" w:rsidP="00B558C5">
            <w:pPr>
              <w:spacing w:after="0" w:line="240" w:lineRule="auto"/>
              <w:jc w:val="center"/>
              <w:rPr>
                <w:rFonts w:ascii="Times New Roman" w:eastAsia="Times New Roman" w:hAnsi="Times New Roman" w:cs="Times New Roman"/>
                <w:sz w:val="20"/>
                <w:szCs w:val="20"/>
              </w:rPr>
            </w:pPr>
          </w:p>
        </w:tc>
        <w:tc>
          <w:tcPr>
            <w:tcW w:w="1559" w:type="dxa"/>
            <w:tcBorders>
              <w:top w:val="nil"/>
              <w:left w:val="nil"/>
              <w:bottom w:val="nil"/>
              <w:right w:val="nil"/>
            </w:tcBorders>
            <w:shd w:val="clear" w:color="auto" w:fill="auto"/>
            <w:noWrap/>
            <w:vAlign w:val="center"/>
            <w:hideMark/>
          </w:tcPr>
          <w:p w:rsidR="0015754D" w:rsidRPr="009417F4" w:rsidRDefault="0015754D" w:rsidP="00B558C5">
            <w:pPr>
              <w:spacing w:after="0" w:line="240" w:lineRule="auto"/>
              <w:jc w:val="center"/>
              <w:rPr>
                <w:rFonts w:ascii="Calibri" w:eastAsia="Times New Roman" w:hAnsi="Calibri" w:cs="Times New Roman"/>
                <w:color w:val="000000"/>
              </w:rPr>
            </w:pPr>
            <w:r w:rsidRPr="009417F4">
              <w:rPr>
                <w:rFonts w:ascii="Calibri" w:eastAsia="Times New Roman" w:hAnsi="Calibri" w:cs="Times New Roman"/>
                <w:color w:val="000000"/>
              </w:rPr>
              <w:t>Captiva, EMR</w:t>
            </w:r>
          </w:p>
        </w:tc>
        <w:tc>
          <w:tcPr>
            <w:tcW w:w="1474" w:type="dxa"/>
            <w:tcBorders>
              <w:top w:val="nil"/>
              <w:left w:val="nil"/>
              <w:bottom w:val="nil"/>
              <w:right w:val="nil"/>
            </w:tcBorders>
            <w:shd w:val="clear" w:color="auto" w:fill="auto"/>
            <w:noWrap/>
            <w:vAlign w:val="center"/>
            <w:hideMark/>
          </w:tcPr>
          <w:p w:rsidR="0015754D" w:rsidRPr="009417F4" w:rsidRDefault="0015754D" w:rsidP="00B558C5">
            <w:pPr>
              <w:spacing w:after="0" w:line="240" w:lineRule="auto"/>
              <w:jc w:val="center"/>
              <w:rPr>
                <w:rFonts w:ascii="Calibri" w:eastAsia="Times New Roman" w:hAnsi="Calibri" w:cs="Times New Roman"/>
                <w:color w:val="000000"/>
              </w:rPr>
            </w:pPr>
          </w:p>
        </w:tc>
      </w:tr>
      <w:tr w:rsidR="0015754D" w:rsidRPr="009417F4" w:rsidTr="0015754D">
        <w:trPr>
          <w:trHeight w:val="300"/>
        </w:trPr>
        <w:tc>
          <w:tcPr>
            <w:tcW w:w="846" w:type="dxa"/>
            <w:tcBorders>
              <w:top w:val="nil"/>
              <w:left w:val="nil"/>
              <w:bottom w:val="nil"/>
              <w:right w:val="nil"/>
            </w:tcBorders>
            <w:shd w:val="clear" w:color="auto" w:fill="auto"/>
            <w:noWrap/>
            <w:vAlign w:val="center"/>
            <w:hideMark/>
          </w:tcPr>
          <w:p w:rsidR="0015754D" w:rsidRPr="009417F4" w:rsidRDefault="0015754D" w:rsidP="00B558C5">
            <w:pPr>
              <w:spacing w:after="0" w:line="240" w:lineRule="auto"/>
              <w:jc w:val="center"/>
              <w:rPr>
                <w:rFonts w:ascii="Calibri" w:eastAsia="Times New Roman" w:hAnsi="Calibri" w:cs="Times New Roman"/>
                <w:color w:val="000000"/>
              </w:rPr>
            </w:pPr>
            <w:r w:rsidRPr="009417F4">
              <w:rPr>
                <w:rFonts w:ascii="Calibri" w:eastAsia="Times New Roman" w:hAnsi="Calibri" w:cs="Times New Roman"/>
                <w:color w:val="000000"/>
              </w:rPr>
              <w:t>14</w:t>
            </w:r>
          </w:p>
        </w:tc>
        <w:tc>
          <w:tcPr>
            <w:tcW w:w="4116" w:type="dxa"/>
            <w:tcBorders>
              <w:top w:val="nil"/>
              <w:left w:val="nil"/>
              <w:bottom w:val="nil"/>
              <w:right w:val="nil"/>
            </w:tcBorders>
            <w:shd w:val="clear" w:color="auto" w:fill="auto"/>
            <w:noWrap/>
            <w:vAlign w:val="center"/>
            <w:hideMark/>
          </w:tcPr>
          <w:p w:rsidR="0015754D" w:rsidRPr="009417F4" w:rsidRDefault="0015754D" w:rsidP="00B558C5">
            <w:pPr>
              <w:spacing w:after="0" w:line="240" w:lineRule="auto"/>
              <w:jc w:val="center"/>
              <w:rPr>
                <w:rFonts w:ascii="Calibri" w:eastAsia="Times New Roman" w:hAnsi="Calibri" w:cs="Times New Roman"/>
                <w:color w:val="000000"/>
              </w:rPr>
            </w:pPr>
            <w:r w:rsidRPr="009417F4">
              <w:rPr>
                <w:rFonts w:ascii="Calibri" w:eastAsia="Times New Roman" w:hAnsi="Calibri" w:cs="Times New Roman"/>
                <w:color w:val="000000"/>
              </w:rPr>
              <w:t>Palmitic acid-TMS</w:t>
            </w:r>
          </w:p>
        </w:tc>
        <w:tc>
          <w:tcPr>
            <w:tcW w:w="1002" w:type="dxa"/>
            <w:tcBorders>
              <w:top w:val="nil"/>
              <w:left w:val="nil"/>
              <w:bottom w:val="nil"/>
              <w:right w:val="nil"/>
            </w:tcBorders>
          </w:tcPr>
          <w:p w:rsidR="0015754D" w:rsidRPr="009417F4" w:rsidRDefault="0015754D" w:rsidP="00B558C5">
            <w:pPr>
              <w:spacing w:after="0" w:line="240" w:lineRule="auto"/>
              <w:jc w:val="center"/>
              <w:rPr>
                <w:rFonts w:ascii="Calibri" w:eastAsia="Times New Roman" w:hAnsi="Calibri" w:cs="Times New Roman"/>
                <w:color w:val="000000"/>
              </w:rPr>
            </w:pPr>
          </w:p>
        </w:tc>
        <w:tc>
          <w:tcPr>
            <w:tcW w:w="1984" w:type="dxa"/>
            <w:tcBorders>
              <w:top w:val="nil"/>
              <w:left w:val="nil"/>
              <w:bottom w:val="nil"/>
              <w:right w:val="nil"/>
            </w:tcBorders>
            <w:shd w:val="clear" w:color="auto" w:fill="auto"/>
            <w:noWrap/>
            <w:vAlign w:val="center"/>
            <w:hideMark/>
          </w:tcPr>
          <w:p w:rsidR="0015754D" w:rsidRPr="009417F4" w:rsidRDefault="0015754D" w:rsidP="00B558C5">
            <w:pPr>
              <w:spacing w:after="0" w:line="240" w:lineRule="auto"/>
              <w:jc w:val="center"/>
              <w:rPr>
                <w:rFonts w:ascii="Calibri" w:eastAsia="Times New Roman" w:hAnsi="Calibri" w:cs="Times New Roman"/>
                <w:color w:val="000000"/>
              </w:rPr>
            </w:pPr>
            <w:r w:rsidRPr="009417F4">
              <w:rPr>
                <w:rFonts w:ascii="Calibri" w:eastAsia="Times New Roman" w:hAnsi="Calibri" w:cs="Times New Roman"/>
                <w:color w:val="000000"/>
              </w:rPr>
              <w:t>9.013</w:t>
            </w:r>
          </w:p>
        </w:tc>
        <w:tc>
          <w:tcPr>
            <w:tcW w:w="1134" w:type="dxa"/>
            <w:tcBorders>
              <w:top w:val="nil"/>
              <w:left w:val="nil"/>
              <w:bottom w:val="nil"/>
              <w:right w:val="nil"/>
            </w:tcBorders>
            <w:shd w:val="clear" w:color="auto" w:fill="auto"/>
            <w:noWrap/>
            <w:vAlign w:val="center"/>
            <w:hideMark/>
          </w:tcPr>
          <w:p w:rsidR="0015754D" w:rsidRPr="009417F4" w:rsidRDefault="0015754D" w:rsidP="00B558C5">
            <w:pPr>
              <w:spacing w:after="0" w:line="240" w:lineRule="auto"/>
              <w:jc w:val="center"/>
              <w:rPr>
                <w:rFonts w:ascii="Calibri" w:eastAsia="Times New Roman" w:hAnsi="Calibri" w:cs="Times New Roman"/>
                <w:color w:val="000000"/>
              </w:rPr>
            </w:pPr>
            <w:r w:rsidRPr="009417F4">
              <w:rPr>
                <w:rFonts w:ascii="Calibri" w:eastAsia="Times New Roman" w:hAnsi="Calibri" w:cs="Times New Roman"/>
                <w:color w:val="000000"/>
              </w:rPr>
              <w:t>328.27</w:t>
            </w:r>
          </w:p>
        </w:tc>
        <w:tc>
          <w:tcPr>
            <w:tcW w:w="1843" w:type="dxa"/>
            <w:tcBorders>
              <w:top w:val="nil"/>
              <w:left w:val="nil"/>
              <w:bottom w:val="nil"/>
              <w:right w:val="nil"/>
            </w:tcBorders>
            <w:shd w:val="clear" w:color="auto" w:fill="auto"/>
            <w:noWrap/>
            <w:vAlign w:val="center"/>
            <w:hideMark/>
          </w:tcPr>
          <w:p w:rsidR="0015754D" w:rsidRPr="009417F4" w:rsidRDefault="0015754D" w:rsidP="00B558C5">
            <w:pPr>
              <w:spacing w:after="0" w:line="240" w:lineRule="auto"/>
              <w:jc w:val="center"/>
              <w:rPr>
                <w:rFonts w:ascii="Calibri" w:eastAsia="Times New Roman" w:hAnsi="Calibri" w:cs="Times New Roman"/>
                <w:color w:val="000000"/>
              </w:rPr>
            </w:pPr>
            <w:r w:rsidRPr="009417F4">
              <w:rPr>
                <w:rFonts w:ascii="Calibri" w:eastAsia="Times New Roman" w:hAnsi="Calibri" w:cs="Times New Roman"/>
                <w:color w:val="000000"/>
              </w:rPr>
              <w:t>C</w:t>
            </w:r>
            <w:r w:rsidRPr="001C3243">
              <w:rPr>
                <w:rFonts w:ascii="Calibri" w:eastAsia="Times New Roman" w:hAnsi="Calibri" w:cs="Times New Roman"/>
                <w:color w:val="000000"/>
                <w:vertAlign w:val="subscript"/>
              </w:rPr>
              <w:t>19</w:t>
            </w:r>
            <w:r w:rsidRPr="009417F4">
              <w:rPr>
                <w:rFonts w:ascii="Calibri" w:eastAsia="Times New Roman" w:hAnsi="Calibri" w:cs="Times New Roman"/>
                <w:color w:val="000000"/>
              </w:rPr>
              <w:t>H</w:t>
            </w:r>
            <w:r w:rsidRPr="001C3243">
              <w:rPr>
                <w:rFonts w:ascii="Calibri" w:eastAsia="Times New Roman" w:hAnsi="Calibri" w:cs="Times New Roman"/>
                <w:color w:val="000000"/>
                <w:vertAlign w:val="subscript"/>
              </w:rPr>
              <w:t>40</w:t>
            </w:r>
            <w:r w:rsidRPr="009417F4">
              <w:rPr>
                <w:rFonts w:ascii="Calibri" w:eastAsia="Times New Roman" w:hAnsi="Calibri" w:cs="Times New Roman"/>
                <w:color w:val="000000"/>
              </w:rPr>
              <w:t>O</w:t>
            </w:r>
            <w:r w:rsidRPr="001C3243">
              <w:rPr>
                <w:rFonts w:ascii="Calibri" w:eastAsia="Times New Roman" w:hAnsi="Calibri" w:cs="Times New Roman"/>
                <w:color w:val="000000"/>
                <w:vertAlign w:val="subscript"/>
              </w:rPr>
              <w:t>2</w:t>
            </w:r>
            <w:r w:rsidRPr="009417F4">
              <w:rPr>
                <w:rFonts w:ascii="Calibri" w:eastAsia="Times New Roman" w:hAnsi="Calibri" w:cs="Times New Roman"/>
                <w:color w:val="000000"/>
              </w:rPr>
              <w:t>Si</w:t>
            </w:r>
          </w:p>
        </w:tc>
        <w:tc>
          <w:tcPr>
            <w:tcW w:w="1559" w:type="dxa"/>
            <w:tcBorders>
              <w:top w:val="nil"/>
              <w:left w:val="nil"/>
              <w:bottom w:val="nil"/>
              <w:right w:val="nil"/>
            </w:tcBorders>
            <w:shd w:val="clear" w:color="auto" w:fill="auto"/>
            <w:noWrap/>
            <w:vAlign w:val="center"/>
            <w:hideMark/>
          </w:tcPr>
          <w:p w:rsidR="0015754D" w:rsidRPr="009417F4" w:rsidRDefault="0015754D" w:rsidP="00B558C5">
            <w:pPr>
              <w:spacing w:after="0" w:line="240" w:lineRule="auto"/>
              <w:jc w:val="center"/>
              <w:rPr>
                <w:rFonts w:ascii="Calibri" w:eastAsia="Times New Roman" w:hAnsi="Calibri" w:cs="Times New Roman"/>
                <w:color w:val="000000"/>
              </w:rPr>
            </w:pPr>
            <w:r w:rsidRPr="009417F4">
              <w:rPr>
                <w:rFonts w:ascii="Calibri" w:eastAsia="Times New Roman" w:hAnsi="Calibri" w:cs="Times New Roman"/>
                <w:color w:val="000000"/>
              </w:rPr>
              <w:t>Captiva</w:t>
            </w:r>
          </w:p>
        </w:tc>
        <w:tc>
          <w:tcPr>
            <w:tcW w:w="1474" w:type="dxa"/>
            <w:tcBorders>
              <w:top w:val="nil"/>
              <w:left w:val="nil"/>
              <w:bottom w:val="nil"/>
              <w:right w:val="nil"/>
            </w:tcBorders>
            <w:shd w:val="clear" w:color="auto" w:fill="auto"/>
            <w:noWrap/>
            <w:vAlign w:val="center"/>
            <w:hideMark/>
          </w:tcPr>
          <w:p w:rsidR="0015754D" w:rsidRPr="009417F4" w:rsidRDefault="0015754D" w:rsidP="00B558C5">
            <w:pPr>
              <w:spacing w:after="0" w:line="240" w:lineRule="auto"/>
              <w:jc w:val="center"/>
              <w:rPr>
                <w:rFonts w:ascii="Calibri" w:eastAsia="Times New Roman" w:hAnsi="Calibri" w:cs="Times New Roman"/>
                <w:color w:val="000000"/>
              </w:rPr>
            </w:pPr>
            <w:r w:rsidRPr="009417F4">
              <w:rPr>
                <w:rFonts w:ascii="Calibri" w:eastAsia="Times New Roman" w:hAnsi="Calibri" w:cs="Times New Roman"/>
                <w:color w:val="000000"/>
              </w:rPr>
              <w:t>92.0</w:t>
            </w:r>
          </w:p>
        </w:tc>
      </w:tr>
      <w:tr w:rsidR="0015754D" w:rsidRPr="009417F4" w:rsidTr="0015754D">
        <w:trPr>
          <w:trHeight w:val="300"/>
        </w:trPr>
        <w:tc>
          <w:tcPr>
            <w:tcW w:w="846" w:type="dxa"/>
            <w:tcBorders>
              <w:top w:val="nil"/>
              <w:left w:val="nil"/>
              <w:bottom w:val="nil"/>
              <w:right w:val="nil"/>
            </w:tcBorders>
            <w:shd w:val="clear" w:color="auto" w:fill="F2F2F2" w:themeFill="background1" w:themeFillShade="F2"/>
            <w:noWrap/>
            <w:vAlign w:val="center"/>
            <w:hideMark/>
          </w:tcPr>
          <w:p w:rsidR="0015754D" w:rsidRPr="009417F4" w:rsidRDefault="0015754D" w:rsidP="00B558C5">
            <w:pPr>
              <w:spacing w:after="0" w:line="240" w:lineRule="auto"/>
              <w:jc w:val="center"/>
              <w:rPr>
                <w:rFonts w:ascii="Calibri" w:eastAsia="Times New Roman" w:hAnsi="Calibri" w:cs="Times New Roman"/>
                <w:color w:val="000000"/>
              </w:rPr>
            </w:pPr>
            <w:r w:rsidRPr="009417F4">
              <w:rPr>
                <w:rFonts w:ascii="Calibri" w:eastAsia="Times New Roman" w:hAnsi="Calibri" w:cs="Times New Roman"/>
                <w:color w:val="000000"/>
              </w:rPr>
              <w:t>15</w:t>
            </w:r>
          </w:p>
        </w:tc>
        <w:tc>
          <w:tcPr>
            <w:tcW w:w="4116" w:type="dxa"/>
            <w:tcBorders>
              <w:top w:val="nil"/>
              <w:left w:val="nil"/>
              <w:bottom w:val="nil"/>
              <w:right w:val="nil"/>
            </w:tcBorders>
            <w:shd w:val="clear" w:color="auto" w:fill="F2F2F2" w:themeFill="background1" w:themeFillShade="F2"/>
            <w:noWrap/>
            <w:vAlign w:val="center"/>
            <w:hideMark/>
          </w:tcPr>
          <w:p w:rsidR="0015754D" w:rsidRPr="009417F4" w:rsidRDefault="0015754D" w:rsidP="00B558C5">
            <w:pPr>
              <w:spacing w:after="0" w:line="240" w:lineRule="auto"/>
              <w:jc w:val="center"/>
              <w:rPr>
                <w:rFonts w:ascii="Calibri" w:eastAsia="Times New Roman" w:hAnsi="Calibri" w:cs="Times New Roman"/>
                <w:color w:val="000000"/>
              </w:rPr>
            </w:pPr>
            <w:r w:rsidRPr="009417F4">
              <w:rPr>
                <w:rFonts w:ascii="Calibri" w:eastAsia="Times New Roman" w:hAnsi="Calibri" w:cs="Times New Roman"/>
                <w:color w:val="000000"/>
              </w:rPr>
              <w:t>Terpenoid-TMS</w:t>
            </w:r>
          </w:p>
        </w:tc>
        <w:tc>
          <w:tcPr>
            <w:tcW w:w="1002" w:type="dxa"/>
            <w:tcBorders>
              <w:top w:val="nil"/>
              <w:left w:val="nil"/>
              <w:bottom w:val="nil"/>
              <w:right w:val="nil"/>
            </w:tcBorders>
            <w:shd w:val="clear" w:color="auto" w:fill="F2F2F2" w:themeFill="background1" w:themeFillShade="F2"/>
          </w:tcPr>
          <w:p w:rsidR="0015754D" w:rsidRPr="009417F4" w:rsidRDefault="0015754D" w:rsidP="00B558C5">
            <w:pPr>
              <w:spacing w:after="0" w:line="240" w:lineRule="auto"/>
              <w:jc w:val="center"/>
              <w:rPr>
                <w:rFonts w:ascii="Calibri" w:eastAsia="Times New Roman" w:hAnsi="Calibri" w:cs="Times New Roman"/>
                <w:color w:val="000000"/>
              </w:rPr>
            </w:pPr>
          </w:p>
        </w:tc>
        <w:tc>
          <w:tcPr>
            <w:tcW w:w="1984" w:type="dxa"/>
            <w:tcBorders>
              <w:top w:val="nil"/>
              <w:left w:val="nil"/>
              <w:bottom w:val="nil"/>
              <w:right w:val="nil"/>
            </w:tcBorders>
            <w:shd w:val="clear" w:color="auto" w:fill="F2F2F2" w:themeFill="background1" w:themeFillShade="F2"/>
            <w:noWrap/>
            <w:vAlign w:val="center"/>
            <w:hideMark/>
          </w:tcPr>
          <w:p w:rsidR="0015754D" w:rsidRPr="009417F4" w:rsidRDefault="0015754D" w:rsidP="00B558C5">
            <w:pPr>
              <w:spacing w:after="0" w:line="240" w:lineRule="auto"/>
              <w:jc w:val="center"/>
              <w:rPr>
                <w:rFonts w:ascii="Calibri" w:eastAsia="Times New Roman" w:hAnsi="Calibri" w:cs="Times New Roman"/>
                <w:color w:val="000000"/>
              </w:rPr>
            </w:pPr>
            <w:r w:rsidRPr="009417F4">
              <w:rPr>
                <w:rFonts w:ascii="Calibri" w:eastAsia="Times New Roman" w:hAnsi="Calibri" w:cs="Times New Roman"/>
                <w:color w:val="000000"/>
              </w:rPr>
              <w:t>9.044</w:t>
            </w:r>
          </w:p>
        </w:tc>
        <w:tc>
          <w:tcPr>
            <w:tcW w:w="1134" w:type="dxa"/>
            <w:tcBorders>
              <w:top w:val="nil"/>
              <w:left w:val="nil"/>
              <w:bottom w:val="nil"/>
              <w:right w:val="nil"/>
            </w:tcBorders>
            <w:shd w:val="clear" w:color="auto" w:fill="F2F2F2" w:themeFill="background1" w:themeFillShade="F2"/>
            <w:noWrap/>
            <w:vAlign w:val="center"/>
            <w:hideMark/>
          </w:tcPr>
          <w:p w:rsidR="0015754D" w:rsidRPr="009417F4" w:rsidRDefault="0015754D" w:rsidP="00B558C5">
            <w:pPr>
              <w:spacing w:after="0" w:line="240" w:lineRule="auto"/>
              <w:jc w:val="center"/>
              <w:rPr>
                <w:rFonts w:ascii="Calibri" w:eastAsia="Times New Roman" w:hAnsi="Calibri" w:cs="Times New Roman"/>
                <w:color w:val="000000"/>
              </w:rPr>
            </w:pPr>
          </w:p>
        </w:tc>
        <w:tc>
          <w:tcPr>
            <w:tcW w:w="1843" w:type="dxa"/>
            <w:tcBorders>
              <w:top w:val="nil"/>
              <w:left w:val="nil"/>
              <w:bottom w:val="nil"/>
              <w:right w:val="nil"/>
            </w:tcBorders>
            <w:shd w:val="clear" w:color="auto" w:fill="F2F2F2" w:themeFill="background1" w:themeFillShade="F2"/>
            <w:noWrap/>
            <w:vAlign w:val="center"/>
            <w:hideMark/>
          </w:tcPr>
          <w:p w:rsidR="0015754D" w:rsidRPr="009417F4" w:rsidRDefault="0015754D" w:rsidP="00B558C5">
            <w:pPr>
              <w:spacing w:after="0" w:line="240" w:lineRule="auto"/>
              <w:jc w:val="center"/>
              <w:rPr>
                <w:rFonts w:ascii="Times New Roman" w:eastAsia="Times New Roman" w:hAnsi="Times New Roman" w:cs="Times New Roman"/>
                <w:sz w:val="20"/>
                <w:szCs w:val="20"/>
              </w:rPr>
            </w:pPr>
          </w:p>
        </w:tc>
        <w:tc>
          <w:tcPr>
            <w:tcW w:w="1559" w:type="dxa"/>
            <w:tcBorders>
              <w:top w:val="nil"/>
              <w:left w:val="nil"/>
              <w:bottom w:val="nil"/>
              <w:right w:val="nil"/>
            </w:tcBorders>
            <w:shd w:val="clear" w:color="auto" w:fill="F2F2F2" w:themeFill="background1" w:themeFillShade="F2"/>
            <w:noWrap/>
            <w:vAlign w:val="center"/>
            <w:hideMark/>
          </w:tcPr>
          <w:p w:rsidR="0015754D" w:rsidRPr="009417F4" w:rsidRDefault="0015754D" w:rsidP="00B558C5">
            <w:pPr>
              <w:spacing w:after="0" w:line="240" w:lineRule="auto"/>
              <w:jc w:val="center"/>
              <w:rPr>
                <w:rFonts w:ascii="Calibri" w:eastAsia="Times New Roman" w:hAnsi="Calibri" w:cs="Times New Roman"/>
                <w:color w:val="000000"/>
              </w:rPr>
            </w:pPr>
            <w:r w:rsidRPr="009417F4">
              <w:rPr>
                <w:rFonts w:ascii="Calibri" w:eastAsia="Times New Roman" w:hAnsi="Calibri" w:cs="Times New Roman"/>
                <w:color w:val="000000"/>
              </w:rPr>
              <w:t>EMR</w:t>
            </w:r>
          </w:p>
        </w:tc>
        <w:tc>
          <w:tcPr>
            <w:tcW w:w="1474" w:type="dxa"/>
            <w:tcBorders>
              <w:top w:val="nil"/>
              <w:left w:val="nil"/>
              <w:bottom w:val="nil"/>
              <w:right w:val="nil"/>
            </w:tcBorders>
            <w:shd w:val="clear" w:color="auto" w:fill="F2F2F2" w:themeFill="background1" w:themeFillShade="F2"/>
            <w:noWrap/>
            <w:vAlign w:val="center"/>
            <w:hideMark/>
          </w:tcPr>
          <w:p w:rsidR="0015754D" w:rsidRPr="009417F4" w:rsidRDefault="0015754D" w:rsidP="00B558C5">
            <w:pPr>
              <w:spacing w:after="0" w:line="240" w:lineRule="auto"/>
              <w:jc w:val="center"/>
              <w:rPr>
                <w:rFonts w:ascii="Calibri" w:eastAsia="Times New Roman" w:hAnsi="Calibri" w:cs="Times New Roman"/>
                <w:color w:val="000000"/>
              </w:rPr>
            </w:pPr>
          </w:p>
        </w:tc>
      </w:tr>
      <w:tr w:rsidR="0015754D" w:rsidRPr="009417F4" w:rsidTr="0015754D">
        <w:trPr>
          <w:trHeight w:val="300"/>
        </w:trPr>
        <w:tc>
          <w:tcPr>
            <w:tcW w:w="846" w:type="dxa"/>
            <w:tcBorders>
              <w:top w:val="nil"/>
              <w:left w:val="nil"/>
              <w:bottom w:val="nil"/>
              <w:right w:val="nil"/>
            </w:tcBorders>
            <w:shd w:val="clear" w:color="auto" w:fill="auto"/>
            <w:noWrap/>
            <w:vAlign w:val="center"/>
            <w:hideMark/>
          </w:tcPr>
          <w:p w:rsidR="0015754D" w:rsidRPr="009417F4" w:rsidRDefault="0015754D" w:rsidP="00B558C5">
            <w:pPr>
              <w:spacing w:after="0" w:line="240" w:lineRule="auto"/>
              <w:jc w:val="center"/>
              <w:rPr>
                <w:rFonts w:ascii="Calibri" w:eastAsia="Times New Roman" w:hAnsi="Calibri" w:cs="Times New Roman"/>
                <w:color w:val="000000"/>
              </w:rPr>
            </w:pPr>
            <w:r w:rsidRPr="009417F4">
              <w:rPr>
                <w:rFonts w:ascii="Calibri" w:eastAsia="Times New Roman" w:hAnsi="Calibri" w:cs="Times New Roman"/>
                <w:color w:val="000000"/>
              </w:rPr>
              <w:t>16</w:t>
            </w:r>
          </w:p>
        </w:tc>
        <w:tc>
          <w:tcPr>
            <w:tcW w:w="4116" w:type="dxa"/>
            <w:tcBorders>
              <w:top w:val="nil"/>
              <w:left w:val="nil"/>
              <w:bottom w:val="nil"/>
              <w:right w:val="nil"/>
            </w:tcBorders>
            <w:shd w:val="clear" w:color="auto" w:fill="auto"/>
            <w:noWrap/>
            <w:vAlign w:val="center"/>
            <w:hideMark/>
          </w:tcPr>
          <w:p w:rsidR="0015754D" w:rsidRPr="009417F4" w:rsidRDefault="0015754D" w:rsidP="00B558C5">
            <w:pPr>
              <w:spacing w:after="0" w:line="240" w:lineRule="auto"/>
              <w:jc w:val="center"/>
              <w:rPr>
                <w:rFonts w:ascii="Calibri" w:eastAsia="Times New Roman" w:hAnsi="Calibri" w:cs="Times New Roman"/>
                <w:color w:val="000000"/>
              </w:rPr>
            </w:pPr>
            <w:r w:rsidRPr="009417F4">
              <w:rPr>
                <w:rFonts w:ascii="Calibri" w:eastAsia="Times New Roman" w:hAnsi="Calibri" w:cs="Times New Roman"/>
                <w:color w:val="000000"/>
              </w:rPr>
              <w:t>1H-Indole-2,3-dione, 7-isobutyl-1-(trimethylsilyl)-, 3-[O-(trimethylsilyl)oxime]</w:t>
            </w:r>
          </w:p>
        </w:tc>
        <w:tc>
          <w:tcPr>
            <w:tcW w:w="1002" w:type="dxa"/>
            <w:tcBorders>
              <w:top w:val="nil"/>
              <w:left w:val="nil"/>
              <w:bottom w:val="nil"/>
              <w:right w:val="nil"/>
            </w:tcBorders>
          </w:tcPr>
          <w:p w:rsidR="0015754D" w:rsidRPr="009417F4" w:rsidRDefault="0015754D" w:rsidP="00B558C5">
            <w:pPr>
              <w:spacing w:after="0" w:line="240" w:lineRule="auto"/>
              <w:jc w:val="center"/>
              <w:rPr>
                <w:rFonts w:ascii="Calibri" w:eastAsia="Times New Roman" w:hAnsi="Calibri" w:cs="Times New Roman"/>
                <w:color w:val="000000"/>
              </w:rPr>
            </w:pPr>
          </w:p>
        </w:tc>
        <w:tc>
          <w:tcPr>
            <w:tcW w:w="1984" w:type="dxa"/>
            <w:tcBorders>
              <w:top w:val="nil"/>
              <w:left w:val="nil"/>
              <w:bottom w:val="nil"/>
              <w:right w:val="nil"/>
            </w:tcBorders>
            <w:shd w:val="clear" w:color="auto" w:fill="auto"/>
            <w:noWrap/>
            <w:vAlign w:val="center"/>
            <w:hideMark/>
          </w:tcPr>
          <w:p w:rsidR="0015754D" w:rsidRPr="009417F4" w:rsidRDefault="0015754D" w:rsidP="00B558C5">
            <w:pPr>
              <w:spacing w:after="0" w:line="240" w:lineRule="auto"/>
              <w:jc w:val="center"/>
              <w:rPr>
                <w:rFonts w:ascii="Calibri" w:eastAsia="Times New Roman" w:hAnsi="Calibri" w:cs="Times New Roman"/>
                <w:color w:val="000000"/>
              </w:rPr>
            </w:pPr>
            <w:r w:rsidRPr="009417F4">
              <w:rPr>
                <w:rFonts w:ascii="Calibri" w:eastAsia="Times New Roman" w:hAnsi="Calibri" w:cs="Times New Roman"/>
                <w:color w:val="000000"/>
              </w:rPr>
              <w:t>10.046</w:t>
            </w:r>
          </w:p>
        </w:tc>
        <w:tc>
          <w:tcPr>
            <w:tcW w:w="1134" w:type="dxa"/>
            <w:tcBorders>
              <w:top w:val="nil"/>
              <w:left w:val="nil"/>
              <w:bottom w:val="nil"/>
              <w:right w:val="nil"/>
            </w:tcBorders>
            <w:shd w:val="clear" w:color="auto" w:fill="auto"/>
            <w:noWrap/>
            <w:vAlign w:val="center"/>
            <w:hideMark/>
          </w:tcPr>
          <w:p w:rsidR="0015754D" w:rsidRPr="009417F4" w:rsidRDefault="0015754D" w:rsidP="00B558C5">
            <w:pPr>
              <w:spacing w:after="0" w:line="240" w:lineRule="auto"/>
              <w:jc w:val="center"/>
              <w:rPr>
                <w:rFonts w:ascii="Calibri" w:eastAsia="Times New Roman" w:hAnsi="Calibri" w:cs="Times New Roman"/>
                <w:color w:val="000000"/>
              </w:rPr>
            </w:pPr>
            <w:r w:rsidRPr="009417F4">
              <w:rPr>
                <w:rFonts w:ascii="Calibri" w:eastAsia="Times New Roman" w:hAnsi="Calibri" w:cs="Times New Roman"/>
                <w:color w:val="000000"/>
              </w:rPr>
              <w:t>362.18</w:t>
            </w:r>
          </w:p>
        </w:tc>
        <w:tc>
          <w:tcPr>
            <w:tcW w:w="1843" w:type="dxa"/>
            <w:tcBorders>
              <w:top w:val="nil"/>
              <w:left w:val="nil"/>
              <w:bottom w:val="nil"/>
              <w:right w:val="nil"/>
            </w:tcBorders>
            <w:shd w:val="clear" w:color="auto" w:fill="auto"/>
            <w:noWrap/>
            <w:vAlign w:val="center"/>
            <w:hideMark/>
          </w:tcPr>
          <w:p w:rsidR="0015754D" w:rsidRPr="009417F4" w:rsidRDefault="0015754D" w:rsidP="00B558C5">
            <w:pPr>
              <w:spacing w:after="0" w:line="240" w:lineRule="auto"/>
              <w:jc w:val="center"/>
              <w:rPr>
                <w:rFonts w:ascii="Calibri" w:eastAsia="Times New Roman" w:hAnsi="Calibri" w:cs="Times New Roman"/>
                <w:color w:val="000000"/>
              </w:rPr>
            </w:pPr>
            <w:r w:rsidRPr="009417F4">
              <w:rPr>
                <w:rFonts w:ascii="Calibri" w:eastAsia="Times New Roman" w:hAnsi="Calibri" w:cs="Times New Roman"/>
                <w:color w:val="000000"/>
              </w:rPr>
              <w:t>C</w:t>
            </w:r>
            <w:r w:rsidRPr="001C3243">
              <w:rPr>
                <w:rFonts w:ascii="Calibri" w:eastAsia="Times New Roman" w:hAnsi="Calibri" w:cs="Times New Roman"/>
                <w:color w:val="000000"/>
                <w:vertAlign w:val="subscript"/>
              </w:rPr>
              <w:t>18</w:t>
            </w:r>
            <w:r w:rsidRPr="009417F4">
              <w:rPr>
                <w:rFonts w:ascii="Calibri" w:eastAsia="Times New Roman" w:hAnsi="Calibri" w:cs="Times New Roman"/>
                <w:color w:val="000000"/>
              </w:rPr>
              <w:t>H</w:t>
            </w:r>
            <w:r w:rsidRPr="001C3243">
              <w:rPr>
                <w:rFonts w:ascii="Calibri" w:eastAsia="Times New Roman" w:hAnsi="Calibri" w:cs="Times New Roman"/>
                <w:color w:val="000000"/>
                <w:vertAlign w:val="subscript"/>
              </w:rPr>
              <w:t>30</w:t>
            </w:r>
            <w:r w:rsidRPr="009417F4">
              <w:rPr>
                <w:rFonts w:ascii="Calibri" w:eastAsia="Times New Roman" w:hAnsi="Calibri" w:cs="Times New Roman"/>
                <w:color w:val="000000"/>
              </w:rPr>
              <w:t>N</w:t>
            </w:r>
            <w:r w:rsidRPr="001C3243">
              <w:rPr>
                <w:rFonts w:ascii="Calibri" w:eastAsia="Times New Roman" w:hAnsi="Calibri" w:cs="Times New Roman"/>
                <w:color w:val="000000"/>
                <w:vertAlign w:val="subscript"/>
              </w:rPr>
              <w:t>2</w:t>
            </w:r>
            <w:r w:rsidRPr="009417F4">
              <w:rPr>
                <w:rFonts w:ascii="Calibri" w:eastAsia="Times New Roman" w:hAnsi="Calibri" w:cs="Times New Roman"/>
                <w:color w:val="000000"/>
              </w:rPr>
              <w:t>O</w:t>
            </w:r>
            <w:r w:rsidRPr="001C3243">
              <w:rPr>
                <w:rFonts w:ascii="Calibri" w:eastAsia="Times New Roman" w:hAnsi="Calibri" w:cs="Times New Roman"/>
                <w:color w:val="000000"/>
                <w:vertAlign w:val="subscript"/>
              </w:rPr>
              <w:t>2</w:t>
            </w:r>
            <w:r w:rsidRPr="009417F4">
              <w:rPr>
                <w:rFonts w:ascii="Calibri" w:eastAsia="Times New Roman" w:hAnsi="Calibri" w:cs="Times New Roman"/>
                <w:color w:val="000000"/>
              </w:rPr>
              <w:t>Si</w:t>
            </w:r>
            <w:r w:rsidRPr="001C3243">
              <w:rPr>
                <w:rFonts w:ascii="Calibri" w:eastAsia="Times New Roman" w:hAnsi="Calibri" w:cs="Times New Roman"/>
                <w:color w:val="000000"/>
                <w:vertAlign w:val="subscript"/>
              </w:rPr>
              <w:t>2</w:t>
            </w:r>
          </w:p>
        </w:tc>
        <w:tc>
          <w:tcPr>
            <w:tcW w:w="1559" w:type="dxa"/>
            <w:tcBorders>
              <w:top w:val="nil"/>
              <w:left w:val="nil"/>
              <w:bottom w:val="nil"/>
              <w:right w:val="nil"/>
            </w:tcBorders>
            <w:shd w:val="clear" w:color="auto" w:fill="auto"/>
            <w:noWrap/>
            <w:vAlign w:val="center"/>
            <w:hideMark/>
          </w:tcPr>
          <w:p w:rsidR="0015754D" w:rsidRPr="009417F4" w:rsidRDefault="0015754D" w:rsidP="00B558C5">
            <w:pPr>
              <w:spacing w:after="0" w:line="240" w:lineRule="auto"/>
              <w:jc w:val="center"/>
              <w:rPr>
                <w:rFonts w:ascii="Calibri" w:eastAsia="Times New Roman" w:hAnsi="Calibri" w:cs="Times New Roman"/>
                <w:color w:val="000000"/>
              </w:rPr>
            </w:pPr>
            <w:r w:rsidRPr="009417F4">
              <w:rPr>
                <w:rFonts w:ascii="Calibri" w:eastAsia="Times New Roman" w:hAnsi="Calibri" w:cs="Times New Roman"/>
                <w:color w:val="000000"/>
              </w:rPr>
              <w:t>EMR</w:t>
            </w:r>
          </w:p>
        </w:tc>
        <w:tc>
          <w:tcPr>
            <w:tcW w:w="1474" w:type="dxa"/>
            <w:tcBorders>
              <w:top w:val="nil"/>
              <w:left w:val="nil"/>
              <w:bottom w:val="nil"/>
              <w:right w:val="nil"/>
            </w:tcBorders>
            <w:shd w:val="clear" w:color="auto" w:fill="auto"/>
            <w:noWrap/>
            <w:vAlign w:val="center"/>
            <w:hideMark/>
          </w:tcPr>
          <w:p w:rsidR="0015754D" w:rsidRPr="009417F4" w:rsidRDefault="0015754D" w:rsidP="00B558C5">
            <w:pPr>
              <w:spacing w:after="0" w:line="240" w:lineRule="auto"/>
              <w:jc w:val="center"/>
              <w:rPr>
                <w:rFonts w:ascii="Calibri" w:eastAsia="Times New Roman" w:hAnsi="Calibri" w:cs="Times New Roman"/>
                <w:color w:val="000000"/>
              </w:rPr>
            </w:pPr>
            <w:r w:rsidRPr="009417F4">
              <w:rPr>
                <w:rFonts w:ascii="Calibri" w:eastAsia="Times New Roman" w:hAnsi="Calibri" w:cs="Times New Roman"/>
                <w:color w:val="000000"/>
              </w:rPr>
              <w:t>16.2</w:t>
            </w:r>
          </w:p>
        </w:tc>
      </w:tr>
      <w:tr w:rsidR="0015754D" w:rsidRPr="009417F4" w:rsidTr="0015754D">
        <w:trPr>
          <w:trHeight w:val="300"/>
        </w:trPr>
        <w:tc>
          <w:tcPr>
            <w:tcW w:w="846" w:type="dxa"/>
            <w:tcBorders>
              <w:top w:val="nil"/>
              <w:left w:val="nil"/>
              <w:bottom w:val="nil"/>
              <w:right w:val="nil"/>
            </w:tcBorders>
            <w:shd w:val="clear" w:color="auto" w:fill="auto"/>
            <w:noWrap/>
            <w:vAlign w:val="center"/>
            <w:hideMark/>
          </w:tcPr>
          <w:p w:rsidR="0015754D" w:rsidRPr="009417F4" w:rsidRDefault="0015754D" w:rsidP="00B558C5">
            <w:pPr>
              <w:spacing w:after="0" w:line="240" w:lineRule="auto"/>
              <w:jc w:val="center"/>
              <w:rPr>
                <w:rFonts w:ascii="Calibri" w:eastAsia="Times New Roman" w:hAnsi="Calibri" w:cs="Times New Roman"/>
                <w:color w:val="000000"/>
              </w:rPr>
            </w:pPr>
            <w:r w:rsidRPr="009417F4">
              <w:rPr>
                <w:rFonts w:ascii="Calibri" w:eastAsia="Times New Roman" w:hAnsi="Calibri" w:cs="Times New Roman"/>
                <w:color w:val="000000"/>
              </w:rPr>
              <w:t>17</w:t>
            </w:r>
          </w:p>
        </w:tc>
        <w:tc>
          <w:tcPr>
            <w:tcW w:w="4116" w:type="dxa"/>
            <w:tcBorders>
              <w:top w:val="nil"/>
              <w:left w:val="nil"/>
              <w:bottom w:val="nil"/>
              <w:right w:val="nil"/>
            </w:tcBorders>
            <w:shd w:val="clear" w:color="auto" w:fill="auto"/>
            <w:noWrap/>
            <w:vAlign w:val="center"/>
            <w:hideMark/>
          </w:tcPr>
          <w:p w:rsidR="0015754D" w:rsidRPr="009417F4" w:rsidRDefault="0015754D" w:rsidP="00B558C5">
            <w:pPr>
              <w:spacing w:after="0" w:line="240" w:lineRule="auto"/>
              <w:jc w:val="center"/>
              <w:rPr>
                <w:rFonts w:ascii="Calibri" w:eastAsia="Times New Roman" w:hAnsi="Calibri" w:cs="Times New Roman"/>
                <w:color w:val="000000"/>
              </w:rPr>
            </w:pPr>
            <w:r w:rsidRPr="009417F4">
              <w:rPr>
                <w:rFonts w:ascii="Calibri" w:eastAsia="Times New Roman" w:hAnsi="Calibri" w:cs="Times New Roman"/>
                <w:color w:val="000000"/>
              </w:rPr>
              <w:t>Terpenoid-TMS</w:t>
            </w:r>
          </w:p>
        </w:tc>
        <w:tc>
          <w:tcPr>
            <w:tcW w:w="1002" w:type="dxa"/>
            <w:tcBorders>
              <w:top w:val="nil"/>
              <w:left w:val="nil"/>
              <w:bottom w:val="nil"/>
              <w:right w:val="nil"/>
            </w:tcBorders>
          </w:tcPr>
          <w:p w:rsidR="0015754D" w:rsidRPr="009417F4" w:rsidRDefault="0015754D" w:rsidP="00B558C5">
            <w:pPr>
              <w:spacing w:after="0" w:line="240" w:lineRule="auto"/>
              <w:jc w:val="center"/>
              <w:rPr>
                <w:rFonts w:ascii="Calibri" w:eastAsia="Times New Roman" w:hAnsi="Calibri" w:cs="Times New Roman"/>
                <w:color w:val="000000"/>
              </w:rPr>
            </w:pPr>
          </w:p>
        </w:tc>
        <w:tc>
          <w:tcPr>
            <w:tcW w:w="1984" w:type="dxa"/>
            <w:tcBorders>
              <w:top w:val="nil"/>
              <w:left w:val="nil"/>
              <w:bottom w:val="nil"/>
              <w:right w:val="nil"/>
            </w:tcBorders>
            <w:shd w:val="clear" w:color="auto" w:fill="auto"/>
            <w:noWrap/>
            <w:vAlign w:val="center"/>
            <w:hideMark/>
          </w:tcPr>
          <w:p w:rsidR="0015754D" w:rsidRPr="009417F4" w:rsidRDefault="0015754D" w:rsidP="00B558C5">
            <w:pPr>
              <w:spacing w:after="0" w:line="240" w:lineRule="auto"/>
              <w:jc w:val="center"/>
              <w:rPr>
                <w:rFonts w:ascii="Calibri" w:eastAsia="Times New Roman" w:hAnsi="Calibri" w:cs="Times New Roman"/>
                <w:color w:val="000000"/>
              </w:rPr>
            </w:pPr>
            <w:r w:rsidRPr="009417F4">
              <w:rPr>
                <w:rFonts w:ascii="Calibri" w:eastAsia="Times New Roman" w:hAnsi="Calibri" w:cs="Times New Roman"/>
                <w:color w:val="000000"/>
              </w:rPr>
              <w:t>10.063</w:t>
            </w:r>
          </w:p>
        </w:tc>
        <w:tc>
          <w:tcPr>
            <w:tcW w:w="1134" w:type="dxa"/>
            <w:tcBorders>
              <w:top w:val="nil"/>
              <w:left w:val="nil"/>
              <w:bottom w:val="nil"/>
              <w:right w:val="nil"/>
            </w:tcBorders>
            <w:shd w:val="clear" w:color="auto" w:fill="auto"/>
            <w:noWrap/>
            <w:vAlign w:val="center"/>
            <w:hideMark/>
          </w:tcPr>
          <w:p w:rsidR="0015754D" w:rsidRPr="009417F4" w:rsidRDefault="0015754D" w:rsidP="00B558C5">
            <w:pPr>
              <w:spacing w:after="0" w:line="240" w:lineRule="auto"/>
              <w:jc w:val="center"/>
              <w:rPr>
                <w:rFonts w:ascii="Calibri" w:eastAsia="Times New Roman" w:hAnsi="Calibri" w:cs="Times New Roman"/>
                <w:color w:val="000000"/>
              </w:rPr>
            </w:pPr>
          </w:p>
        </w:tc>
        <w:tc>
          <w:tcPr>
            <w:tcW w:w="1843" w:type="dxa"/>
            <w:tcBorders>
              <w:top w:val="nil"/>
              <w:left w:val="nil"/>
              <w:bottom w:val="nil"/>
              <w:right w:val="nil"/>
            </w:tcBorders>
            <w:shd w:val="clear" w:color="auto" w:fill="auto"/>
            <w:noWrap/>
            <w:vAlign w:val="center"/>
            <w:hideMark/>
          </w:tcPr>
          <w:p w:rsidR="0015754D" w:rsidRPr="009417F4" w:rsidRDefault="0015754D" w:rsidP="00B558C5">
            <w:pPr>
              <w:spacing w:after="0" w:line="240" w:lineRule="auto"/>
              <w:jc w:val="center"/>
              <w:rPr>
                <w:rFonts w:ascii="Times New Roman" w:eastAsia="Times New Roman" w:hAnsi="Times New Roman" w:cs="Times New Roman"/>
                <w:sz w:val="20"/>
                <w:szCs w:val="20"/>
              </w:rPr>
            </w:pPr>
          </w:p>
        </w:tc>
        <w:tc>
          <w:tcPr>
            <w:tcW w:w="1559" w:type="dxa"/>
            <w:tcBorders>
              <w:top w:val="nil"/>
              <w:left w:val="nil"/>
              <w:bottom w:val="nil"/>
              <w:right w:val="nil"/>
            </w:tcBorders>
            <w:shd w:val="clear" w:color="auto" w:fill="auto"/>
            <w:noWrap/>
            <w:vAlign w:val="center"/>
            <w:hideMark/>
          </w:tcPr>
          <w:p w:rsidR="0015754D" w:rsidRPr="009417F4" w:rsidRDefault="0015754D" w:rsidP="00B558C5">
            <w:pPr>
              <w:spacing w:after="0" w:line="240" w:lineRule="auto"/>
              <w:jc w:val="center"/>
              <w:rPr>
                <w:rFonts w:ascii="Calibri" w:eastAsia="Times New Roman" w:hAnsi="Calibri" w:cs="Times New Roman"/>
                <w:color w:val="000000"/>
              </w:rPr>
            </w:pPr>
            <w:r w:rsidRPr="009417F4">
              <w:rPr>
                <w:rFonts w:ascii="Calibri" w:eastAsia="Times New Roman" w:hAnsi="Calibri" w:cs="Times New Roman"/>
                <w:color w:val="000000"/>
              </w:rPr>
              <w:t>Captiva</w:t>
            </w:r>
          </w:p>
        </w:tc>
        <w:tc>
          <w:tcPr>
            <w:tcW w:w="1474" w:type="dxa"/>
            <w:tcBorders>
              <w:top w:val="nil"/>
              <w:left w:val="nil"/>
              <w:bottom w:val="nil"/>
              <w:right w:val="nil"/>
            </w:tcBorders>
            <w:shd w:val="clear" w:color="auto" w:fill="auto"/>
            <w:noWrap/>
            <w:vAlign w:val="center"/>
            <w:hideMark/>
          </w:tcPr>
          <w:p w:rsidR="0015754D" w:rsidRPr="009417F4" w:rsidRDefault="0015754D" w:rsidP="00B558C5">
            <w:pPr>
              <w:spacing w:after="0" w:line="240" w:lineRule="auto"/>
              <w:jc w:val="center"/>
              <w:rPr>
                <w:rFonts w:ascii="Calibri" w:eastAsia="Times New Roman" w:hAnsi="Calibri" w:cs="Times New Roman"/>
                <w:color w:val="000000"/>
              </w:rPr>
            </w:pPr>
          </w:p>
        </w:tc>
      </w:tr>
      <w:tr w:rsidR="0015754D" w:rsidRPr="009417F4" w:rsidTr="0015754D">
        <w:trPr>
          <w:trHeight w:val="300"/>
        </w:trPr>
        <w:tc>
          <w:tcPr>
            <w:tcW w:w="846" w:type="dxa"/>
            <w:tcBorders>
              <w:top w:val="nil"/>
              <w:left w:val="nil"/>
              <w:bottom w:val="nil"/>
              <w:right w:val="nil"/>
            </w:tcBorders>
            <w:shd w:val="clear" w:color="auto" w:fill="auto"/>
            <w:noWrap/>
            <w:vAlign w:val="center"/>
            <w:hideMark/>
          </w:tcPr>
          <w:p w:rsidR="0015754D" w:rsidRPr="009417F4" w:rsidRDefault="0015754D" w:rsidP="00B558C5">
            <w:pPr>
              <w:spacing w:after="0" w:line="240" w:lineRule="auto"/>
              <w:jc w:val="center"/>
              <w:rPr>
                <w:rFonts w:ascii="Calibri" w:eastAsia="Times New Roman" w:hAnsi="Calibri" w:cs="Times New Roman"/>
                <w:color w:val="000000"/>
              </w:rPr>
            </w:pPr>
            <w:r w:rsidRPr="009417F4">
              <w:rPr>
                <w:rFonts w:ascii="Calibri" w:eastAsia="Times New Roman" w:hAnsi="Calibri" w:cs="Times New Roman"/>
                <w:color w:val="000000"/>
              </w:rPr>
              <w:t>18</w:t>
            </w:r>
          </w:p>
        </w:tc>
        <w:tc>
          <w:tcPr>
            <w:tcW w:w="4116" w:type="dxa"/>
            <w:tcBorders>
              <w:top w:val="nil"/>
              <w:left w:val="nil"/>
              <w:bottom w:val="nil"/>
              <w:right w:val="nil"/>
            </w:tcBorders>
            <w:shd w:val="clear" w:color="auto" w:fill="auto"/>
            <w:noWrap/>
            <w:vAlign w:val="center"/>
            <w:hideMark/>
          </w:tcPr>
          <w:p w:rsidR="0015754D" w:rsidRPr="009417F4" w:rsidRDefault="0015754D" w:rsidP="00B558C5">
            <w:pPr>
              <w:spacing w:after="0" w:line="240" w:lineRule="auto"/>
              <w:jc w:val="center"/>
              <w:rPr>
                <w:rFonts w:ascii="Calibri" w:eastAsia="Times New Roman" w:hAnsi="Calibri" w:cs="Times New Roman"/>
                <w:color w:val="000000"/>
              </w:rPr>
            </w:pPr>
            <w:r w:rsidRPr="009417F4">
              <w:rPr>
                <w:rFonts w:ascii="Calibri" w:eastAsia="Times New Roman" w:hAnsi="Calibri" w:cs="Times New Roman"/>
                <w:color w:val="000000"/>
              </w:rPr>
              <w:t>Methyl Oleate</w:t>
            </w:r>
          </w:p>
        </w:tc>
        <w:tc>
          <w:tcPr>
            <w:tcW w:w="1002" w:type="dxa"/>
            <w:tcBorders>
              <w:top w:val="nil"/>
              <w:left w:val="nil"/>
              <w:bottom w:val="nil"/>
              <w:right w:val="nil"/>
            </w:tcBorders>
          </w:tcPr>
          <w:p w:rsidR="0015754D" w:rsidRPr="009417F4" w:rsidRDefault="0015754D" w:rsidP="00B558C5">
            <w:pPr>
              <w:spacing w:after="0" w:line="240" w:lineRule="auto"/>
              <w:jc w:val="center"/>
              <w:rPr>
                <w:rFonts w:ascii="Calibri" w:eastAsia="Times New Roman" w:hAnsi="Calibri" w:cs="Times New Roman"/>
                <w:color w:val="000000"/>
              </w:rPr>
            </w:pPr>
          </w:p>
        </w:tc>
        <w:tc>
          <w:tcPr>
            <w:tcW w:w="1984" w:type="dxa"/>
            <w:tcBorders>
              <w:top w:val="nil"/>
              <w:left w:val="nil"/>
              <w:bottom w:val="nil"/>
              <w:right w:val="nil"/>
            </w:tcBorders>
            <w:shd w:val="clear" w:color="auto" w:fill="auto"/>
            <w:noWrap/>
            <w:vAlign w:val="center"/>
            <w:hideMark/>
          </w:tcPr>
          <w:p w:rsidR="0015754D" w:rsidRPr="009417F4" w:rsidRDefault="0015754D" w:rsidP="00B558C5">
            <w:pPr>
              <w:spacing w:after="0" w:line="240" w:lineRule="auto"/>
              <w:jc w:val="center"/>
              <w:rPr>
                <w:rFonts w:ascii="Calibri" w:eastAsia="Times New Roman" w:hAnsi="Calibri" w:cs="Times New Roman"/>
                <w:color w:val="000000"/>
              </w:rPr>
            </w:pPr>
            <w:r w:rsidRPr="009417F4">
              <w:rPr>
                <w:rFonts w:ascii="Calibri" w:eastAsia="Times New Roman" w:hAnsi="Calibri" w:cs="Times New Roman"/>
                <w:color w:val="000000"/>
              </w:rPr>
              <w:t>11.062</w:t>
            </w:r>
          </w:p>
        </w:tc>
        <w:tc>
          <w:tcPr>
            <w:tcW w:w="1134" w:type="dxa"/>
            <w:tcBorders>
              <w:top w:val="nil"/>
              <w:left w:val="nil"/>
              <w:bottom w:val="nil"/>
              <w:right w:val="nil"/>
            </w:tcBorders>
            <w:shd w:val="clear" w:color="auto" w:fill="auto"/>
            <w:noWrap/>
            <w:vAlign w:val="center"/>
            <w:hideMark/>
          </w:tcPr>
          <w:p w:rsidR="0015754D" w:rsidRPr="009417F4" w:rsidRDefault="0015754D" w:rsidP="00B558C5">
            <w:pPr>
              <w:spacing w:after="0" w:line="240" w:lineRule="auto"/>
              <w:jc w:val="center"/>
              <w:rPr>
                <w:rFonts w:ascii="Calibri" w:eastAsia="Times New Roman" w:hAnsi="Calibri" w:cs="Times New Roman"/>
                <w:color w:val="000000"/>
              </w:rPr>
            </w:pPr>
            <w:r w:rsidRPr="009417F4">
              <w:rPr>
                <w:rFonts w:ascii="Calibri" w:eastAsia="Times New Roman" w:hAnsi="Calibri" w:cs="Times New Roman"/>
                <w:color w:val="000000"/>
              </w:rPr>
              <w:t>296.49</w:t>
            </w:r>
          </w:p>
        </w:tc>
        <w:tc>
          <w:tcPr>
            <w:tcW w:w="1843" w:type="dxa"/>
            <w:tcBorders>
              <w:top w:val="nil"/>
              <w:left w:val="nil"/>
              <w:bottom w:val="nil"/>
              <w:right w:val="nil"/>
            </w:tcBorders>
            <w:shd w:val="clear" w:color="auto" w:fill="auto"/>
            <w:noWrap/>
            <w:vAlign w:val="center"/>
            <w:hideMark/>
          </w:tcPr>
          <w:p w:rsidR="0015754D" w:rsidRPr="009417F4" w:rsidRDefault="0015754D" w:rsidP="00B558C5">
            <w:pPr>
              <w:spacing w:after="0" w:line="240" w:lineRule="auto"/>
              <w:jc w:val="center"/>
              <w:rPr>
                <w:rFonts w:ascii="Calibri" w:eastAsia="Times New Roman" w:hAnsi="Calibri" w:cs="Times New Roman"/>
                <w:color w:val="000000"/>
              </w:rPr>
            </w:pPr>
            <w:r w:rsidRPr="009417F4">
              <w:rPr>
                <w:rFonts w:ascii="Calibri" w:eastAsia="Times New Roman" w:hAnsi="Calibri" w:cs="Times New Roman"/>
                <w:color w:val="000000"/>
              </w:rPr>
              <w:t>C</w:t>
            </w:r>
            <w:r w:rsidRPr="001C3243">
              <w:rPr>
                <w:rFonts w:ascii="Calibri" w:eastAsia="Times New Roman" w:hAnsi="Calibri" w:cs="Times New Roman"/>
                <w:color w:val="000000"/>
                <w:vertAlign w:val="subscript"/>
              </w:rPr>
              <w:t>19</w:t>
            </w:r>
            <w:r w:rsidRPr="009417F4">
              <w:rPr>
                <w:rFonts w:ascii="Calibri" w:eastAsia="Times New Roman" w:hAnsi="Calibri" w:cs="Times New Roman"/>
                <w:color w:val="000000"/>
              </w:rPr>
              <w:t>H</w:t>
            </w:r>
            <w:r w:rsidRPr="001C3243">
              <w:rPr>
                <w:rFonts w:ascii="Calibri" w:eastAsia="Times New Roman" w:hAnsi="Calibri" w:cs="Times New Roman"/>
                <w:color w:val="000000"/>
                <w:vertAlign w:val="subscript"/>
              </w:rPr>
              <w:t>36</w:t>
            </w:r>
            <w:r w:rsidRPr="009417F4">
              <w:rPr>
                <w:rFonts w:ascii="Calibri" w:eastAsia="Times New Roman" w:hAnsi="Calibri" w:cs="Times New Roman"/>
                <w:color w:val="000000"/>
              </w:rPr>
              <w:t>O</w:t>
            </w:r>
            <w:r w:rsidRPr="001C3243">
              <w:rPr>
                <w:rFonts w:ascii="Calibri" w:eastAsia="Times New Roman" w:hAnsi="Calibri" w:cs="Times New Roman"/>
                <w:color w:val="000000"/>
                <w:vertAlign w:val="subscript"/>
              </w:rPr>
              <w:t>2</w:t>
            </w:r>
          </w:p>
        </w:tc>
        <w:tc>
          <w:tcPr>
            <w:tcW w:w="1559" w:type="dxa"/>
            <w:tcBorders>
              <w:top w:val="nil"/>
              <w:left w:val="nil"/>
              <w:bottom w:val="nil"/>
              <w:right w:val="nil"/>
            </w:tcBorders>
            <w:shd w:val="clear" w:color="auto" w:fill="auto"/>
            <w:noWrap/>
            <w:vAlign w:val="center"/>
            <w:hideMark/>
          </w:tcPr>
          <w:p w:rsidR="0015754D" w:rsidRPr="009417F4" w:rsidRDefault="0015754D" w:rsidP="00B558C5">
            <w:pPr>
              <w:spacing w:after="0" w:line="240" w:lineRule="auto"/>
              <w:jc w:val="center"/>
              <w:rPr>
                <w:rFonts w:ascii="Calibri" w:eastAsia="Times New Roman" w:hAnsi="Calibri" w:cs="Times New Roman"/>
                <w:color w:val="000000"/>
              </w:rPr>
            </w:pPr>
            <w:r w:rsidRPr="009417F4">
              <w:rPr>
                <w:rFonts w:ascii="Calibri" w:eastAsia="Times New Roman" w:hAnsi="Calibri" w:cs="Times New Roman"/>
                <w:color w:val="000000"/>
              </w:rPr>
              <w:t>Captiva</w:t>
            </w:r>
          </w:p>
        </w:tc>
        <w:tc>
          <w:tcPr>
            <w:tcW w:w="1474" w:type="dxa"/>
            <w:tcBorders>
              <w:top w:val="nil"/>
              <w:left w:val="nil"/>
              <w:bottom w:val="nil"/>
              <w:right w:val="nil"/>
            </w:tcBorders>
            <w:shd w:val="clear" w:color="auto" w:fill="auto"/>
            <w:noWrap/>
            <w:vAlign w:val="center"/>
            <w:hideMark/>
          </w:tcPr>
          <w:p w:rsidR="0015754D" w:rsidRPr="009417F4" w:rsidRDefault="0015754D" w:rsidP="00B558C5">
            <w:pPr>
              <w:spacing w:after="0" w:line="240" w:lineRule="auto"/>
              <w:jc w:val="center"/>
              <w:rPr>
                <w:rFonts w:ascii="Calibri" w:eastAsia="Times New Roman" w:hAnsi="Calibri" w:cs="Times New Roman"/>
                <w:color w:val="000000"/>
              </w:rPr>
            </w:pPr>
            <w:r w:rsidRPr="009417F4">
              <w:rPr>
                <w:rFonts w:ascii="Calibri" w:eastAsia="Times New Roman" w:hAnsi="Calibri" w:cs="Times New Roman"/>
                <w:color w:val="000000"/>
              </w:rPr>
              <w:t>26.0</w:t>
            </w:r>
          </w:p>
        </w:tc>
      </w:tr>
      <w:tr w:rsidR="0015754D" w:rsidRPr="009417F4" w:rsidTr="0015754D">
        <w:trPr>
          <w:trHeight w:val="300"/>
        </w:trPr>
        <w:tc>
          <w:tcPr>
            <w:tcW w:w="846" w:type="dxa"/>
            <w:tcBorders>
              <w:top w:val="nil"/>
              <w:left w:val="nil"/>
              <w:bottom w:val="nil"/>
              <w:right w:val="nil"/>
            </w:tcBorders>
            <w:shd w:val="clear" w:color="auto" w:fill="auto"/>
            <w:noWrap/>
            <w:vAlign w:val="center"/>
            <w:hideMark/>
          </w:tcPr>
          <w:p w:rsidR="0015754D" w:rsidRPr="009417F4" w:rsidRDefault="0015754D" w:rsidP="00B558C5">
            <w:pPr>
              <w:spacing w:after="0" w:line="240" w:lineRule="auto"/>
              <w:jc w:val="center"/>
              <w:rPr>
                <w:rFonts w:ascii="Calibri" w:eastAsia="Times New Roman" w:hAnsi="Calibri" w:cs="Times New Roman"/>
                <w:color w:val="000000"/>
              </w:rPr>
            </w:pPr>
            <w:r w:rsidRPr="009417F4">
              <w:rPr>
                <w:rFonts w:ascii="Calibri" w:eastAsia="Times New Roman" w:hAnsi="Calibri" w:cs="Times New Roman"/>
                <w:color w:val="000000"/>
              </w:rPr>
              <w:t>19</w:t>
            </w:r>
          </w:p>
        </w:tc>
        <w:tc>
          <w:tcPr>
            <w:tcW w:w="4116" w:type="dxa"/>
            <w:tcBorders>
              <w:top w:val="nil"/>
              <w:left w:val="nil"/>
              <w:bottom w:val="nil"/>
              <w:right w:val="nil"/>
            </w:tcBorders>
            <w:shd w:val="clear" w:color="auto" w:fill="auto"/>
            <w:noWrap/>
            <w:vAlign w:val="center"/>
            <w:hideMark/>
          </w:tcPr>
          <w:p w:rsidR="0015754D" w:rsidRPr="009417F4" w:rsidRDefault="0015754D" w:rsidP="00B558C5">
            <w:pPr>
              <w:spacing w:after="0" w:line="240" w:lineRule="auto"/>
              <w:jc w:val="center"/>
              <w:rPr>
                <w:rFonts w:ascii="Calibri" w:eastAsia="Times New Roman" w:hAnsi="Calibri" w:cs="Times New Roman"/>
                <w:color w:val="000000"/>
              </w:rPr>
            </w:pPr>
            <w:r w:rsidRPr="009417F4">
              <w:rPr>
                <w:rFonts w:ascii="Calibri" w:eastAsia="Times New Roman" w:hAnsi="Calibri" w:cs="Times New Roman"/>
                <w:color w:val="000000"/>
              </w:rPr>
              <w:t>Terpenoid-TMS</w:t>
            </w:r>
          </w:p>
        </w:tc>
        <w:tc>
          <w:tcPr>
            <w:tcW w:w="1002" w:type="dxa"/>
            <w:tcBorders>
              <w:top w:val="nil"/>
              <w:left w:val="nil"/>
              <w:bottom w:val="nil"/>
              <w:right w:val="nil"/>
            </w:tcBorders>
          </w:tcPr>
          <w:p w:rsidR="0015754D" w:rsidRPr="009417F4" w:rsidRDefault="0015754D" w:rsidP="00B558C5">
            <w:pPr>
              <w:spacing w:after="0" w:line="240" w:lineRule="auto"/>
              <w:jc w:val="center"/>
              <w:rPr>
                <w:rFonts w:ascii="Calibri" w:eastAsia="Times New Roman" w:hAnsi="Calibri" w:cs="Times New Roman"/>
                <w:color w:val="000000"/>
              </w:rPr>
            </w:pPr>
          </w:p>
        </w:tc>
        <w:tc>
          <w:tcPr>
            <w:tcW w:w="1984" w:type="dxa"/>
            <w:tcBorders>
              <w:top w:val="nil"/>
              <w:left w:val="nil"/>
              <w:bottom w:val="nil"/>
              <w:right w:val="nil"/>
            </w:tcBorders>
            <w:shd w:val="clear" w:color="auto" w:fill="auto"/>
            <w:noWrap/>
            <w:vAlign w:val="center"/>
            <w:hideMark/>
          </w:tcPr>
          <w:p w:rsidR="0015754D" w:rsidRPr="009417F4" w:rsidRDefault="0015754D" w:rsidP="00B558C5">
            <w:pPr>
              <w:spacing w:after="0" w:line="240" w:lineRule="auto"/>
              <w:jc w:val="center"/>
              <w:rPr>
                <w:rFonts w:ascii="Calibri" w:eastAsia="Times New Roman" w:hAnsi="Calibri" w:cs="Times New Roman"/>
                <w:color w:val="000000"/>
              </w:rPr>
            </w:pPr>
            <w:r w:rsidRPr="009417F4">
              <w:rPr>
                <w:rFonts w:ascii="Calibri" w:eastAsia="Times New Roman" w:hAnsi="Calibri" w:cs="Times New Roman"/>
                <w:color w:val="000000"/>
              </w:rPr>
              <w:t>11.233</w:t>
            </w:r>
          </w:p>
        </w:tc>
        <w:tc>
          <w:tcPr>
            <w:tcW w:w="1134" w:type="dxa"/>
            <w:tcBorders>
              <w:top w:val="nil"/>
              <w:left w:val="nil"/>
              <w:bottom w:val="nil"/>
              <w:right w:val="nil"/>
            </w:tcBorders>
            <w:shd w:val="clear" w:color="auto" w:fill="auto"/>
            <w:noWrap/>
            <w:vAlign w:val="center"/>
            <w:hideMark/>
          </w:tcPr>
          <w:p w:rsidR="0015754D" w:rsidRPr="009417F4" w:rsidRDefault="0015754D" w:rsidP="00B558C5">
            <w:pPr>
              <w:spacing w:after="0" w:line="240" w:lineRule="auto"/>
              <w:jc w:val="center"/>
              <w:rPr>
                <w:rFonts w:ascii="Calibri" w:eastAsia="Times New Roman" w:hAnsi="Calibri" w:cs="Times New Roman"/>
                <w:color w:val="000000"/>
              </w:rPr>
            </w:pPr>
          </w:p>
        </w:tc>
        <w:tc>
          <w:tcPr>
            <w:tcW w:w="1843" w:type="dxa"/>
            <w:tcBorders>
              <w:top w:val="nil"/>
              <w:left w:val="nil"/>
              <w:bottom w:val="nil"/>
              <w:right w:val="nil"/>
            </w:tcBorders>
            <w:shd w:val="clear" w:color="auto" w:fill="auto"/>
            <w:noWrap/>
            <w:vAlign w:val="center"/>
            <w:hideMark/>
          </w:tcPr>
          <w:p w:rsidR="0015754D" w:rsidRPr="009417F4" w:rsidRDefault="0015754D" w:rsidP="00B558C5">
            <w:pPr>
              <w:spacing w:after="0" w:line="240" w:lineRule="auto"/>
              <w:jc w:val="center"/>
              <w:rPr>
                <w:rFonts w:ascii="Times New Roman" w:eastAsia="Times New Roman" w:hAnsi="Times New Roman" w:cs="Times New Roman"/>
                <w:sz w:val="20"/>
                <w:szCs w:val="20"/>
              </w:rPr>
            </w:pPr>
          </w:p>
        </w:tc>
        <w:tc>
          <w:tcPr>
            <w:tcW w:w="1559" w:type="dxa"/>
            <w:tcBorders>
              <w:top w:val="nil"/>
              <w:left w:val="nil"/>
              <w:bottom w:val="nil"/>
              <w:right w:val="nil"/>
            </w:tcBorders>
            <w:shd w:val="clear" w:color="auto" w:fill="auto"/>
            <w:noWrap/>
            <w:vAlign w:val="center"/>
            <w:hideMark/>
          </w:tcPr>
          <w:p w:rsidR="0015754D" w:rsidRPr="009417F4" w:rsidRDefault="0015754D" w:rsidP="00B558C5">
            <w:pPr>
              <w:spacing w:after="0" w:line="240" w:lineRule="auto"/>
              <w:jc w:val="center"/>
              <w:rPr>
                <w:rFonts w:ascii="Calibri" w:eastAsia="Times New Roman" w:hAnsi="Calibri" w:cs="Times New Roman"/>
                <w:color w:val="000000"/>
              </w:rPr>
            </w:pPr>
            <w:r w:rsidRPr="009417F4">
              <w:rPr>
                <w:rFonts w:ascii="Calibri" w:eastAsia="Times New Roman" w:hAnsi="Calibri" w:cs="Times New Roman"/>
                <w:color w:val="000000"/>
              </w:rPr>
              <w:t>EMR</w:t>
            </w:r>
          </w:p>
        </w:tc>
        <w:tc>
          <w:tcPr>
            <w:tcW w:w="1474" w:type="dxa"/>
            <w:tcBorders>
              <w:top w:val="nil"/>
              <w:left w:val="nil"/>
              <w:bottom w:val="nil"/>
              <w:right w:val="nil"/>
            </w:tcBorders>
            <w:shd w:val="clear" w:color="auto" w:fill="auto"/>
            <w:noWrap/>
            <w:vAlign w:val="center"/>
            <w:hideMark/>
          </w:tcPr>
          <w:p w:rsidR="0015754D" w:rsidRPr="009417F4" w:rsidRDefault="0015754D" w:rsidP="00B558C5">
            <w:pPr>
              <w:spacing w:after="0" w:line="240" w:lineRule="auto"/>
              <w:jc w:val="center"/>
              <w:rPr>
                <w:rFonts w:ascii="Calibri" w:eastAsia="Times New Roman" w:hAnsi="Calibri" w:cs="Times New Roman"/>
                <w:color w:val="000000"/>
              </w:rPr>
            </w:pPr>
          </w:p>
        </w:tc>
      </w:tr>
      <w:tr w:rsidR="0015754D" w:rsidRPr="009417F4" w:rsidTr="0015754D">
        <w:trPr>
          <w:trHeight w:val="300"/>
        </w:trPr>
        <w:tc>
          <w:tcPr>
            <w:tcW w:w="846" w:type="dxa"/>
            <w:tcBorders>
              <w:top w:val="nil"/>
              <w:left w:val="nil"/>
              <w:bottom w:val="nil"/>
              <w:right w:val="nil"/>
            </w:tcBorders>
            <w:shd w:val="clear" w:color="auto" w:fill="F2F2F2" w:themeFill="background1" w:themeFillShade="F2"/>
            <w:noWrap/>
            <w:vAlign w:val="center"/>
            <w:hideMark/>
          </w:tcPr>
          <w:p w:rsidR="0015754D" w:rsidRPr="009417F4" w:rsidRDefault="0015754D" w:rsidP="00B558C5">
            <w:pPr>
              <w:spacing w:after="0" w:line="240" w:lineRule="auto"/>
              <w:jc w:val="center"/>
              <w:rPr>
                <w:rFonts w:ascii="Calibri" w:eastAsia="Times New Roman" w:hAnsi="Calibri" w:cs="Times New Roman"/>
                <w:color w:val="000000"/>
              </w:rPr>
            </w:pPr>
            <w:r w:rsidRPr="009417F4">
              <w:rPr>
                <w:rFonts w:ascii="Calibri" w:eastAsia="Times New Roman" w:hAnsi="Calibri" w:cs="Times New Roman"/>
                <w:color w:val="000000"/>
              </w:rPr>
              <w:t>20</w:t>
            </w:r>
          </w:p>
        </w:tc>
        <w:tc>
          <w:tcPr>
            <w:tcW w:w="4116" w:type="dxa"/>
            <w:tcBorders>
              <w:top w:val="nil"/>
              <w:left w:val="nil"/>
              <w:bottom w:val="nil"/>
              <w:right w:val="nil"/>
            </w:tcBorders>
            <w:shd w:val="clear" w:color="auto" w:fill="F2F2F2" w:themeFill="background1" w:themeFillShade="F2"/>
            <w:noWrap/>
            <w:vAlign w:val="center"/>
            <w:hideMark/>
          </w:tcPr>
          <w:p w:rsidR="0015754D" w:rsidRPr="009417F4" w:rsidRDefault="0015754D" w:rsidP="00B558C5">
            <w:pPr>
              <w:spacing w:after="0" w:line="240" w:lineRule="auto"/>
              <w:jc w:val="center"/>
              <w:rPr>
                <w:rFonts w:ascii="Calibri" w:eastAsia="Times New Roman" w:hAnsi="Calibri" w:cs="Times New Roman"/>
                <w:color w:val="000000"/>
              </w:rPr>
            </w:pPr>
            <w:r w:rsidRPr="009417F4">
              <w:rPr>
                <w:rFonts w:ascii="Calibri" w:eastAsia="Times New Roman" w:hAnsi="Calibri" w:cs="Times New Roman"/>
                <w:color w:val="000000"/>
              </w:rPr>
              <w:t>Terpenoid-TMS</w:t>
            </w:r>
          </w:p>
        </w:tc>
        <w:tc>
          <w:tcPr>
            <w:tcW w:w="1002" w:type="dxa"/>
            <w:tcBorders>
              <w:top w:val="nil"/>
              <w:left w:val="nil"/>
              <w:bottom w:val="nil"/>
              <w:right w:val="nil"/>
            </w:tcBorders>
            <w:shd w:val="clear" w:color="auto" w:fill="F2F2F2" w:themeFill="background1" w:themeFillShade="F2"/>
          </w:tcPr>
          <w:p w:rsidR="0015754D" w:rsidRPr="009417F4" w:rsidRDefault="0015754D" w:rsidP="00B558C5">
            <w:pPr>
              <w:spacing w:after="0" w:line="240" w:lineRule="auto"/>
              <w:jc w:val="center"/>
              <w:rPr>
                <w:rFonts w:ascii="Calibri" w:eastAsia="Times New Roman" w:hAnsi="Calibri" w:cs="Times New Roman"/>
                <w:color w:val="000000"/>
              </w:rPr>
            </w:pPr>
          </w:p>
        </w:tc>
        <w:tc>
          <w:tcPr>
            <w:tcW w:w="1984" w:type="dxa"/>
            <w:tcBorders>
              <w:top w:val="nil"/>
              <w:left w:val="nil"/>
              <w:bottom w:val="nil"/>
              <w:right w:val="nil"/>
            </w:tcBorders>
            <w:shd w:val="clear" w:color="auto" w:fill="F2F2F2" w:themeFill="background1" w:themeFillShade="F2"/>
            <w:noWrap/>
            <w:vAlign w:val="center"/>
            <w:hideMark/>
          </w:tcPr>
          <w:p w:rsidR="0015754D" w:rsidRPr="009417F4" w:rsidRDefault="0015754D" w:rsidP="00B558C5">
            <w:pPr>
              <w:spacing w:after="0" w:line="240" w:lineRule="auto"/>
              <w:jc w:val="center"/>
              <w:rPr>
                <w:rFonts w:ascii="Calibri" w:eastAsia="Times New Roman" w:hAnsi="Calibri" w:cs="Times New Roman"/>
                <w:color w:val="000000"/>
              </w:rPr>
            </w:pPr>
            <w:r w:rsidRPr="009417F4">
              <w:rPr>
                <w:rFonts w:ascii="Calibri" w:eastAsia="Times New Roman" w:hAnsi="Calibri" w:cs="Times New Roman"/>
                <w:color w:val="000000"/>
              </w:rPr>
              <w:t>11.676</w:t>
            </w:r>
          </w:p>
        </w:tc>
        <w:tc>
          <w:tcPr>
            <w:tcW w:w="1134" w:type="dxa"/>
            <w:tcBorders>
              <w:top w:val="nil"/>
              <w:left w:val="nil"/>
              <w:bottom w:val="nil"/>
              <w:right w:val="nil"/>
            </w:tcBorders>
            <w:shd w:val="clear" w:color="auto" w:fill="F2F2F2" w:themeFill="background1" w:themeFillShade="F2"/>
            <w:noWrap/>
            <w:vAlign w:val="center"/>
            <w:hideMark/>
          </w:tcPr>
          <w:p w:rsidR="0015754D" w:rsidRPr="009417F4" w:rsidRDefault="0015754D" w:rsidP="00B558C5">
            <w:pPr>
              <w:spacing w:after="0" w:line="240" w:lineRule="auto"/>
              <w:jc w:val="center"/>
              <w:rPr>
                <w:rFonts w:ascii="Calibri" w:eastAsia="Times New Roman" w:hAnsi="Calibri" w:cs="Times New Roman"/>
                <w:color w:val="000000"/>
              </w:rPr>
            </w:pPr>
          </w:p>
        </w:tc>
        <w:tc>
          <w:tcPr>
            <w:tcW w:w="1843" w:type="dxa"/>
            <w:tcBorders>
              <w:top w:val="nil"/>
              <w:left w:val="nil"/>
              <w:bottom w:val="nil"/>
              <w:right w:val="nil"/>
            </w:tcBorders>
            <w:shd w:val="clear" w:color="auto" w:fill="F2F2F2" w:themeFill="background1" w:themeFillShade="F2"/>
            <w:noWrap/>
            <w:vAlign w:val="center"/>
            <w:hideMark/>
          </w:tcPr>
          <w:p w:rsidR="0015754D" w:rsidRPr="009417F4" w:rsidRDefault="0015754D" w:rsidP="00B558C5">
            <w:pPr>
              <w:spacing w:after="0" w:line="240" w:lineRule="auto"/>
              <w:jc w:val="center"/>
              <w:rPr>
                <w:rFonts w:ascii="Times New Roman" w:eastAsia="Times New Roman" w:hAnsi="Times New Roman" w:cs="Times New Roman"/>
                <w:sz w:val="20"/>
                <w:szCs w:val="20"/>
              </w:rPr>
            </w:pPr>
          </w:p>
        </w:tc>
        <w:tc>
          <w:tcPr>
            <w:tcW w:w="1559" w:type="dxa"/>
            <w:tcBorders>
              <w:top w:val="nil"/>
              <w:left w:val="nil"/>
              <w:bottom w:val="nil"/>
              <w:right w:val="nil"/>
            </w:tcBorders>
            <w:shd w:val="clear" w:color="auto" w:fill="F2F2F2" w:themeFill="background1" w:themeFillShade="F2"/>
            <w:noWrap/>
            <w:vAlign w:val="center"/>
            <w:hideMark/>
          </w:tcPr>
          <w:p w:rsidR="0015754D" w:rsidRPr="009417F4" w:rsidRDefault="0015754D" w:rsidP="00B558C5">
            <w:pPr>
              <w:spacing w:after="0" w:line="240" w:lineRule="auto"/>
              <w:jc w:val="center"/>
              <w:rPr>
                <w:rFonts w:ascii="Calibri" w:eastAsia="Times New Roman" w:hAnsi="Calibri" w:cs="Times New Roman"/>
                <w:color w:val="000000"/>
              </w:rPr>
            </w:pPr>
            <w:r w:rsidRPr="009417F4">
              <w:rPr>
                <w:rFonts w:ascii="Calibri" w:eastAsia="Times New Roman" w:hAnsi="Calibri" w:cs="Times New Roman"/>
                <w:color w:val="000000"/>
              </w:rPr>
              <w:t>EMR</w:t>
            </w:r>
          </w:p>
        </w:tc>
        <w:tc>
          <w:tcPr>
            <w:tcW w:w="1474" w:type="dxa"/>
            <w:tcBorders>
              <w:top w:val="nil"/>
              <w:left w:val="nil"/>
              <w:bottom w:val="nil"/>
              <w:right w:val="nil"/>
            </w:tcBorders>
            <w:shd w:val="clear" w:color="auto" w:fill="F2F2F2" w:themeFill="background1" w:themeFillShade="F2"/>
            <w:noWrap/>
            <w:vAlign w:val="center"/>
            <w:hideMark/>
          </w:tcPr>
          <w:p w:rsidR="0015754D" w:rsidRPr="009417F4" w:rsidRDefault="0015754D" w:rsidP="00B558C5">
            <w:pPr>
              <w:spacing w:after="0" w:line="240" w:lineRule="auto"/>
              <w:jc w:val="center"/>
              <w:rPr>
                <w:rFonts w:ascii="Calibri" w:eastAsia="Times New Roman" w:hAnsi="Calibri" w:cs="Times New Roman"/>
                <w:color w:val="000000"/>
              </w:rPr>
            </w:pPr>
          </w:p>
        </w:tc>
      </w:tr>
      <w:tr w:rsidR="0015754D" w:rsidRPr="009417F4" w:rsidTr="0015754D">
        <w:trPr>
          <w:trHeight w:val="300"/>
        </w:trPr>
        <w:tc>
          <w:tcPr>
            <w:tcW w:w="846" w:type="dxa"/>
            <w:tcBorders>
              <w:top w:val="nil"/>
              <w:left w:val="nil"/>
              <w:bottom w:val="nil"/>
              <w:right w:val="nil"/>
            </w:tcBorders>
            <w:shd w:val="clear" w:color="auto" w:fill="auto"/>
            <w:noWrap/>
            <w:vAlign w:val="center"/>
            <w:hideMark/>
          </w:tcPr>
          <w:p w:rsidR="0015754D" w:rsidRPr="009417F4" w:rsidRDefault="0015754D" w:rsidP="00B558C5">
            <w:pPr>
              <w:spacing w:after="0" w:line="240" w:lineRule="auto"/>
              <w:jc w:val="center"/>
              <w:rPr>
                <w:rFonts w:ascii="Calibri" w:eastAsia="Times New Roman" w:hAnsi="Calibri" w:cs="Times New Roman"/>
                <w:color w:val="000000"/>
              </w:rPr>
            </w:pPr>
            <w:r w:rsidRPr="009417F4">
              <w:rPr>
                <w:rFonts w:ascii="Calibri" w:eastAsia="Times New Roman" w:hAnsi="Calibri" w:cs="Times New Roman"/>
                <w:color w:val="000000"/>
              </w:rPr>
              <w:t>21</w:t>
            </w:r>
          </w:p>
        </w:tc>
        <w:tc>
          <w:tcPr>
            <w:tcW w:w="4116" w:type="dxa"/>
            <w:tcBorders>
              <w:top w:val="nil"/>
              <w:left w:val="nil"/>
              <w:bottom w:val="nil"/>
              <w:right w:val="nil"/>
            </w:tcBorders>
            <w:shd w:val="clear" w:color="auto" w:fill="auto"/>
            <w:noWrap/>
            <w:vAlign w:val="center"/>
            <w:hideMark/>
          </w:tcPr>
          <w:p w:rsidR="0015754D" w:rsidRPr="009417F4" w:rsidRDefault="0015754D" w:rsidP="00B558C5">
            <w:pPr>
              <w:spacing w:after="0" w:line="240" w:lineRule="auto"/>
              <w:jc w:val="center"/>
              <w:rPr>
                <w:rFonts w:ascii="Calibri" w:eastAsia="Times New Roman" w:hAnsi="Calibri" w:cs="Times New Roman"/>
                <w:color w:val="000000"/>
              </w:rPr>
            </w:pPr>
            <w:r>
              <w:rPr>
                <w:rFonts w:ascii="Calibri" w:eastAsia="Times New Roman" w:hAnsi="Calibri" w:cs="Calibri"/>
                <w:color w:val="000000"/>
              </w:rPr>
              <w:t>α</w:t>
            </w:r>
            <w:r w:rsidRPr="009417F4">
              <w:rPr>
                <w:rFonts w:ascii="Calibri" w:eastAsia="Times New Roman" w:hAnsi="Calibri" w:cs="Times New Roman"/>
                <w:color w:val="000000"/>
              </w:rPr>
              <w:t>-Linolenic acid-TMS</w:t>
            </w:r>
          </w:p>
        </w:tc>
        <w:tc>
          <w:tcPr>
            <w:tcW w:w="1002" w:type="dxa"/>
            <w:tcBorders>
              <w:top w:val="nil"/>
              <w:left w:val="nil"/>
              <w:bottom w:val="nil"/>
              <w:right w:val="nil"/>
            </w:tcBorders>
          </w:tcPr>
          <w:p w:rsidR="0015754D" w:rsidRPr="009417F4" w:rsidRDefault="0015754D" w:rsidP="00B558C5">
            <w:pPr>
              <w:spacing w:after="0" w:line="240" w:lineRule="auto"/>
              <w:jc w:val="center"/>
              <w:rPr>
                <w:rFonts w:ascii="Calibri" w:eastAsia="Times New Roman" w:hAnsi="Calibri" w:cs="Times New Roman"/>
                <w:color w:val="000000"/>
              </w:rPr>
            </w:pPr>
          </w:p>
        </w:tc>
        <w:tc>
          <w:tcPr>
            <w:tcW w:w="1984" w:type="dxa"/>
            <w:tcBorders>
              <w:top w:val="nil"/>
              <w:left w:val="nil"/>
              <w:bottom w:val="nil"/>
              <w:right w:val="nil"/>
            </w:tcBorders>
            <w:shd w:val="clear" w:color="auto" w:fill="auto"/>
            <w:noWrap/>
            <w:vAlign w:val="center"/>
            <w:hideMark/>
          </w:tcPr>
          <w:p w:rsidR="0015754D" w:rsidRPr="009417F4" w:rsidRDefault="0015754D" w:rsidP="00B558C5">
            <w:pPr>
              <w:spacing w:after="0" w:line="240" w:lineRule="auto"/>
              <w:jc w:val="center"/>
              <w:rPr>
                <w:rFonts w:ascii="Calibri" w:eastAsia="Times New Roman" w:hAnsi="Calibri" w:cs="Times New Roman"/>
                <w:color w:val="000000"/>
              </w:rPr>
            </w:pPr>
            <w:r w:rsidRPr="009417F4">
              <w:rPr>
                <w:rFonts w:ascii="Calibri" w:eastAsia="Times New Roman" w:hAnsi="Calibri" w:cs="Times New Roman"/>
                <w:color w:val="000000"/>
              </w:rPr>
              <w:t>12.629</w:t>
            </w:r>
          </w:p>
        </w:tc>
        <w:tc>
          <w:tcPr>
            <w:tcW w:w="1134" w:type="dxa"/>
            <w:tcBorders>
              <w:top w:val="nil"/>
              <w:left w:val="nil"/>
              <w:bottom w:val="nil"/>
              <w:right w:val="nil"/>
            </w:tcBorders>
            <w:shd w:val="clear" w:color="auto" w:fill="auto"/>
            <w:noWrap/>
            <w:vAlign w:val="center"/>
            <w:hideMark/>
          </w:tcPr>
          <w:p w:rsidR="0015754D" w:rsidRPr="009417F4" w:rsidRDefault="0015754D" w:rsidP="00B558C5">
            <w:pPr>
              <w:spacing w:after="0" w:line="240" w:lineRule="auto"/>
              <w:jc w:val="center"/>
              <w:rPr>
                <w:rFonts w:ascii="Calibri" w:eastAsia="Times New Roman" w:hAnsi="Calibri" w:cs="Times New Roman"/>
                <w:color w:val="000000"/>
              </w:rPr>
            </w:pPr>
            <w:r w:rsidRPr="009417F4">
              <w:rPr>
                <w:rFonts w:ascii="Calibri" w:eastAsia="Times New Roman" w:hAnsi="Calibri" w:cs="Times New Roman"/>
                <w:color w:val="000000"/>
              </w:rPr>
              <w:t>350.26</w:t>
            </w:r>
          </w:p>
        </w:tc>
        <w:tc>
          <w:tcPr>
            <w:tcW w:w="1843" w:type="dxa"/>
            <w:tcBorders>
              <w:top w:val="nil"/>
              <w:left w:val="nil"/>
              <w:bottom w:val="nil"/>
              <w:right w:val="nil"/>
            </w:tcBorders>
            <w:shd w:val="clear" w:color="auto" w:fill="auto"/>
            <w:noWrap/>
            <w:vAlign w:val="center"/>
            <w:hideMark/>
          </w:tcPr>
          <w:p w:rsidR="0015754D" w:rsidRPr="009417F4" w:rsidRDefault="0015754D" w:rsidP="00B558C5">
            <w:pPr>
              <w:spacing w:after="0" w:line="240" w:lineRule="auto"/>
              <w:jc w:val="center"/>
              <w:rPr>
                <w:rFonts w:ascii="Calibri" w:eastAsia="Times New Roman" w:hAnsi="Calibri" w:cs="Times New Roman"/>
                <w:color w:val="000000"/>
              </w:rPr>
            </w:pPr>
            <w:r w:rsidRPr="009417F4">
              <w:rPr>
                <w:rFonts w:ascii="Calibri" w:eastAsia="Times New Roman" w:hAnsi="Calibri" w:cs="Times New Roman"/>
                <w:color w:val="000000"/>
              </w:rPr>
              <w:t>C</w:t>
            </w:r>
            <w:r w:rsidRPr="001C3243">
              <w:rPr>
                <w:rFonts w:ascii="Calibri" w:eastAsia="Times New Roman" w:hAnsi="Calibri" w:cs="Times New Roman"/>
                <w:color w:val="000000"/>
                <w:vertAlign w:val="subscript"/>
              </w:rPr>
              <w:t>21</w:t>
            </w:r>
            <w:r w:rsidRPr="009417F4">
              <w:rPr>
                <w:rFonts w:ascii="Calibri" w:eastAsia="Times New Roman" w:hAnsi="Calibri" w:cs="Times New Roman"/>
                <w:color w:val="000000"/>
              </w:rPr>
              <w:t>H</w:t>
            </w:r>
            <w:r w:rsidRPr="001C3243">
              <w:rPr>
                <w:rFonts w:ascii="Calibri" w:eastAsia="Times New Roman" w:hAnsi="Calibri" w:cs="Times New Roman"/>
                <w:color w:val="000000"/>
                <w:vertAlign w:val="subscript"/>
              </w:rPr>
              <w:t>38</w:t>
            </w:r>
            <w:r w:rsidRPr="009417F4">
              <w:rPr>
                <w:rFonts w:ascii="Calibri" w:eastAsia="Times New Roman" w:hAnsi="Calibri" w:cs="Times New Roman"/>
                <w:color w:val="000000"/>
              </w:rPr>
              <w:t>O</w:t>
            </w:r>
            <w:r w:rsidRPr="001C3243">
              <w:rPr>
                <w:rFonts w:ascii="Calibri" w:eastAsia="Times New Roman" w:hAnsi="Calibri" w:cs="Times New Roman"/>
                <w:color w:val="000000"/>
                <w:vertAlign w:val="subscript"/>
              </w:rPr>
              <w:t>2</w:t>
            </w:r>
            <w:r w:rsidRPr="009417F4">
              <w:rPr>
                <w:rFonts w:ascii="Calibri" w:eastAsia="Times New Roman" w:hAnsi="Calibri" w:cs="Times New Roman"/>
                <w:color w:val="000000"/>
              </w:rPr>
              <w:t>Si</w:t>
            </w:r>
          </w:p>
        </w:tc>
        <w:tc>
          <w:tcPr>
            <w:tcW w:w="1559" w:type="dxa"/>
            <w:tcBorders>
              <w:top w:val="nil"/>
              <w:left w:val="nil"/>
              <w:bottom w:val="nil"/>
              <w:right w:val="nil"/>
            </w:tcBorders>
            <w:shd w:val="clear" w:color="auto" w:fill="auto"/>
            <w:noWrap/>
            <w:vAlign w:val="center"/>
            <w:hideMark/>
          </w:tcPr>
          <w:p w:rsidR="0015754D" w:rsidRPr="009417F4" w:rsidRDefault="0015754D" w:rsidP="00B558C5">
            <w:pPr>
              <w:spacing w:after="0" w:line="240" w:lineRule="auto"/>
              <w:jc w:val="center"/>
              <w:rPr>
                <w:rFonts w:ascii="Calibri" w:eastAsia="Times New Roman" w:hAnsi="Calibri" w:cs="Times New Roman"/>
                <w:color w:val="000000"/>
              </w:rPr>
            </w:pPr>
            <w:r w:rsidRPr="009417F4">
              <w:rPr>
                <w:rFonts w:ascii="Calibri" w:eastAsia="Times New Roman" w:hAnsi="Calibri" w:cs="Times New Roman"/>
                <w:color w:val="000000"/>
              </w:rPr>
              <w:t>EMR</w:t>
            </w:r>
          </w:p>
        </w:tc>
        <w:tc>
          <w:tcPr>
            <w:tcW w:w="1474" w:type="dxa"/>
            <w:tcBorders>
              <w:top w:val="nil"/>
              <w:left w:val="nil"/>
              <w:bottom w:val="nil"/>
              <w:right w:val="nil"/>
            </w:tcBorders>
            <w:shd w:val="clear" w:color="auto" w:fill="auto"/>
            <w:noWrap/>
            <w:vAlign w:val="center"/>
            <w:hideMark/>
          </w:tcPr>
          <w:p w:rsidR="0015754D" w:rsidRPr="009417F4" w:rsidRDefault="0015754D" w:rsidP="00B558C5">
            <w:pPr>
              <w:spacing w:after="0" w:line="240" w:lineRule="auto"/>
              <w:jc w:val="center"/>
              <w:rPr>
                <w:rFonts w:ascii="Calibri" w:eastAsia="Times New Roman" w:hAnsi="Calibri" w:cs="Times New Roman"/>
                <w:color w:val="000000"/>
              </w:rPr>
            </w:pPr>
            <w:r w:rsidRPr="009417F4">
              <w:rPr>
                <w:rFonts w:ascii="Calibri" w:eastAsia="Times New Roman" w:hAnsi="Calibri" w:cs="Times New Roman"/>
                <w:color w:val="000000"/>
              </w:rPr>
              <w:t>46.1</w:t>
            </w:r>
          </w:p>
        </w:tc>
      </w:tr>
      <w:tr w:rsidR="0015754D" w:rsidRPr="009417F4" w:rsidTr="0015754D">
        <w:trPr>
          <w:trHeight w:val="300"/>
        </w:trPr>
        <w:tc>
          <w:tcPr>
            <w:tcW w:w="846" w:type="dxa"/>
            <w:tcBorders>
              <w:top w:val="nil"/>
              <w:left w:val="nil"/>
              <w:bottom w:val="nil"/>
              <w:right w:val="nil"/>
            </w:tcBorders>
            <w:shd w:val="clear" w:color="auto" w:fill="auto"/>
            <w:noWrap/>
            <w:vAlign w:val="center"/>
            <w:hideMark/>
          </w:tcPr>
          <w:p w:rsidR="0015754D" w:rsidRPr="009417F4" w:rsidRDefault="0015754D" w:rsidP="00B558C5">
            <w:pPr>
              <w:spacing w:after="0" w:line="240" w:lineRule="auto"/>
              <w:jc w:val="center"/>
              <w:rPr>
                <w:rFonts w:ascii="Calibri" w:eastAsia="Times New Roman" w:hAnsi="Calibri" w:cs="Times New Roman"/>
                <w:color w:val="000000"/>
              </w:rPr>
            </w:pPr>
            <w:r w:rsidRPr="009417F4">
              <w:rPr>
                <w:rFonts w:ascii="Calibri" w:eastAsia="Times New Roman" w:hAnsi="Calibri" w:cs="Times New Roman"/>
                <w:color w:val="000000"/>
              </w:rPr>
              <w:t>22</w:t>
            </w:r>
          </w:p>
        </w:tc>
        <w:tc>
          <w:tcPr>
            <w:tcW w:w="4116" w:type="dxa"/>
            <w:tcBorders>
              <w:top w:val="nil"/>
              <w:left w:val="nil"/>
              <w:bottom w:val="nil"/>
              <w:right w:val="nil"/>
            </w:tcBorders>
            <w:shd w:val="clear" w:color="auto" w:fill="auto"/>
            <w:noWrap/>
            <w:vAlign w:val="center"/>
            <w:hideMark/>
          </w:tcPr>
          <w:p w:rsidR="0015754D" w:rsidRPr="009417F4" w:rsidRDefault="0015754D" w:rsidP="00B558C5">
            <w:pPr>
              <w:spacing w:after="0" w:line="240" w:lineRule="auto"/>
              <w:jc w:val="center"/>
              <w:rPr>
                <w:rFonts w:ascii="Calibri" w:eastAsia="Times New Roman" w:hAnsi="Calibri" w:cs="Times New Roman"/>
                <w:color w:val="000000"/>
              </w:rPr>
            </w:pPr>
            <w:r w:rsidRPr="009417F4">
              <w:rPr>
                <w:rFonts w:ascii="Calibri" w:eastAsia="Times New Roman" w:hAnsi="Calibri" w:cs="Times New Roman"/>
                <w:color w:val="000000"/>
              </w:rPr>
              <w:t>Trans-9-Octadecanoic acid-TMS</w:t>
            </w:r>
          </w:p>
        </w:tc>
        <w:tc>
          <w:tcPr>
            <w:tcW w:w="1002" w:type="dxa"/>
            <w:tcBorders>
              <w:top w:val="nil"/>
              <w:left w:val="nil"/>
              <w:bottom w:val="nil"/>
              <w:right w:val="nil"/>
            </w:tcBorders>
          </w:tcPr>
          <w:p w:rsidR="0015754D" w:rsidRPr="009417F4" w:rsidRDefault="0015754D" w:rsidP="00B558C5">
            <w:pPr>
              <w:spacing w:after="0" w:line="240" w:lineRule="auto"/>
              <w:jc w:val="center"/>
              <w:rPr>
                <w:rFonts w:ascii="Calibri" w:eastAsia="Times New Roman" w:hAnsi="Calibri" w:cs="Times New Roman"/>
                <w:color w:val="000000"/>
              </w:rPr>
            </w:pPr>
          </w:p>
        </w:tc>
        <w:tc>
          <w:tcPr>
            <w:tcW w:w="1984" w:type="dxa"/>
            <w:tcBorders>
              <w:top w:val="nil"/>
              <w:left w:val="nil"/>
              <w:bottom w:val="nil"/>
              <w:right w:val="nil"/>
            </w:tcBorders>
            <w:shd w:val="clear" w:color="auto" w:fill="auto"/>
            <w:noWrap/>
            <w:vAlign w:val="center"/>
            <w:hideMark/>
          </w:tcPr>
          <w:p w:rsidR="0015754D" w:rsidRPr="009417F4" w:rsidRDefault="0015754D" w:rsidP="00B558C5">
            <w:pPr>
              <w:spacing w:after="0" w:line="240" w:lineRule="auto"/>
              <w:jc w:val="center"/>
              <w:rPr>
                <w:rFonts w:ascii="Calibri" w:eastAsia="Times New Roman" w:hAnsi="Calibri" w:cs="Times New Roman"/>
                <w:color w:val="000000"/>
              </w:rPr>
            </w:pPr>
            <w:r w:rsidRPr="009417F4">
              <w:rPr>
                <w:rFonts w:ascii="Calibri" w:eastAsia="Times New Roman" w:hAnsi="Calibri" w:cs="Times New Roman"/>
                <w:color w:val="000000"/>
              </w:rPr>
              <w:t>12.649</w:t>
            </w:r>
          </w:p>
        </w:tc>
        <w:tc>
          <w:tcPr>
            <w:tcW w:w="1134" w:type="dxa"/>
            <w:tcBorders>
              <w:top w:val="nil"/>
              <w:left w:val="nil"/>
              <w:bottom w:val="nil"/>
              <w:right w:val="nil"/>
            </w:tcBorders>
            <w:shd w:val="clear" w:color="auto" w:fill="auto"/>
            <w:noWrap/>
            <w:vAlign w:val="center"/>
            <w:hideMark/>
          </w:tcPr>
          <w:p w:rsidR="0015754D" w:rsidRPr="009417F4" w:rsidRDefault="0015754D" w:rsidP="00B558C5">
            <w:pPr>
              <w:spacing w:after="0" w:line="240" w:lineRule="auto"/>
              <w:jc w:val="center"/>
              <w:rPr>
                <w:rFonts w:ascii="Calibri" w:eastAsia="Times New Roman" w:hAnsi="Calibri" w:cs="Times New Roman"/>
                <w:color w:val="000000"/>
              </w:rPr>
            </w:pPr>
            <w:r w:rsidRPr="009417F4">
              <w:rPr>
                <w:rFonts w:ascii="Calibri" w:eastAsia="Times New Roman" w:hAnsi="Calibri" w:cs="Times New Roman"/>
                <w:color w:val="000000"/>
              </w:rPr>
              <w:t>354.65</w:t>
            </w:r>
          </w:p>
        </w:tc>
        <w:tc>
          <w:tcPr>
            <w:tcW w:w="1843" w:type="dxa"/>
            <w:tcBorders>
              <w:top w:val="nil"/>
              <w:left w:val="nil"/>
              <w:bottom w:val="nil"/>
              <w:right w:val="nil"/>
            </w:tcBorders>
            <w:shd w:val="clear" w:color="auto" w:fill="auto"/>
            <w:noWrap/>
            <w:vAlign w:val="center"/>
            <w:hideMark/>
          </w:tcPr>
          <w:p w:rsidR="0015754D" w:rsidRPr="009417F4" w:rsidRDefault="0015754D" w:rsidP="00B558C5">
            <w:pPr>
              <w:spacing w:after="0" w:line="240" w:lineRule="auto"/>
              <w:jc w:val="center"/>
              <w:rPr>
                <w:rFonts w:ascii="Calibri" w:eastAsia="Times New Roman" w:hAnsi="Calibri" w:cs="Times New Roman"/>
                <w:color w:val="000000"/>
              </w:rPr>
            </w:pPr>
            <w:r w:rsidRPr="009417F4">
              <w:rPr>
                <w:rFonts w:ascii="Calibri" w:eastAsia="Times New Roman" w:hAnsi="Calibri" w:cs="Times New Roman"/>
                <w:color w:val="000000"/>
              </w:rPr>
              <w:t>C</w:t>
            </w:r>
            <w:r w:rsidRPr="001C3243">
              <w:rPr>
                <w:rFonts w:ascii="Calibri" w:eastAsia="Times New Roman" w:hAnsi="Calibri" w:cs="Times New Roman"/>
                <w:color w:val="000000"/>
                <w:vertAlign w:val="subscript"/>
              </w:rPr>
              <w:t>21</w:t>
            </w:r>
            <w:r w:rsidRPr="009417F4">
              <w:rPr>
                <w:rFonts w:ascii="Calibri" w:eastAsia="Times New Roman" w:hAnsi="Calibri" w:cs="Times New Roman"/>
                <w:color w:val="000000"/>
              </w:rPr>
              <w:t>H</w:t>
            </w:r>
            <w:r w:rsidRPr="001C3243">
              <w:rPr>
                <w:rFonts w:ascii="Calibri" w:eastAsia="Times New Roman" w:hAnsi="Calibri" w:cs="Times New Roman"/>
                <w:color w:val="000000"/>
                <w:vertAlign w:val="subscript"/>
              </w:rPr>
              <w:t>42</w:t>
            </w:r>
            <w:r w:rsidRPr="009417F4">
              <w:rPr>
                <w:rFonts w:ascii="Calibri" w:eastAsia="Times New Roman" w:hAnsi="Calibri" w:cs="Times New Roman"/>
                <w:color w:val="000000"/>
              </w:rPr>
              <w:t>O</w:t>
            </w:r>
            <w:r w:rsidRPr="001C3243">
              <w:rPr>
                <w:rFonts w:ascii="Calibri" w:eastAsia="Times New Roman" w:hAnsi="Calibri" w:cs="Times New Roman"/>
                <w:color w:val="000000"/>
                <w:vertAlign w:val="subscript"/>
              </w:rPr>
              <w:t>2</w:t>
            </w:r>
            <w:r w:rsidRPr="009417F4">
              <w:rPr>
                <w:rFonts w:ascii="Calibri" w:eastAsia="Times New Roman" w:hAnsi="Calibri" w:cs="Times New Roman"/>
                <w:color w:val="000000"/>
              </w:rPr>
              <w:t>Si</w:t>
            </w:r>
          </w:p>
        </w:tc>
        <w:tc>
          <w:tcPr>
            <w:tcW w:w="1559" w:type="dxa"/>
            <w:tcBorders>
              <w:top w:val="nil"/>
              <w:left w:val="nil"/>
              <w:bottom w:val="nil"/>
              <w:right w:val="nil"/>
            </w:tcBorders>
            <w:shd w:val="clear" w:color="auto" w:fill="auto"/>
            <w:noWrap/>
            <w:vAlign w:val="center"/>
            <w:hideMark/>
          </w:tcPr>
          <w:p w:rsidR="0015754D" w:rsidRPr="009417F4" w:rsidRDefault="0015754D" w:rsidP="00B558C5">
            <w:pPr>
              <w:spacing w:after="0" w:line="240" w:lineRule="auto"/>
              <w:jc w:val="center"/>
              <w:rPr>
                <w:rFonts w:ascii="Calibri" w:eastAsia="Times New Roman" w:hAnsi="Calibri" w:cs="Times New Roman"/>
                <w:color w:val="000000"/>
              </w:rPr>
            </w:pPr>
            <w:r w:rsidRPr="009417F4">
              <w:rPr>
                <w:rFonts w:ascii="Calibri" w:eastAsia="Times New Roman" w:hAnsi="Calibri" w:cs="Times New Roman"/>
                <w:color w:val="000000"/>
              </w:rPr>
              <w:t>Captiva</w:t>
            </w:r>
          </w:p>
        </w:tc>
        <w:tc>
          <w:tcPr>
            <w:tcW w:w="1474" w:type="dxa"/>
            <w:tcBorders>
              <w:top w:val="nil"/>
              <w:left w:val="nil"/>
              <w:bottom w:val="nil"/>
              <w:right w:val="nil"/>
            </w:tcBorders>
            <w:shd w:val="clear" w:color="auto" w:fill="auto"/>
            <w:noWrap/>
            <w:vAlign w:val="center"/>
            <w:hideMark/>
          </w:tcPr>
          <w:p w:rsidR="0015754D" w:rsidRPr="009417F4" w:rsidRDefault="0015754D" w:rsidP="00B558C5">
            <w:pPr>
              <w:spacing w:after="0" w:line="240" w:lineRule="auto"/>
              <w:jc w:val="center"/>
              <w:rPr>
                <w:rFonts w:ascii="Calibri" w:eastAsia="Times New Roman" w:hAnsi="Calibri" w:cs="Times New Roman"/>
                <w:color w:val="000000"/>
              </w:rPr>
            </w:pPr>
            <w:r w:rsidRPr="009417F4">
              <w:rPr>
                <w:rFonts w:ascii="Calibri" w:eastAsia="Times New Roman" w:hAnsi="Calibri" w:cs="Times New Roman"/>
                <w:color w:val="000000"/>
              </w:rPr>
              <w:t>20.0</w:t>
            </w:r>
          </w:p>
        </w:tc>
      </w:tr>
    </w:tbl>
    <w:p w:rsidR="00990C5C" w:rsidRPr="0015754D" w:rsidRDefault="0015754D">
      <w:pPr>
        <w:rPr>
          <w:i/>
          <w:color w:val="1F497D" w:themeColor="text2"/>
          <w:sz w:val="18"/>
        </w:rPr>
      </w:pPr>
      <w:r>
        <w:rPr>
          <w:i/>
          <w:color w:val="1F497D" w:themeColor="text2"/>
          <w:sz w:val="18"/>
        </w:rPr>
        <w:lastRenderedPageBreak/>
        <w:t>Table 2</w:t>
      </w:r>
      <w:r w:rsidR="00990C5C" w:rsidRPr="0015754D">
        <w:rPr>
          <w:i/>
          <w:color w:val="1F497D" w:themeColor="text2"/>
          <w:sz w:val="18"/>
        </w:rPr>
        <w:t xml:space="preserve"> Continuation</w:t>
      </w:r>
    </w:p>
    <w:tbl>
      <w:tblPr>
        <w:tblW w:w="12956" w:type="dxa"/>
        <w:tblLook w:val="04A0" w:firstRow="1" w:lastRow="0" w:firstColumn="1" w:lastColumn="0" w:noHBand="0" w:noVBand="1"/>
      </w:tblPr>
      <w:tblGrid>
        <w:gridCol w:w="851"/>
        <w:gridCol w:w="4116"/>
        <w:gridCol w:w="1984"/>
        <w:gridCol w:w="1134"/>
        <w:gridCol w:w="1843"/>
        <w:gridCol w:w="1500"/>
        <w:gridCol w:w="59"/>
        <w:gridCol w:w="1418"/>
        <w:gridCol w:w="56"/>
      </w:tblGrid>
      <w:tr w:rsidR="003D3A66" w:rsidRPr="009417F4" w:rsidTr="003D3A66">
        <w:trPr>
          <w:trHeight w:val="300"/>
        </w:trPr>
        <w:tc>
          <w:tcPr>
            <w:tcW w:w="846" w:type="dxa"/>
            <w:tcBorders>
              <w:top w:val="nil"/>
              <w:left w:val="nil"/>
              <w:bottom w:val="nil"/>
              <w:right w:val="nil"/>
            </w:tcBorders>
            <w:shd w:val="clear" w:color="auto" w:fill="auto"/>
            <w:noWrap/>
            <w:vAlign w:val="center"/>
            <w:hideMark/>
          </w:tcPr>
          <w:p w:rsidR="003D3A66" w:rsidRPr="009417F4" w:rsidRDefault="003D3A66" w:rsidP="00E13075">
            <w:pPr>
              <w:spacing w:after="0" w:line="240" w:lineRule="auto"/>
              <w:jc w:val="center"/>
              <w:rPr>
                <w:rFonts w:ascii="Calibri" w:eastAsia="Times New Roman" w:hAnsi="Calibri" w:cs="Times New Roman"/>
                <w:color w:val="000000"/>
              </w:rPr>
            </w:pPr>
            <w:r w:rsidRPr="009417F4">
              <w:rPr>
                <w:rFonts w:ascii="Calibri" w:eastAsia="Times New Roman" w:hAnsi="Calibri" w:cs="Times New Roman"/>
                <w:color w:val="000000"/>
              </w:rPr>
              <w:t>23</w:t>
            </w:r>
          </w:p>
        </w:tc>
        <w:tc>
          <w:tcPr>
            <w:tcW w:w="4116" w:type="dxa"/>
            <w:tcBorders>
              <w:top w:val="nil"/>
              <w:left w:val="nil"/>
              <w:bottom w:val="nil"/>
              <w:right w:val="nil"/>
            </w:tcBorders>
            <w:shd w:val="clear" w:color="auto" w:fill="auto"/>
            <w:noWrap/>
            <w:vAlign w:val="center"/>
            <w:hideMark/>
          </w:tcPr>
          <w:p w:rsidR="003D3A66" w:rsidRPr="009417F4" w:rsidRDefault="003D3A66" w:rsidP="00E13075">
            <w:pPr>
              <w:spacing w:after="0" w:line="240" w:lineRule="auto"/>
              <w:jc w:val="center"/>
              <w:rPr>
                <w:rFonts w:ascii="Calibri" w:eastAsia="Times New Roman" w:hAnsi="Calibri" w:cs="Times New Roman"/>
                <w:color w:val="000000"/>
              </w:rPr>
            </w:pPr>
            <w:r w:rsidRPr="009417F4">
              <w:rPr>
                <w:rFonts w:ascii="Calibri" w:eastAsia="Times New Roman" w:hAnsi="Calibri" w:cs="Times New Roman"/>
                <w:color w:val="000000"/>
              </w:rPr>
              <w:t>Linoleic acid-TMS</w:t>
            </w:r>
          </w:p>
        </w:tc>
        <w:tc>
          <w:tcPr>
            <w:tcW w:w="1984" w:type="dxa"/>
            <w:tcBorders>
              <w:top w:val="nil"/>
              <w:left w:val="nil"/>
              <w:bottom w:val="nil"/>
              <w:right w:val="nil"/>
            </w:tcBorders>
            <w:shd w:val="clear" w:color="auto" w:fill="auto"/>
            <w:noWrap/>
            <w:vAlign w:val="center"/>
            <w:hideMark/>
          </w:tcPr>
          <w:p w:rsidR="003D3A66" w:rsidRPr="009417F4" w:rsidRDefault="003D3A66" w:rsidP="00E13075">
            <w:pPr>
              <w:spacing w:after="0" w:line="240" w:lineRule="auto"/>
              <w:jc w:val="center"/>
              <w:rPr>
                <w:rFonts w:ascii="Calibri" w:eastAsia="Times New Roman" w:hAnsi="Calibri" w:cs="Times New Roman"/>
                <w:color w:val="000000"/>
              </w:rPr>
            </w:pPr>
            <w:r w:rsidRPr="009417F4">
              <w:rPr>
                <w:rFonts w:ascii="Calibri" w:eastAsia="Times New Roman" w:hAnsi="Calibri" w:cs="Times New Roman"/>
                <w:color w:val="000000"/>
              </w:rPr>
              <w:t>12.830</w:t>
            </w:r>
          </w:p>
        </w:tc>
        <w:tc>
          <w:tcPr>
            <w:tcW w:w="1134" w:type="dxa"/>
            <w:tcBorders>
              <w:top w:val="nil"/>
              <w:left w:val="nil"/>
              <w:bottom w:val="nil"/>
              <w:right w:val="nil"/>
            </w:tcBorders>
            <w:shd w:val="clear" w:color="auto" w:fill="auto"/>
            <w:noWrap/>
            <w:vAlign w:val="center"/>
            <w:hideMark/>
          </w:tcPr>
          <w:p w:rsidR="003D3A66" w:rsidRPr="009417F4" w:rsidRDefault="003D3A66" w:rsidP="00E13075">
            <w:pPr>
              <w:spacing w:after="0" w:line="240" w:lineRule="auto"/>
              <w:jc w:val="center"/>
              <w:rPr>
                <w:rFonts w:ascii="Calibri" w:eastAsia="Times New Roman" w:hAnsi="Calibri" w:cs="Times New Roman"/>
                <w:color w:val="000000"/>
              </w:rPr>
            </w:pPr>
            <w:r w:rsidRPr="009417F4">
              <w:rPr>
                <w:rFonts w:ascii="Calibri" w:eastAsia="Times New Roman" w:hAnsi="Calibri" w:cs="Times New Roman"/>
                <w:color w:val="000000"/>
              </w:rPr>
              <w:t>352.27</w:t>
            </w:r>
          </w:p>
        </w:tc>
        <w:tc>
          <w:tcPr>
            <w:tcW w:w="1843" w:type="dxa"/>
            <w:tcBorders>
              <w:top w:val="nil"/>
              <w:left w:val="nil"/>
              <w:bottom w:val="nil"/>
              <w:right w:val="nil"/>
            </w:tcBorders>
            <w:shd w:val="clear" w:color="auto" w:fill="auto"/>
            <w:noWrap/>
            <w:vAlign w:val="center"/>
            <w:hideMark/>
          </w:tcPr>
          <w:p w:rsidR="003D3A66" w:rsidRPr="009417F4" w:rsidRDefault="003D3A66" w:rsidP="00E13075">
            <w:pPr>
              <w:spacing w:after="0" w:line="240" w:lineRule="auto"/>
              <w:jc w:val="center"/>
              <w:rPr>
                <w:rFonts w:ascii="Calibri" w:eastAsia="Times New Roman" w:hAnsi="Calibri" w:cs="Times New Roman"/>
                <w:color w:val="000000"/>
              </w:rPr>
            </w:pPr>
            <w:r w:rsidRPr="009417F4">
              <w:rPr>
                <w:rFonts w:ascii="Calibri" w:eastAsia="Times New Roman" w:hAnsi="Calibri" w:cs="Times New Roman"/>
                <w:color w:val="000000"/>
              </w:rPr>
              <w:t>C</w:t>
            </w:r>
            <w:r w:rsidRPr="001C3243">
              <w:rPr>
                <w:rFonts w:ascii="Calibri" w:eastAsia="Times New Roman" w:hAnsi="Calibri" w:cs="Times New Roman"/>
                <w:color w:val="000000"/>
                <w:vertAlign w:val="subscript"/>
              </w:rPr>
              <w:t>21</w:t>
            </w:r>
            <w:r w:rsidRPr="009417F4">
              <w:rPr>
                <w:rFonts w:ascii="Calibri" w:eastAsia="Times New Roman" w:hAnsi="Calibri" w:cs="Times New Roman"/>
                <w:color w:val="000000"/>
              </w:rPr>
              <w:t>H</w:t>
            </w:r>
            <w:r w:rsidRPr="001C3243">
              <w:rPr>
                <w:rFonts w:ascii="Calibri" w:eastAsia="Times New Roman" w:hAnsi="Calibri" w:cs="Times New Roman"/>
                <w:color w:val="000000"/>
                <w:vertAlign w:val="subscript"/>
              </w:rPr>
              <w:t>40</w:t>
            </w:r>
            <w:r w:rsidRPr="009417F4">
              <w:rPr>
                <w:rFonts w:ascii="Calibri" w:eastAsia="Times New Roman" w:hAnsi="Calibri" w:cs="Times New Roman"/>
                <w:color w:val="000000"/>
              </w:rPr>
              <w:t>O</w:t>
            </w:r>
            <w:r w:rsidRPr="001C3243">
              <w:rPr>
                <w:rFonts w:ascii="Calibri" w:eastAsia="Times New Roman" w:hAnsi="Calibri" w:cs="Times New Roman"/>
                <w:color w:val="000000"/>
                <w:vertAlign w:val="subscript"/>
              </w:rPr>
              <w:t>2</w:t>
            </w:r>
            <w:r w:rsidRPr="009417F4">
              <w:rPr>
                <w:rFonts w:ascii="Calibri" w:eastAsia="Times New Roman" w:hAnsi="Calibri" w:cs="Times New Roman"/>
                <w:color w:val="000000"/>
              </w:rPr>
              <w:t>Si</w:t>
            </w:r>
          </w:p>
        </w:tc>
        <w:tc>
          <w:tcPr>
            <w:tcW w:w="1559" w:type="dxa"/>
            <w:gridSpan w:val="2"/>
            <w:tcBorders>
              <w:top w:val="nil"/>
              <w:left w:val="nil"/>
              <w:bottom w:val="nil"/>
              <w:right w:val="nil"/>
            </w:tcBorders>
            <w:shd w:val="clear" w:color="auto" w:fill="auto"/>
            <w:noWrap/>
            <w:vAlign w:val="center"/>
            <w:hideMark/>
          </w:tcPr>
          <w:p w:rsidR="003D3A66" w:rsidRPr="009417F4" w:rsidRDefault="003D3A66" w:rsidP="00E13075">
            <w:pPr>
              <w:spacing w:after="0" w:line="240" w:lineRule="auto"/>
              <w:jc w:val="center"/>
              <w:rPr>
                <w:rFonts w:ascii="Calibri" w:eastAsia="Times New Roman" w:hAnsi="Calibri" w:cs="Times New Roman"/>
                <w:color w:val="000000"/>
              </w:rPr>
            </w:pPr>
            <w:r w:rsidRPr="009417F4">
              <w:rPr>
                <w:rFonts w:ascii="Calibri" w:eastAsia="Times New Roman" w:hAnsi="Calibri" w:cs="Times New Roman"/>
                <w:color w:val="000000"/>
              </w:rPr>
              <w:t>EMR</w:t>
            </w:r>
          </w:p>
        </w:tc>
        <w:tc>
          <w:tcPr>
            <w:tcW w:w="1474" w:type="dxa"/>
            <w:gridSpan w:val="2"/>
            <w:tcBorders>
              <w:top w:val="nil"/>
              <w:left w:val="nil"/>
              <w:bottom w:val="nil"/>
              <w:right w:val="nil"/>
            </w:tcBorders>
            <w:shd w:val="clear" w:color="auto" w:fill="auto"/>
            <w:noWrap/>
            <w:vAlign w:val="center"/>
            <w:hideMark/>
          </w:tcPr>
          <w:p w:rsidR="003D3A66" w:rsidRPr="009417F4" w:rsidRDefault="003D3A66" w:rsidP="00E13075">
            <w:pPr>
              <w:spacing w:after="0" w:line="240" w:lineRule="auto"/>
              <w:jc w:val="center"/>
              <w:rPr>
                <w:rFonts w:ascii="Calibri" w:eastAsia="Times New Roman" w:hAnsi="Calibri" w:cs="Times New Roman"/>
                <w:color w:val="000000"/>
              </w:rPr>
            </w:pPr>
            <w:r w:rsidRPr="009417F4">
              <w:rPr>
                <w:rFonts w:ascii="Calibri" w:eastAsia="Times New Roman" w:hAnsi="Calibri" w:cs="Times New Roman"/>
                <w:color w:val="000000"/>
              </w:rPr>
              <w:t>65.6</w:t>
            </w:r>
          </w:p>
        </w:tc>
      </w:tr>
      <w:tr w:rsidR="003D3A66" w:rsidRPr="009417F4" w:rsidTr="003D3A66">
        <w:trPr>
          <w:trHeight w:val="300"/>
        </w:trPr>
        <w:tc>
          <w:tcPr>
            <w:tcW w:w="846" w:type="dxa"/>
            <w:tcBorders>
              <w:top w:val="nil"/>
              <w:left w:val="nil"/>
              <w:bottom w:val="nil"/>
              <w:right w:val="nil"/>
            </w:tcBorders>
            <w:shd w:val="clear" w:color="auto" w:fill="auto"/>
            <w:noWrap/>
            <w:vAlign w:val="center"/>
            <w:hideMark/>
          </w:tcPr>
          <w:p w:rsidR="003D3A66" w:rsidRPr="009417F4" w:rsidRDefault="003D3A66" w:rsidP="00E13075">
            <w:pPr>
              <w:spacing w:after="0" w:line="240" w:lineRule="auto"/>
              <w:jc w:val="center"/>
              <w:rPr>
                <w:rFonts w:ascii="Calibri" w:eastAsia="Times New Roman" w:hAnsi="Calibri" w:cs="Times New Roman"/>
                <w:color w:val="000000"/>
              </w:rPr>
            </w:pPr>
            <w:r w:rsidRPr="009417F4">
              <w:rPr>
                <w:rFonts w:ascii="Calibri" w:eastAsia="Times New Roman" w:hAnsi="Calibri" w:cs="Times New Roman"/>
                <w:color w:val="000000"/>
              </w:rPr>
              <w:t>24</w:t>
            </w:r>
          </w:p>
        </w:tc>
        <w:tc>
          <w:tcPr>
            <w:tcW w:w="4116" w:type="dxa"/>
            <w:tcBorders>
              <w:top w:val="nil"/>
              <w:left w:val="nil"/>
              <w:bottom w:val="nil"/>
              <w:right w:val="nil"/>
            </w:tcBorders>
            <w:shd w:val="clear" w:color="auto" w:fill="auto"/>
            <w:noWrap/>
            <w:vAlign w:val="center"/>
            <w:hideMark/>
          </w:tcPr>
          <w:p w:rsidR="003D3A66" w:rsidRPr="009417F4" w:rsidRDefault="003D3A66" w:rsidP="00E13075">
            <w:pPr>
              <w:spacing w:after="0" w:line="240" w:lineRule="auto"/>
              <w:jc w:val="center"/>
              <w:rPr>
                <w:rFonts w:ascii="Calibri" w:eastAsia="Times New Roman" w:hAnsi="Calibri" w:cs="Times New Roman"/>
                <w:color w:val="000000"/>
              </w:rPr>
            </w:pPr>
            <w:r w:rsidRPr="009417F4">
              <w:rPr>
                <w:rFonts w:ascii="Calibri" w:eastAsia="Times New Roman" w:hAnsi="Calibri" w:cs="Times New Roman"/>
                <w:color w:val="000000"/>
              </w:rPr>
              <w:t>Fatty acid-TMS</w:t>
            </w:r>
          </w:p>
        </w:tc>
        <w:tc>
          <w:tcPr>
            <w:tcW w:w="1984" w:type="dxa"/>
            <w:tcBorders>
              <w:top w:val="nil"/>
              <w:left w:val="nil"/>
              <w:bottom w:val="nil"/>
              <w:right w:val="nil"/>
            </w:tcBorders>
            <w:shd w:val="clear" w:color="auto" w:fill="auto"/>
            <w:noWrap/>
            <w:vAlign w:val="center"/>
            <w:hideMark/>
          </w:tcPr>
          <w:p w:rsidR="003D3A66" w:rsidRPr="009417F4" w:rsidRDefault="003D3A66" w:rsidP="00E13075">
            <w:pPr>
              <w:spacing w:after="0" w:line="240" w:lineRule="auto"/>
              <w:jc w:val="center"/>
              <w:rPr>
                <w:rFonts w:ascii="Calibri" w:eastAsia="Times New Roman" w:hAnsi="Calibri" w:cs="Times New Roman"/>
                <w:color w:val="000000"/>
              </w:rPr>
            </w:pPr>
            <w:r w:rsidRPr="009417F4">
              <w:rPr>
                <w:rFonts w:ascii="Calibri" w:eastAsia="Times New Roman" w:hAnsi="Calibri" w:cs="Times New Roman"/>
                <w:color w:val="000000"/>
              </w:rPr>
              <w:t>12.946</w:t>
            </w:r>
          </w:p>
        </w:tc>
        <w:tc>
          <w:tcPr>
            <w:tcW w:w="1134" w:type="dxa"/>
            <w:tcBorders>
              <w:top w:val="nil"/>
              <w:left w:val="nil"/>
              <w:bottom w:val="nil"/>
              <w:right w:val="nil"/>
            </w:tcBorders>
            <w:shd w:val="clear" w:color="auto" w:fill="auto"/>
            <w:noWrap/>
            <w:vAlign w:val="center"/>
            <w:hideMark/>
          </w:tcPr>
          <w:p w:rsidR="003D3A66" w:rsidRPr="009417F4" w:rsidRDefault="003D3A66" w:rsidP="00E13075">
            <w:pPr>
              <w:spacing w:after="0" w:line="240" w:lineRule="auto"/>
              <w:jc w:val="center"/>
              <w:rPr>
                <w:rFonts w:ascii="Calibri" w:eastAsia="Times New Roman" w:hAnsi="Calibri" w:cs="Times New Roman"/>
                <w:color w:val="000000"/>
              </w:rPr>
            </w:pPr>
          </w:p>
        </w:tc>
        <w:tc>
          <w:tcPr>
            <w:tcW w:w="1843" w:type="dxa"/>
            <w:tcBorders>
              <w:top w:val="nil"/>
              <w:left w:val="nil"/>
              <w:bottom w:val="nil"/>
              <w:right w:val="nil"/>
            </w:tcBorders>
            <w:shd w:val="clear" w:color="auto" w:fill="auto"/>
            <w:noWrap/>
            <w:vAlign w:val="center"/>
            <w:hideMark/>
          </w:tcPr>
          <w:p w:rsidR="003D3A66" w:rsidRPr="009417F4" w:rsidRDefault="003D3A66" w:rsidP="00E13075">
            <w:pPr>
              <w:spacing w:after="0" w:line="240" w:lineRule="auto"/>
              <w:jc w:val="center"/>
              <w:rPr>
                <w:rFonts w:ascii="Times New Roman" w:eastAsia="Times New Roman" w:hAnsi="Times New Roman" w:cs="Times New Roman"/>
                <w:sz w:val="20"/>
                <w:szCs w:val="20"/>
              </w:rPr>
            </w:pPr>
          </w:p>
        </w:tc>
        <w:tc>
          <w:tcPr>
            <w:tcW w:w="1559" w:type="dxa"/>
            <w:gridSpan w:val="2"/>
            <w:tcBorders>
              <w:top w:val="nil"/>
              <w:left w:val="nil"/>
              <w:bottom w:val="nil"/>
              <w:right w:val="nil"/>
            </w:tcBorders>
            <w:shd w:val="clear" w:color="auto" w:fill="auto"/>
            <w:noWrap/>
            <w:vAlign w:val="center"/>
            <w:hideMark/>
          </w:tcPr>
          <w:p w:rsidR="003D3A66" w:rsidRPr="009417F4" w:rsidRDefault="003D3A66" w:rsidP="00E13075">
            <w:pPr>
              <w:spacing w:after="0" w:line="240" w:lineRule="auto"/>
              <w:jc w:val="center"/>
              <w:rPr>
                <w:rFonts w:ascii="Calibri" w:eastAsia="Times New Roman" w:hAnsi="Calibri" w:cs="Times New Roman"/>
                <w:color w:val="000000"/>
              </w:rPr>
            </w:pPr>
            <w:r w:rsidRPr="009417F4">
              <w:rPr>
                <w:rFonts w:ascii="Calibri" w:eastAsia="Times New Roman" w:hAnsi="Calibri" w:cs="Times New Roman"/>
                <w:color w:val="000000"/>
              </w:rPr>
              <w:t>Captiva</w:t>
            </w:r>
          </w:p>
        </w:tc>
        <w:tc>
          <w:tcPr>
            <w:tcW w:w="1474" w:type="dxa"/>
            <w:gridSpan w:val="2"/>
            <w:tcBorders>
              <w:top w:val="nil"/>
              <w:left w:val="nil"/>
              <w:bottom w:val="nil"/>
              <w:right w:val="nil"/>
            </w:tcBorders>
            <w:shd w:val="clear" w:color="auto" w:fill="auto"/>
            <w:noWrap/>
            <w:vAlign w:val="center"/>
            <w:hideMark/>
          </w:tcPr>
          <w:p w:rsidR="003D3A66" w:rsidRPr="009417F4" w:rsidRDefault="003D3A66" w:rsidP="00E13075">
            <w:pPr>
              <w:spacing w:after="0" w:line="240" w:lineRule="auto"/>
              <w:jc w:val="center"/>
              <w:rPr>
                <w:rFonts w:ascii="Calibri" w:eastAsia="Times New Roman" w:hAnsi="Calibri" w:cs="Times New Roman"/>
                <w:color w:val="000000"/>
              </w:rPr>
            </w:pPr>
          </w:p>
        </w:tc>
      </w:tr>
      <w:tr w:rsidR="003D3A66" w:rsidRPr="009417F4" w:rsidTr="003D3A66">
        <w:trPr>
          <w:trHeight w:val="300"/>
        </w:trPr>
        <w:tc>
          <w:tcPr>
            <w:tcW w:w="846" w:type="dxa"/>
            <w:tcBorders>
              <w:top w:val="nil"/>
              <w:left w:val="nil"/>
              <w:bottom w:val="nil"/>
              <w:right w:val="nil"/>
            </w:tcBorders>
            <w:shd w:val="clear" w:color="auto" w:fill="F2F2F2" w:themeFill="background1" w:themeFillShade="F2"/>
            <w:noWrap/>
            <w:vAlign w:val="center"/>
            <w:hideMark/>
          </w:tcPr>
          <w:p w:rsidR="003D3A66" w:rsidRPr="009417F4" w:rsidRDefault="003D3A66" w:rsidP="00E13075">
            <w:pPr>
              <w:spacing w:after="0" w:line="240" w:lineRule="auto"/>
              <w:jc w:val="center"/>
              <w:rPr>
                <w:rFonts w:ascii="Calibri" w:eastAsia="Times New Roman" w:hAnsi="Calibri" w:cs="Times New Roman"/>
                <w:color w:val="000000"/>
              </w:rPr>
            </w:pPr>
            <w:r w:rsidRPr="009417F4">
              <w:rPr>
                <w:rFonts w:ascii="Calibri" w:eastAsia="Times New Roman" w:hAnsi="Calibri" w:cs="Times New Roman"/>
                <w:color w:val="000000"/>
              </w:rPr>
              <w:t>25</w:t>
            </w:r>
          </w:p>
        </w:tc>
        <w:tc>
          <w:tcPr>
            <w:tcW w:w="4116" w:type="dxa"/>
            <w:tcBorders>
              <w:top w:val="nil"/>
              <w:left w:val="nil"/>
              <w:bottom w:val="nil"/>
              <w:right w:val="nil"/>
            </w:tcBorders>
            <w:shd w:val="clear" w:color="auto" w:fill="F2F2F2" w:themeFill="background1" w:themeFillShade="F2"/>
            <w:noWrap/>
            <w:vAlign w:val="center"/>
            <w:hideMark/>
          </w:tcPr>
          <w:p w:rsidR="003D3A66" w:rsidRPr="009417F4" w:rsidRDefault="003D3A66" w:rsidP="00E13075">
            <w:pPr>
              <w:spacing w:after="0" w:line="240" w:lineRule="auto"/>
              <w:jc w:val="center"/>
              <w:rPr>
                <w:rFonts w:ascii="Calibri" w:eastAsia="Times New Roman" w:hAnsi="Calibri" w:cs="Times New Roman"/>
                <w:color w:val="000000"/>
              </w:rPr>
            </w:pPr>
            <w:r w:rsidRPr="009417F4">
              <w:rPr>
                <w:rFonts w:ascii="Calibri" w:eastAsia="Times New Roman" w:hAnsi="Calibri" w:cs="Times New Roman"/>
                <w:color w:val="000000"/>
              </w:rPr>
              <w:t>Fatty acid-TMS</w:t>
            </w:r>
          </w:p>
        </w:tc>
        <w:tc>
          <w:tcPr>
            <w:tcW w:w="1984" w:type="dxa"/>
            <w:tcBorders>
              <w:top w:val="nil"/>
              <w:left w:val="nil"/>
              <w:bottom w:val="nil"/>
              <w:right w:val="nil"/>
            </w:tcBorders>
            <w:shd w:val="clear" w:color="auto" w:fill="F2F2F2" w:themeFill="background1" w:themeFillShade="F2"/>
            <w:noWrap/>
            <w:vAlign w:val="center"/>
            <w:hideMark/>
          </w:tcPr>
          <w:p w:rsidR="003D3A66" w:rsidRPr="009417F4" w:rsidRDefault="003D3A66" w:rsidP="00E13075">
            <w:pPr>
              <w:spacing w:after="0" w:line="240" w:lineRule="auto"/>
              <w:jc w:val="center"/>
              <w:rPr>
                <w:rFonts w:ascii="Calibri" w:eastAsia="Times New Roman" w:hAnsi="Calibri" w:cs="Times New Roman"/>
                <w:color w:val="000000"/>
              </w:rPr>
            </w:pPr>
            <w:r w:rsidRPr="009417F4">
              <w:rPr>
                <w:rFonts w:ascii="Calibri" w:eastAsia="Times New Roman" w:hAnsi="Calibri" w:cs="Times New Roman"/>
                <w:color w:val="000000"/>
              </w:rPr>
              <w:t>13.206</w:t>
            </w:r>
          </w:p>
        </w:tc>
        <w:tc>
          <w:tcPr>
            <w:tcW w:w="1134" w:type="dxa"/>
            <w:tcBorders>
              <w:top w:val="nil"/>
              <w:left w:val="nil"/>
              <w:bottom w:val="nil"/>
              <w:right w:val="nil"/>
            </w:tcBorders>
            <w:shd w:val="clear" w:color="auto" w:fill="F2F2F2" w:themeFill="background1" w:themeFillShade="F2"/>
            <w:noWrap/>
            <w:vAlign w:val="center"/>
            <w:hideMark/>
          </w:tcPr>
          <w:p w:rsidR="003D3A66" w:rsidRPr="009417F4" w:rsidRDefault="003D3A66" w:rsidP="00E13075">
            <w:pPr>
              <w:spacing w:after="0" w:line="240" w:lineRule="auto"/>
              <w:jc w:val="center"/>
              <w:rPr>
                <w:rFonts w:ascii="Calibri" w:eastAsia="Times New Roman" w:hAnsi="Calibri" w:cs="Times New Roman"/>
                <w:color w:val="000000"/>
              </w:rPr>
            </w:pPr>
          </w:p>
        </w:tc>
        <w:tc>
          <w:tcPr>
            <w:tcW w:w="1843" w:type="dxa"/>
            <w:tcBorders>
              <w:top w:val="nil"/>
              <w:left w:val="nil"/>
              <w:bottom w:val="nil"/>
              <w:right w:val="nil"/>
            </w:tcBorders>
            <w:shd w:val="clear" w:color="auto" w:fill="F2F2F2" w:themeFill="background1" w:themeFillShade="F2"/>
            <w:noWrap/>
            <w:vAlign w:val="center"/>
            <w:hideMark/>
          </w:tcPr>
          <w:p w:rsidR="003D3A66" w:rsidRPr="009417F4" w:rsidRDefault="003D3A66" w:rsidP="00E13075">
            <w:pPr>
              <w:spacing w:after="0" w:line="240" w:lineRule="auto"/>
              <w:jc w:val="center"/>
              <w:rPr>
                <w:rFonts w:ascii="Times New Roman" w:eastAsia="Times New Roman" w:hAnsi="Times New Roman" w:cs="Times New Roman"/>
                <w:sz w:val="20"/>
                <w:szCs w:val="20"/>
              </w:rPr>
            </w:pPr>
          </w:p>
        </w:tc>
        <w:tc>
          <w:tcPr>
            <w:tcW w:w="1559" w:type="dxa"/>
            <w:gridSpan w:val="2"/>
            <w:tcBorders>
              <w:top w:val="nil"/>
              <w:left w:val="nil"/>
              <w:bottom w:val="nil"/>
              <w:right w:val="nil"/>
            </w:tcBorders>
            <w:shd w:val="clear" w:color="auto" w:fill="F2F2F2" w:themeFill="background1" w:themeFillShade="F2"/>
            <w:noWrap/>
            <w:vAlign w:val="center"/>
            <w:hideMark/>
          </w:tcPr>
          <w:p w:rsidR="003D3A66" w:rsidRPr="009417F4" w:rsidRDefault="003D3A66" w:rsidP="00E13075">
            <w:pPr>
              <w:spacing w:after="0" w:line="240" w:lineRule="auto"/>
              <w:jc w:val="center"/>
              <w:rPr>
                <w:rFonts w:ascii="Calibri" w:eastAsia="Times New Roman" w:hAnsi="Calibri" w:cs="Times New Roman"/>
                <w:color w:val="000000"/>
              </w:rPr>
            </w:pPr>
            <w:r w:rsidRPr="009417F4">
              <w:rPr>
                <w:rFonts w:ascii="Calibri" w:eastAsia="Times New Roman" w:hAnsi="Calibri" w:cs="Times New Roman"/>
                <w:color w:val="000000"/>
              </w:rPr>
              <w:t>EMR</w:t>
            </w:r>
          </w:p>
        </w:tc>
        <w:tc>
          <w:tcPr>
            <w:tcW w:w="1474" w:type="dxa"/>
            <w:gridSpan w:val="2"/>
            <w:tcBorders>
              <w:top w:val="nil"/>
              <w:left w:val="nil"/>
              <w:bottom w:val="nil"/>
              <w:right w:val="nil"/>
            </w:tcBorders>
            <w:shd w:val="clear" w:color="auto" w:fill="F2F2F2" w:themeFill="background1" w:themeFillShade="F2"/>
            <w:noWrap/>
            <w:vAlign w:val="center"/>
            <w:hideMark/>
          </w:tcPr>
          <w:p w:rsidR="003D3A66" w:rsidRPr="009417F4" w:rsidRDefault="003D3A66" w:rsidP="00E13075">
            <w:pPr>
              <w:spacing w:after="0" w:line="240" w:lineRule="auto"/>
              <w:jc w:val="center"/>
              <w:rPr>
                <w:rFonts w:ascii="Calibri" w:eastAsia="Times New Roman" w:hAnsi="Calibri" w:cs="Times New Roman"/>
                <w:color w:val="000000"/>
              </w:rPr>
            </w:pPr>
          </w:p>
        </w:tc>
      </w:tr>
      <w:tr w:rsidR="006B47C9" w:rsidRPr="00990C5C" w:rsidTr="003D3A66">
        <w:tblPrEx>
          <w:tblCellMar>
            <w:left w:w="70" w:type="dxa"/>
            <w:right w:w="70" w:type="dxa"/>
          </w:tblCellMar>
        </w:tblPrEx>
        <w:trPr>
          <w:gridAfter w:val="1"/>
          <w:wAfter w:w="56" w:type="dxa"/>
          <w:trHeight w:val="300"/>
        </w:trPr>
        <w:tc>
          <w:tcPr>
            <w:tcW w:w="851" w:type="dxa"/>
            <w:tcBorders>
              <w:top w:val="nil"/>
              <w:left w:val="nil"/>
              <w:bottom w:val="nil"/>
              <w:right w:val="nil"/>
            </w:tcBorders>
            <w:shd w:val="clear" w:color="auto" w:fill="auto"/>
            <w:noWrap/>
            <w:vAlign w:val="center"/>
            <w:hideMark/>
          </w:tcPr>
          <w:p w:rsidR="00990C5C" w:rsidRPr="00990C5C" w:rsidRDefault="00990C5C" w:rsidP="00990C5C">
            <w:pPr>
              <w:spacing w:after="0" w:line="240" w:lineRule="auto"/>
              <w:jc w:val="center"/>
              <w:rPr>
                <w:rFonts w:ascii="Calibri" w:eastAsia="Times New Roman" w:hAnsi="Calibri" w:cs="Calibri"/>
                <w:color w:val="000000"/>
                <w:lang w:eastAsia="fi-FI"/>
              </w:rPr>
            </w:pPr>
            <w:r w:rsidRPr="00990C5C">
              <w:rPr>
                <w:rFonts w:ascii="Calibri" w:eastAsia="Times New Roman" w:hAnsi="Calibri" w:cs="Calibri"/>
                <w:color w:val="000000"/>
                <w:lang w:eastAsia="fi-FI"/>
              </w:rPr>
              <w:t>26</w:t>
            </w:r>
          </w:p>
        </w:tc>
        <w:tc>
          <w:tcPr>
            <w:tcW w:w="4111" w:type="dxa"/>
            <w:tcBorders>
              <w:top w:val="nil"/>
              <w:left w:val="nil"/>
              <w:bottom w:val="nil"/>
              <w:right w:val="nil"/>
            </w:tcBorders>
            <w:shd w:val="clear" w:color="auto" w:fill="auto"/>
            <w:noWrap/>
            <w:vAlign w:val="center"/>
            <w:hideMark/>
          </w:tcPr>
          <w:p w:rsidR="00990C5C" w:rsidRPr="00990C5C" w:rsidRDefault="00990C5C" w:rsidP="00990C5C">
            <w:pPr>
              <w:spacing w:after="0" w:line="240" w:lineRule="auto"/>
              <w:jc w:val="center"/>
              <w:rPr>
                <w:rFonts w:ascii="Calibri" w:eastAsia="Times New Roman" w:hAnsi="Calibri" w:cs="Calibri"/>
                <w:color w:val="000000"/>
                <w:lang w:eastAsia="fi-FI"/>
              </w:rPr>
            </w:pPr>
            <w:r w:rsidRPr="00990C5C">
              <w:rPr>
                <w:rFonts w:ascii="Calibri" w:eastAsia="Times New Roman" w:hAnsi="Calibri" w:cs="Calibri"/>
                <w:color w:val="000000"/>
                <w:lang w:eastAsia="fi-FI"/>
              </w:rPr>
              <w:t>α-Linolenic acid-TMS</w:t>
            </w:r>
          </w:p>
        </w:tc>
        <w:tc>
          <w:tcPr>
            <w:tcW w:w="1984" w:type="dxa"/>
            <w:tcBorders>
              <w:top w:val="nil"/>
              <w:left w:val="nil"/>
              <w:bottom w:val="nil"/>
              <w:right w:val="nil"/>
            </w:tcBorders>
            <w:shd w:val="clear" w:color="auto" w:fill="auto"/>
            <w:noWrap/>
            <w:vAlign w:val="center"/>
            <w:hideMark/>
          </w:tcPr>
          <w:p w:rsidR="00990C5C" w:rsidRPr="00990C5C" w:rsidRDefault="00990C5C" w:rsidP="00990C5C">
            <w:pPr>
              <w:spacing w:after="0" w:line="240" w:lineRule="auto"/>
              <w:jc w:val="center"/>
              <w:rPr>
                <w:rFonts w:ascii="Calibri" w:eastAsia="Times New Roman" w:hAnsi="Calibri" w:cs="Calibri"/>
                <w:color w:val="000000"/>
                <w:lang w:eastAsia="fi-FI"/>
              </w:rPr>
            </w:pPr>
            <w:r w:rsidRPr="00990C5C">
              <w:rPr>
                <w:rFonts w:ascii="Calibri" w:eastAsia="Times New Roman" w:hAnsi="Calibri" w:cs="Calibri"/>
                <w:color w:val="000000"/>
                <w:lang w:eastAsia="fi-FI"/>
              </w:rPr>
              <w:t>13,424</w:t>
            </w:r>
          </w:p>
        </w:tc>
        <w:tc>
          <w:tcPr>
            <w:tcW w:w="1134" w:type="dxa"/>
            <w:tcBorders>
              <w:top w:val="nil"/>
              <w:left w:val="nil"/>
              <w:bottom w:val="nil"/>
              <w:right w:val="nil"/>
            </w:tcBorders>
            <w:shd w:val="clear" w:color="auto" w:fill="auto"/>
            <w:noWrap/>
            <w:vAlign w:val="center"/>
            <w:hideMark/>
          </w:tcPr>
          <w:p w:rsidR="00990C5C" w:rsidRPr="00990C5C" w:rsidRDefault="00990C5C" w:rsidP="00990C5C">
            <w:pPr>
              <w:spacing w:after="0" w:line="240" w:lineRule="auto"/>
              <w:jc w:val="center"/>
              <w:rPr>
                <w:rFonts w:ascii="Calibri" w:eastAsia="Times New Roman" w:hAnsi="Calibri" w:cs="Calibri"/>
                <w:color w:val="000000"/>
                <w:lang w:eastAsia="fi-FI"/>
              </w:rPr>
            </w:pPr>
            <w:r w:rsidRPr="00990C5C">
              <w:rPr>
                <w:rFonts w:ascii="Calibri" w:eastAsia="Times New Roman" w:hAnsi="Calibri" w:cs="Calibri"/>
                <w:color w:val="000000"/>
                <w:lang w:eastAsia="fi-FI"/>
              </w:rPr>
              <w:t>350,26</w:t>
            </w:r>
          </w:p>
        </w:tc>
        <w:tc>
          <w:tcPr>
            <w:tcW w:w="1843" w:type="dxa"/>
            <w:tcBorders>
              <w:top w:val="nil"/>
              <w:left w:val="nil"/>
              <w:bottom w:val="nil"/>
              <w:right w:val="nil"/>
            </w:tcBorders>
            <w:shd w:val="clear" w:color="auto" w:fill="auto"/>
            <w:noWrap/>
            <w:vAlign w:val="center"/>
            <w:hideMark/>
          </w:tcPr>
          <w:p w:rsidR="00990C5C" w:rsidRPr="00990C5C" w:rsidRDefault="00990C5C" w:rsidP="00990C5C">
            <w:pPr>
              <w:spacing w:after="0" w:line="240" w:lineRule="auto"/>
              <w:jc w:val="center"/>
              <w:rPr>
                <w:rFonts w:ascii="Calibri" w:eastAsia="Times New Roman" w:hAnsi="Calibri" w:cs="Calibri"/>
                <w:color w:val="000000"/>
                <w:lang w:eastAsia="fi-FI"/>
              </w:rPr>
            </w:pPr>
            <w:r w:rsidRPr="00990C5C">
              <w:rPr>
                <w:rFonts w:ascii="Calibri" w:eastAsia="Times New Roman" w:hAnsi="Calibri" w:cs="Calibri"/>
                <w:color w:val="000000"/>
                <w:lang w:eastAsia="fi-FI"/>
              </w:rPr>
              <w:t>C</w:t>
            </w:r>
            <w:r w:rsidRPr="001C3243">
              <w:rPr>
                <w:rFonts w:ascii="Calibri" w:eastAsia="Times New Roman" w:hAnsi="Calibri" w:cs="Calibri"/>
                <w:color w:val="000000"/>
                <w:vertAlign w:val="subscript"/>
                <w:lang w:eastAsia="fi-FI"/>
              </w:rPr>
              <w:t>21</w:t>
            </w:r>
            <w:r w:rsidRPr="00990C5C">
              <w:rPr>
                <w:rFonts w:ascii="Calibri" w:eastAsia="Times New Roman" w:hAnsi="Calibri" w:cs="Calibri"/>
                <w:color w:val="000000"/>
                <w:lang w:eastAsia="fi-FI"/>
              </w:rPr>
              <w:t>H</w:t>
            </w:r>
            <w:r w:rsidRPr="001C3243">
              <w:rPr>
                <w:rFonts w:ascii="Calibri" w:eastAsia="Times New Roman" w:hAnsi="Calibri" w:cs="Calibri"/>
                <w:color w:val="000000"/>
                <w:vertAlign w:val="subscript"/>
                <w:lang w:eastAsia="fi-FI"/>
              </w:rPr>
              <w:t>38</w:t>
            </w:r>
            <w:r w:rsidRPr="00990C5C">
              <w:rPr>
                <w:rFonts w:ascii="Calibri" w:eastAsia="Times New Roman" w:hAnsi="Calibri" w:cs="Calibri"/>
                <w:color w:val="000000"/>
                <w:lang w:eastAsia="fi-FI"/>
              </w:rPr>
              <w:t>O</w:t>
            </w:r>
            <w:r w:rsidRPr="001C3243">
              <w:rPr>
                <w:rFonts w:ascii="Calibri" w:eastAsia="Times New Roman" w:hAnsi="Calibri" w:cs="Calibri"/>
                <w:color w:val="000000"/>
                <w:vertAlign w:val="subscript"/>
                <w:lang w:eastAsia="fi-FI"/>
              </w:rPr>
              <w:t>2</w:t>
            </w:r>
            <w:r w:rsidRPr="00990C5C">
              <w:rPr>
                <w:rFonts w:ascii="Calibri" w:eastAsia="Times New Roman" w:hAnsi="Calibri" w:cs="Calibri"/>
                <w:color w:val="000000"/>
                <w:lang w:eastAsia="fi-FI"/>
              </w:rPr>
              <w:t>Si</w:t>
            </w:r>
          </w:p>
        </w:tc>
        <w:tc>
          <w:tcPr>
            <w:tcW w:w="1500" w:type="dxa"/>
            <w:tcBorders>
              <w:top w:val="nil"/>
              <w:left w:val="nil"/>
              <w:bottom w:val="nil"/>
              <w:right w:val="nil"/>
            </w:tcBorders>
            <w:shd w:val="clear" w:color="auto" w:fill="auto"/>
            <w:noWrap/>
            <w:vAlign w:val="center"/>
            <w:hideMark/>
          </w:tcPr>
          <w:p w:rsidR="00990C5C" w:rsidRPr="00990C5C" w:rsidRDefault="00990C5C" w:rsidP="00990C5C">
            <w:pPr>
              <w:spacing w:after="0" w:line="240" w:lineRule="auto"/>
              <w:jc w:val="center"/>
              <w:rPr>
                <w:rFonts w:ascii="Calibri" w:eastAsia="Times New Roman" w:hAnsi="Calibri" w:cs="Calibri"/>
                <w:color w:val="000000"/>
                <w:lang w:eastAsia="fi-FI"/>
              </w:rPr>
            </w:pPr>
            <w:r w:rsidRPr="00990C5C">
              <w:rPr>
                <w:rFonts w:ascii="Calibri" w:eastAsia="Times New Roman" w:hAnsi="Calibri" w:cs="Calibri"/>
                <w:color w:val="000000"/>
                <w:lang w:eastAsia="fi-FI"/>
              </w:rPr>
              <w:t>EMR</w:t>
            </w:r>
          </w:p>
        </w:tc>
        <w:tc>
          <w:tcPr>
            <w:tcW w:w="1477" w:type="dxa"/>
            <w:gridSpan w:val="2"/>
            <w:tcBorders>
              <w:top w:val="nil"/>
              <w:left w:val="nil"/>
              <w:bottom w:val="nil"/>
              <w:right w:val="nil"/>
            </w:tcBorders>
            <w:shd w:val="clear" w:color="auto" w:fill="auto"/>
            <w:noWrap/>
            <w:vAlign w:val="center"/>
            <w:hideMark/>
          </w:tcPr>
          <w:p w:rsidR="00990C5C" w:rsidRPr="00990C5C" w:rsidRDefault="00990C5C" w:rsidP="00990C5C">
            <w:pPr>
              <w:spacing w:after="0" w:line="240" w:lineRule="auto"/>
              <w:jc w:val="center"/>
              <w:rPr>
                <w:rFonts w:ascii="Calibri" w:eastAsia="Times New Roman" w:hAnsi="Calibri" w:cs="Calibri"/>
                <w:color w:val="000000"/>
                <w:lang w:eastAsia="fi-FI"/>
              </w:rPr>
            </w:pPr>
            <w:r w:rsidRPr="00990C5C">
              <w:rPr>
                <w:rFonts w:ascii="Calibri" w:eastAsia="Times New Roman" w:hAnsi="Calibri" w:cs="Calibri"/>
                <w:color w:val="000000"/>
                <w:lang w:eastAsia="fi-FI"/>
              </w:rPr>
              <w:t>65,4</w:t>
            </w:r>
          </w:p>
        </w:tc>
      </w:tr>
      <w:tr w:rsidR="006B47C9" w:rsidRPr="00990C5C" w:rsidTr="003D3A66">
        <w:tblPrEx>
          <w:tblCellMar>
            <w:left w:w="70" w:type="dxa"/>
            <w:right w:w="70" w:type="dxa"/>
          </w:tblCellMar>
        </w:tblPrEx>
        <w:trPr>
          <w:gridAfter w:val="1"/>
          <w:wAfter w:w="56" w:type="dxa"/>
          <w:trHeight w:val="300"/>
        </w:trPr>
        <w:tc>
          <w:tcPr>
            <w:tcW w:w="851" w:type="dxa"/>
            <w:tcBorders>
              <w:top w:val="nil"/>
              <w:left w:val="nil"/>
              <w:bottom w:val="nil"/>
              <w:right w:val="nil"/>
            </w:tcBorders>
            <w:shd w:val="clear" w:color="auto" w:fill="auto"/>
            <w:noWrap/>
            <w:vAlign w:val="center"/>
            <w:hideMark/>
          </w:tcPr>
          <w:p w:rsidR="00990C5C" w:rsidRPr="00990C5C" w:rsidRDefault="00990C5C" w:rsidP="00990C5C">
            <w:pPr>
              <w:spacing w:after="0" w:line="240" w:lineRule="auto"/>
              <w:jc w:val="center"/>
              <w:rPr>
                <w:rFonts w:ascii="Calibri" w:eastAsia="Times New Roman" w:hAnsi="Calibri" w:cs="Calibri"/>
                <w:color w:val="000000"/>
                <w:lang w:eastAsia="fi-FI"/>
              </w:rPr>
            </w:pPr>
            <w:r w:rsidRPr="00990C5C">
              <w:rPr>
                <w:rFonts w:ascii="Calibri" w:eastAsia="Times New Roman" w:hAnsi="Calibri" w:cs="Calibri"/>
                <w:color w:val="000000"/>
                <w:lang w:eastAsia="fi-FI"/>
              </w:rPr>
              <w:t>27</w:t>
            </w:r>
          </w:p>
        </w:tc>
        <w:tc>
          <w:tcPr>
            <w:tcW w:w="4111" w:type="dxa"/>
            <w:tcBorders>
              <w:top w:val="nil"/>
              <w:left w:val="nil"/>
              <w:bottom w:val="nil"/>
              <w:right w:val="nil"/>
            </w:tcBorders>
            <w:shd w:val="clear" w:color="auto" w:fill="auto"/>
            <w:noWrap/>
            <w:vAlign w:val="center"/>
            <w:hideMark/>
          </w:tcPr>
          <w:p w:rsidR="00990C5C" w:rsidRPr="00990C5C" w:rsidRDefault="00990C5C" w:rsidP="00990C5C">
            <w:pPr>
              <w:spacing w:after="0" w:line="240" w:lineRule="auto"/>
              <w:jc w:val="center"/>
              <w:rPr>
                <w:rFonts w:ascii="Calibri" w:eastAsia="Times New Roman" w:hAnsi="Calibri" w:cs="Calibri"/>
                <w:color w:val="000000"/>
                <w:lang w:eastAsia="fi-FI"/>
              </w:rPr>
            </w:pPr>
            <w:r w:rsidRPr="00990C5C">
              <w:rPr>
                <w:rFonts w:ascii="Calibri" w:eastAsia="Times New Roman" w:hAnsi="Calibri" w:cs="Calibri"/>
                <w:color w:val="000000"/>
                <w:lang w:eastAsia="fi-FI"/>
              </w:rPr>
              <w:t>Terpenoid-TMS</w:t>
            </w:r>
          </w:p>
        </w:tc>
        <w:tc>
          <w:tcPr>
            <w:tcW w:w="1984" w:type="dxa"/>
            <w:tcBorders>
              <w:top w:val="nil"/>
              <w:left w:val="nil"/>
              <w:bottom w:val="nil"/>
              <w:right w:val="nil"/>
            </w:tcBorders>
            <w:shd w:val="clear" w:color="auto" w:fill="auto"/>
            <w:noWrap/>
            <w:vAlign w:val="center"/>
            <w:hideMark/>
          </w:tcPr>
          <w:p w:rsidR="00990C5C" w:rsidRPr="00990C5C" w:rsidRDefault="00990C5C" w:rsidP="00990C5C">
            <w:pPr>
              <w:spacing w:after="0" w:line="240" w:lineRule="auto"/>
              <w:jc w:val="center"/>
              <w:rPr>
                <w:rFonts w:ascii="Calibri" w:eastAsia="Times New Roman" w:hAnsi="Calibri" w:cs="Calibri"/>
                <w:color w:val="000000"/>
                <w:lang w:eastAsia="fi-FI"/>
              </w:rPr>
            </w:pPr>
            <w:r w:rsidRPr="00990C5C">
              <w:rPr>
                <w:rFonts w:ascii="Calibri" w:eastAsia="Times New Roman" w:hAnsi="Calibri" w:cs="Calibri"/>
                <w:color w:val="000000"/>
                <w:lang w:eastAsia="fi-FI"/>
              </w:rPr>
              <w:t>13,822</w:t>
            </w:r>
          </w:p>
        </w:tc>
        <w:tc>
          <w:tcPr>
            <w:tcW w:w="1134" w:type="dxa"/>
            <w:tcBorders>
              <w:top w:val="nil"/>
              <w:left w:val="nil"/>
              <w:bottom w:val="nil"/>
              <w:right w:val="nil"/>
            </w:tcBorders>
            <w:shd w:val="clear" w:color="auto" w:fill="auto"/>
            <w:noWrap/>
            <w:vAlign w:val="center"/>
            <w:hideMark/>
          </w:tcPr>
          <w:p w:rsidR="00990C5C" w:rsidRPr="00990C5C" w:rsidRDefault="00990C5C" w:rsidP="00990C5C">
            <w:pPr>
              <w:spacing w:after="0" w:line="240" w:lineRule="auto"/>
              <w:jc w:val="center"/>
              <w:rPr>
                <w:rFonts w:ascii="Calibri" w:eastAsia="Times New Roman" w:hAnsi="Calibri" w:cs="Calibri"/>
                <w:color w:val="000000"/>
                <w:lang w:eastAsia="fi-FI"/>
              </w:rPr>
            </w:pPr>
          </w:p>
        </w:tc>
        <w:tc>
          <w:tcPr>
            <w:tcW w:w="1843" w:type="dxa"/>
            <w:tcBorders>
              <w:top w:val="nil"/>
              <w:left w:val="nil"/>
              <w:bottom w:val="nil"/>
              <w:right w:val="nil"/>
            </w:tcBorders>
            <w:shd w:val="clear" w:color="auto" w:fill="auto"/>
            <w:noWrap/>
            <w:vAlign w:val="center"/>
            <w:hideMark/>
          </w:tcPr>
          <w:p w:rsidR="00990C5C" w:rsidRPr="00990C5C" w:rsidRDefault="00990C5C" w:rsidP="00990C5C">
            <w:pPr>
              <w:spacing w:after="0" w:line="240" w:lineRule="auto"/>
              <w:jc w:val="center"/>
              <w:rPr>
                <w:rFonts w:ascii="Times New Roman" w:eastAsia="Times New Roman" w:hAnsi="Times New Roman" w:cs="Times New Roman"/>
                <w:sz w:val="20"/>
                <w:szCs w:val="20"/>
                <w:lang w:eastAsia="fi-FI"/>
              </w:rPr>
            </w:pPr>
          </w:p>
        </w:tc>
        <w:tc>
          <w:tcPr>
            <w:tcW w:w="1500" w:type="dxa"/>
            <w:tcBorders>
              <w:top w:val="nil"/>
              <w:left w:val="nil"/>
              <w:bottom w:val="nil"/>
              <w:right w:val="nil"/>
            </w:tcBorders>
            <w:shd w:val="clear" w:color="auto" w:fill="auto"/>
            <w:noWrap/>
            <w:vAlign w:val="center"/>
            <w:hideMark/>
          </w:tcPr>
          <w:p w:rsidR="00990C5C" w:rsidRPr="00990C5C" w:rsidRDefault="00990C5C" w:rsidP="00990C5C">
            <w:pPr>
              <w:spacing w:after="0" w:line="240" w:lineRule="auto"/>
              <w:jc w:val="center"/>
              <w:rPr>
                <w:rFonts w:ascii="Calibri" w:eastAsia="Times New Roman" w:hAnsi="Calibri" w:cs="Calibri"/>
                <w:color w:val="000000"/>
                <w:lang w:eastAsia="fi-FI"/>
              </w:rPr>
            </w:pPr>
            <w:r w:rsidRPr="00990C5C">
              <w:rPr>
                <w:rFonts w:ascii="Calibri" w:eastAsia="Times New Roman" w:hAnsi="Calibri" w:cs="Calibri"/>
                <w:color w:val="000000"/>
                <w:lang w:eastAsia="fi-FI"/>
              </w:rPr>
              <w:t>EMR</w:t>
            </w:r>
          </w:p>
        </w:tc>
        <w:tc>
          <w:tcPr>
            <w:tcW w:w="1477" w:type="dxa"/>
            <w:gridSpan w:val="2"/>
            <w:tcBorders>
              <w:top w:val="nil"/>
              <w:left w:val="nil"/>
              <w:bottom w:val="nil"/>
              <w:right w:val="nil"/>
            </w:tcBorders>
            <w:shd w:val="clear" w:color="auto" w:fill="auto"/>
            <w:noWrap/>
            <w:vAlign w:val="center"/>
            <w:hideMark/>
          </w:tcPr>
          <w:p w:rsidR="00990C5C" w:rsidRPr="00990C5C" w:rsidRDefault="00990C5C" w:rsidP="00990C5C">
            <w:pPr>
              <w:spacing w:after="0" w:line="240" w:lineRule="auto"/>
              <w:jc w:val="center"/>
              <w:rPr>
                <w:rFonts w:ascii="Calibri" w:eastAsia="Times New Roman" w:hAnsi="Calibri" w:cs="Calibri"/>
                <w:color w:val="000000"/>
                <w:lang w:eastAsia="fi-FI"/>
              </w:rPr>
            </w:pPr>
          </w:p>
        </w:tc>
      </w:tr>
      <w:tr w:rsidR="006B47C9" w:rsidRPr="00990C5C" w:rsidTr="003D3A66">
        <w:tblPrEx>
          <w:tblCellMar>
            <w:left w:w="70" w:type="dxa"/>
            <w:right w:w="70" w:type="dxa"/>
          </w:tblCellMar>
        </w:tblPrEx>
        <w:trPr>
          <w:gridAfter w:val="1"/>
          <w:wAfter w:w="56" w:type="dxa"/>
          <w:trHeight w:val="300"/>
        </w:trPr>
        <w:tc>
          <w:tcPr>
            <w:tcW w:w="851" w:type="dxa"/>
            <w:tcBorders>
              <w:top w:val="nil"/>
              <w:left w:val="nil"/>
              <w:bottom w:val="nil"/>
              <w:right w:val="nil"/>
            </w:tcBorders>
            <w:shd w:val="clear" w:color="auto" w:fill="auto"/>
            <w:noWrap/>
            <w:vAlign w:val="center"/>
            <w:hideMark/>
          </w:tcPr>
          <w:p w:rsidR="00990C5C" w:rsidRPr="00990C5C" w:rsidRDefault="00990C5C" w:rsidP="00990C5C">
            <w:pPr>
              <w:spacing w:after="0" w:line="240" w:lineRule="auto"/>
              <w:jc w:val="center"/>
              <w:rPr>
                <w:rFonts w:ascii="Calibri" w:eastAsia="Times New Roman" w:hAnsi="Calibri" w:cs="Calibri"/>
                <w:color w:val="000000"/>
                <w:lang w:eastAsia="fi-FI"/>
              </w:rPr>
            </w:pPr>
            <w:r w:rsidRPr="00990C5C">
              <w:rPr>
                <w:rFonts w:ascii="Calibri" w:eastAsia="Times New Roman" w:hAnsi="Calibri" w:cs="Calibri"/>
                <w:color w:val="000000"/>
                <w:lang w:eastAsia="fi-FI"/>
              </w:rPr>
              <w:t>28</w:t>
            </w:r>
          </w:p>
        </w:tc>
        <w:tc>
          <w:tcPr>
            <w:tcW w:w="4111" w:type="dxa"/>
            <w:tcBorders>
              <w:top w:val="nil"/>
              <w:left w:val="nil"/>
              <w:bottom w:val="nil"/>
              <w:right w:val="nil"/>
            </w:tcBorders>
            <w:shd w:val="clear" w:color="auto" w:fill="auto"/>
            <w:noWrap/>
            <w:vAlign w:val="center"/>
            <w:hideMark/>
          </w:tcPr>
          <w:p w:rsidR="00990C5C" w:rsidRPr="00990C5C" w:rsidRDefault="00990C5C" w:rsidP="00990C5C">
            <w:pPr>
              <w:spacing w:after="0" w:line="240" w:lineRule="auto"/>
              <w:jc w:val="center"/>
              <w:rPr>
                <w:rFonts w:ascii="Calibri" w:eastAsia="Times New Roman" w:hAnsi="Calibri" w:cs="Calibri"/>
                <w:color w:val="000000"/>
                <w:lang w:eastAsia="fi-FI"/>
              </w:rPr>
            </w:pPr>
            <w:r w:rsidRPr="00990C5C">
              <w:rPr>
                <w:rFonts w:ascii="Calibri" w:eastAsia="Times New Roman" w:hAnsi="Calibri" w:cs="Calibri"/>
                <w:color w:val="000000"/>
                <w:lang w:eastAsia="fi-FI"/>
              </w:rPr>
              <w:t>CBD-2TMS</w:t>
            </w:r>
          </w:p>
        </w:tc>
        <w:tc>
          <w:tcPr>
            <w:tcW w:w="1984" w:type="dxa"/>
            <w:tcBorders>
              <w:top w:val="nil"/>
              <w:left w:val="nil"/>
              <w:bottom w:val="nil"/>
              <w:right w:val="nil"/>
            </w:tcBorders>
            <w:shd w:val="clear" w:color="auto" w:fill="auto"/>
            <w:noWrap/>
            <w:vAlign w:val="center"/>
            <w:hideMark/>
          </w:tcPr>
          <w:p w:rsidR="00990C5C" w:rsidRPr="00990C5C" w:rsidRDefault="00990C5C" w:rsidP="00990C5C">
            <w:pPr>
              <w:spacing w:after="0" w:line="240" w:lineRule="auto"/>
              <w:jc w:val="center"/>
              <w:rPr>
                <w:rFonts w:ascii="Calibri" w:eastAsia="Times New Roman" w:hAnsi="Calibri" w:cs="Calibri"/>
                <w:color w:val="000000"/>
                <w:lang w:eastAsia="fi-FI"/>
              </w:rPr>
            </w:pPr>
            <w:r w:rsidRPr="00990C5C">
              <w:rPr>
                <w:rFonts w:ascii="Calibri" w:eastAsia="Times New Roman" w:hAnsi="Calibri" w:cs="Calibri"/>
                <w:color w:val="000000"/>
                <w:lang w:eastAsia="fi-FI"/>
              </w:rPr>
              <w:t>14,243</w:t>
            </w:r>
          </w:p>
        </w:tc>
        <w:tc>
          <w:tcPr>
            <w:tcW w:w="1134" w:type="dxa"/>
            <w:tcBorders>
              <w:top w:val="nil"/>
              <w:left w:val="nil"/>
              <w:bottom w:val="nil"/>
              <w:right w:val="nil"/>
            </w:tcBorders>
            <w:shd w:val="clear" w:color="auto" w:fill="auto"/>
            <w:noWrap/>
            <w:vAlign w:val="center"/>
            <w:hideMark/>
          </w:tcPr>
          <w:p w:rsidR="00990C5C" w:rsidRPr="00990C5C" w:rsidRDefault="00990C5C" w:rsidP="00990C5C">
            <w:pPr>
              <w:spacing w:after="0" w:line="240" w:lineRule="auto"/>
              <w:jc w:val="center"/>
              <w:rPr>
                <w:rFonts w:ascii="Calibri" w:eastAsia="Times New Roman" w:hAnsi="Calibri" w:cs="Calibri"/>
                <w:color w:val="000000"/>
                <w:lang w:eastAsia="fi-FI"/>
              </w:rPr>
            </w:pPr>
            <w:r w:rsidRPr="00990C5C">
              <w:rPr>
                <w:rFonts w:ascii="Calibri" w:eastAsia="Times New Roman" w:hAnsi="Calibri" w:cs="Calibri"/>
                <w:color w:val="000000"/>
                <w:lang w:eastAsia="fi-FI"/>
              </w:rPr>
              <w:t>458,3</w:t>
            </w:r>
          </w:p>
        </w:tc>
        <w:tc>
          <w:tcPr>
            <w:tcW w:w="1843" w:type="dxa"/>
            <w:tcBorders>
              <w:top w:val="nil"/>
              <w:left w:val="nil"/>
              <w:bottom w:val="nil"/>
              <w:right w:val="nil"/>
            </w:tcBorders>
            <w:shd w:val="clear" w:color="auto" w:fill="auto"/>
            <w:noWrap/>
            <w:vAlign w:val="center"/>
            <w:hideMark/>
          </w:tcPr>
          <w:p w:rsidR="00990C5C" w:rsidRPr="00990C5C" w:rsidRDefault="00990C5C" w:rsidP="00990C5C">
            <w:pPr>
              <w:spacing w:after="0" w:line="240" w:lineRule="auto"/>
              <w:jc w:val="center"/>
              <w:rPr>
                <w:rFonts w:ascii="Calibri" w:eastAsia="Times New Roman" w:hAnsi="Calibri" w:cs="Calibri"/>
                <w:color w:val="000000"/>
                <w:lang w:eastAsia="fi-FI"/>
              </w:rPr>
            </w:pPr>
            <w:r w:rsidRPr="00990C5C">
              <w:rPr>
                <w:rFonts w:ascii="Calibri" w:eastAsia="Times New Roman" w:hAnsi="Calibri" w:cs="Calibri"/>
                <w:color w:val="000000"/>
                <w:lang w:eastAsia="fi-FI"/>
              </w:rPr>
              <w:t>C</w:t>
            </w:r>
            <w:r w:rsidRPr="001C3243">
              <w:rPr>
                <w:rFonts w:ascii="Calibri" w:eastAsia="Times New Roman" w:hAnsi="Calibri" w:cs="Calibri"/>
                <w:color w:val="000000"/>
                <w:vertAlign w:val="subscript"/>
                <w:lang w:eastAsia="fi-FI"/>
              </w:rPr>
              <w:t>27</w:t>
            </w:r>
            <w:r w:rsidRPr="00990C5C">
              <w:rPr>
                <w:rFonts w:ascii="Calibri" w:eastAsia="Times New Roman" w:hAnsi="Calibri" w:cs="Calibri"/>
                <w:color w:val="000000"/>
                <w:lang w:eastAsia="fi-FI"/>
              </w:rPr>
              <w:t>H</w:t>
            </w:r>
            <w:r w:rsidRPr="001C3243">
              <w:rPr>
                <w:rFonts w:ascii="Calibri" w:eastAsia="Times New Roman" w:hAnsi="Calibri" w:cs="Calibri"/>
                <w:color w:val="000000"/>
                <w:vertAlign w:val="subscript"/>
                <w:lang w:eastAsia="fi-FI"/>
              </w:rPr>
              <w:t>46</w:t>
            </w:r>
            <w:r w:rsidRPr="00990C5C">
              <w:rPr>
                <w:rFonts w:ascii="Calibri" w:eastAsia="Times New Roman" w:hAnsi="Calibri" w:cs="Calibri"/>
                <w:color w:val="000000"/>
                <w:lang w:eastAsia="fi-FI"/>
              </w:rPr>
              <w:t>O</w:t>
            </w:r>
            <w:r w:rsidRPr="001C3243">
              <w:rPr>
                <w:rFonts w:ascii="Calibri" w:eastAsia="Times New Roman" w:hAnsi="Calibri" w:cs="Calibri"/>
                <w:color w:val="000000"/>
                <w:vertAlign w:val="subscript"/>
                <w:lang w:eastAsia="fi-FI"/>
              </w:rPr>
              <w:t>2</w:t>
            </w:r>
            <w:r w:rsidRPr="00990C5C">
              <w:rPr>
                <w:rFonts w:ascii="Calibri" w:eastAsia="Times New Roman" w:hAnsi="Calibri" w:cs="Calibri"/>
                <w:color w:val="000000"/>
                <w:lang w:eastAsia="fi-FI"/>
              </w:rPr>
              <w:t>Si</w:t>
            </w:r>
            <w:r w:rsidRPr="001C3243">
              <w:rPr>
                <w:rFonts w:ascii="Calibri" w:eastAsia="Times New Roman" w:hAnsi="Calibri" w:cs="Calibri"/>
                <w:color w:val="000000"/>
                <w:vertAlign w:val="subscript"/>
                <w:lang w:eastAsia="fi-FI"/>
              </w:rPr>
              <w:t>2</w:t>
            </w:r>
          </w:p>
        </w:tc>
        <w:tc>
          <w:tcPr>
            <w:tcW w:w="1500" w:type="dxa"/>
            <w:tcBorders>
              <w:top w:val="nil"/>
              <w:left w:val="nil"/>
              <w:bottom w:val="nil"/>
              <w:right w:val="nil"/>
            </w:tcBorders>
            <w:shd w:val="clear" w:color="auto" w:fill="auto"/>
            <w:noWrap/>
            <w:vAlign w:val="center"/>
            <w:hideMark/>
          </w:tcPr>
          <w:p w:rsidR="00990C5C" w:rsidRPr="00990C5C" w:rsidRDefault="00990C5C" w:rsidP="00990C5C">
            <w:pPr>
              <w:spacing w:after="0" w:line="240" w:lineRule="auto"/>
              <w:jc w:val="center"/>
              <w:rPr>
                <w:rFonts w:ascii="Calibri" w:eastAsia="Times New Roman" w:hAnsi="Calibri" w:cs="Calibri"/>
                <w:color w:val="000000"/>
                <w:lang w:eastAsia="fi-FI"/>
              </w:rPr>
            </w:pPr>
            <w:r w:rsidRPr="00990C5C">
              <w:rPr>
                <w:rFonts w:ascii="Calibri" w:eastAsia="Times New Roman" w:hAnsi="Calibri" w:cs="Calibri"/>
                <w:color w:val="000000"/>
                <w:lang w:eastAsia="fi-FI"/>
              </w:rPr>
              <w:t>Captiva, EMR</w:t>
            </w:r>
          </w:p>
        </w:tc>
        <w:tc>
          <w:tcPr>
            <w:tcW w:w="1477" w:type="dxa"/>
            <w:gridSpan w:val="2"/>
            <w:tcBorders>
              <w:top w:val="nil"/>
              <w:left w:val="nil"/>
              <w:bottom w:val="nil"/>
              <w:right w:val="nil"/>
            </w:tcBorders>
            <w:shd w:val="clear" w:color="auto" w:fill="auto"/>
            <w:noWrap/>
            <w:vAlign w:val="center"/>
            <w:hideMark/>
          </w:tcPr>
          <w:p w:rsidR="00990C5C" w:rsidRPr="00990C5C" w:rsidRDefault="00990C5C" w:rsidP="00990C5C">
            <w:pPr>
              <w:spacing w:after="0" w:line="240" w:lineRule="auto"/>
              <w:jc w:val="center"/>
              <w:rPr>
                <w:rFonts w:ascii="Calibri" w:eastAsia="Times New Roman" w:hAnsi="Calibri" w:cs="Calibri"/>
                <w:color w:val="000000"/>
                <w:lang w:eastAsia="fi-FI"/>
              </w:rPr>
            </w:pPr>
            <w:r w:rsidRPr="00990C5C">
              <w:rPr>
                <w:rFonts w:ascii="Calibri" w:eastAsia="Times New Roman" w:hAnsi="Calibri" w:cs="Calibri"/>
                <w:color w:val="000000"/>
                <w:lang w:eastAsia="fi-FI"/>
              </w:rPr>
              <w:t>94,4</w:t>
            </w:r>
          </w:p>
        </w:tc>
      </w:tr>
      <w:tr w:rsidR="006B47C9" w:rsidRPr="00990C5C" w:rsidTr="003D3A66">
        <w:tblPrEx>
          <w:tblCellMar>
            <w:left w:w="70" w:type="dxa"/>
            <w:right w:w="70" w:type="dxa"/>
          </w:tblCellMar>
        </w:tblPrEx>
        <w:trPr>
          <w:gridAfter w:val="1"/>
          <w:wAfter w:w="56" w:type="dxa"/>
          <w:trHeight w:val="300"/>
        </w:trPr>
        <w:tc>
          <w:tcPr>
            <w:tcW w:w="851" w:type="dxa"/>
            <w:tcBorders>
              <w:top w:val="nil"/>
              <w:left w:val="nil"/>
              <w:bottom w:val="nil"/>
              <w:right w:val="nil"/>
            </w:tcBorders>
            <w:shd w:val="clear" w:color="auto" w:fill="auto"/>
            <w:noWrap/>
            <w:vAlign w:val="center"/>
            <w:hideMark/>
          </w:tcPr>
          <w:p w:rsidR="00990C5C" w:rsidRPr="00990C5C" w:rsidRDefault="00990C5C" w:rsidP="00990C5C">
            <w:pPr>
              <w:spacing w:after="0" w:line="240" w:lineRule="auto"/>
              <w:jc w:val="center"/>
              <w:rPr>
                <w:rFonts w:ascii="Calibri" w:eastAsia="Times New Roman" w:hAnsi="Calibri" w:cs="Calibri"/>
                <w:color w:val="000000"/>
                <w:lang w:eastAsia="fi-FI"/>
              </w:rPr>
            </w:pPr>
            <w:r w:rsidRPr="00990C5C">
              <w:rPr>
                <w:rFonts w:ascii="Calibri" w:eastAsia="Times New Roman" w:hAnsi="Calibri" w:cs="Calibri"/>
                <w:color w:val="000000"/>
                <w:lang w:eastAsia="fi-FI"/>
              </w:rPr>
              <w:t>29</w:t>
            </w:r>
          </w:p>
        </w:tc>
        <w:tc>
          <w:tcPr>
            <w:tcW w:w="4111" w:type="dxa"/>
            <w:tcBorders>
              <w:top w:val="nil"/>
              <w:left w:val="nil"/>
              <w:bottom w:val="nil"/>
              <w:right w:val="nil"/>
            </w:tcBorders>
            <w:shd w:val="clear" w:color="auto" w:fill="auto"/>
            <w:noWrap/>
            <w:vAlign w:val="center"/>
            <w:hideMark/>
          </w:tcPr>
          <w:p w:rsidR="00990C5C" w:rsidRPr="00990C5C" w:rsidRDefault="00990C5C" w:rsidP="00990C5C">
            <w:pPr>
              <w:spacing w:after="0" w:line="240" w:lineRule="auto"/>
              <w:jc w:val="center"/>
              <w:rPr>
                <w:rFonts w:ascii="Calibri" w:eastAsia="Times New Roman" w:hAnsi="Calibri" w:cs="Calibri"/>
                <w:color w:val="000000"/>
                <w:lang w:eastAsia="fi-FI"/>
              </w:rPr>
            </w:pPr>
            <w:r w:rsidRPr="00990C5C">
              <w:rPr>
                <w:rFonts w:ascii="Calibri" w:eastAsia="Times New Roman" w:hAnsi="Calibri" w:cs="Calibri"/>
                <w:color w:val="000000"/>
                <w:lang w:eastAsia="fi-FI"/>
              </w:rPr>
              <w:t>Terpenoid-TMS</w:t>
            </w:r>
          </w:p>
        </w:tc>
        <w:tc>
          <w:tcPr>
            <w:tcW w:w="1984" w:type="dxa"/>
            <w:tcBorders>
              <w:top w:val="nil"/>
              <w:left w:val="nil"/>
              <w:bottom w:val="nil"/>
              <w:right w:val="nil"/>
            </w:tcBorders>
            <w:shd w:val="clear" w:color="auto" w:fill="auto"/>
            <w:noWrap/>
            <w:vAlign w:val="center"/>
            <w:hideMark/>
          </w:tcPr>
          <w:p w:rsidR="00990C5C" w:rsidRPr="00990C5C" w:rsidRDefault="00990C5C" w:rsidP="00990C5C">
            <w:pPr>
              <w:spacing w:after="0" w:line="240" w:lineRule="auto"/>
              <w:jc w:val="center"/>
              <w:rPr>
                <w:rFonts w:ascii="Calibri" w:eastAsia="Times New Roman" w:hAnsi="Calibri" w:cs="Calibri"/>
                <w:color w:val="000000"/>
                <w:lang w:eastAsia="fi-FI"/>
              </w:rPr>
            </w:pPr>
            <w:r w:rsidRPr="00990C5C">
              <w:rPr>
                <w:rFonts w:ascii="Calibri" w:eastAsia="Times New Roman" w:hAnsi="Calibri" w:cs="Calibri"/>
                <w:color w:val="000000"/>
                <w:lang w:eastAsia="fi-FI"/>
              </w:rPr>
              <w:t>16,040</w:t>
            </w:r>
          </w:p>
        </w:tc>
        <w:tc>
          <w:tcPr>
            <w:tcW w:w="1134" w:type="dxa"/>
            <w:tcBorders>
              <w:top w:val="nil"/>
              <w:left w:val="nil"/>
              <w:bottom w:val="nil"/>
              <w:right w:val="nil"/>
            </w:tcBorders>
            <w:shd w:val="clear" w:color="auto" w:fill="auto"/>
            <w:noWrap/>
            <w:vAlign w:val="center"/>
            <w:hideMark/>
          </w:tcPr>
          <w:p w:rsidR="00990C5C" w:rsidRPr="00990C5C" w:rsidRDefault="00990C5C" w:rsidP="00990C5C">
            <w:pPr>
              <w:spacing w:after="0" w:line="240" w:lineRule="auto"/>
              <w:jc w:val="center"/>
              <w:rPr>
                <w:rFonts w:ascii="Calibri" w:eastAsia="Times New Roman" w:hAnsi="Calibri" w:cs="Calibri"/>
                <w:color w:val="000000"/>
                <w:lang w:eastAsia="fi-FI"/>
              </w:rPr>
            </w:pPr>
          </w:p>
        </w:tc>
        <w:tc>
          <w:tcPr>
            <w:tcW w:w="1843" w:type="dxa"/>
            <w:tcBorders>
              <w:top w:val="nil"/>
              <w:left w:val="nil"/>
              <w:bottom w:val="nil"/>
              <w:right w:val="nil"/>
            </w:tcBorders>
            <w:shd w:val="clear" w:color="auto" w:fill="auto"/>
            <w:noWrap/>
            <w:vAlign w:val="center"/>
            <w:hideMark/>
          </w:tcPr>
          <w:p w:rsidR="00990C5C" w:rsidRPr="00990C5C" w:rsidRDefault="00990C5C" w:rsidP="00990C5C">
            <w:pPr>
              <w:spacing w:after="0" w:line="240" w:lineRule="auto"/>
              <w:jc w:val="center"/>
              <w:rPr>
                <w:rFonts w:ascii="Times New Roman" w:eastAsia="Times New Roman" w:hAnsi="Times New Roman" w:cs="Times New Roman"/>
                <w:sz w:val="20"/>
                <w:szCs w:val="20"/>
                <w:lang w:eastAsia="fi-FI"/>
              </w:rPr>
            </w:pPr>
          </w:p>
        </w:tc>
        <w:tc>
          <w:tcPr>
            <w:tcW w:w="1500" w:type="dxa"/>
            <w:tcBorders>
              <w:top w:val="nil"/>
              <w:left w:val="nil"/>
              <w:bottom w:val="nil"/>
              <w:right w:val="nil"/>
            </w:tcBorders>
            <w:shd w:val="clear" w:color="auto" w:fill="auto"/>
            <w:noWrap/>
            <w:vAlign w:val="center"/>
            <w:hideMark/>
          </w:tcPr>
          <w:p w:rsidR="00990C5C" w:rsidRPr="00990C5C" w:rsidRDefault="00990C5C" w:rsidP="00990C5C">
            <w:pPr>
              <w:spacing w:after="0" w:line="240" w:lineRule="auto"/>
              <w:jc w:val="center"/>
              <w:rPr>
                <w:rFonts w:ascii="Calibri" w:eastAsia="Times New Roman" w:hAnsi="Calibri" w:cs="Calibri"/>
                <w:color w:val="000000"/>
                <w:lang w:eastAsia="fi-FI"/>
              </w:rPr>
            </w:pPr>
            <w:r w:rsidRPr="00990C5C">
              <w:rPr>
                <w:rFonts w:ascii="Calibri" w:eastAsia="Times New Roman" w:hAnsi="Calibri" w:cs="Calibri"/>
                <w:color w:val="000000"/>
                <w:lang w:eastAsia="fi-FI"/>
              </w:rPr>
              <w:t>Captiva, EMR</w:t>
            </w:r>
          </w:p>
        </w:tc>
        <w:tc>
          <w:tcPr>
            <w:tcW w:w="1477" w:type="dxa"/>
            <w:gridSpan w:val="2"/>
            <w:tcBorders>
              <w:top w:val="nil"/>
              <w:left w:val="nil"/>
              <w:bottom w:val="nil"/>
              <w:right w:val="nil"/>
            </w:tcBorders>
            <w:shd w:val="clear" w:color="auto" w:fill="auto"/>
            <w:noWrap/>
            <w:vAlign w:val="center"/>
            <w:hideMark/>
          </w:tcPr>
          <w:p w:rsidR="00990C5C" w:rsidRPr="00990C5C" w:rsidRDefault="00990C5C" w:rsidP="00990C5C">
            <w:pPr>
              <w:spacing w:after="0" w:line="240" w:lineRule="auto"/>
              <w:jc w:val="center"/>
              <w:rPr>
                <w:rFonts w:ascii="Calibri" w:eastAsia="Times New Roman" w:hAnsi="Calibri" w:cs="Calibri"/>
                <w:color w:val="000000"/>
                <w:lang w:eastAsia="fi-FI"/>
              </w:rPr>
            </w:pPr>
          </w:p>
        </w:tc>
      </w:tr>
      <w:tr w:rsidR="006B47C9" w:rsidRPr="00990C5C" w:rsidTr="003D3A66">
        <w:tblPrEx>
          <w:tblCellMar>
            <w:left w:w="70" w:type="dxa"/>
            <w:right w:w="70" w:type="dxa"/>
          </w:tblCellMar>
        </w:tblPrEx>
        <w:trPr>
          <w:gridAfter w:val="1"/>
          <w:wAfter w:w="56" w:type="dxa"/>
          <w:trHeight w:val="300"/>
        </w:trPr>
        <w:tc>
          <w:tcPr>
            <w:tcW w:w="851" w:type="dxa"/>
            <w:tcBorders>
              <w:top w:val="nil"/>
              <w:left w:val="nil"/>
              <w:bottom w:val="nil"/>
              <w:right w:val="nil"/>
            </w:tcBorders>
            <w:shd w:val="clear" w:color="auto" w:fill="F2F2F2" w:themeFill="background1" w:themeFillShade="F2"/>
            <w:noWrap/>
            <w:vAlign w:val="center"/>
            <w:hideMark/>
          </w:tcPr>
          <w:p w:rsidR="00990C5C" w:rsidRPr="00990C5C" w:rsidRDefault="00990C5C" w:rsidP="00990C5C">
            <w:pPr>
              <w:spacing w:after="0" w:line="240" w:lineRule="auto"/>
              <w:jc w:val="center"/>
              <w:rPr>
                <w:rFonts w:ascii="Calibri" w:eastAsia="Times New Roman" w:hAnsi="Calibri" w:cs="Calibri"/>
                <w:color w:val="000000"/>
                <w:lang w:eastAsia="fi-FI"/>
              </w:rPr>
            </w:pPr>
            <w:r w:rsidRPr="00990C5C">
              <w:rPr>
                <w:rFonts w:ascii="Calibri" w:eastAsia="Times New Roman" w:hAnsi="Calibri" w:cs="Calibri"/>
                <w:color w:val="000000"/>
                <w:lang w:eastAsia="fi-FI"/>
              </w:rPr>
              <w:t>30</w:t>
            </w:r>
          </w:p>
        </w:tc>
        <w:tc>
          <w:tcPr>
            <w:tcW w:w="4111" w:type="dxa"/>
            <w:tcBorders>
              <w:top w:val="nil"/>
              <w:left w:val="nil"/>
              <w:bottom w:val="nil"/>
              <w:right w:val="nil"/>
            </w:tcBorders>
            <w:shd w:val="clear" w:color="auto" w:fill="F2F2F2" w:themeFill="background1" w:themeFillShade="F2"/>
            <w:noWrap/>
            <w:vAlign w:val="center"/>
            <w:hideMark/>
          </w:tcPr>
          <w:p w:rsidR="00990C5C" w:rsidRPr="00990C5C" w:rsidRDefault="00990C5C" w:rsidP="00990C5C">
            <w:pPr>
              <w:spacing w:after="0" w:line="240" w:lineRule="auto"/>
              <w:jc w:val="center"/>
              <w:rPr>
                <w:rFonts w:ascii="Calibri" w:eastAsia="Times New Roman" w:hAnsi="Calibri" w:cs="Calibri"/>
                <w:color w:val="000000"/>
                <w:lang w:eastAsia="fi-FI"/>
              </w:rPr>
            </w:pPr>
            <w:r w:rsidRPr="00990C5C">
              <w:rPr>
                <w:rFonts w:ascii="Calibri" w:eastAsia="Times New Roman" w:hAnsi="Calibri" w:cs="Calibri"/>
                <w:color w:val="000000"/>
                <w:lang w:eastAsia="fi-FI"/>
              </w:rPr>
              <w:t>Terpenoid-TMS</w:t>
            </w:r>
          </w:p>
        </w:tc>
        <w:tc>
          <w:tcPr>
            <w:tcW w:w="1984" w:type="dxa"/>
            <w:tcBorders>
              <w:top w:val="nil"/>
              <w:left w:val="nil"/>
              <w:bottom w:val="nil"/>
              <w:right w:val="nil"/>
            </w:tcBorders>
            <w:shd w:val="clear" w:color="auto" w:fill="F2F2F2" w:themeFill="background1" w:themeFillShade="F2"/>
            <w:noWrap/>
            <w:vAlign w:val="center"/>
            <w:hideMark/>
          </w:tcPr>
          <w:p w:rsidR="00990C5C" w:rsidRPr="00990C5C" w:rsidRDefault="00990C5C" w:rsidP="00990C5C">
            <w:pPr>
              <w:spacing w:after="0" w:line="240" w:lineRule="auto"/>
              <w:jc w:val="center"/>
              <w:rPr>
                <w:rFonts w:ascii="Calibri" w:eastAsia="Times New Roman" w:hAnsi="Calibri" w:cs="Calibri"/>
                <w:color w:val="000000"/>
                <w:lang w:eastAsia="fi-FI"/>
              </w:rPr>
            </w:pPr>
            <w:r w:rsidRPr="00990C5C">
              <w:rPr>
                <w:rFonts w:ascii="Calibri" w:eastAsia="Times New Roman" w:hAnsi="Calibri" w:cs="Calibri"/>
                <w:color w:val="000000"/>
                <w:lang w:eastAsia="fi-FI"/>
              </w:rPr>
              <w:t>16,231</w:t>
            </w:r>
          </w:p>
        </w:tc>
        <w:tc>
          <w:tcPr>
            <w:tcW w:w="1134" w:type="dxa"/>
            <w:tcBorders>
              <w:top w:val="nil"/>
              <w:left w:val="nil"/>
              <w:bottom w:val="nil"/>
              <w:right w:val="nil"/>
            </w:tcBorders>
            <w:shd w:val="clear" w:color="auto" w:fill="F2F2F2" w:themeFill="background1" w:themeFillShade="F2"/>
            <w:noWrap/>
            <w:vAlign w:val="center"/>
            <w:hideMark/>
          </w:tcPr>
          <w:p w:rsidR="00990C5C" w:rsidRPr="00990C5C" w:rsidRDefault="00990C5C" w:rsidP="00990C5C">
            <w:pPr>
              <w:spacing w:after="0" w:line="240" w:lineRule="auto"/>
              <w:jc w:val="center"/>
              <w:rPr>
                <w:rFonts w:ascii="Calibri" w:eastAsia="Times New Roman" w:hAnsi="Calibri" w:cs="Calibri"/>
                <w:color w:val="000000"/>
                <w:lang w:eastAsia="fi-FI"/>
              </w:rPr>
            </w:pPr>
          </w:p>
        </w:tc>
        <w:tc>
          <w:tcPr>
            <w:tcW w:w="1843" w:type="dxa"/>
            <w:tcBorders>
              <w:top w:val="nil"/>
              <w:left w:val="nil"/>
              <w:bottom w:val="nil"/>
              <w:right w:val="nil"/>
            </w:tcBorders>
            <w:shd w:val="clear" w:color="auto" w:fill="F2F2F2" w:themeFill="background1" w:themeFillShade="F2"/>
            <w:noWrap/>
            <w:vAlign w:val="center"/>
            <w:hideMark/>
          </w:tcPr>
          <w:p w:rsidR="00990C5C" w:rsidRPr="00990C5C" w:rsidRDefault="00990C5C" w:rsidP="00990C5C">
            <w:pPr>
              <w:spacing w:after="0" w:line="240" w:lineRule="auto"/>
              <w:jc w:val="center"/>
              <w:rPr>
                <w:rFonts w:ascii="Times New Roman" w:eastAsia="Times New Roman" w:hAnsi="Times New Roman" w:cs="Times New Roman"/>
                <w:sz w:val="20"/>
                <w:szCs w:val="20"/>
                <w:lang w:eastAsia="fi-FI"/>
              </w:rPr>
            </w:pPr>
          </w:p>
        </w:tc>
        <w:tc>
          <w:tcPr>
            <w:tcW w:w="1500" w:type="dxa"/>
            <w:tcBorders>
              <w:top w:val="nil"/>
              <w:left w:val="nil"/>
              <w:bottom w:val="nil"/>
              <w:right w:val="nil"/>
            </w:tcBorders>
            <w:shd w:val="clear" w:color="auto" w:fill="F2F2F2" w:themeFill="background1" w:themeFillShade="F2"/>
            <w:noWrap/>
            <w:vAlign w:val="center"/>
            <w:hideMark/>
          </w:tcPr>
          <w:p w:rsidR="00990C5C" w:rsidRPr="00990C5C" w:rsidRDefault="00990C5C" w:rsidP="00990C5C">
            <w:pPr>
              <w:spacing w:after="0" w:line="240" w:lineRule="auto"/>
              <w:jc w:val="center"/>
              <w:rPr>
                <w:rFonts w:ascii="Calibri" w:eastAsia="Times New Roman" w:hAnsi="Calibri" w:cs="Calibri"/>
                <w:color w:val="000000"/>
                <w:lang w:eastAsia="fi-FI"/>
              </w:rPr>
            </w:pPr>
            <w:r w:rsidRPr="00990C5C">
              <w:rPr>
                <w:rFonts w:ascii="Calibri" w:eastAsia="Times New Roman" w:hAnsi="Calibri" w:cs="Calibri"/>
                <w:color w:val="000000"/>
                <w:lang w:eastAsia="fi-FI"/>
              </w:rPr>
              <w:t>Captiva, EMR</w:t>
            </w:r>
          </w:p>
        </w:tc>
        <w:tc>
          <w:tcPr>
            <w:tcW w:w="1477" w:type="dxa"/>
            <w:gridSpan w:val="2"/>
            <w:tcBorders>
              <w:top w:val="nil"/>
              <w:left w:val="nil"/>
              <w:bottom w:val="nil"/>
              <w:right w:val="nil"/>
            </w:tcBorders>
            <w:shd w:val="clear" w:color="auto" w:fill="F2F2F2" w:themeFill="background1" w:themeFillShade="F2"/>
            <w:noWrap/>
            <w:vAlign w:val="center"/>
            <w:hideMark/>
          </w:tcPr>
          <w:p w:rsidR="00990C5C" w:rsidRPr="00990C5C" w:rsidRDefault="00990C5C" w:rsidP="00990C5C">
            <w:pPr>
              <w:spacing w:after="0" w:line="240" w:lineRule="auto"/>
              <w:jc w:val="center"/>
              <w:rPr>
                <w:rFonts w:ascii="Calibri" w:eastAsia="Times New Roman" w:hAnsi="Calibri" w:cs="Calibri"/>
                <w:color w:val="000000"/>
                <w:lang w:eastAsia="fi-FI"/>
              </w:rPr>
            </w:pPr>
          </w:p>
        </w:tc>
      </w:tr>
      <w:tr w:rsidR="006B47C9" w:rsidRPr="00990C5C" w:rsidTr="003D3A66">
        <w:tblPrEx>
          <w:tblCellMar>
            <w:left w:w="70" w:type="dxa"/>
            <w:right w:w="70" w:type="dxa"/>
          </w:tblCellMar>
        </w:tblPrEx>
        <w:trPr>
          <w:gridAfter w:val="1"/>
          <w:wAfter w:w="56" w:type="dxa"/>
          <w:trHeight w:val="300"/>
        </w:trPr>
        <w:tc>
          <w:tcPr>
            <w:tcW w:w="851" w:type="dxa"/>
            <w:tcBorders>
              <w:top w:val="nil"/>
              <w:left w:val="nil"/>
              <w:bottom w:val="nil"/>
              <w:right w:val="nil"/>
            </w:tcBorders>
            <w:shd w:val="clear" w:color="auto" w:fill="auto"/>
            <w:noWrap/>
            <w:vAlign w:val="center"/>
            <w:hideMark/>
          </w:tcPr>
          <w:p w:rsidR="00990C5C" w:rsidRPr="00990C5C" w:rsidRDefault="00990C5C" w:rsidP="00990C5C">
            <w:pPr>
              <w:spacing w:after="0" w:line="240" w:lineRule="auto"/>
              <w:jc w:val="center"/>
              <w:rPr>
                <w:rFonts w:ascii="Calibri" w:eastAsia="Times New Roman" w:hAnsi="Calibri" w:cs="Calibri"/>
                <w:color w:val="000000"/>
                <w:lang w:eastAsia="fi-FI"/>
              </w:rPr>
            </w:pPr>
            <w:r w:rsidRPr="00990C5C">
              <w:rPr>
                <w:rFonts w:ascii="Calibri" w:eastAsia="Times New Roman" w:hAnsi="Calibri" w:cs="Calibri"/>
                <w:color w:val="000000"/>
                <w:lang w:eastAsia="fi-FI"/>
              </w:rPr>
              <w:t>31</w:t>
            </w:r>
          </w:p>
        </w:tc>
        <w:tc>
          <w:tcPr>
            <w:tcW w:w="4111" w:type="dxa"/>
            <w:tcBorders>
              <w:top w:val="nil"/>
              <w:left w:val="nil"/>
              <w:bottom w:val="nil"/>
              <w:right w:val="nil"/>
            </w:tcBorders>
            <w:shd w:val="clear" w:color="auto" w:fill="auto"/>
            <w:noWrap/>
            <w:vAlign w:val="center"/>
            <w:hideMark/>
          </w:tcPr>
          <w:p w:rsidR="00990C5C" w:rsidRPr="00990C5C" w:rsidRDefault="00990C5C" w:rsidP="00990C5C">
            <w:pPr>
              <w:spacing w:after="0" w:line="240" w:lineRule="auto"/>
              <w:jc w:val="center"/>
              <w:rPr>
                <w:rFonts w:ascii="Calibri" w:eastAsia="Times New Roman" w:hAnsi="Calibri" w:cs="Calibri"/>
                <w:color w:val="000000"/>
                <w:lang w:eastAsia="fi-FI"/>
              </w:rPr>
            </w:pPr>
            <w:r w:rsidRPr="00990C5C">
              <w:rPr>
                <w:rFonts w:ascii="Calibri" w:eastAsia="Times New Roman" w:hAnsi="Calibri" w:cs="Calibri"/>
                <w:color w:val="000000"/>
                <w:lang w:eastAsia="fi-FI"/>
              </w:rPr>
              <w:t>Terpenoid-TMS</w:t>
            </w:r>
          </w:p>
        </w:tc>
        <w:tc>
          <w:tcPr>
            <w:tcW w:w="1984" w:type="dxa"/>
            <w:tcBorders>
              <w:top w:val="nil"/>
              <w:left w:val="nil"/>
              <w:bottom w:val="nil"/>
              <w:right w:val="nil"/>
            </w:tcBorders>
            <w:shd w:val="clear" w:color="auto" w:fill="auto"/>
            <w:noWrap/>
            <w:vAlign w:val="center"/>
            <w:hideMark/>
          </w:tcPr>
          <w:p w:rsidR="00990C5C" w:rsidRPr="00990C5C" w:rsidRDefault="00990C5C" w:rsidP="00990C5C">
            <w:pPr>
              <w:spacing w:after="0" w:line="240" w:lineRule="auto"/>
              <w:jc w:val="center"/>
              <w:rPr>
                <w:rFonts w:ascii="Calibri" w:eastAsia="Times New Roman" w:hAnsi="Calibri" w:cs="Calibri"/>
                <w:color w:val="000000"/>
                <w:lang w:eastAsia="fi-FI"/>
              </w:rPr>
            </w:pPr>
            <w:r w:rsidRPr="00990C5C">
              <w:rPr>
                <w:rFonts w:ascii="Calibri" w:eastAsia="Times New Roman" w:hAnsi="Calibri" w:cs="Calibri"/>
                <w:color w:val="000000"/>
                <w:lang w:eastAsia="fi-FI"/>
              </w:rPr>
              <w:t>16,309</w:t>
            </w:r>
          </w:p>
        </w:tc>
        <w:tc>
          <w:tcPr>
            <w:tcW w:w="1134" w:type="dxa"/>
            <w:tcBorders>
              <w:top w:val="nil"/>
              <w:left w:val="nil"/>
              <w:bottom w:val="nil"/>
              <w:right w:val="nil"/>
            </w:tcBorders>
            <w:shd w:val="clear" w:color="auto" w:fill="auto"/>
            <w:noWrap/>
            <w:vAlign w:val="center"/>
            <w:hideMark/>
          </w:tcPr>
          <w:p w:rsidR="00990C5C" w:rsidRPr="00990C5C" w:rsidRDefault="00990C5C" w:rsidP="00990C5C">
            <w:pPr>
              <w:spacing w:after="0" w:line="240" w:lineRule="auto"/>
              <w:jc w:val="center"/>
              <w:rPr>
                <w:rFonts w:ascii="Calibri" w:eastAsia="Times New Roman" w:hAnsi="Calibri" w:cs="Calibri"/>
                <w:color w:val="000000"/>
                <w:lang w:eastAsia="fi-FI"/>
              </w:rPr>
            </w:pPr>
          </w:p>
        </w:tc>
        <w:tc>
          <w:tcPr>
            <w:tcW w:w="1843" w:type="dxa"/>
            <w:tcBorders>
              <w:top w:val="nil"/>
              <w:left w:val="nil"/>
              <w:bottom w:val="nil"/>
              <w:right w:val="nil"/>
            </w:tcBorders>
            <w:shd w:val="clear" w:color="auto" w:fill="auto"/>
            <w:noWrap/>
            <w:vAlign w:val="center"/>
            <w:hideMark/>
          </w:tcPr>
          <w:p w:rsidR="00990C5C" w:rsidRPr="00990C5C" w:rsidRDefault="00990C5C" w:rsidP="00990C5C">
            <w:pPr>
              <w:spacing w:after="0" w:line="240" w:lineRule="auto"/>
              <w:jc w:val="center"/>
              <w:rPr>
                <w:rFonts w:ascii="Times New Roman" w:eastAsia="Times New Roman" w:hAnsi="Times New Roman" w:cs="Times New Roman"/>
                <w:sz w:val="20"/>
                <w:szCs w:val="20"/>
                <w:lang w:eastAsia="fi-FI"/>
              </w:rPr>
            </w:pPr>
          </w:p>
        </w:tc>
        <w:tc>
          <w:tcPr>
            <w:tcW w:w="1500" w:type="dxa"/>
            <w:tcBorders>
              <w:top w:val="nil"/>
              <w:left w:val="nil"/>
              <w:bottom w:val="nil"/>
              <w:right w:val="nil"/>
            </w:tcBorders>
            <w:shd w:val="clear" w:color="auto" w:fill="auto"/>
            <w:noWrap/>
            <w:vAlign w:val="center"/>
            <w:hideMark/>
          </w:tcPr>
          <w:p w:rsidR="00990C5C" w:rsidRPr="00990C5C" w:rsidRDefault="00990C5C" w:rsidP="00990C5C">
            <w:pPr>
              <w:spacing w:after="0" w:line="240" w:lineRule="auto"/>
              <w:jc w:val="center"/>
              <w:rPr>
                <w:rFonts w:ascii="Calibri" w:eastAsia="Times New Roman" w:hAnsi="Calibri" w:cs="Calibri"/>
                <w:color w:val="000000"/>
                <w:lang w:eastAsia="fi-FI"/>
              </w:rPr>
            </w:pPr>
            <w:r w:rsidRPr="00990C5C">
              <w:rPr>
                <w:rFonts w:ascii="Calibri" w:eastAsia="Times New Roman" w:hAnsi="Calibri" w:cs="Calibri"/>
                <w:color w:val="000000"/>
                <w:lang w:eastAsia="fi-FI"/>
              </w:rPr>
              <w:t>Captiva, EMR</w:t>
            </w:r>
          </w:p>
        </w:tc>
        <w:tc>
          <w:tcPr>
            <w:tcW w:w="1477" w:type="dxa"/>
            <w:gridSpan w:val="2"/>
            <w:tcBorders>
              <w:top w:val="nil"/>
              <w:left w:val="nil"/>
              <w:bottom w:val="nil"/>
              <w:right w:val="nil"/>
            </w:tcBorders>
            <w:shd w:val="clear" w:color="auto" w:fill="auto"/>
            <w:noWrap/>
            <w:vAlign w:val="center"/>
            <w:hideMark/>
          </w:tcPr>
          <w:p w:rsidR="00990C5C" w:rsidRPr="00990C5C" w:rsidRDefault="00990C5C" w:rsidP="00990C5C">
            <w:pPr>
              <w:spacing w:after="0" w:line="240" w:lineRule="auto"/>
              <w:jc w:val="center"/>
              <w:rPr>
                <w:rFonts w:ascii="Calibri" w:eastAsia="Times New Roman" w:hAnsi="Calibri" w:cs="Calibri"/>
                <w:color w:val="000000"/>
                <w:lang w:eastAsia="fi-FI"/>
              </w:rPr>
            </w:pPr>
          </w:p>
        </w:tc>
      </w:tr>
      <w:tr w:rsidR="006B47C9" w:rsidRPr="00990C5C" w:rsidTr="003D3A66">
        <w:tblPrEx>
          <w:tblCellMar>
            <w:left w:w="70" w:type="dxa"/>
            <w:right w:w="70" w:type="dxa"/>
          </w:tblCellMar>
        </w:tblPrEx>
        <w:trPr>
          <w:gridAfter w:val="1"/>
          <w:wAfter w:w="56" w:type="dxa"/>
          <w:trHeight w:val="300"/>
        </w:trPr>
        <w:tc>
          <w:tcPr>
            <w:tcW w:w="851" w:type="dxa"/>
            <w:tcBorders>
              <w:top w:val="nil"/>
              <w:left w:val="nil"/>
              <w:bottom w:val="nil"/>
              <w:right w:val="nil"/>
            </w:tcBorders>
            <w:shd w:val="clear" w:color="auto" w:fill="auto"/>
            <w:noWrap/>
            <w:vAlign w:val="center"/>
            <w:hideMark/>
          </w:tcPr>
          <w:p w:rsidR="00990C5C" w:rsidRPr="00990C5C" w:rsidRDefault="00990C5C" w:rsidP="00990C5C">
            <w:pPr>
              <w:spacing w:after="0" w:line="240" w:lineRule="auto"/>
              <w:jc w:val="center"/>
              <w:rPr>
                <w:rFonts w:ascii="Calibri" w:eastAsia="Times New Roman" w:hAnsi="Calibri" w:cs="Calibri"/>
                <w:color w:val="000000"/>
                <w:lang w:eastAsia="fi-FI"/>
              </w:rPr>
            </w:pPr>
            <w:r w:rsidRPr="00990C5C">
              <w:rPr>
                <w:rFonts w:ascii="Calibri" w:eastAsia="Times New Roman" w:hAnsi="Calibri" w:cs="Calibri"/>
                <w:color w:val="000000"/>
                <w:lang w:eastAsia="fi-FI"/>
              </w:rPr>
              <w:t>32</w:t>
            </w:r>
          </w:p>
        </w:tc>
        <w:tc>
          <w:tcPr>
            <w:tcW w:w="4111" w:type="dxa"/>
            <w:tcBorders>
              <w:top w:val="nil"/>
              <w:left w:val="nil"/>
              <w:bottom w:val="nil"/>
              <w:right w:val="nil"/>
            </w:tcBorders>
            <w:shd w:val="clear" w:color="auto" w:fill="auto"/>
            <w:noWrap/>
            <w:vAlign w:val="center"/>
            <w:hideMark/>
          </w:tcPr>
          <w:p w:rsidR="00990C5C" w:rsidRPr="00990C5C" w:rsidRDefault="00AF2674" w:rsidP="00990C5C">
            <w:pPr>
              <w:spacing w:after="0" w:line="240" w:lineRule="auto"/>
              <w:jc w:val="center"/>
              <w:rPr>
                <w:rFonts w:ascii="Calibri" w:eastAsia="Times New Roman" w:hAnsi="Calibri" w:cs="Calibri"/>
                <w:color w:val="000000"/>
                <w:lang w:eastAsia="fi-FI"/>
              </w:rPr>
            </w:pPr>
            <w:r>
              <w:rPr>
                <w:rFonts w:ascii="Calibri" w:eastAsia="Times New Roman" w:hAnsi="Calibri" w:cs="Calibri"/>
                <w:color w:val="000000"/>
                <w:lang w:eastAsia="fi-FI"/>
              </w:rPr>
              <w:t>∆</w:t>
            </w:r>
            <w:r w:rsidR="009D482E">
              <w:rPr>
                <w:rFonts w:ascii="Calibri" w:eastAsia="Times New Roman" w:hAnsi="Calibri" w:cs="Calibri"/>
                <w:color w:val="000000"/>
                <w:vertAlign w:val="superscript"/>
                <w:lang w:eastAsia="fi-FI"/>
              </w:rPr>
              <w:t>9</w:t>
            </w:r>
            <w:r w:rsidR="00990C5C" w:rsidRPr="00990C5C">
              <w:rPr>
                <w:rFonts w:ascii="Calibri" w:eastAsia="Times New Roman" w:hAnsi="Calibri" w:cs="Calibri"/>
                <w:color w:val="000000"/>
                <w:lang w:eastAsia="fi-FI"/>
              </w:rPr>
              <w:t>-THC-TMS</w:t>
            </w:r>
          </w:p>
        </w:tc>
        <w:tc>
          <w:tcPr>
            <w:tcW w:w="1984" w:type="dxa"/>
            <w:tcBorders>
              <w:top w:val="nil"/>
              <w:left w:val="nil"/>
              <w:bottom w:val="nil"/>
              <w:right w:val="nil"/>
            </w:tcBorders>
            <w:shd w:val="clear" w:color="auto" w:fill="auto"/>
            <w:noWrap/>
            <w:vAlign w:val="center"/>
            <w:hideMark/>
          </w:tcPr>
          <w:p w:rsidR="00990C5C" w:rsidRPr="00990C5C" w:rsidRDefault="00990C5C" w:rsidP="00990C5C">
            <w:pPr>
              <w:spacing w:after="0" w:line="240" w:lineRule="auto"/>
              <w:jc w:val="center"/>
              <w:rPr>
                <w:rFonts w:ascii="Calibri" w:eastAsia="Times New Roman" w:hAnsi="Calibri" w:cs="Calibri"/>
                <w:color w:val="000000"/>
                <w:lang w:eastAsia="fi-FI"/>
              </w:rPr>
            </w:pPr>
            <w:r w:rsidRPr="00990C5C">
              <w:rPr>
                <w:rFonts w:ascii="Calibri" w:eastAsia="Times New Roman" w:hAnsi="Calibri" w:cs="Calibri"/>
                <w:color w:val="000000"/>
                <w:lang w:eastAsia="fi-FI"/>
              </w:rPr>
              <w:t>16,432</w:t>
            </w:r>
          </w:p>
        </w:tc>
        <w:tc>
          <w:tcPr>
            <w:tcW w:w="1134" w:type="dxa"/>
            <w:tcBorders>
              <w:top w:val="nil"/>
              <w:left w:val="nil"/>
              <w:bottom w:val="nil"/>
              <w:right w:val="nil"/>
            </w:tcBorders>
            <w:shd w:val="clear" w:color="auto" w:fill="auto"/>
            <w:noWrap/>
            <w:vAlign w:val="center"/>
            <w:hideMark/>
          </w:tcPr>
          <w:p w:rsidR="00990C5C" w:rsidRPr="00990C5C" w:rsidRDefault="00990C5C" w:rsidP="00990C5C">
            <w:pPr>
              <w:spacing w:after="0" w:line="240" w:lineRule="auto"/>
              <w:jc w:val="center"/>
              <w:rPr>
                <w:rFonts w:ascii="Calibri" w:eastAsia="Times New Roman" w:hAnsi="Calibri" w:cs="Calibri"/>
                <w:color w:val="000000"/>
                <w:lang w:eastAsia="fi-FI"/>
              </w:rPr>
            </w:pPr>
            <w:r w:rsidRPr="00990C5C">
              <w:rPr>
                <w:rFonts w:ascii="Calibri" w:eastAsia="Times New Roman" w:hAnsi="Calibri" w:cs="Calibri"/>
                <w:color w:val="000000"/>
                <w:lang w:eastAsia="fi-FI"/>
              </w:rPr>
              <w:t>386,26</w:t>
            </w:r>
          </w:p>
        </w:tc>
        <w:tc>
          <w:tcPr>
            <w:tcW w:w="1843" w:type="dxa"/>
            <w:tcBorders>
              <w:top w:val="nil"/>
              <w:left w:val="nil"/>
              <w:bottom w:val="nil"/>
              <w:right w:val="nil"/>
            </w:tcBorders>
            <w:shd w:val="clear" w:color="auto" w:fill="auto"/>
            <w:noWrap/>
            <w:vAlign w:val="center"/>
            <w:hideMark/>
          </w:tcPr>
          <w:p w:rsidR="00990C5C" w:rsidRPr="00990C5C" w:rsidRDefault="00990C5C" w:rsidP="00990C5C">
            <w:pPr>
              <w:spacing w:after="0" w:line="240" w:lineRule="auto"/>
              <w:jc w:val="center"/>
              <w:rPr>
                <w:rFonts w:ascii="Calibri" w:eastAsia="Times New Roman" w:hAnsi="Calibri" w:cs="Calibri"/>
                <w:color w:val="000000"/>
                <w:lang w:eastAsia="fi-FI"/>
              </w:rPr>
            </w:pPr>
            <w:r w:rsidRPr="00990C5C">
              <w:rPr>
                <w:rFonts w:ascii="Calibri" w:eastAsia="Times New Roman" w:hAnsi="Calibri" w:cs="Calibri"/>
                <w:color w:val="000000"/>
                <w:lang w:eastAsia="fi-FI"/>
              </w:rPr>
              <w:t>C</w:t>
            </w:r>
            <w:r w:rsidRPr="00852F30">
              <w:rPr>
                <w:rFonts w:ascii="Calibri" w:eastAsia="Times New Roman" w:hAnsi="Calibri" w:cs="Calibri"/>
                <w:color w:val="000000"/>
                <w:vertAlign w:val="subscript"/>
                <w:lang w:eastAsia="fi-FI"/>
              </w:rPr>
              <w:t>24</w:t>
            </w:r>
            <w:r w:rsidR="001C3243">
              <w:rPr>
                <w:rFonts w:ascii="Calibri" w:eastAsia="Times New Roman" w:hAnsi="Calibri" w:cs="Calibri"/>
                <w:color w:val="000000"/>
                <w:lang w:eastAsia="fi-FI"/>
              </w:rPr>
              <w:t>H</w:t>
            </w:r>
            <w:r w:rsidRPr="001C3243">
              <w:rPr>
                <w:rFonts w:ascii="Calibri" w:eastAsia="Times New Roman" w:hAnsi="Calibri" w:cs="Calibri"/>
                <w:color w:val="000000"/>
                <w:vertAlign w:val="subscript"/>
                <w:lang w:eastAsia="fi-FI"/>
              </w:rPr>
              <w:t>38</w:t>
            </w:r>
            <w:r w:rsidRPr="00990C5C">
              <w:rPr>
                <w:rFonts w:ascii="Calibri" w:eastAsia="Times New Roman" w:hAnsi="Calibri" w:cs="Calibri"/>
                <w:color w:val="000000"/>
                <w:lang w:eastAsia="fi-FI"/>
              </w:rPr>
              <w:t>O</w:t>
            </w:r>
            <w:r w:rsidRPr="001C3243">
              <w:rPr>
                <w:rFonts w:ascii="Calibri" w:eastAsia="Times New Roman" w:hAnsi="Calibri" w:cs="Calibri"/>
                <w:color w:val="000000"/>
                <w:vertAlign w:val="subscript"/>
                <w:lang w:eastAsia="fi-FI"/>
              </w:rPr>
              <w:t>2</w:t>
            </w:r>
            <w:r w:rsidRPr="00990C5C">
              <w:rPr>
                <w:rFonts w:ascii="Calibri" w:eastAsia="Times New Roman" w:hAnsi="Calibri" w:cs="Calibri"/>
                <w:color w:val="000000"/>
                <w:lang w:eastAsia="fi-FI"/>
              </w:rPr>
              <w:t>Si</w:t>
            </w:r>
          </w:p>
        </w:tc>
        <w:tc>
          <w:tcPr>
            <w:tcW w:w="1500" w:type="dxa"/>
            <w:tcBorders>
              <w:top w:val="nil"/>
              <w:left w:val="nil"/>
              <w:bottom w:val="nil"/>
              <w:right w:val="nil"/>
            </w:tcBorders>
            <w:shd w:val="clear" w:color="auto" w:fill="auto"/>
            <w:noWrap/>
            <w:vAlign w:val="center"/>
            <w:hideMark/>
          </w:tcPr>
          <w:p w:rsidR="00990C5C" w:rsidRPr="00990C5C" w:rsidRDefault="00990C5C" w:rsidP="00990C5C">
            <w:pPr>
              <w:spacing w:after="0" w:line="240" w:lineRule="auto"/>
              <w:jc w:val="center"/>
              <w:rPr>
                <w:rFonts w:ascii="Calibri" w:eastAsia="Times New Roman" w:hAnsi="Calibri" w:cs="Calibri"/>
                <w:color w:val="000000"/>
                <w:lang w:eastAsia="fi-FI"/>
              </w:rPr>
            </w:pPr>
            <w:r w:rsidRPr="00990C5C">
              <w:rPr>
                <w:rFonts w:ascii="Calibri" w:eastAsia="Times New Roman" w:hAnsi="Calibri" w:cs="Calibri"/>
                <w:color w:val="000000"/>
                <w:lang w:eastAsia="fi-FI"/>
              </w:rPr>
              <w:t>Captiva, EMR</w:t>
            </w:r>
          </w:p>
        </w:tc>
        <w:tc>
          <w:tcPr>
            <w:tcW w:w="1477" w:type="dxa"/>
            <w:gridSpan w:val="2"/>
            <w:tcBorders>
              <w:top w:val="nil"/>
              <w:left w:val="nil"/>
              <w:bottom w:val="nil"/>
              <w:right w:val="nil"/>
            </w:tcBorders>
            <w:shd w:val="clear" w:color="auto" w:fill="auto"/>
            <w:noWrap/>
            <w:vAlign w:val="center"/>
            <w:hideMark/>
          </w:tcPr>
          <w:p w:rsidR="00990C5C" w:rsidRPr="00990C5C" w:rsidRDefault="00990C5C" w:rsidP="00990C5C">
            <w:pPr>
              <w:spacing w:after="0" w:line="240" w:lineRule="auto"/>
              <w:jc w:val="center"/>
              <w:rPr>
                <w:rFonts w:ascii="Calibri" w:eastAsia="Times New Roman" w:hAnsi="Calibri" w:cs="Calibri"/>
                <w:color w:val="000000"/>
                <w:lang w:eastAsia="fi-FI"/>
              </w:rPr>
            </w:pPr>
            <w:r w:rsidRPr="00990C5C">
              <w:rPr>
                <w:rFonts w:ascii="Calibri" w:eastAsia="Times New Roman" w:hAnsi="Calibri" w:cs="Calibri"/>
                <w:color w:val="000000"/>
                <w:lang w:eastAsia="fi-FI"/>
              </w:rPr>
              <w:t>81,7</w:t>
            </w:r>
          </w:p>
        </w:tc>
      </w:tr>
      <w:tr w:rsidR="006B47C9" w:rsidRPr="00990C5C" w:rsidTr="003D3A66">
        <w:tblPrEx>
          <w:tblCellMar>
            <w:left w:w="70" w:type="dxa"/>
            <w:right w:w="70" w:type="dxa"/>
          </w:tblCellMar>
        </w:tblPrEx>
        <w:trPr>
          <w:gridAfter w:val="1"/>
          <w:wAfter w:w="56" w:type="dxa"/>
          <w:trHeight w:val="300"/>
        </w:trPr>
        <w:tc>
          <w:tcPr>
            <w:tcW w:w="851" w:type="dxa"/>
            <w:tcBorders>
              <w:top w:val="nil"/>
              <w:left w:val="nil"/>
              <w:bottom w:val="nil"/>
              <w:right w:val="nil"/>
            </w:tcBorders>
            <w:shd w:val="clear" w:color="auto" w:fill="auto"/>
            <w:noWrap/>
            <w:vAlign w:val="center"/>
            <w:hideMark/>
          </w:tcPr>
          <w:p w:rsidR="00990C5C" w:rsidRPr="00990C5C" w:rsidRDefault="00990C5C" w:rsidP="00990C5C">
            <w:pPr>
              <w:spacing w:after="0" w:line="240" w:lineRule="auto"/>
              <w:jc w:val="center"/>
              <w:rPr>
                <w:rFonts w:ascii="Calibri" w:eastAsia="Times New Roman" w:hAnsi="Calibri" w:cs="Calibri"/>
                <w:color w:val="000000"/>
                <w:lang w:eastAsia="fi-FI"/>
              </w:rPr>
            </w:pPr>
            <w:r w:rsidRPr="00990C5C">
              <w:rPr>
                <w:rFonts w:ascii="Calibri" w:eastAsia="Times New Roman" w:hAnsi="Calibri" w:cs="Calibri"/>
                <w:color w:val="000000"/>
                <w:lang w:eastAsia="fi-FI"/>
              </w:rPr>
              <w:t>33</w:t>
            </w:r>
          </w:p>
        </w:tc>
        <w:tc>
          <w:tcPr>
            <w:tcW w:w="4111" w:type="dxa"/>
            <w:tcBorders>
              <w:top w:val="nil"/>
              <w:left w:val="nil"/>
              <w:bottom w:val="nil"/>
              <w:right w:val="nil"/>
            </w:tcBorders>
            <w:shd w:val="clear" w:color="auto" w:fill="auto"/>
            <w:noWrap/>
            <w:vAlign w:val="center"/>
            <w:hideMark/>
          </w:tcPr>
          <w:p w:rsidR="00990C5C" w:rsidRPr="00990C5C" w:rsidRDefault="00990C5C" w:rsidP="00990C5C">
            <w:pPr>
              <w:spacing w:after="0" w:line="240" w:lineRule="auto"/>
              <w:jc w:val="center"/>
              <w:rPr>
                <w:rFonts w:ascii="Calibri" w:eastAsia="Times New Roman" w:hAnsi="Calibri" w:cs="Calibri"/>
                <w:color w:val="000000"/>
                <w:lang w:eastAsia="fi-FI"/>
              </w:rPr>
            </w:pPr>
            <w:r w:rsidRPr="00990C5C">
              <w:rPr>
                <w:rFonts w:ascii="Calibri" w:eastAsia="Times New Roman" w:hAnsi="Calibri" w:cs="Calibri"/>
                <w:color w:val="000000"/>
                <w:lang w:eastAsia="fi-FI"/>
              </w:rPr>
              <w:t>Cannabidiol</w:t>
            </w:r>
          </w:p>
        </w:tc>
        <w:tc>
          <w:tcPr>
            <w:tcW w:w="1984" w:type="dxa"/>
            <w:tcBorders>
              <w:top w:val="nil"/>
              <w:left w:val="nil"/>
              <w:bottom w:val="nil"/>
              <w:right w:val="nil"/>
            </w:tcBorders>
            <w:shd w:val="clear" w:color="auto" w:fill="auto"/>
            <w:noWrap/>
            <w:vAlign w:val="center"/>
            <w:hideMark/>
          </w:tcPr>
          <w:p w:rsidR="00990C5C" w:rsidRPr="00990C5C" w:rsidRDefault="00990C5C" w:rsidP="00990C5C">
            <w:pPr>
              <w:spacing w:after="0" w:line="240" w:lineRule="auto"/>
              <w:jc w:val="center"/>
              <w:rPr>
                <w:rFonts w:ascii="Calibri" w:eastAsia="Times New Roman" w:hAnsi="Calibri" w:cs="Calibri"/>
                <w:color w:val="000000"/>
                <w:lang w:eastAsia="fi-FI"/>
              </w:rPr>
            </w:pPr>
            <w:r w:rsidRPr="00990C5C">
              <w:rPr>
                <w:rFonts w:ascii="Calibri" w:eastAsia="Times New Roman" w:hAnsi="Calibri" w:cs="Calibri"/>
                <w:color w:val="000000"/>
                <w:lang w:eastAsia="fi-FI"/>
              </w:rPr>
              <w:t>16,526</w:t>
            </w:r>
          </w:p>
        </w:tc>
        <w:tc>
          <w:tcPr>
            <w:tcW w:w="1134" w:type="dxa"/>
            <w:tcBorders>
              <w:top w:val="nil"/>
              <w:left w:val="nil"/>
              <w:bottom w:val="nil"/>
              <w:right w:val="nil"/>
            </w:tcBorders>
            <w:shd w:val="clear" w:color="auto" w:fill="auto"/>
            <w:noWrap/>
            <w:vAlign w:val="center"/>
            <w:hideMark/>
          </w:tcPr>
          <w:p w:rsidR="00990C5C" w:rsidRPr="00990C5C" w:rsidRDefault="00990C5C" w:rsidP="00990C5C">
            <w:pPr>
              <w:spacing w:after="0" w:line="240" w:lineRule="auto"/>
              <w:jc w:val="center"/>
              <w:rPr>
                <w:rFonts w:ascii="Calibri" w:eastAsia="Times New Roman" w:hAnsi="Calibri" w:cs="Calibri"/>
                <w:color w:val="000000"/>
                <w:lang w:eastAsia="fi-FI"/>
              </w:rPr>
            </w:pPr>
            <w:r w:rsidRPr="00990C5C">
              <w:rPr>
                <w:rFonts w:ascii="Calibri" w:eastAsia="Times New Roman" w:hAnsi="Calibri" w:cs="Calibri"/>
                <w:color w:val="000000"/>
                <w:lang w:eastAsia="fi-FI"/>
              </w:rPr>
              <w:t>314,22</w:t>
            </w:r>
          </w:p>
        </w:tc>
        <w:tc>
          <w:tcPr>
            <w:tcW w:w="1843" w:type="dxa"/>
            <w:tcBorders>
              <w:top w:val="nil"/>
              <w:left w:val="nil"/>
              <w:bottom w:val="nil"/>
              <w:right w:val="nil"/>
            </w:tcBorders>
            <w:shd w:val="clear" w:color="auto" w:fill="auto"/>
            <w:noWrap/>
            <w:vAlign w:val="center"/>
            <w:hideMark/>
          </w:tcPr>
          <w:p w:rsidR="00990C5C" w:rsidRPr="00990C5C" w:rsidRDefault="00990C5C" w:rsidP="00990C5C">
            <w:pPr>
              <w:spacing w:after="0" w:line="240" w:lineRule="auto"/>
              <w:jc w:val="center"/>
              <w:rPr>
                <w:rFonts w:ascii="Calibri" w:eastAsia="Times New Roman" w:hAnsi="Calibri" w:cs="Calibri"/>
                <w:color w:val="000000"/>
                <w:lang w:eastAsia="fi-FI"/>
              </w:rPr>
            </w:pPr>
            <w:r w:rsidRPr="00990C5C">
              <w:rPr>
                <w:rFonts w:ascii="Calibri" w:eastAsia="Times New Roman" w:hAnsi="Calibri" w:cs="Calibri"/>
                <w:color w:val="000000"/>
                <w:lang w:eastAsia="fi-FI"/>
              </w:rPr>
              <w:t>C</w:t>
            </w:r>
            <w:r w:rsidRPr="00852F30">
              <w:rPr>
                <w:rFonts w:ascii="Calibri" w:eastAsia="Times New Roman" w:hAnsi="Calibri" w:cs="Calibri"/>
                <w:color w:val="000000"/>
                <w:vertAlign w:val="subscript"/>
                <w:lang w:eastAsia="fi-FI"/>
              </w:rPr>
              <w:t>21</w:t>
            </w:r>
            <w:r w:rsidRPr="00990C5C">
              <w:rPr>
                <w:rFonts w:ascii="Calibri" w:eastAsia="Times New Roman" w:hAnsi="Calibri" w:cs="Calibri"/>
                <w:color w:val="000000"/>
                <w:lang w:eastAsia="fi-FI"/>
              </w:rPr>
              <w:t>H</w:t>
            </w:r>
            <w:r w:rsidRPr="00852F30">
              <w:rPr>
                <w:rFonts w:ascii="Calibri" w:eastAsia="Times New Roman" w:hAnsi="Calibri" w:cs="Calibri"/>
                <w:color w:val="000000"/>
                <w:vertAlign w:val="subscript"/>
                <w:lang w:eastAsia="fi-FI"/>
              </w:rPr>
              <w:t>30</w:t>
            </w:r>
            <w:r w:rsidRPr="00990C5C">
              <w:rPr>
                <w:rFonts w:ascii="Calibri" w:eastAsia="Times New Roman" w:hAnsi="Calibri" w:cs="Calibri"/>
                <w:color w:val="000000"/>
                <w:lang w:eastAsia="fi-FI"/>
              </w:rPr>
              <w:t>O</w:t>
            </w:r>
            <w:r w:rsidRPr="00852F30">
              <w:rPr>
                <w:rFonts w:ascii="Calibri" w:eastAsia="Times New Roman" w:hAnsi="Calibri" w:cs="Calibri"/>
                <w:color w:val="000000"/>
                <w:vertAlign w:val="subscript"/>
                <w:lang w:eastAsia="fi-FI"/>
              </w:rPr>
              <w:t>2</w:t>
            </w:r>
          </w:p>
        </w:tc>
        <w:tc>
          <w:tcPr>
            <w:tcW w:w="1500" w:type="dxa"/>
            <w:tcBorders>
              <w:top w:val="nil"/>
              <w:left w:val="nil"/>
              <w:bottom w:val="nil"/>
              <w:right w:val="nil"/>
            </w:tcBorders>
            <w:shd w:val="clear" w:color="auto" w:fill="auto"/>
            <w:noWrap/>
            <w:vAlign w:val="center"/>
            <w:hideMark/>
          </w:tcPr>
          <w:p w:rsidR="00990C5C" w:rsidRPr="00990C5C" w:rsidRDefault="00990C5C" w:rsidP="00990C5C">
            <w:pPr>
              <w:spacing w:after="0" w:line="240" w:lineRule="auto"/>
              <w:jc w:val="center"/>
              <w:rPr>
                <w:rFonts w:ascii="Calibri" w:eastAsia="Times New Roman" w:hAnsi="Calibri" w:cs="Calibri"/>
                <w:color w:val="000000"/>
                <w:lang w:eastAsia="fi-FI"/>
              </w:rPr>
            </w:pPr>
            <w:r w:rsidRPr="00990C5C">
              <w:rPr>
                <w:rFonts w:ascii="Calibri" w:eastAsia="Times New Roman" w:hAnsi="Calibri" w:cs="Calibri"/>
                <w:color w:val="000000"/>
                <w:lang w:eastAsia="fi-FI"/>
              </w:rPr>
              <w:t>Captiva</w:t>
            </w:r>
          </w:p>
        </w:tc>
        <w:tc>
          <w:tcPr>
            <w:tcW w:w="1477" w:type="dxa"/>
            <w:gridSpan w:val="2"/>
            <w:tcBorders>
              <w:top w:val="nil"/>
              <w:left w:val="nil"/>
              <w:bottom w:val="nil"/>
              <w:right w:val="nil"/>
            </w:tcBorders>
            <w:shd w:val="clear" w:color="auto" w:fill="auto"/>
            <w:noWrap/>
            <w:vAlign w:val="center"/>
            <w:hideMark/>
          </w:tcPr>
          <w:p w:rsidR="00990C5C" w:rsidRPr="00990C5C" w:rsidRDefault="00990C5C" w:rsidP="00990C5C">
            <w:pPr>
              <w:spacing w:after="0" w:line="240" w:lineRule="auto"/>
              <w:jc w:val="center"/>
              <w:rPr>
                <w:rFonts w:ascii="Calibri" w:eastAsia="Times New Roman" w:hAnsi="Calibri" w:cs="Calibri"/>
                <w:color w:val="000000"/>
                <w:lang w:eastAsia="fi-FI"/>
              </w:rPr>
            </w:pPr>
            <w:r w:rsidRPr="00990C5C">
              <w:rPr>
                <w:rFonts w:ascii="Calibri" w:eastAsia="Times New Roman" w:hAnsi="Calibri" w:cs="Calibri"/>
                <w:color w:val="000000"/>
                <w:lang w:eastAsia="fi-FI"/>
              </w:rPr>
              <w:t>37,3</w:t>
            </w:r>
          </w:p>
        </w:tc>
      </w:tr>
      <w:tr w:rsidR="006B47C9" w:rsidRPr="00990C5C" w:rsidTr="003D3A66">
        <w:tblPrEx>
          <w:tblCellMar>
            <w:left w:w="70" w:type="dxa"/>
            <w:right w:w="70" w:type="dxa"/>
          </w:tblCellMar>
        </w:tblPrEx>
        <w:trPr>
          <w:gridAfter w:val="1"/>
          <w:wAfter w:w="56" w:type="dxa"/>
          <w:trHeight w:val="300"/>
        </w:trPr>
        <w:tc>
          <w:tcPr>
            <w:tcW w:w="851" w:type="dxa"/>
            <w:tcBorders>
              <w:top w:val="nil"/>
              <w:left w:val="nil"/>
              <w:bottom w:val="nil"/>
              <w:right w:val="nil"/>
            </w:tcBorders>
            <w:shd w:val="clear" w:color="auto" w:fill="auto"/>
            <w:noWrap/>
            <w:vAlign w:val="center"/>
            <w:hideMark/>
          </w:tcPr>
          <w:p w:rsidR="00990C5C" w:rsidRPr="00990C5C" w:rsidRDefault="00990C5C" w:rsidP="00990C5C">
            <w:pPr>
              <w:spacing w:after="0" w:line="240" w:lineRule="auto"/>
              <w:jc w:val="center"/>
              <w:rPr>
                <w:rFonts w:ascii="Calibri" w:eastAsia="Times New Roman" w:hAnsi="Calibri" w:cs="Calibri"/>
                <w:color w:val="000000"/>
                <w:lang w:eastAsia="fi-FI"/>
              </w:rPr>
            </w:pPr>
            <w:r w:rsidRPr="00990C5C">
              <w:rPr>
                <w:rFonts w:ascii="Calibri" w:eastAsia="Times New Roman" w:hAnsi="Calibri" w:cs="Calibri"/>
                <w:color w:val="000000"/>
                <w:lang w:eastAsia="fi-FI"/>
              </w:rPr>
              <w:t>34</w:t>
            </w:r>
          </w:p>
        </w:tc>
        <w:tc>
          <w:tcPr>
            <w:tcW w:w="4111" w:type="dxa"/>
            <w:tcBorders>
              <w:top w:val="nil"/>
              <w:left w:val="nil"/>
              <w:bottom w:val="nil"/>
              <w:right w:val="nil"/>
            </w:tcBorders>
            <w:shd w:val="clear" w:color="auto" w:fill="auto"/>
            <w:noWrap/>
            <w:vAlign w:val="center"/>
            <w:hideMark/>
          </w:tcPr>
          <w:p w:rsidR="00990C5C" w:rsidRPr="00990C5C" w:rsidRDefault="00AF2674" w:rsidP="00990C5C">
            <w:pPr>
              <w:spacing w:after="0" w:line="240" w:lineRule="auto"/>
              <w:jc w:val="center"/>
              <w:rPr>
                <w:rFonts w:ascii="Calibri" w:eastAsia="Times New Roman" w:hAnsi="Calibri" w:cs="Calibri"/>
                <w:color w:val="000000"/>
                <w:lang w:eastAsia="fi-FI"/>
              </w:rPr>
            </w:pPr>
            <w:r>
              <w:rPr>
                <w:rFonts w:ascii="Calibri" w:eastAsia="Times New Roman" w:hAnsi="Calibri" w:cs="Calibri"/>
                <w:color w:val="000000"/>
                <w:lang w:eastAsia="fi-FI"/>
              </w:rPr>
              <w:t>∆</w:t>
            </w:r>
            <w:r w:rsidR="009D482E">
              <w:rPr>
                <w:rFonts w:ascii="Calibri" w:eastAsia="Times New Roman" w:hAnsi="Calibri" w:cs="Calibri"/>
                <w:color w:val="000000"/>
                <w:vertAlign w:val="superscript"/>
                <w:lang w:eastAsia="fi-FI"/>
              </w:rPr>
              <w:t>9</w:t>
            </w:r>
            <w:r w:rsidR="00990C5C" w:rsidRPr="00990C5C">
              <w:rPr>
                <w:rFonts w:ascii="Calibri" w:eastAsia="Times New Roman" w:hAnsi="Calibri" w:cs="Calibri"/>
                <w:color w:val="000000"/>
                <w:lang w:eastAsia="fi-FI"/>
              </w:rPr>
              <w:t>-THC-TMS</w:t>
            </w:r>
          </w:p>
        </w:tc>
        <w:tc>
          <w:tcPr>
            <w:tcW w:w="1984" w:type="dxa"/>
            <w:tcBorders>
              <w:top w:val="nil"/>
              <w:left w:val="nil"/>
              <w:bottom w:val="nil"/>
              <w:right w:val="nil"/>
            </w:tcBorders>
            <w:shd w:val="clear" w:color="auto" w:fill="auto"/>
            <w:noWrap/>
            <w:vAlign w:val="center"/>
            <w:hideMark/>
          </w:tcPr>
          <w:p w:rsidR="00990C5C" w:rsidRPr="00990C5C" w:rsidRDefault="00990C5C" w:rsidP="00990C5C">
            <w:pPr>
              <w:spacing w:after="0" w:line="240" w:lineRule="auto"/>
              <w:jc w:val="center"/>
              <w:rPr>
                <w:rFonts w:ascii="Calibri" w:eastAsia="Times New Roman" w:hAnsi="Calibri" w:cs="Calibri"/>
                <w:color w:val="000000"/>
                <w:lang w:eastAsia="fi-FI"/>
              </w:rPr>
            </w:pPr>
            <w:r w:rsidRPr="00990C5C">
              <w:rPr>
                <w:rFonts w:ascii="Calibri" w:eastAsia="Times New Roman" w:hAnsi="Calibri" w:cs="Calibri"/>
                <w:color w:val="000000"/>
                <w:lang w:eastAsia="fi-FI"/>
              </w:rPr>
              <w:t>16,569</w:t>
            </w:r>
          </w:p>
        </w:tc>
        <w:tc>
          <w:tcPr>
            <w:tcW w:w="1134" w:type="dxa"/>
            <w:tcBorders>
              <w:top w:val="nil"/>
              <w:left w:val="nil"/>
              <w:bottom w:val="nil"/>
              <w:right w:val="nil"/>
            </w:tcBorders>
            <w:shd w:val="clear" w:color="auto" w:fill="auto"/>
            <w:noWrap/>
            <w:vAlign w:val="center"/>
            <w:hideMark/>
          </w:tcPr>
          <w:p w:rsidR="00990C5C" w:rsidRPr="00990C5C" w:rsidRDefault="00990C5C" w:rsidP="00990C5C">
            <w:pPr>
              <w:spacing w:after="0" w:line="240" w:lineRule="auto"/>
              <w:jc w:val="center"/>
              <w:rPr>
                <w:rFonts w:ascii="Calibri" w:eastAsia="Times New Roman" w:hAnsi="Calibri" w:cs="Calibri"/>
                <w:color w:val="000000"/>
                <w:lang w:eastAsia="fi-FI"/>
              </w:rPr>
            </w:pPr>
            <w:r w:rsidRPr="00990C5C">
              <w:rPr>
                <w:rFonts w:ascii="Calibri" w:eastAsia="Times New Roman" w:hAnsi="Calibri" w:cs="Calibri"/>
                <w:color w:val="000000"/>
                <w:lang w:eastAsia="fi-FI"/>
              </w:rPr>
              <w:t>386,26</w:t>
            </w:r>
          </w:p>
        </w:tc>
        <w:tc>
          <w:tcPr>
            <w:tcW w:w="1843" w:type="dxa"/>
            <w:tcBorders>
              <w:top w:val="nil"/>
              <w:left w:val="nil"/>
              <w:bottom w:val="nil"/>
              <w:right w:val="nil"/>
            </w:tcBorders>
            <w:shd w:val="clear" w:color="auto" w:fill="auto"/>
            <w:noWrap/>
            <w:vAlign w:val="center"/>
            <w:hideMark/>
          </w:tcPr>
          <w:p w:rsidR="00990C5C" w:rsidRPr="00990C5C" w:rsidRDefault="00990C5C" w:rsidP="00990C5C">
            <w:pPr>
              <w:spacing w:after="0" w:line="240" w:lineRule="auto"/>
              <w:jc w:val="center"/>
              <w:rPr>
                <w:rFonts w:ascii="Calibri" w:eastAsia="Times New Roman" w:hAnsi="Calibri" w:cs="Calibri"/>
                <w:color w:val="000000"/>
                <w:lang w:eastAsia="fi-FI"/>
              </w:rPr>
            </w:pPr>
            <w:r w:rsidRPr="00990C5C">
              <w:rPr>
                <w:rFonts w:ascii="Calibri" w:eastAsia="Times New Roman" w:hAnsi="Calibri" w:cs="Calibri"/>
                <w:color w:val="000000"/>
                <w:lang w:eastAsia="fi-FI"/>
              </w:rPr>
              <w:t>C</w:t>
            </w:r>
            <w:r w:rsidRPr="00852F30">
              <w:rPr>
                <w:rFonts w:ascii="Calibri" w:eastAsia="Times New Roman" w:hAnsi="Calibri" w:cs="Calibri"/>
                <w:color w:val="000000"/>
                <w:vertAlign w:val="subscript"/>
                <w:lang w:eastAsia="fi-FI"/>
              </w:rPr>
              <w:t>24</w:t>
            </w:r>
            <w:r w:rsidR="00852F30">
              <w:rPr>
                <w:rFonts w:ascii="Calibri" w:eastAsia="Times New Roman" w:hAnsi="Calibri" w:cs="Calibri"/>
                <w:color w:val="000000"/>
                <w:lang w:eastAsia="fi-FI"/>
              </w:rPr>
              <w:t>H</w:t>
            </w:r>
            <w:r w:rsidRPr="00852F30">
              <w:rPr>
                <w:rFonts w:ascii="Calibri" w:eastAsia="Times New Roman" w:hAnsi="Calibri" w:cs="Calibri"/>
                <w:color w:val="000000"/>
                <w:vertAlign w:val="subscript"/>
                <w:lang w:eastAsia="fi-FI"/>
              </w:rPr>
              <w:t>38</w:t>
            </w:r>
            <w:r w:rsidRPr="00990C5C">
              <w:rPr>
                <w:rFonts w:ascii="Calibri" w:eastAsia="Times New Roman" w:hAnsi="Calibri" w:cs="Calibri"/>
                <w:color w:val="000000"/>
                <w:lang w:eastAsia="fi-FI"/>
              </w:rPr>
              <w:t>O</w:t>
            </w:r>
            <w:r w:rsidRPr="00852F30">
              <w:rPr>
                <w:rFonts w:ascii="Calibri" w:eastAsia="Times New Roman" w:hAnsi="Calibri" w:cs="Calibri"/>
                <w:color w:val="000000"/>
                <w:vertAlign w:val="subscript"/>
                <w:lang w:eastAsia="fi-FI"/>
              </w:rPr>
              <w:t>2</w:t>
            </w:r>
            <w:r w:rsidRPr="00990C5C">
              <w:rPr>
                <w:rFonts w:ascii="Calibri" w:eastAsia="Times New Roman" w:hAnsi="Calibri" w:cs="Calibri"/>
                <w:color w:val="000000"/>
                <w:lang w:eastAsia="fi-FI"/>
              </w:rPr>
              <w:t>Si</w:t>
            </w:r>
          </w:p>
        </w:tc>
        <w:tc>
          <w:tcPr>
            <w:tcW w:w="1500" w:type="dxa"/>
            <w:tcBorders>
              <w:top w:val="nil"/>
              <w:left w:val="nil"/>
              <w:bottom w:val="nil"/>
              <w:right w:val="nil"/>
            </w:tcBorders>
            <w:shd w:val="clear" w:color="auto" w:fill="auto"/>
            <w:noWrap/>
            <w:vAlign w:val="center"/>
            <w:hideMark/>
          </w:tcPr>
          <w:p w:rsidR="00990C5C" w:rsidRPr="00990C5C" w:rsidRDefault="00990C5C" w:rsidP="00990C5C">
            <w:pPr>
              <w:spacing w:after="0" w:line="240" w:lineRule="auto"/>
              <w:jc w:val="center"/>
              <w:rPr>
                <w:rFonts w:ascii="Calibri" w:eastAsia="Times New Roman" w:hAnsi="Calibri" w:cs="Calibri"/>
                <w:color w:val="000000"/>
                <w:lang w:eastAsia="fi-FI"/>
              </w:rPr>
            </w:pPr>
            <w:r w:rsidRPr="00990C5C">
              <w:rPr>
                <w:rFonts w:ascii="Calibri" w:eastAsia="Times New Roman" w:hAnsi="Calibri" w:cs="Calibri"/>
                <w:color w:val="000000"/>
                <w:lang w:eastAsia="fi-FI"/>
              </w:rPr>
              <w:t>Captiva, EMR</w:t>
            </w:r>
          </w:p>
        </w:tc>
        <w:tc>
          <w:tcPr>
            <w:tcW w:w="1477" w:type="dxa"/>
            <w:gridSpan w:val="2"/>
            <w:tcBorders>
              <w:top w:val="nil"/>
              <w:left w:val="nil"/>
              <w:bottom w:val="nil"/>
              <w:right w:val="nil"/>
            </w:tcBorders>
            <w:shd w:val="clear" w:color="auto" w:fill="auto"/>
            <w:noWrap/>
            <w:vAlign w:val="center"/>
            <w:hideMark/>
          </w:tcPr>
          <w:p w:rsidR="00990C5C" w:rsidRPr="00990C5C" w:rsidRDefault="00990C5C" w:rsidP="00990C5C">
            <w:pPr>
              <w:spacing w:after="0" w:line="240" w:lineRule="auto"/>
              <w:jc w:val="center"/>
              <w:rPr>
                <w:rFonts w:ascii="Calibri" w:eastAsia="Times New Roman" w:hAnsi="Calibri" w:cs="Calibri"/>
                <w:color w:val="000000"/>
                <w:lang w:eastAsia="fi-FI"/>
              </w:rPr>
            </w:pPr>
            <w:r w:rsidRPr="00990C5C">
              <w:rPr>
                <w:rFonts w:ascii="Calibri" w:eastAsia="Times New Roman" w:hAnsi="Calibri" w:cs="Calibri"/>
                <w:color w:val="000000"/>
                <w:lang w:eastAsia="fi-FI"/>
              </w:rPr>
              <w:t>85,6</w:t>
            </w:r>
          </w:p>
        </w:tc>
      </w:tr>
      <w:tr w:rsidR="006B47C9" w:rsidRPr="00990C5C" w:rsidTr="003D3A66">
        <w:tblPrEx>
          <w:tblCellMar>
            <w:left w:w="70" w:type="dxa"/>
            <w:right w:w="70" w:type="dxa"/>
          </w:tblCellMar>
        </w:tblPrEx>
        <w:trPr>
          <w:gridAfter w:val="1"/>
          <w:wAfter w:w="56" w:type="dxa"/>
          <w:trHeight w:val="300"/>
        </w:trPr>
        <w:tc>
          <w:tcPr>
            <w:tcW w:w="851" w:type="dxa"/>
            <w:tcBorders>
              <w:top w:val="nil"/>
              <w:left w:val="nil"/>
              <w:bottom w:val="nil"/>
              <w:right w:val="nil"/>
            </w:tcBorders>
            <w:shd w:val="clear" w:color="auto" w:fill="F2F2F2" w:themeFill="background1" w:themeFillShade="F2"/>
            <w:noWrap/>
            <w:vAlign w:val="center"/>
            <w:hideMark/>
          </w:tcPr>
          <w:p w:rsidR="00990C5C" w:rsidRPr="00990C5C" w:rsidRDefault="00990C5C" w:rsidP="00990C5C">
            <w:pPr>
              <w:spacing w:after="0" w:line="240" w:lineRule="auto"/>
              <w:jc w:val="center"/>
              <w:rPr>
                <w:rFonts w:ascii="Calibri" w:eastAsia="Times New Roman" w:hAnsi="Calibri" w:cs="Calibri"/>
                <w:color w:val="000000"/>
                <w:lang w:eastAsia="fi-FI"/>
              </w:rPr>
            </w:pPr>
            <w:r w:rsidRPr="00990C5C">
              <w:rPr>
                <w:rFonts w:ascii="Calibri" w:eastAsia="Times New Roman" w:hAnsi="Calibri" w:cs="Calibri"/>
                <w:color w:val="000000"/>
                <w:lang w:eastAsia="fi-FI"/>
              </w:rPr>
              <w:t>35</w:t>
            </w:r>
          </w:p>
        </w:tc>
        <w:tc>
          <w:tcPr>
            <w:tcW w:w="4111" w:type="dxa"/>
            <w:tcBorders>
              <w:top w:val="nil"/>
              <w:left w:val="nil"/>
              <w:bottom w:val="nil"/>
              <w:right w:val="nil"/>
            </w:tcBorders>
            <w:shd w:val="clear" w:color="auto" w:fill="F2F2F2" w:themeFill="background1" w:themeFillShade="F2"/>
            <w:noWrap/>
            <w:vAlign w:val="center"/>
            <w:hideMark/>
          </w:tcPr>
          <w:p w:rsidR="00990C5C" w:rsidRPr="00990C5C" w:rsidRDefault="00990C5C" w:rsidP="00990C5C">
            <w:pPr>
              <w:spacing w:after="0" w:line="240" w:lineRule="auto"/>
              <w:jc w:val="center"/>
              <w:rPr>
                <w:rFonts w:ascii="Calibri" w:eastAsia="Times New Roman" w:hAnsi="Calibri" w:cs="Calibri"/>
                <w:color w:val="000000"/>
                <w:lang w:eastAsia="fi-FI"/>
              </w:rPr>
            </w:pPr>
            <w:r w:rsidRPr="00990C5C">
              <w:rPr>
                <w:rFonts w:ascii="Calibri" w:eastAsia="Times New Roman" w:hAnsi="Calibri" w:cs="Calibri"/>
                <w:color w:val="000000"/>
                <w:lang w:eastAsia="fi-FI"/>
              </w:rPr>
              <w:t>Terpenoid-TMS</w:t>
            </w:r>
          </w:p>
        </w:tc>
        <w:tc>
          <w:tcPr>
            <w:tcW w:w="1984" w:type="dxa"/>
            <w:tcBorders>
              <w:top w:val="nil"/>
              <w:left w:val="nil"/>
              <w:bottom w:val="nil"/>
              <w:right w:val="nil"/>
            </w:tcBorders>
            <w:shd w:val="clear" w:color="auto" w:fill="F2F2F2" w:themeFill="background1" w:themeFillShade="F2"/>
            <w:noWrap/>
            <w:vAlign w:val="center"/>
            <w:hideMark/>
          </w:tcPr>
          <w:p w:rsidR="00990C5C" w:rsidRPr="00990C5C" w:rsidRDefault="00990C5C" w:rsidP="00990C5C">
            <w:pPr>
              <w:spacing w:after="0" w:line="240" w:lineRule="auto"/>
              <w:jc w:val="center"/>
              <w:rPr>
                <w:rFonts w:ascii="Calibri" w:eastAsia="Times New Roman" w:hAnsi="Calibri" w:cs="Calibri"/>
                <w:color w:val="000000"/>
                <w:lang w:eastAsia="fi-FI"/>
              </w:rPr>
            </w:pPr>
            <w:r w:rsidRPr="00990C5C">
              <w:rPr>
                <w:rFonts w:ascii="Calibri" w:eastAsia="Times New Roman" w:hAnsi="Calibri" w:cs="Calibri"/>
                <w:color w:val="000000"/>
                <w:lang w:eastAsia="fi-FI"/>
              </w:rPr>
              <w:t>16,681</w:t>
            </w:r>
          </w:p>
        </w:tc>
        <w:tc>
          <w:tcPr>
            <w:tcW w:w="1134" w:type="dxa"/>
            <w:tcBorders>
              <w:top w:val="nil"/>
              <w:left w:val="nil"/>
              <w:bottom w:val="nil"/>
              <w:right w:val="nil"/>
            </w:tcBorders>
            <w:shd w:val="clear" w:color="auto" w:fill="F2F2F2" w:themeFill="background1" w:themeFillShade="F2"/>
            <w:noWrap/>
            <w:vAlign w:val="center"/>
            <w:hideMark/>
          </w:tcPr>
          <w:p w:rsidR="00990C5C" w:rsidRPr="00990C5C" w:rsidRDefault="00990C5C" w:rsidP="00990C5C">
            <w:pPr>
              <w:spacing w:after="0" w:line="240" w:lineRule="auto"/>
              <w:jc w:val="center"/>
              <w:rPr>
                <w:rFonts w:ascii="Calibri" w:eastAsia="Times New Roman" w:hAnsi="Calibri" w:cs="Calibri"/>
                <w:color w:val="000000"/>
                <w:lang w:eastAsia="fi-FI"/>
              </w:rPr>
            </w:pPr>
          </w:p>
        </w:tc>
        <w:tc>
          <w:tcPr>
            <w:tcW w:w="1843" w:type="dxa"/>
            <w:tcBorders>
              <w:top w:val="nil"/>
              <w:left w:val="nil"/>
              <w:bottom w:val="nil"/>
              <w:right w:val="nil"/>
            </w:tcBorders>
            <w:shd w:val="clear" w:color="auto" w:fill="F2F2F2" w:themeFill="background1" w:themeFillShade="F2"/>
            <w:noWrap/>
            <w:vAlign w:val="center"/>
            <w:hideMark/>
          </w:tcPr>
          <w:p w:rsidR="00990C5C" w:rsidRPr="00990C5C" w:rsidRDefault="00990C5C" w:rsidP="00990C5C">
            <w:pPr>
              <w:spacing w:after="0" w:line="240" w:lineRule="auto"/>
              <w:jc w:val="center"/>
              <w:rPr>
                <w:rFonts w:ascii="Times New Roman" w:eastAsia="Times New Roman" w:hAnsi="Times New Roman" w:cs="Times New Roman"/>
                <w:sz w:val="20"/>
                <w:szCs w:val="20"/>
                <w:lang w:eastAsia="fi-FI"/>
              </w:rPr>
            </w:pPr>
          </w:p>
        </w:tc>
        <w:tc>
          <w:tcPr>
            <w:tcW w:w="1500" w:type="dxa"/>
            <w:tcBorders>
              <w:top w:val="nil"/>
              <w:left w:val="nil"/>
              <w:bottom w:val="nil"/>
              <w:right w:val="nil"/>
            </w:tcBorders>
            <w:shd w:val="clear" w:color="auto" w:fill="F2F2F2" w:themeFill="background1" w:themeFillShade="F2"/>
            <w:noWrap/>
            <w:vAlign w:val="center"/>
            <w:hideMark/>
          </w:tcPr>
          <w:p w:rsidR="00990C5C" w:rsidRPr="00990C5C" w:rsidRDefault="00990C5C" w:rsidP="00990C5C">
            <w:pPr>
              <w:spacing w:after="0" w:line="240" w:lineRule="auto"/>
              <w:jc w:val="center"/>
              <w:rPr>
                <w:rFonts w:ascii="Calibri" w:eastAsia="Times New Roman" w:hAnsi="Calibri" w:cs="Calibri"/>
                <w:color w:val="000000"/>
                <w:lang w:eastAsia="fi-FI"/>
              </w:rPr>
            </w:pPr>
            <w:r w:rsidRPr="00990C5C">
              <w:rPr>
                <w:rFonts w:ascii="Calibri" w:eastAsia="Times New Roman" w:hAnsi="Calibri" w:cs="Calibri"/>
                <w:color w:val="000000"/>
                <w:lang w:eastAsia="fi-FI"/>
              </w:rPr>
              <w:t>Captiva, EMR</w:t>
            </w:r>
          </w:p>
        </w:tc>
        <w:tc>
          <w:tcPr>
            <w:tcW w:w="1477" w:type="dxa"/>
            <w:gridSpan w:val="2"/>
            <w:tcBorders>
              <w:top w:val="nil"/>
              <w:left w:val="nil"/>
              <w:bottom w:val="nil"/>
              <w:right w:val="nil"/>
            </w:tcBorders>
            <w:shd w:val="clear" w:color="auto" w:fill="F2F2F2" w:themeFill="background1" w:themeFillShade="F2"/>
            <w:noWrap/>
            <w:vAlign w:val="center"/>
            <w:hideMark/>
          </w:tcPr>
          <w:p w:rsidR="00990C5C" w:rsidRPr="00990C5C" w:rsidRDefault="00990C5C" w:rsidP="00990C5C">
            <w:pPr>
              <w:spacing w:after="0" w:line="240" w:lineRule="auto"/>
              <w:jc w:val="center"/>
              <w:rPr>
                <w:rFonts w:ascii="Calibri" w:eastAsia="Times New Roman" w:hAnsi="Calibri" w:cs="Calibri"/>
                <w:color w:val="000000"/>
                <w:lang w:eastAsia="fi-FI"/>
              </w:rPr>
            </w:pPr>
          </w:p>
        </w:tc>
      </w:tr>
      <w:tr w:rsidR="006B47C9" w:rsidRPr="00990C5C" w:rsidTr="003D3A66">
        <w:tblPrEx>
          <w:tblCellMar>
            <w:left w:w="70" w:type="dxa"/>
            <w:right w:w="70" w:type="dxa"/>
          </w:tblCellMar>
        </w:tblPrEx>
        <w:trPr>
          <w:gridAfter w:val="1"/>
          <w:wAfter w:w="56" w:type="dxa"/>
          <w:trHeight w:val="300"/>
        </w:trPr>
        <w:tc>
          <w:tcPr>
            <w:tcW w:w="851" w:type="dxa"/>
            <w:tcBorders>
              <w:top w:val="nil"/>
              <w:left w:val="nil"/>
              <w:bottom w:val="nil"/>
              <w:right w:val="nil"/>
            </w:tcBorders>
            <w:shd w:val="clear" w:color="auto" w:fill="auto"/>
            <w:noWrap/>
            <w:vAlign w:val="center"/>
            <w:hideMark/>
          </w:tcPr>
          <w:p w:rsidR="00990C5C" w:rsidRPr="00990C5C" w:rsidRDefault="00990C5C" w:rsidP="00990C5C">
            <w:pPr>
              <w:spacing w:after="0" w:line="240" w:lineRule="auto"/>
              <w:jc w:val="center"/>
              <w:rPr>
                <w:rFonts w:ascii="Calibri" w:eastAsia="Times New Roman" w:hAnsi="Calibri" w:cs="Calibri"/>
                <w:color w:val="000000"/>
                <w:lang w:eastAsia="fi-FI"/>
              </w:rPr>
            </w:pPr>
            <w:r w:rsidRPr="00990C5C">
              <w:rPr>
                <w:rFonts w:ascii="Calibri" w:eastAsia="Times New Roman" w:hAnsi="Calibri" w:cs="Calibri"/>
                <w:color w:val="000000"/>
                <w:lang w:eastAsia="fi-FI"/>
              </w:rPr>
              <w:t>36</w:t>
            </w:r>
          </w:p>
        </w:tc>
        <w:tc>
          <w:tcPr>
            <w:tcW w:w="4111" w:type="dxa"/>
            <w:tcBorders>
              <w:top w:val="nil"/>
              <w:left w:val="nil"/>
              <w:bottom w:val="nil"/>
              <w:right w:val="nil"/>
            </w:tcBorders>
            <w:shd w:val="clear" w:color="auto" w:fill="auto"/>
            <w:noWrap/>
            <w:vAlign w:val="center"/>
            <w:hideMark/>
          </w:tcPr>
          <w:p w:rsidR="00990C5C" w:rsidRPr="00990C5C" w:rsidRDefault="00990C5C" w:rsidP="00990C5C">
            <w:pPr>
              <w:spacing w:after="0" w:line="240" w:lineRule="auto"/>
              <w:jc w:val="center"/>
              <w:rPr>
                <w:rFonts w:ascii="Calibri" w:eastAsia="Times New Roman" w:hAnsi="Calibri" w:cs="Calibri"/>
                <w:color w:val="000000"/>
                <w:lang w:eastAsia="fi-FI"/>
              </w:rPr>
            </w:pPr>
            <w:r w:rsidRPr="00990C5C">
              <w:rPr>
                <w:rFonts w:ascii="Calibri" w:eastAsia="Times New Roman" w:hAnsi="Calibri" w:cs="Calibri"/>
                <w:color w:val="000000"/>
                <w:lang w:eastAsia="fi-FI"/>
              </w:rPr>
              <w:t>Terpenoid-TMS</w:t>
            </w:r>
          </w:p>
        </w:tc>
        <w:tc>
          <w:tcPr>
            <w:tcW w:w="1984" w:type="dxa"/>
            <w:tcBorders>
              <w:top w:val="nil"/>
              <w:left w:val="nil"/>
              <w:bottom w:val="nil"/>
              <w:right w:val="nil"/>
            </w:tcBorders>
            <w:shd w:val="clear" w:color="auto" w:fill="auto"/>
            <w:noWrap/>
            <w:vAlign w:val="center"/>
            <w:hideMark/>
          </w:tcPr>
          <w:p w:rsidR="00990C5C" w:rsidRPr="00990C5C" w:rsidRDefault="00990C5C" w:rsidP="00990C5C">
            <w:pPr>
              <w:spacing w:after="0" w:line="240" w:lineRule="auto"/>
              <w:jc w:val="center"/>
              <w:rPr>
                <w:rFonts w:ascii="Calibri" w:eastAsia="Times New Roman" w:hAnsi="Calibri" w:cs="Calibri"/>
                <w:color w:val="000000"/>
                <w:lang w:eastAsia="fi-FI"/>
              </w:rPr>
            </w:pPr>
            <w:r w:rsidRPr="00990C5C">
              <w:rPr>
                <w:rFonts w:ascii="Calibri" w:eastAsia="Times New Roman" w:hAnsi="Calibri" w:cs="Calibri"/>
                <w:color w:val="000000"/>
                <w:lang w:eastAsia="fi-FI"/>
              </w:rPr>
              <w:t>16,933</w:t>
            </w:r>
          </w:p>
        </w:tc>
        <w:tc>
          <w:tcPr>
            <w:tcW w:w="1134" w:type="dxa"/>
            <w:tcBorders>
              <w:top w:val="nil"/>
              <w:left w:val="nil"/>
              <w:bottom w:val="nil"/>
              <w:right w:val="nil"/>
            </w:tcBorders>
            <w:shd w:val="clear" w:color="auto" w:fill="auto"/>
            <w:noWrap/>
            <w:vAlign w:val="center"/>
            <w:hideMark/>
          </w:tcPr>
          <w:p w:rsidR="00990C5C" w:rsidRPr="00990C5C" w:rsidRDefault="00990C5C" w:rsidP="00990C5C">
            <w:pPr>
              <w:spacing w:after="0" w:line="240" w:lineRule="auto"/>
              <w:jc w:val="center"/>
              <w:rPr>
                <w:rFonts w:ascii="Calibri" w:eastAsia="Times New Roman" w:hAnsi="Calibri" w:cs="Calibri"/>
                <w:color w:val="000000"/>
                <w:lang w:eastAsia="fi-FI"/>
              </w:rPr>
            </w:pPr>
          </w:p>
        </w:tc>
        <w:tc>
          <w:tcPr>
            <w:tcW w:w="1843" w:type="dxa"/>
            <w:tcBorders>
              <w:top w:val="nil"/>
              <w:left w:val="nil"/>
              <w:bottom w:val="nil"/>
              <w:right w:val="nil"/>
            </w:tcBorders>
            <w:shd w:val="clear" w:color="auto" w:fill="auto"/>
            <w:noWrap/>
            <w:vAlign w:val="center"/>
            <w:hideMark/>
          </w:tcPr>
          <w:p w:rsidR="00990C5C" w:rsidRPr="00990C5C" w:rsidRDefault="00990C5C" w:rsidP="00990C5C">
            <w:pPr>
              <w:spacing w:after="0" w:line="240" w:lineRule="auto"/>
              <w:jc w:val="center"/>
              <w:rPr>
                <w:rFonts w:ascii="Times New Roman" w:eastAsia="Times New Roman" w:hAnsi="Times New Roman" w:cs="Times New Roman"/>
                <w:sz w:val="20"/>
                <w:szCs w:val="20"/>
                <w:lang w:eastAsia="fi-FI"/>
              </w:rPr>
            </w:pPr>
          </w:p>
        </w:tc>
        <w:tc>
          <w:tcPr>
            <w:tcW w:w="1500" w:type="dxa"/>
            <w:tcBorders>
              <w:top w:val="nil"/>
              <w:left w:val="nil"/>
              <w:bottom w:val="nil"/>
              <w:right w:val="nil"/>
            </w:tcBorders>
            <w:shd w:val="clear" w:color="auto" w:fill="auto"/>
            <w:noWrap/>
            <w:vAlign w:val="center"/>
            <w:hideMark/>
          </w:tcPr>
          <w:p w:rsidR="00990C5C" w:rsidRPr="00990C5C" w:rsidRDefault="00990C5C" w:rsidP="00990C5C">
            <w:pPr>
              <w:spacing w:after="0" w:line="240" w:lineRule="auto"/>
              <w:jc w:val="center"/>
              <w:rPr>
                <w:rFonts w:ascii="Calibri" w:eastAsia="Times New Roman" w:hAnsi="Calibri" w:cs="Calibri"/>
                <w:color w:val="000000"/>
                <w:lang w:eastAsia="fi-FI"/>
              </w:rPr>
            </w:pPr>
            <w:r w:rsidRPr="00990C5C">
              <w:rPr>
                <w:rFonts w:ascii="Calibri" w:eastAsia="Times New Roman" w:hAnsi="Calibri" w:cs="Calibri"/>
                <w:color w:val="000000"/>
                <w:lang w:eastAsia="fi-FI"/>
              </w:rPr>
              <w:t>Captiva, EMR</w:t>
            </w:r>
          </w:p>
        </w:tc>
        <w:tc>
          <w:tcPr>
            <w:tcW w:w="1477" w:type="dxa"/>
            <w:gridSpan w:val="2"/>
            <w:tcBorders>
              <w:top w:val="nil"/>
              <w:left w:val="nil"/>
              <w:bottom w:val="nil"/>
              <w:right w:val="nil"/>
            </w:tcBorders>
            <w:shd w:val="clear" w:color="auto" w:fill="auto"/>
            <w:noWrap/>
            <w:vAlign w:val="center"/>
            <w:hideMark/>
          </w:tcPr>
          <w:p w:rsidR="00990C5C" w:rsidRPr="00990C5C" w:rsidRDefault="00990C5C" w:rsidP="00990C5C">
            <w:pPr>
              <w:spacing w:after="0" w:line="240" w:lineRule="auto"/>
              <w:jc w:val="center"/>
              <w:rPr>
                <w:rFonts w:ascii="Calibri" w:eastAsia="Times New Roman" w:hAnsi="Calibri" w:cs="Calibri"/>
                <w:color w:val="000000"/>
                <w:lang w:eastAsia="fi-FI"/>
              </w:rPr>
            </w:pPr>
          </w:p>
        </w:tc>
      </w:tr>
      <w:tr w:rsidR="006B47C9" w:rsidRPr="00990C5C" w:rsidTr="003D3A66">
        <w:tblPrEx>
          <w:tblCellMar>
            <w:left w:w="70" w:type="dxa"/>
            <w:right w:w="70" w:type="dxa"/>
          </w:tblCellMar>
        </w:tblPrEx>
        <w:trPr>
          <w:gridAfter w:val="1"/>
          <w:wAfter w:w="56" w:type="dxa"/>
          <w:trHeight w:val="300"/>
        </w:trPr>
        <w:tc>
          <w:tcPr>
            <w:tcW w:w="851" w:type="dxa"/>
            <w:tcBorders>
              <w:top w:val="nil"/>
              <w:left w:val="nil"/>
              <w:bottom w:val="nil"/>
              <w:right w:val="nil"/>
            </w:tcBorders>
            <w:shd w:val="clear" w:color="auto" w:fill="auto"/>
            <w:noWrap/>
            <w:vAlign w:val="center"/>
            <w:hideMark/>
          </w:tcPr>
          <w:p w:rsidR="00990C5C" w:rsidRPr="00990C5C" w:rsidRDefault="00990C5C" w:rsidP="00990C5C">
            <w:pPr>
              <w:spacing w:after="0" w:line="240" w:lineRule="auto"/>
              <w:jc w:val="center"/>
              <w:rPr>
                <w:rFonts w:ascii="Calibri" w:eastAsia="Times New Roman" w:hAnsi="Calibri" w:cs="Calibri"/>
                <w:color w:val="000000"/>
                <w:lang w:eastAsia="fi-FI"/>
              </w:rPr>
            </w:pPr>
            <w:r w:rsidRPr="00990C5C">
              <w:rPr>
                <w:rFonts w:ascii="Calibri" w:eastAsia="Times New Roman" w:hAnsi="Calibri" w:cs="Calibri"/>
                <w:color w:val="000000"/>
                <w:lang w:eastAsia="fi-FI"/>
              </w:rPr>
              <w:t>37</w:t>
            </w:r>
          </w:p>
        </w:tc>
        <w:tc>
          <w:tcPr>
            <w:tcW w:w="4111" w:type="dxa"/>
            <w:tcBorders>
              <w:top w:val="nil"/>
              <w:left w:val="nil"/>
              <w:bottom w:val="nil"/>
              <w:right w:val="nil"/>
            </w:tcBorders>
            <w:shd w:val="clear" w:color="auto" w:fill="auto"/>
            <w:noWrap/>
            <w:vAlign w:val="center"/>
            <w:hideMark/>
          </w:tcPr>
          <w:p w:rsidR="00990C5C" w:rsidRPr="00990C5C" w:rsidRDefault="00990C5C" w:rsidP="00990C5C">
            <w:pPr>
              <w:spacing w:after="0" w:line="240" w:lineRule="auto"/>
              <w:jc w:val="center"/>
              <w:rPr>
                <w:rFonts w:ascii="Calibri" w:eastAsia="Times New Roman" w:hAnsi="Calibri" w:cs="Calibri"/>
                <w:color w:val="000000"/>
                <w:lang w:eastAsia="fi-FI"/>
              </w:rPr>
            </w:pPr>
            <w:r w:rsidRPr="00990C5C">
              <w:rPr>
                <w:rFonts w:ascii="Calibri" w:eastAsia="Times New Roman" w:hAnsi="Calibri" w:cs="Calibri"/>
                <w:color w:val="000000"/>
                <w:lang w:eastAsia="fi-FI"/>
              </w:rPr>
              <w:t>Terpenoid-TMS</w:t>
            </w:r>
          </w:p>
        </w:tc>
        <w:tc>
          <w:tcPr>
            <w:tcW w:w="1984" w:type="dxa"/>
            <w:tcBorders>
              <w:top w:val="nil"/>
              <w:left w:val="nil"/>
              <w:bottom w:val="nil"/>
              <w:right w:val="nil"/>
            </w:tcBorders>
            <w:shd w:val="clear" w:color="auto" w:fill="auto"/>
            <w:noWrap/>
            <w:vAlign w:val="center"/>
            <w:hideMark/>
          </w:tcPr>
          <w:p w:rsidR="00990C5C" w:rsidRPr="00990C5C" w:rsidRDefault="00990C5C" w:rsidP="00990C5C">
            <w:pPr>
              <w:spacing w:after="0" w:line="240" w:lineRule="auto"/>
              <w:jc w:val="center"/>
              <w:rPr>
                <w:rFonts w:ascii="Calibri" w:eastAsia="Times New Roman" w:hAnsi="Calibri" w:cs="Calibri"/>
                <w:color w:val="000000"/>
                <w:lang w:eastAsia="fi-FI"/>
              </w:rPr>
            </w:pPr>
            <w:r w:rsidRPr="00990C5C">
              <w:rPr>
                <w:rFonts w:ascii="Calibri" w:eastAsia="Times New Roman" w:hAnsi="Calibri" w:cs="Calibri"/>
                <w:color w:val="000000"/>
                <w:lang w:eastAsia="fi-FI"/>
              </w:rPr>
              <w:t>16,975</w:t>
            </w:r>
          </w:p>
        </w:tc>
        <w:tc>
          <w:tcPr>
            <w:tcW w:w="1134" w:type="dxa"/>
            <w:tcBorders>
              <w:top w:val="nil"/>
              <w:left w:val="nil"/>
              <w:bottom w:val="nil"/>
              <w:right w:val="nil"/>
            </w:tcBorders>
            <w:shd w:val="clear" w:color="auto" w:fill="auto"/>
            <w:noWrap/>
            <w:vAlign w:val="center"/>
            <w:hideMark/>
          </w:tcPr>
          <w:p w:rsidR="00990C5C" w:rsidRPr="00990C5C" w:rsidRDefault="00990C5C" w:rsidP="00990C5C">
            <w:pPr>
              <w:spacing w:after="0" w:line="240" w:lineRule="auto"/>
              <w:jc w:val="center"/>
              <w:rPr>
                <w:rFonts w:ascii="Calibri" w:eastAsia="Times New Roman" w:hAnsi="Calibri" w:cs="Calibri"/>
                <w:color w:val="000000"/>
                <w:lang w:eastAsia="fi-FI"/>
              </w:rPr>
            </w:pPr>
          </w:p>
        </w:tc>
        <w:tc>
          <w:tcPr>
            <w:tcW w:w="1843" w:type="dxa"/>
            <w:tcBorders>
              <w:top w:val="nil"/>
              <w:left w:val="nil"/>
              <w:bottom w:val="nil"/>
              <w:right w:val="nil"/>
            </w:tcBorders>
            <w:shd w:val="clear" w:color="auto" w:fill="auto"/>
            <w:noWrap/>
            <w:vAlign w:val="center"/>
            <w:hideMark/>
          </w:tcPr>
          <w:p w:rsidR="00990C5C" w:rsidRPr="00990C5C" w:rsidRDefault="00990C5C" w:rsidP="00990C5C">
            <w:pPr>
              <w:spacing w:after="0" w:line="240" w:lineRule="auto"/>
              <w:jc w:val="center"/>
              <w:rPr>
                <w:rFonts w:ascii="Times New Roman" w:eastAsia="Times New Roman" w:hAnsi="Times New Roman" w:cs="Times New Roman"/>
                <w:sz w:val="20"/>
                <w:szCs w:val="20"/>
                <w:lang w:eastAsia="fi-FI"/>
              </w:rPr>
            </w:pPr>
          </w:p>
        </w:tc>
        <w:tc>
          <w:tcPr>
            <w:tcW w:w="1500" w:type="dxa"/>
            <w:tcBorders>
              <w:top w:val="nil"/>
              <w:left w:val="nil"/>
              <w:bottom w:val="nil"/>
              <w:right w:val="nil"/>
            </w:tcBorders>
            <w:shd w:val="clear" w:color="auto" w:fill="auto"/>
            <w:noWrap/>
            <w:vAlign w:val="center"/>
            <w:hideMark/>
          </w:tcPr>
          <w:p w:rsidR="00990C5C" w:rsidRPr="00990C5C" w:rsidRDefault="00990C5C" w:rsidP="00990C5C">
            <w:pPr>
              <w:spacing w:after="0" w:line="240" w:lineRule="auto"/>
              <w:jc w:val="center"/>
              <w:rPr>
                <w:rFonts w:ascii="Calibri" w:eastAsia="Times New Roman" w:hAnsi="Calibri" w:cs="Calibri"/>
                <w:color w:val="000000"/>
                <w:lang w:eastAsia="fi-FI"/>
              </w:rPr>
            </w:pPr>
            <w:r w:rsidRPr="00990C5C">
              <w:rPr>
                <w:rFonts w:ascii="Calibri" w:eastAsia="Times New Roman" w:hAnsi="Calibri" w:cs="Calibri"/>
                <w:color w:val="000000"/>
                <w:lang w:eastAsia="fi-FI"/>
              </w:rPr>
              <w:t>Captiva, EMR</w:t>
            </w:r>
          </w:p>
        </w:tc>
        <w:tc>
          <w:tcPr>
            <w:tcW w:w="1477" w:type="dxa"/>
            <w:gridSpan w:val="2"/>
            <w:tcBorders>
              <w:top w:val="nil"/>
              <w:left w:val="nil"/>
              <w:bottom w:val="nil"/>
              <w:right w:val="nil"/>
            </w:tcBorders>
            <w:shd w:val="clear" w:color="auto" w:fill="auto"/>
            <w:noWrap/>
            <w:vAlign w:val="center"/>
            <w:hideMark/>
          </w:tcPr>
          <w:p w:rsidR="00990C5C" w:rsidRPr="00990C5C" w:rsidRDefault="00990C5C" w:rsidP="00990C5C">
            <w:pPr>
              <w:spacing w:after="0" w:line="240" w:lineRule="auto"/>
              <w:jc w:val="center"/>
              <w:rPr>
                <w:rFonts w:ascii="Calibri" w:eastAsia="Times New Roman" w:hAnsi="Calibri" w:cs="Calibri"/>
                <w:color w:val="000000"/>
                <w:lang w:eastAsia="fi-FI"/>
              </w:rPr>
            </w:pPr>
          </w:p>
        </w:tc>
      </w:tr>
      <w:tr w:rsidR="006B47C9" w:rsidRPr="00990C5C" w:rsidTr="003D3A66">
        <w:tblPrEx>
          <w:tblCellMar>
            <w:left w:w="70" w:type="dxa"/>
            <w:right w:w="70" w:type="dxa"/>
          </w:tblCellMar>
        </w:tblPrEx>
        <w:trPr>
          <w:gridAfter w:val="1"/>
          <w:wAfter w:w="56" w:type="dxa"/>
          <w:trHeight w:val="300"/>
        </w:trPr>
        <w:tc>
          <w:tcPr>
            <w:tcW w:w="851" w:type="dxa"/>
            <w:tcBorders>
              <w:top w:val="nil"/>
              <w:left w:val="nil"/>
              <w:bottom w:val="nil"/>
              <w:right w:val="nil"/>
            </w:tcBorders>
            <w:shd w:val="clear" w:color="auto" w:fill="auto"/>
            <w:noWrap/>
            <w:vAlign w:val="center"/>
            <w:hideMark/>
          </w:tcPr>
          <w:p w:rsidR="00990C5C" w:rsidRPr="00990C5C" w:rsidRDefault="00990C5C" w:rsidP="00990C5C">
            <w:pPr>
              <w:spacing w:after="0" w:line="240" w:lineRule="auto"/>
              <w:jc w:val="center"/>
              <w:rPr>
                <w:rFonts w:ascii="Calibri" w:eastAsia="Times New Roman" w:hAnsi="Calibri" w:cs="Calibri"/>
                <w:color w:val="000000"/>
                <w:lang w:eastAsia="fi-FI"/>
              </w:rPr>
            </w:pPr>
            <w:r w:rsidRPr="00990C5C">
              <w:rPr>
                <w:rFonts w:ascii="Calibri" w:eastAsia="Times New Roman" w:hAnsi="Calibri" w:cs="Calibri"/>
                <w:color w:val="000000"/>
                <w:lang w:eastAsia="fi-FI"/>
              </w:rPr>
              <w:t>38</w:t>
            </w:r>
          </w:p>
        </w:tc>
        <w:tc>
          <w:tcPr>
            <w:tcW w:w="4111" w:type="dxa"/>
            <w:tcBorders>
              <w:top w:val="nil"/>
              <w:left w:val="nil"/>
              <w:bottom w:val="nil"/>
              <w:right w:val="nil"/>
            </w:tcBorders>
            <w:shd w:val="clear" w:color="auto" w:fill="auto"/>
            <w:noWrap/>
            <w:vAlign w:val="center"/>
            <w:hideMark/>
          </w:tcPr>
          <w:p w:rsidR="00990C5C" w:rsidRPr="00990C5C" w:rsidRDefault="00990C5C" w:rsidP="00990C5C">
            <w:pPr>
              <w:spacing w:after="0" w:line="240" w:lineRule="auto"/>
              <w:jc w:val="center"/>
              <w:rPr>
                <w:rFonts w:ascii="Calibri" w:eastAsia="Times New Roman" w:hAnsi="Calibri" w:cs="Calibri"/>
                <w:color w:val="000000"/>
                <w:lang w:eastAsia="fi-FI"/>
              </w:rPr>
            </w:pPr>
            <w:r w:rsidRPr="00990C5C">
              <w:rPr>
                <w:rFonts w:ascii="Calibri" w:eastAsia="Times New Roman" w:hAnsi="Calibri" w:cs="Calibri"/>
                <w:color w:val="000000"/>
                <w:lang w:eastAsia="fi-FI"/>
              </w:rPr>
              <w:t>2-Methoxyestradiol-2TMS</w:t>
            </w:r>
          </w:p>
        </w:tc>
        <w:tc>
          <w:tcPr>
            <w:tcW w:w="1984" w:type="dxa"/>
            <w:tcBorders>
              <w:top w:val="nil"/>
              <w:left w:val="nil"/>
              <w:bottom w:val="nil"/>
              <w:right w:val="nil"/>
            </w:tcBorders>
            <w:shd w:val="clear" w:color="auto" w:fill="auto"/>
            <w:noWrap/>
            <w:vAlign w:val="center"/>
            <w:hideMark/>
          </w:tcPr>
          <w:p w:rsidR="00990C5C" w:rsidRPr="00990C5C" w:rsidRDefault="00990C5C" w:rsidP="00990C5C">
            <w:pPr>
              <w:spacing w:after="0" w:line="240" w:lineRule="auto"/>
              <w:jc w:val="center"/>
              <w:rPr>
                <w:rFonts w:ascii="Calibri" w:eastAsia="Times New Roman" w:hAnsi="Calibri" w:cs="Calibri"/>
                <w:color w:val="000000"/>
                <w:lang w:eastAsia="fi-FI"/>
              </w:rPr>
            </w:pPr>
            <w:r w:rsidRPr="00990C5C">
              <w:rPr>
                <w:rFonts w:ascii="Calibri" w:eastAsia="Times New Roman" w:hAnsi="Calibri" w:cs="Calibri"/>
                <w:color w:val="000000"/>
                <w:lang w:eastAsia="fi-FI"/>
              </w:rPr>
              <w:t>17,212</w:t>
            </w:r>
          </w:p>
        </w:tc>
        <w:tc>
          <w:tcPr>
            <w:tcW w:w="1134" w:type="dxa"/>
            <w:tcBorders>
              <w:top w:val="nil"/>
              <w:left w:val="nil"/>
              <w:bottom w:val="nil"/>
              <w:right w:val="nil"/>
            </w:tcBorders>
            <w:shd w:val="clear" w:color="auto" w:fill="auto"/>
            <w:noWrap/>
            <w:vAlign w:val="center"/>
            <w:hideMark/>
          </w:tcPr>
          <w:p w:rsidR="00990C5C" w:rsidRPr="00990C5C" w:rsidRDefault="00990C5C" w:rsidP="00990C5C">
            <w:pPr>
              <w:spacing w:after="0" w:line="240" w:lineRule="auto"/>
              <w:jc w:val="center"/>
              <w:rPr>
                <w:rFonts w:ascii="Calibri" w:eastAsia="Times New Roman" w:hAnsi="Calibri" w:cs="Calibri"/>
                <w:color w:val="000000"/>
                <w:lang w:eastAsia="fi-FI"/>
              </w:rPr>
            </w:pPr>
            <w:r w:rsidRPr="00990C5C">
              <w:rPr>
                <w:rFonts w:ascii="Calibri" w:eastAsia="Times New Roman" w:hAnsi="Calibri" w:cs="Calibri"/>
                <w:color w:val="000000"/>
                <w:lang w:eastAsia="fi-FI"/>
              </w:rPr>
              <w:t>302,408</w:t>
            </w:r>
          </w:p>
        </w:tc>
        <w:tc>
          <w:tcPr>
            <w:tcW w:w="1843" w:type="dxa"/>
            <w:tcBorders>
              <w:top w:val="nil"/>
              <w:left w:val="nil"/>
              <w:bottom w:val="nil"/>
              <w:right w:val="nil"/>
            </w:tcBorders>
            <w:shd w:val="clear" w:color="auto" w:fill="auto"/>
            <w:noWrap/>
            <w:vAlign w:val="center"/>
            <w:hideMark/>
          </w:tcPr>
          <w:p w:rsidR="00990C5C" w:rsidRPr="00990C5C" w:rsidRDefault="00990C5C" w:rsidP="00990C5C">
            <w:pPr>
              <w:spacing w:after="0" w:line="240" w:lineRule="auto"/>
              <w:jc w:val="center"/>
              <w:rPr>
                <w:rFonts w:ascii="Calibri" w:eastAsia="Times New Roman" w:hAnsi="Calibri" w:cs="Calibri"/>
                <w:color w:val="000000"/>
                <w:lang w:eastAsia="fi-FI"/>
              </w:rPr>
            </w:pPr>
            <w:r w:rsidRPr="00990C5C">
              <w:rPr>
                <w:rFonts w:ascii="Calibri" w:eastAsia="Times New Roman" w:hAnsi="Calibri" w:cs="Calibri"/>
                <w:color w:val="000000"/>
                <w:lang w:eastAsia="fi-FI"/>
              </w:rPr>
              <w:t>C</w:t>
            </w:r>
            <w:r w:rsidRPr="00852F30">
              <w:rPr>
                <w:rFonts w:ascii="Calibri" w:eastAsia="Times New Roman" w:hAnsi="Calibri" w:cs="Calibri"/>
                <w:color w:val="000000"/>
                <w:vertAlign w:val="subscript"/>
                <w:lang w:eastAsia="fi-FI"/>
              </w:rPr>
              <w:t>19</w:t>
            </w:r>
            <w:r w:rsidRPr="00990C5C">
              <w:rPr>
                <w:rFonts w:ascii="Calibri" w:eastAsia="Times New Roman" w:hAnsi="Calibri" w:cs="Calibri"/>
                <w:color w:val="000000"/>
                <w:lang w:eastAsia="fi-FI"/>
              </w:rPr>
              <w:t>H</w:t>
            </w:r>
            <w:r w:rsidRPr="00852F30">
              <w:rPr>
                <w:rFonts w:ascii="Calibri" w:eastAsia="Times New Roman" w:hAnsi="Calibri" w:cs="Calibri"/>
                <w:color w:val="000000"/>
                <w:vertAlign w:val="subscript"/>
                <w:lang w:eastAsia="fi-FI"/>
              </w:rPr>
              <w:t>26</w:t>
            </w:r>
            <w:r w:rsidRPr="00990C5C">
              <w:rPr>
                <w:rFonts w:ascii="Calibri" w:eastAsia="Times New Roman" w:hAnsi="Calibri" w:cs="Calibri"/>
                <w:color w:val="000000"/>
                <w:lang w:eastAsia="fi-FI"/>
              </w:rPr>
              <w:t>O</w:t>
            </w:r>
            <w:r w:rsidRPr="00852F30">
              <w:rPr>
                <w:rFonts w:ascii="Calibri" w:eastAsia="Times New Roman" w:hAnsi="Calibri" w:cs="Calibri"/>
                <w:color w:val="000000"/>
                <w:vertAlign w:val="subscript"/>
                <w:lang w:eastAsia="fi-FI"/>
              </w:rPr>
              <w:t>3</w:t>
            </w:r>
          </w:p>
        </w:tc>
        <w:tc>
          <w:tcPr>
            <w:tcW w:w="1500" w:type="dxa"/>
            <w:tcBorders>
              <w:top w:val="nil"/>
              <w:left w:val="nil"/>
              <w:bottom w:val="nil"/>
              <w:right w:val="nil"/>
            </w:tcBorders>
            <w:shd w:val="clear" w:color="auto" w:fill="auto"/>
            <w:noWrap/>
            <w:vAlign w:val="center"/>
            <w:hideMark/>
          </w:tcPr>
          <w:p w:rsidR="00990C5C" w:rsidRPr="00990C5C" w:rsidRDefault="00990C5C" w:rsidP="00990C5C">
            <w:pPr>
              <w:spacing w:after="0" w:line="240" w:lineRule="auto"/>
              <w:jc w:val="center"/>
              <w:rPr>
                <w:rFonts w:ascii="Calibri" w:eastAsia="Times New Roman" w:hAnsi="Calibri" w:cs="Calibri"/>
                <w:color w:val="000000"/>
                <w:lang w:eastAsia="fi-FI"/>
              </w:rPr>
            </w:pPr>
            <w:r w:rsidRPr="00990C5C">
              <w:rPr>
                <w:rFonts w:ascii="Calibri" w:eastAsia="Times New Roman" w:hAnsi="Calibri" w:cs="Calibri"/>
                <w:color w:val="000000"/>
                <w:lang w:eastAsia="fi-FI"/>
              </w:rPr>
              <w:t>EMR</w:t>
            </w:r>
          </w:p>
        </w:tc>
        <w:tc>
          <w:tcPr>
            <w:tcW w:w="1477" w:type="dxa"/>
            <w:gridSpan w:val="2"/>
            <w:tcBorders>
              <w:top w:val="nil"/>
              <w:left w:val="nil"/>
              <w:bottom w:val="nil"/>
              <w:right w:val="nil"/>
            </w:tcBorders>
            <w:shd w:val="clear" w:color="auto" w:fill="auto"/>
            <w:noWrap/>
            <w:vAlign w:val="center"/>
            <w:hideMark/>
          </w:tcPr>
          <w:p w:rsidR="00990C5C" w:rsidRPr="00990C5C" w:rsidRDefault="00990C5C" w:rsidP="00990C5C">
            <w:pPr>
              <w:spacing w:after="0" w:line="240" w:lineRule="auto"/>
              <w:jc w:val="center"/>
              <w:rPr>
                <w:rFonts w:ascii="Calibri" w:eastAsia="Times New Roman" w:hAnsi="Calibri" w:cs="Calibri"/>
                <w:color w:val="000000"/>
                <w:lang w:eastAsia="fi-FI"/>
              </w:rPr>
            </w:pPr>
            <w:r w:rsidRPr="00990C5C">
              <w:rPr>
                <w:rFonts w:ascii="Calibri" w:eastAsia="Times New Roman" w:hAnsi="Calibri" w:cs="Calibri"/>
                <w:color w:val="000000"/>
                <w:lang w:eastAsia="fi-FI"/>
              </w:rPr>
              <w:t>39,9</w:t>
            </w:r>
          </w:p>
        </w:tc>
      </w:tr>
      <w:tr w:rsidR="006B47C9" w:rsidRPr="00990C5C" w:rsidTr="003D3A66">
        <w:tblPrEx>
          <w:tblCellMar>
            <w:left w:w="70" w:type="dxa"/>
            <w:right w:w="70" w:type="dxa"/>
          </w:tblCellMar>
        </w:tblPrEx>
        <w:trPr>
          <w:gridAfter w:val="1"/>
          <w:wAfter w:w="56" w:type="dxa"/>
          <w:trHeight w:val="300"/>
        </w:trPr>
        <w:tc>
          <w:tcPr>
            <w:tcW w:w="851" w:type="dxa"/>
            <w:tcBorders>
              <w:top w:val="nil"/>
              <w:left w:val="nil"/>
              <w:bottom w:val="nil"/>
              <w:right w:val="nil"/>
            </w:tcBorders>
            <w:shd w:val="clear" w:color="auto" w:fill="auto"/>
            <w:noWrap/>
            <w:vAlign w:val="center"/>
            <w:hideMark/>
          </w:tcPr>
          <w:p w:rsidR="00990C5C" w:rsidRPr="00990C5C" w:rsidRDefault="00990C5C" w:rsidP="00990C5C">
            <w:pPr>
              <w:spacing w:after="0" w:line="240" w:lineRule="auto"/>
              <w:jc w:val="center"/>
              <w:rPr>
                <w:rFonts w:ascii="Calibri" w:eastAsia="Times New Roman" w:hAnsi="Calibri" w:cs="Calibri"/>
                <w:color w:val="000000"/>
                <w:lang w:eastAsia="fi-FI"/>
              </w:rPr>
            </w:pPr>
            <w:r w:rsidRPr="00990C5C">
              <w:rPr>
                <w:rFonts w:ascii="Calibri" w:eastAsia="Times New Roman" w:hAnsi="Calibri" w:cs="Calibri"/>
                <w:color w:val="000000"/>
                <w:lang w:eastAsia="fi-FI"/>
              </w:rPr>
              <w:t>39</w:t>
            </w:r>
          </w:p>
        </w:tc>
        <w:tc>
          <w:tcPr>
            <w:tcW w:w="4111" w:type="dxa"/>
            <w:tcBorders>
              <w:top w:val="nil"/>
              <w:left w:val="nil"/>
              <w:bottom w:val="nil"/>
              <w:right w:val="nil"/>
            </w:tcBorders>
            <w:shd w:val="clear" w:color="auto" w:fill="auto"/>
            <w:noWrap/>
            <w:vAlign w:val="center"/>
            <w:hideMark/>
          </w:tcPr>
          <w:p w:rsidR="00990C5C" w:rsidRPr="00990C5C" w:rsidRDefault="00990C5C" w:rsidP="00990C5C">
            <w:pPr>
              <w:spacing w:after="0" w:line="240" w:lineRule="auto"/>
              <w:jc w:val="center"/>
              <w:rPr>
                <w:rFonts w:ascii="Calibri" w:eastAsia="Times New Roman" w:hAnsi="Calibri" w:cs="Calibri"/>
                <w:color w:val="000000"/>
                <w:lang w:eastAsia="fi-FI"/>
              </w:rPr>
            </w:pPr>
            <w:r w:rsidRPr="00990C5C">
              <w:rPr>
                <w:rFonts w:ascii="Calibri" w:eastAsia="Times New Roman" w:hAnsi="Calibri" w:cs="Calibri"/>
                <w:color w:val="000000"/>
                <w:lang w:eastAsia="fi-FI"/>
              </w:rPr>
              <w:t>Terpenoid-TMS</w:t>
            </w:r>
          </w:p>
        </w:tc>
        <w:tc>
          <w:tcPr>
            <w:tcW w:w="1984" w:type="dxa"/>
            <w:tcBorders>
              <w:top w:val="nil"/>
              <w:left w:val="nil"/>
              <w:bottom w:val="nil"/>
              <w:right w:val="nil"/>
            </w:tcBorders>
            <w:shd w:val="clear" w:color="auto" w:fill="auto"/>
            <w:noWrap/>
            <w:vAlign w:val="center"/>
            <w:hideMark/>
          </w:tcPr>
          <w:p w:rsidR="00990C5C" w:rsidRPr="00990C5C" w:rsidRDefault="00990C5C" w:rsidP="00990C5C">
            <w:pPr>
              <w:spacing w:after="0" w:line="240" w:lineRule="auto"/>
              <w:jc w:val="center"/>
              <w:rPr>
                <w:rFonts w:ascii="Calibri" w:eastAsia="Times New Roman" w:hAnsi="Calibri" w:cs="Calibri"/>
                <w:color w:val="000000"/>
                <w:lang w:eastAsia="fi-FI"/>
              </w:rPr>
            </w:pPr>
            <w:r w:rsidRPr="00990C5C">
              <w:rPr>
                <w:rFonts w:ascii="Calibri" w:eastAsia="Times New Roman" w:hAnsi="Calibri" w:cs="Calibri"/>
                <w:color w:val="000000"/>
                <w:lang w:eastAsia="fi-FI"/>
              </w:rPr>
              <w:t>17,216</w:t>
            </w:r>
          </w:p>
        </w:tc>
        <w:tc>
          <w:tcPr>
            <w:tcW w:w="1134" w:type="dxa"/>
            <w:tcBorders>
              <w:top w:val="nil"/>
              <w:left w:val="nil"/>
              <w:bottom w:val="nil"/>
              <w:right w:val="nil"/>
            </w:tcBorders>
            <w:shd w:val="clear" w:color="auto" w:fill="auto"/>
            <w:noWrap/>
            <w:vAlign w:val="center"/>
            <w:hideMark/>
          </w:tcPr>
          <w:p w:rsidR="00990C5C" w:rsidRPr="00990C5C" w:rsidRDefault="00990C5C" w:rsidP="00990C5C">
            <w:pPr>
              <w:spacing w:after="0" w:line="240" w:lineRule="auto"/>
              <w:jc w:val="center"/>
              <w:rPr>
                <w:rFonts w:ascii="Calibri" w:eastAsia="Times New Roman" w:hAnsi="Calibri" w:cs="Calibri"/>
                <w:color w:val="000000"/>
                <w:lang w:eastAsia="fi-FI"/>
              </w:rPr>
            </w:pPr>
          </w:p>
        </w:tc>
        <w:tc>
          <w:tcPr>
            <w:tcW w:w="1843" w:type="dxa"/>
            <w:tcBorders>
              <w:top w:val="nil"/>
              <w:left w:val="nil"/>
              <w:bottom w:val="nil"/>
              <w:right w:val="nil"/>
            </w:tcBorders>
            <w:shd w:val="clear" w:color="auto" w:fill="auto"/>
            <w:noWrap/>
            <w:vAlign w:val="center"/>
            <w:hideMark/>
          </w:tcPr>
          <w:p w:rsidR="00990C5C" w:rsidRPr="00990C5C" w:rsidRDefault="00990C5C" w:rsidP="00990C5C">
            <w:pPr>
              <w:spacing w:after="0" w:line="240" w:lineRule="auto"/>
              <w:jc w:val="center"/>
              <w:rPr>
                <w:rFonts w:ascii="Times New Roman" w:eastAsia="Times New Roman" w:hAnsi="Times New Roman" w:cs="Times New Roman"/>
                <w:sz w:val="20"/>
                <w:szCs w:val="20"/>
                <w:lang w:eastAsia="fi-FI"/>
              </w:rPr>
            </w:pPr>
          </w:p>
        </w:tc>
        <w:tc>
          <w:tcPr>
            <w:tcW w:w="1500" w:type="dxa"/>
            <w:tcBorders>
              <w:top w:val="nil"/>
              <w:left w:val="nil"/>
              <w:bottom w:val="nil"/>
              <w:right w:val="nil"/>
            </w:tcBorders>
            <w:shd w:val="clear" w:color="auto" w:fill="auto"/>
            <w:noWrap/>
            <w:vAlign w:val="center"/>
            <w:hideMark/>
          </w:tcPr>
          <w:p w:rsidR="00990C5C" w:rsidRPr="00990C5C" w:rsidRDefault="00990C5C" w:rsidP="00990C5C">
            <w:pPr>
              <w:spacing w:after="0" w:line="240" w:lineRule="auto"/>
              <w:jc w:val="center"/>
              <w:rPr>
                <w:rFonts w:ascii="Calibri" w:eastAsia="Times New Roman" w:hAnsi="Calibri" w:cs="Calibri"/>
                <w:color w:val="000000"/>
                <w:lang w:eastAsia="fi-FI"/>
              </w:rPr>
            </w:pPr>
            <w:r w:rsidRPr="00990C5C">
              <w:rPr>
                <w:rFonts w:ascii="Calibri" w:eastAsia="Times New Roman" w:hAnsi="Calibri" w:cs="Calibri"/>
                <w:color w:val="000000"/>
                <w:lang w:eastAsia="fi-FI"/>
              </w:rPr>
              <w:t>Captiva</w:t>
            </w:r>
          </w:p>
        </w:tc>
        <w:tc>
          <w:tcPr>
            <w:tcW w:w="1477" w:type="dxa"/>
            <w:gridSpan w:val="2"/>
            <w:tcBorders>
              <w:top w:val="nil"/>
              <w:left w:val="nil"/>
              <w:bottom w:val="nil"/>
              <w:right w:val="nil"/>
            </w:tcBorders>
            <w:shd w:val="clear" w:color="auto" w:fill="auto"/>
            <w:noWrap/>
            <w:vAlign w:val="center"/>
            <w:hideMark/>
          </w:tcPr>
          <w:p w:rsidR="00990C5C" w:rsidRPr="00990C5C" w:rsidRDefault="00990C5C" w:rsidP="00990C5C">
            <w:pPr>
              <w:spacing w:after="0" w:line="240" w:lineRule="auto"/>
              <w:jc w:val="center"/>
              <w:rPr>
                <w:rFonts w:ascii="Calibri" w:eastAsia="Times New Roman" w:hAnsi="Calibri" w:cs="Calibri"/>
                <w:color w:val="000000"/>
                <w:lang w:eastAsia="fi-FI"/>
              </w:rPr>
            </w:pPr>
          </w:p>
        </w:tc>
      </w:tr>
      <w:tr w:rsidR="006B47C9" w:rsidRPr="00990C5C" w:rsidTr="003D3A66">
        <w:tblPrEx>
          <w:tblCellMar>
            <w:left w:w="70" w:type="dxa"/>
            <w:right w:w="70" w:type="dxa"/>
          </w:tblCellMar>
        </w:tblPrEx>
        <w:trPr>
          <w:gridAfter w:val="1"/>
          <w:wAfter w:w="56" w:type="dxa"/>
          <w:trHeight w:val="300"/>
        </w:trPr>
        <w:tc>
          <w:tcPr>
            <w:tcW w:w="851" w:type="dxa"/>
            <w:tcBorders>
              <w:top w:val="nil"/>
              <w:left w:val="nil"/>
              <w:bottom w:val="nil"/>
              <w:right w:val="nil"/>
            </w:tcBorders>
            <w:shd w:val="clear" w:color="auto" w:fill="F2F2F2" w:themeFill="background1" w:themeFillShade="F2"/>
            <w:noWrap/>
            <w:vAlign w:val="center"/>
            <w:hideMark/>
          </w:tcPr>
          <w:p w:rsidR="00990C5C" w:rsidRPr="00990C5C" w:rsidRDefault="00990C5C" w:rsidP="00990C5C">
            <w:pPr>
              <w:spacing w:after="0" w:line="240" w:lineRule="auto"/>
              <w:jc w:val="center"/>
              <w:rPr>
                <w:rFonts w:ascii="Calibri" w:eastAsia="Times New Roman" w:hAnsi="Calibri" w:cs="Calibri"/>
                <w:color w:val="000000"/>
                <w:lang w:eastAsia="fi-FI"/>
              </w:rPr>
            </w:pPr>
            <w:r w:rsidRPr="00990C5C">
              <w:rPr>
                <w:rFonts w:ascii="Calibri" w:eastAsia="Times New Roman" w:hAnsi="Calibri" w:cs="Calibri"/>
                <w:color w:val="000000"/>
                <w:lang w:eastAsia="fi-FI"/>
              </w:rPr>
              <w:t>40</w:t>
            </w:r>
          </w:p>
        </w:tc>
        <w:tc>
          <w:tcPr>
            <w:tcW w:w="4111" w:type="dxa"/>
            <w:tcBorders>
              <w:top w:val="nil"/>
              <w:left w:val="nil"/>
              <w:bottom w:val="nil"/>
              <w:right w:val="nil"/>
            </w:tcBorders>
            <w:shd w:val="clear" w:color="auto" w:fill="F2F2F2" w:themeFill="background1" w:themeFillShade="F2"/>
            <w:noWrap/>
            <w:vAlign w:val="center"/>
            <w:hideMark/>
          </w:tcPr>
          <w:p w:rsidR="00990C5C" w:rsidRPr="00990C5C" w:rsidRDefault="00990C5C" w:rsidP="00990C5C">
            <w:pPr>
              <w:spacing w:after="0" w:line="240" w:lineRule="auto"/>
              <w:jc w:val="center"/>
              <w:rPr>
                <w:rFonts w:ascii="Calibri" w:eastAsia="Times New Roman" w:hAnsi="Calibri" w:cs="Calibri"/>
                <w:color w:val="000000"/>
                <w:lang w:eastAsia="fi-FI"/>
              </w:rPr>
            </w:pPr>
            <w:r w:rsidRPr="00990C5C">
              <w:rPr>
                <w:rFonts w:ascii="Calibri" w:eastAsia="Times New Roman" w:hAnsi="Calibri" w:cs="Calibri"/>
                <w:color w:val="000000"/>
                <w:lang w:eastAsia="fi-FI"/>
              </w:rPr>
              <w:t>2-Oleoylglycerol-2TMS</w:t>
            </w:r>
          </w:p>
        </w:tc>
        <w:tc>
          <w:tcPr>
            <w:tcW w:w="1984" w:type="dxa"/>
            <w:tcBorders>
              <w:top w:val="nil"/>
              <w:left w:val="nil"/>
              <w:bottom w:val="nil"/>
              <w:right w:val="nil"/>
            </w:tcBorders>
            <w:shd w:val="clear" w:color="auto" w:fill="F2F2F2" w:themeFill="background1" w:themeFillShade="F2"/>
            <w:noWrap/>
            <w:vAlign w:val="center"/>
            <w:hideMark/>
          </w:tcPr>
          <w:p w:rsidR="00990C5C" w:rsidRPr="00990C5C" w:rsidRDefault="00990C5C" w:rsidP="00990C5C">
            <w:pPr>
              <w:spacing w:after="0" w:line="240" w:lineRule="auto"/>
              <w:jc w:val="center"/>
              <w:rPr>
                <w:rFonts w:ascii="Calibri" w:eastAsia="Times New Roman" w:hAnsi="Calibri" w:cs="Calibri"/>
                <w:color w:val="000000"/>
                <w:lang w:eastAsia="fi-FI"/>
              </w:rPr>
            </w:pPr>
            <w:r w:rsidRPr="00990C5C">
              <w:rPr>
                <w:rFonts w:ascii="Calibri" w:eastAsia="Times New Roman" w:hAnsi="Calibri" w:cs="Calibri"/>
                <w:color w:val="000000"/>
                <w:lang w:eastAsia="fi-FI"/>
              </w:rPr>
              <w:t>17,313</w:t>
            </w:r>
          </w:p>
        </w:tc>
        <w:tc>
          <w:tcPr>
            <w:tcW w:w="1134" w:type="dxa"/>
            <w:tcBorders>
              <w:top w:val="nil"/>
              <w:left w:val="nil"/>
              <w:bottom w:val="nil"/>
              <w:right w:val="nil"/>
            </w:tcBorders>
            <w:shd w:val="clear" w:color="auto" w:fill="F2F2F2" w:themeFill="background1" w:themeFillShade="F2"/>
            <w:noWrap/>
            <w:vAlign w:val="center"/>
            <w:hideMark/>
          </w:tcPr>
          <w:p w:rsidR="00990C5C" w:rsidRPr="00990C5C" w:rsidRDefault="00990C5C" w:rsidP="00990C5C">
            <w:pPr>
              <w:spacing w:after="0" w:line="240" w:lineRule="auto"/>
              <w:jc w:val="center"/>
              <w:rPr>
                <w:rFonts w:ascii="Calibri" w:eastAsia="Times New Roman" w:hAnsi="Calibri" w:cs="Calibri"/>
                <w:color w:val="000000"/>
                <w:lang w:eastAsia="fi-FI"/>
              </w:rPr>
            </w:pPr>
            <w:r w:rsidRPr="00990C5C">
              <w:rPr>
                <w:rFonts w:ascii="Calibri" w:eastAsia="Times New Roman" w:hAnsi="Calibri" w:cs="Calibri"/>
                <w:color w:val="000000"/>
                <w:lang w:eastAsia="fi-FI"/>
              </w:rPr>
              <w:t>500,37</w:t>
            </w:r>
          </w:p>
        </w:tc>
        <w:tc>
          <w:tcPr>
            <w:tcW w:w="1843" w:type="dxa"/>
            <w:tcBorders>
              <w:top w:val="nil"/>
              <w:left w:val="nil"/>
              <w:bottom w:val="nil"/>
              <w:right w:val="nil"/>
            </w:tcBorders>
            <w:shd w:val="clear" w:color="auto" w:fill="F2F2F2" w:themeFill="background1" w:themeFillShade="F2"/>
            <w:noWrap/>
            <w:vAlign w:val="center"/>
            <w:hideMark/>
          </w:tcPr>
          <w:p w:rsidR="00990C5C" w:rsidRPr="00990C5C" w:rsidRDefault="00990C5C" w:rsidP="00990C5C">
            <w:pPr>
              <w:spacing w:after="0" w:line="240" w:lineRule="auto"/>
              <w:jc w:val="center"/>
              <w:rPr>
                <w:rFonts w:ascii="Calibri" w:eastAsia="Times New Roman" w:hAnsi="Calibri" w:cs="Calibri"/>
                <w:color w:val="000000"/>
                <w:lang w:eastAsia="fi-FI"/>
              </w:rPr>
            </w:pPr>
            <w:r w:rsidRPr="00990C5C">
              <w:rPr>
                <w:rFonts w:ascii="Calibri" w:eastAsia="Times New Roman" w:hAnsi="Calibri" w:cs="Calibri"/>
                <w:color w:val="000000"/>
                <w:lang w:eastAsia="fi-FI"/>
              </w:rPr>
              <w:t>C</w:t>
            </w:r>
            <w:r w:rsidRPr="00852F30">
              <w:rPr>
                <w:rFonts w:ascii="Calibri" w:eastAsia="Times New Roman" w:hAnsi="Calibri" w:cs="Calibri"/>
                <w:color w:val="000000"/>
                <w:vertAlign w:val="subscript"/>
                <w:lang w:eastAsia="fi-FI"/>
              </w:rPr>
              <w:t>27</w:t>
            </w:r>
            <w:r w:rsidRPr="00990C5C">
              <w:rPr>
                <w:rFonts w:ascii="Calibri" w:eastAsia="Times New Roman" w:hAnsi="Calibri" w:cs="Calibri"/>
                <w:color w:val="000000"/>
                <w:lang w:eastAsia="fi-FI"/>
              </w:rPr>
              <w:t>H</w:t>
            </w:r>
            <w:r w:rsidRPr="00852F30">
              <w:rPr>
                <w:rFonts w:ascii="Calibri" w:eastAsia="Times New Roman" w:hAnsi="Calibri" w:cs="Calibri"/>
                <w:color w:val="000000"/>
                <w:vertAlign w:val="subscript"/>
                <w:lang w:eastAsia="fi-FI"/>
              </w:rPr>
              <w:t>56</w:t>
            </w:r>
            <w:r w:rsidRPr="00990C5C">
              <w:rPr>
                <w:rFonts w:ascii="Calibri" w:eastAsia="Times New Roman" w:hAnsi="Calibri" w:cs="Calibri"/>
                <w:color w:val="000000"/>
                <w:lang w:eastAsia="fi-FI"/>
              </w:rPr>
              <w:t>O</w:t>
            </w:r>
            <w:r w:rsidRPr="00852F30">
              <w:rPr>
                <w:rFonts w:ascii="Calibri" w:eastAsia="Times New Roman" w:hAnsi="Calibri" w:cs="Calibri"/>
                <w:color w:val="000000"/>
                <w:vertAlign w:val="subscript"/>
                <w:lang w:eastAsia="fi-FI"/>
              </w:rPr>
              <w:t>4</w:t>
            </w:r>
            <w:r w:rsidRPr="00990C5C">
              <w:rPr>
                <w:rFonts w:ascii="Calibri" w:eastAsia="Times New Roman" w:hAnsi="Calibri" w:cs="Calibri"/>
                <w:color w:val="000000"/>
                <w:lang w:eastAsia="fi-FI"/>
              </w:rPr>
              <w:t>Si</w:t>
            </w:r>
            <w:r w:rsidRPr="00852F30">
              <w:rPr>
                <w:rFonts w:ascii="Calibri" w:eastAsia="Times New Roman" w:hAnsi="Calibri" w:cs="Calibri"/>
                <w:color w:val="000000"/>
                <w:vertAlign w:val="subscript"/>
                <w:lang w:eastAsia="fi-FI"/>
              </w:rPr>
              <w:t>2</w:t>
            </w:r>
          </w:p>
        </w:tc>
        <w:tc>
          <w:tcPr>
            <w:tcW w:w="1500" w:type="dxa"/>
            <w:tcBorders>
              <w:top w:val="nil"/>
              <w:left w:val="nil"/>
              <w:bottom w:val="nil"/>
              <w:right w:val="nil"/>
            </w:tcBorders>
            <w:shd w:val="clear" w:color="auto" w:fill="F2F2F2" w:themeFill="background1" w:themeFillShade="F2"/>
            <w:noWrap/>
            <w:vAlign w:val="center"/>
            <w:hideMark/>
          </w:tcPr>
          <w:p w:rsidR="00990C5C" w:rsidRPr="00990C5C" w:rsidRDefault="00990C5C" w:rsidP="00990C5C">
            <w:pPr>
              <w:spacing w:after="0" w:line="240" w:lineRule="auto"/>
              <w:jc w:val="center"/>
              <w:rPr>
                <w:rFonts w:ascii="Calibri" w:eastAsia="Times New Roman" w:hAnsi="Calibri" w:cs="Calibri"/>
                <w:color w:val="000000"/>
                <w:lang w:eastAsia="fi-FI"/>
              </w:rPr>
            </w:pPr>
            <w:r w:rsidRPr="00990C5C">
              <w:rPr>
                <w:rFonts w:ascii="Calibri" w:eastAsia="Times New Roman" w:hAnsi="Calibri" w:cs="Calibri"/>
                <w:color w:val="000000"/>
                <w:lang w:eastAsia="fi-FI"/>
              </w:rPr>
              <w:t>Captiva</w:t>
            </w:r>
          </w:p>
        </w:tc>
        <w:tc>
          <w:tcPr>
            <w:tcW w:w="1477" w:type="dxa"/>
            <w:gridSpan w:val="2"/>
            <w:tcBorders>
              <w:top w:val="nil"/>
              <w:left w:val="nil"/>
              <w:bottom w:val="nil"/>
              <w:right w:val="nil"/>
            </w:tcBorders>
            <w:shd w:val="clear" w:color="auto" w:fill="F2F2F2" w:themeFill="background1" w:themeFillShade="F2"/>
            <w:noWrap/>
            <w:vAlign w:val="center"/>
            <w:hideMark/>
          </w:tcPr>
          <w:p w:rsidR="00990C5C" w:rsidRPr="00990C5C" w:rsidRDefault="00990C5C" w:rsidP="00990C5C">
            <w:pPr>
              <w:spacing w:after="0" w:line="240" w:lineRule="auto"/>
              <w:jc w:val="center"/>
              <w:rPr>
                <w:rFonts w:ascii="Calibri" w:eastAsia="Times New Roman" w:hAnsi="Calibri" w:cs="Calibri"/>
                <w:color w:val="000000"/>
                <w:lang w:eastAsia="fi-FI"/>
              </w:rPr>
            </w:pPr>
            <w:r w:rsidRPr="00990C5C">
              <w:rPr>
                <w:rFonts w:ascii="Calibri" w:eastAsia="Times New Roman" w:hAnsi="Calibri" w:cs="Calibri"/>
                <w:color w:val="000000"/>
                <w:lang w:eastAsia="fi-FI"/>
              </w:rPr>
              <w:t>31,1</w:t>
            </w:r>
          </w:p>
        </w:tc>
      </w:tr>
      <w:tr w:rsidR="006B47C9" w:rsidRPr="00990C5C" w:rsidTr="003D3A66">
        <w:tblPrEx>
          <w:tblCellMar>
            <w:left w:w="70" w:type="dxa"/>
            <w:right w:w="70" w:type="dxa"/>
          </w:tblCellMar>
        </w:tblPrEx>
        <w:trPr>
          <w:gridAfter w:val="1"/>
          <w:wAfter w:w="56" w:type="dxa"/>
          <w:trHeight w:val="300"/>
        </w:trPr>
        <w:tc>
          <w:tcPr>
            <w:tcW w:w="851" w:type="dxa"/>
            <w:tcBorders>
              <w:top w:val="nil"/>
              <w:left w:val="nil"/>
              <w:bottom w:val="nil"/>
              <w:right w:val="nil"/>
            </w:tcBorders>
            <w:shd w:val="clear" w:color="auto" w:fill="auto"/>
            <w:noWrap/>
            <w:vAlign w:val="center"/>
            <w:hideMark/>
          </w:tcPr>
          <w:p w:rsidR="00990C5C" w:rsidRPr="00990C5C" w:rsidRDefault="00990C5C" w:rsidP="00990C5C">
            <w:pPr>
              <w:spacing w:after="0" w:line="240" w:lineRule="auto"/>
              <w:jc w:val="center"/>
              <w:rPr>
                <w:rFonts w:ascii="Calibri" w:eastAsia="Times New Roman" w:hAnsi="Calibri" w:cs="Calibri"/>
                <w:color w:val="000000"/>
                <w:lang w:eastAsia="fi-FI"/>
              </w:rPr>
            </w:pPr>
            <w:r w:rsidRPr="00990C5C">
              <w:rPr>
                <w:rFonts w:ascii="Calibri" w:eastAsia="Times New Roman" w:hAnsi="Calibri" w:cs="Calibri"/>
                <w:color w:val="000000"/>
                <w:lang w:eastAsia="fi-FI"/>
              </w:rPr>
              <w:t>41</w:t>
            </w:r>
          </w:p>
        </w:tc>
        <w:tc>
          <w:tcPr>
            <w:tcW w:w="4111" w:type="dxa"/>
            <w:tcBorders>
              <w:top w:val="nil"/>
              <w:left w:val="nil"/>
              <w:bottom w:val="nil"/>
              <w:right w:val="nil"/>
            </w:tcBorders>
            <w:shd w:val="clear" w:color="auto" w:fill="auto"/>
            <w:noWrap/>
            <w:vAlign w:val="center"/>
            <w:hideMark/>
          </w:tcPr>
          <w:p w:rsidR="00990C5C" w:rsidRPr="00990C5C" w:rsidRDefault="00990C5C" w:rsidP="00990C5C">
            <w:pPr>
              <w:spacing w:after="0" w:line="240" w:lineRule="auto"/>
              <w:jc w:val="center"/>
              <w:rPr>
                <w:rFonts w:ascii="Calibri" w:eastAsia="Times New Roman" w:hAnsi="Calibri" w:cs="Calibri"/>
                <w:color w:val="000000"/>
                <w:lang w:eastAsia="fi-FI"/>
              </w:rPr>
            </w:pPr>
            <w:r w:rsidRPr="00990C5C">
              <w:rPr>
                <w:rFonts w:ascii="Calibri" w:eastAsia="Times New Roman" w:hAnsi="Calibri" w:cs="Calibri"/>
                <w:color w:val="000000"/>
                <w:lang w:eastAsia="fi-FI"/>
              </w:rPr>
              <w:t>Fatty acid-TMS</w:t>
            </w:r>
          </w:p>
        </w:tc>
        <w:tc>
          <w:tcPr>
            <w:tcW w:w="1984" w:type="dxa"/>
            <w:tcBorders>
              <w:top w:val="nil"/>
              <w:left w:val="nil"/>
              <w:bottom w:val="nil"/>
              <w:right w:val="nil"/>
            </w:tcBorders>
            <w:shd w:val="clear" w:color="auto" w:fill="auto"/>
            <w:noWrap/>
            <w:vAlign w:val="center"/>
            <w:hideMark/>
          </w:tcPr>
          <w:p w:rsidR="00990C5C" w:rsidRPr="00990C5C" w:rsidRDefault="00990C5C" w:rsidP="00990C5C">
            <w:pPr>
              <w:spacing w:after="0" w:line="240" w:lineRule="auto"/>
              <w:jc w:val="center"/>
              <w:rPr>
                <w:rFonts w:ascii="Calibri" w:eastAsia="Times New Roman" w:hAnsi="Calibri" w:cs="Calibri"/>
                <w:color w:val="000000"/>
                <w:lang w:eastAsia="fi-FI"/>
              </w:rPr>
            </w:pPr>
            <w:r w:rsidRPr="00990C5C">
              <w:rPr>
                <w:rFonts w:ascii="Calibri" w:eastAsia="Times New Roman" w:hAnsi="Calibri" w:cs="Calibri"/>
                <w:color w:val="000000"/>
                <w:lang w:eastAsia="fi-FI"/>
              </w:rPr>
              <w:t>17,369</w:t>
            </w:r>
          </w:p>
        </w:tc>
        <w:tc>
          <w:tcPr>
            <w:tcW w:w="1134" w:type="dxa"/>
            <w:tcBorders>
              <w:top w:val="nil"/>
              <w:left w:val="nil"/>
              <w:bottom w:val="nil"/>
              <w:right w:val="nil"/>
            </w:tcBorders>
            <w:shd w:val="clear" w:color="auto" w:fill="auto"/>
            <w:noWrap/>
            <w:vAlign w:val="center"/>
            <w:hideMark/>
          </w:tcPr>
          <w:p w:rsidR="00990C5C" w:rsidRPr="00990C5C" w:rsidRDefault="00990C5C" w:rsidP="00990C5C">
            <w:pPr>
              <w:spacing w:after="0" w:line="240" w:lineRule="auto"/>
              <w:jc w:val="center"/>
              <w:rPr>
                <w:rFonts w:ascii="Calibri" w:eastAsia="Times New Roman" w:hAnsi="Calibri" w:cs="Calibri"/>
                <w:color w:val="000000"/>
                <w:lang w:eastAsia="fi-FI"/>
              </w:rPr>
            </w:pPr>
          </w:p>
        </w:tc>
        <w:tc>
          <w:tcPr>
            <w:tcW w:w="1843" w:type="dxa"/>
            <w:tcBorders>
              <w:top w:val="nil"/>
              <w:left w:val="nil"/>
              <w:bottom w:val="nil"/>
              <w:right w:val="nil"/>
            </w:tcBorders>
            <w:shd w:val="clear" w:color="auto" w:fill="auto"/>
            <w:noWrap/>
            <w:vAlign w:val="center"/>
            <w:hideMark/>
          </w:tcPr>
          <w:p w:rsidR="00990C5C" w:rsidRPr="00990C5C" w:rsidRDefault="00990C5C" w:rsidP="00990C5C">
            <w:pPr>
              <w:spacing w:after="0" w:line="240" w:lineRule="auto"/>
              <w:jc w:val="center"/>
              <w:rPr>
                <w:rFonts w:ascii="Times New Roman" w:eastAsia="Times New Roman" w:hAnsi="Times New Roman" w:cs="Times New Roman"/>
                <w:sz w:val="20"/>
                <w:szCs w:val="20"/>
                <w:lang w:eastAsia="fi-FI"/>
              </w:rPr>
            </w:pPr>
          </w:p>
        </w:tc>
        <w:tc>
          <w:tcPr>
            <w:tcW w:w="1500" w:type="dxa"/>
            <w:tcBorders>
              <w:top w:val="nil"/>
              <w:left w:val="nil"/>
              <w:bottom w:val="nil"/>
              <w:right w:val="nil"/>
            </w:tcBorders>
            <w:shd w:val="clear" w:color="auto" w:fill="auto"/>
            <w:noWrap/>
            <w:vAlign w:val="center"/>
            <w:hideMark/>
          </w:tcPr>
          <w:p w:rsidR="00990C5C" w:rsidRPr="00990C5C" w:rsidRDefault="00990C5C" w:rsidP="00990C5C">
            <w:pPr>
              <w:spacing w:after="0" w:line="240" w:lineRule="auto"/>
              <w:jc w:val="center"/>
              <w:rPr>
                <w:rFonts w:ascii="Calibri" w:eastAsia="Times New Roman" w:hAnsi="Calibri" w:cs="Calibri"/>
                <w:color w:val="000000"/>
                <w:lang w:eastAsia="fi-FI"/>
              </w:rPr>
            </w:pPr>
            <w:r w:rsidRPr="00990C5C">
              <w:rPr>
                <w:rFonts w:ascii="Calibri" w:eastAsia="Times New Roman" w:hAnsi="Calibri" w:cs="Calibri"/>
                <w:color w:val="000000"/>
                <w:lang w:eastAsia="fi-FI"/>
              </w:rPr>
              <w:t>Captiva</w:t>
            </w:r>
          </w:p>
        </w:tc>
        <w:tc>
          <w:tcPr>
            <w:tcW w:w="1477" w:type="dxa"/>
            <w:gridSpan w:val="2"/>
            <w:tcBorders>
              <w:top w:val="nil"/>
              <w:left w:val="nil"/>
              <w:bottom w:val="nil"/>
              <w:right w:val="nil"/>
            </w:tcBorders>
            <w:shd w:val="clear" w:color="auto" w:fill="auto"/>
            <w:noWrap/>
            <w:vAlign w:val="center"/>
            <w:hideMark/>
          </w:tcPr>
          <w:p w:rsidR="00990C5C" w:rsidRPr="00990C5C" w:rsidRDefault="00990C5C" w:rsidP="00990C5C">
            <w:pPr>
              <w:spacing w:after="0" w:line="240" w:lineRule="auto"/>
              <w:jc w:val="center"/>
              <w:rPr>
                <w:rFonts w:ascii="Calibri" w:eastAsia="Times New Roman" w:hAnsi="Calibri" w:cs="Calibri"/>
                <w:color w:val="000000"/>
                <w:lang w:eastAsia="fi-FI"/>
              </w:rPr>
            </w:pPr>
          </w:p>
        </w:tc>
      </w:tr>
      <w:tr w:rsidR="006B47C9" w:rsidRPr="00990C5C" w:rsidTr="003D3A66">
        <w:tblPrEx>
          <w:tblCellMar>
            <w:left w:w="70" w:type="dxa"/>
            <w:right w:w="70" w:type="dxa"/>
          </w:tblCellMar>
        </w:tblPrEx>
        <w:trPr>
          <w:gridAfter w:val="1"/>
          <w:wAfter w:w="56" w:type="dxa"/>
          <w:trHeight w:val="300"/>
        </w:trPr>
        <w:tc>
          <w:tcPr>
            <w:tcW w:w="851" w:type="dxa"/>
            <w:tcBorders>
              <w:top w:val="nil"/>
              <w:left w:val="nil"/>
              <w:bottom w:val="nil"/>
              <w:right w:val="nil"/>
            </w:tcBorders>
            <w:shd w:val="clear" w:color="auto" w:fill="auto"/>
            <w:noWrap/>
            <w:vAlign w:val="center"/>
            <w:hideMark/>
          </w:tcPr>
          <w:p w:rsidR="00990C5C" w:rsidRPr="00990C5C" w:rsidRDefault="00990C5C" w:rsidP="00990C5C">
            <w:pPr>
              <w:spacing w:after="0" w:line="240" w:lineRule="auto"/>
              <w:jc w:val="center"/>
              <w:rPr>
                <w:rFonts w:ascii="Calibri" w:eastAsia="Times New Roman" w:hAnsi="Calibri" w:cs="Calibri"/>
                <w:color w:val="000000"/>
                <w:lang w:eastAsia="fi-FI"/>
              </w:rPr>
            </w:pPr>
            <w:r w:rsidRPr="00990C5C">
              <w:rPr>
                <w:rFonts w:ascii="Calibri" w:eastAsia="Times New Roman" w:hAnsi="Calibri" w:cs="Calibri"/>
                <w:color w:val="000000"/>
                <w:lang w:eastAsia="fi-FI"/>
              </w:rPr>
              <w:t>42</w:t>
            </w:r>
          </w:p>
        </w:tc>
        <w:tc>
          <w:tcPr>
            <w:tcW w:w="4111" w:type="dxa"/>
            <w:tcBorders>
              <w:top w:val="nil"/>
              <w:left w:val="nil"/>
              <w:bottom w:val="nil"/>
              <w:right w:val="nil"/>
            </w:tcBorders>
            <w:shd w:val="clear" w:color="auto" w:fill="auto"/>
            <w:noWrap/>
            <w:vAlign w:val="center"/>
            <w:hideMark/>
          </w:tcPr>
          <w:p w:rsidR="00990C5C" w:rsidRPr="00990C5C" w:rsidRDefault="00990C5C" w:rsidP="00990C5C">
            <w:pPr>
              <w:spacing w:after="0" w:line="240" w:lineRule="auto"/>
              <w:jc w:val="center"/>
              <w:rPr>
                <w:rFonts w:ascii="Calibri" w:eastAsia="Times New Roman" w:hAnsi="Calibri" w:cs="Calibri"/>
                <w:color w:val="000000"/>
                <w:lang w:eastAsia="fi-FI"/>
              </w:rPr>
            </w:pPr>
            <w:r w:rsidRPr="00990C5C">
              <w:rPr>
                <w:rFonts w:ascii="Calibri" w:eastAsia="Times New Roman" w:hAnsi="Calibri" w:cs="Calibri"/>
                <w:color w:val="000000"/>
                <w:lang w:eastAsia="fi-FI"/>
              </w:rPr>
              <w:t>1-Monolinolein-2TMS</w:t>
            </w:r>
          </w:p>
        </w:tc>
        <w:tc>
          <w:tcPr>
            <w:tcW w:w="1984" w:type="dxa"/>
            <w:tcBorders>
              <w:top w:val="nil"/>
              <w:left w:val="nil"/>
              <w:bottom w:val="nil"/>
              <w:right w:val="nil"/>
            </w:tcBorders>
            <w:shd w:val="clear" w:color="auto" w:fill="auto"/>
            <w:noWrap/>
            <w:vAlign w:val="center"/>
            <w:hideMark/>
          </w:tcPr>
          <w:p w:rsidR="00990C5C" w:rsidRPr="00990C5C" w:rsidRDefault="00990C5C" w:rsidP="00990C5C">
            <w:pPr>
              <w:spacing w:after="0" w:line="240" w:lineRule="auto"/>
              <w:jc w:val="center"/>
              <w:rPr>
                <w:rFonts w:ascii="Calibri" w:eastAsia="Times New Roman" w:hAnsi="Calibri" w:cs="Calibri"/>
                <w:color w:val="000000"/>
                <w:lang w:eastAsia="fi-FI"/>
              </w:rPr>
            </w:pPr>
            <w:r w:rsidRPr="00990C5C">
              <w:rPr>
                <w:rFonts w:ascii="Calibri" w:eastAsia="Times New Roman" w:hAnsi="Calibri" w:cs="Calibri"/>
                <w:color w:val="000000"/>
                <w:lang w:eastAsia="fi-FI"/>
              </w:rPr>
              <w:t>17,401</w:t>
            </w:r>
          </w:p>
        </w:tc>
        <w:tc>
          <w:tcPr>
            <w:tcW w:w="1134" w:type="dxa"/>
            <w:tcBorders>
              <w:top w:val="nil"/>
              <w:left w:val="nil"/>
              <w:bottom w:val="nil"/>
              <w:right w:val="nil"/>
            </w:tcBorders>
            <w:shd w:val="clear" w:color="auto" w:fill="auto"/>
            <w:noWrap/>
            <w:vAlign w:val="center"/>
            <w:hideMark/>
          </w:tcPr>
          <w:p w:rsidR="00990C5C" w:rsidRPr="00990C5C" w:rsidRDefault="00990C5C" w:rsidP="00990C5C">
            <w:pPr>
              <w:spacing w:after="0" w:line="240" w:lineRule="auto"/>
              <w:jc w:val="center"/>
              <w:rPr>
                <w:rFonts w:ascii="Calibri" w:eastAsia="Times New Roman" w:hAnsi="Calibri" w:cs="Calibri"/>
                <w:color w:val="000000"/>
                <w:lang w:eastAsia="fi-FI"/>
              </w:rPr>
            </w:pPr>
            <w:r w:rsidRPr="00990C5C">
              <w:rPr>
                <w:rFonts w:ascii="Calibri" w:eastAsia="Times New Roman" w:hAnsi="Calibri" w:cs="Calibri"/>
                <w:color w:val="000000"/>
                <w:lang w:eastAsia="fi-FI"/>
              </w:rPr>
              <w:t>498,35</w:t>
            </w:r>
          </w:p>
        </w:tc>
        <w:tc>
          <w:tcPr>
            <w:tcW w:w="1843" w:type="dxa"/>
            <w:tcBorders>
              <w:top w:val="nil"/>
              <w:left w:val="nil"/>
              <w:bottom w:val="nil"/>
              <w:right w:val="nil"/>
            </w:tcBorders>
            <w:shd w:val="clear" w:color="auto" w:fill="auto"/>
            <w:noWrap/>
            <w:vAlign w:val="center"/>
            <w:hideMark/>
          </w:tcPr>
          <w:p w:rsidR="00990C5C" w:rsidRPr="00990C5C" w:rsidRDefault="00990C5C" w:rsidP="00990C5C">
            <w:pPr>
              <w:spacing w:after="0" w:line="240" w:lineRule="auto"/>
              <w:jc w:val="center"/>
              <w:rPr>
                <w:rFonts w:ascii="Calibri" w:eastAsia="Times New Roman" w:hAnsi="Calibri" w:cs="Calibri"/>
                <w:color w:val="000000"/>
                <w:lang w:eastAsia="fi-FI"/>
              </w:rPr>
            </w:pPr>
            <w:r w:rsidRPr="00990C5C">
              <w:rPr>
                <w:rFonts w:ascii="Calibri" w:eastAsia="Times New Roman" w:hAnsi="Calibri" w:cs="Calibri"/>
                <w:color w:val="000000"/>
                <w:lang w:eastAsia="fi-FI"/>
              </w:rPr>
              <w:t>C</w:t>
            </w:r>
            <w:r w:rsidRPr="00852F30">
              <w:rPr>
                <w:rFonts w:ascii="Calibri" w:eastAsia="Times New Roman" w:hAnsi="Calibri" w:cs="Calibri"/>
                <w:color w:val="000000"/>
                <w:vertAlign w:val="subscript"/>
                <w:lang w:eastAsia="fi-FI"/>
              </w:rPr>
              <w:t>27</w:t>
            </w:r>
            <w:r w:rsidRPr="00990C5C">
              <w:rPr>
                <w:rFonts w:ascii="Calibri" w:eastAsia="Times New Roman" w:hAnsi="Calibri" w:cs="Calibri"/>
                <w:color w:val="000000"/>
                <w:lang w:eastAsia="fi-FI"/>
              </w:rPr>
              <w:t>H</w:t>
            </w:r>
            <w:r w:rsidRPr="00852F30">
              <w:rPr>
                <w:rFonts w:ascii="Calibri" w:eastAsia="Times New Roman" w:hAnsi="Calibri" w:cs="Calibri"/>
                <w:color w:val="000000"/>
                <w:vertAlign w:val="subscript"/>
                <w:lang w:eastAsia="fi-FI"/>
              </w:rPr>
              <w:t>54</w:t>
            </w:r>
            <w:r w:rsidRPr="00990C5C">
              <w:rPr>
                <w:rFonts w:ascii="Calibri" w:eastAsia="Times New Roman" w:hAnsi="Calibri" w:cs="Calibri"/>
                <w:color w:val="000000"/>
                <w:lang w:eastAsia="fi-FI"/>
              </w:rPr>
              <w:t>O</w:t>
            </w:r>
            <w:r w:rsidRPr="00852F30">
              <w:rPr>
                <w:rFonts w:ascii="Calibri" w:eastAsia="Times New Roman" w:hAnsi="Calibri" w:cs="Calibri"/>
                <w:color w:val="000000"/>
                <w:vertAlign w:val="subscript"/>
                <w:lang w:eastAsia="fi-FI"/>
              </w:rPr>
              <w:t>4</w:t>
            </w:r>
            <w:r w:rsidRPr="00990C5C">
              <w:rPr>
                <w:rFonts w:ascii="Calibri" w:eastAsia="Times New Roman" w:hAnsi="Calibri" w:cs="Calibri"/>
                <w:color w:val="000000"/>
                <w:lang w:eastAsia="fi-FI"/>
              </w:rPr>
              <w:t>Si</w:t>
            </w:r>
            <w:r w:rsidRPr="00852F30">
              <w:rPr>
                <w:rFonts w:ascii="Calibri" w:eastAsia="Times New Roman" w:hAnsi="Calibri" w:cs="Calibri"/>
                <w:color w:val="000000"/>
                <w:vertAlign w:val="subscript"/>
                <w:lang w:eastAsia="fi-FI"/>
              </w:rPr>
              <w:t>2</w:t>
            </w:r>
          </w:p>
        </w:tc>
        <w:tc>
          <w:tcPr>
            <w:tcW w:w="1500" w:type="dxa"/>
            <w:tcBorders>
              <w:top w:val="nil"/>
              <w:left w:val="nil"/>
              <w:bottom w:val="nil"/>
              <w:right w:val="nil"/>
            </w:tcBorders>
            <w:shd w:val="clear" w:color="auto" w:fill="auto"/>
            <w:noWrap/>
            <w:vAlign w:val="center"/>
            <w:hideMark/>
          </w:tcPr>
          <w:p w:rsidR="00990C5C" w:rsidRPr="00990C5C" w:rsidRDefault="00990C5C" w:rsidP="00990C5C">
            <w:pPr>
              <w:spacing w:after="0" w:line="240" w:lineRule="auto"/>
              <w:jc w:val="center"/>
              <w:rPr>
                <w:rFonts w:ascii="Calibri" w:eastAsia="Times New Roman" w:hAnsi="Calibri" w:cs="Calibri"/>
                <w:color w:val="000000"/>
                <w:lang w:eastAsia="fi-FI"/>
              </w:rPr>
            </w:pPr>
            <w:r w:rsidRPr="00990C5C">
              <w:rPr>
                <w:rFonts w:ascii="Calibri" w:eastAsia="Times New Roman" w:hAnsi="Calibri" w:cs="Calibri"/>
                <w:color w:val="000000"/>
                <w:lang w:eastAsia="fi-FI"/>
              </w:rPr>
              <w:t>Captiva</w:t>
            </w:r>
          </w:p>
        </w:tc>
        <w:tc>
          <w:tcPr>
            <w:tcW w:w="1477" w:type="dxa"/>
            <w:gridSpan w:val="2"/>
            <w:tcBorders>
              <w:top w:val="nil"/>
              <w:left w:val="nil"/>
              <w:bottom w:val="nil"/>
              <w:right w:val="nil"/>
            </w:tcBorders>
            <w:shd w:val="clear" w:color="auto" w:fill="auto"/>
            <w:noWrap/>
            <w:vAlign w:val="center"/>
            <w:hideMark/>
          </w:tcPr>
          <w:p w:rsidR="00990C5C" w:rsidRPr="00990C5C" w:rsidRDefault="00990C5C" w:rsidP="00990C5C">
            <w:pPr>
              <w:spacing w:after="0" w:line="240" w:lineRule="auto"/>
              <w:jc w:val="center"/>
              <w:rPr>
                <w:rFonts w:ascii="Calibri" w:eastAsia="Times New Roman" w:hAnsi="Calibri" w:cs="Calibri"/>
                <w:color w:val="000000"/>
                <w:lang w:eastAsia="fi-FI"/>
              </w:rPr>
            </w:pPr>
            <w:r w:rsidRPr="00990C5C">
              <w:rPr>
                <w:rFonts w:ascii="Calibri" w:eastAsia="Times New Roman" w:hAnsi="Calibri" w:cs="Calibri"/>
                <w:color w:val="000000"/>
                <w:lang w:eastAsia="fi-FI"/>
              </w:rPr>
              <w:t>69,4</w:t>
            </w:r>
          </w:p>
        </w:tc>
      </w:tr>
      <w:tr w:rsidR="006B47C9" w:rsidRPr="00990C5C" w:rsidTr="003D3A66">
        <w:tblPrEx>
          <w:tblCellMar>
            <w:left w:w="70" w:type="dxa"/>
            <w:right w:w="70" w:type="dxa"/>
          </w:tblCellMar>
        </w:tblPrEx>
        <w:trPr>
          <w:gridAfter w:val="1"/>
          <w:wAfter w:w="56" w:type="dxa"/>
          <w:trHeight w:val="300"/>
        </w:trPr>
        <w:tc>
          <w:tcPr>
            <w:tcW w:w="851" w:type="dxa"/>
            <w:tcBorders>
              <w:top w:val="nil"/>
              <w:left w:val="nil"/>
              <w:bottom w:val="nil"/>
              <w:right w:val="nil"/>
            </w:tcBorders>
            <w:shd w:val="clear" w:color="auto" w:fill="auto"/>
            <w:noWrap/>
            <w:vAlign w:val="center"/>
            <w:hideMark/>
          </w:tcPr>
          <w:p w:rsidR="00990C5C" w:rsidRPr="00990C5C" w:rsidRDefault="00990C5C" w:rsidP="00990C5C">
            <w:pPr>
              <w:spacing w:after="0" w:line="240" w:lineRule="auto"/>
              <w:jc w:val="center"/>
              <w:rPr>
                <w:rFonts w:ascii="Calibri" w:eastAsia="Times New Roman" w:hAnsi="Calibri" w:cs="Calibri"/>
                <w:color w:val="000000"/>
                <w:lang w:eastAsia="fi-FI"/>
              </w:rPr>
            </w:pPr>
            <w:r w:rsidRPr="00990C5C">
              <w:rPr>
                <w:rFonts w:ascii="Calibri" w:eastAsia="Times New Roman" w:hAnsi="Calibri" w:cs="Calibri"/>
                <w:color w:val="000000"/>
                <w:lang w:eastAsia="fi-FI"/>
              </w:rPr>
              <w:t>43</w:t>
            </w:r>
          </w:p>
        </w:tc>
        <w:tc>
          <w:tcPr>
            <w:tcW w:w="4111" w:type="dxa"/>
            <w:tcBorders>
              <w:top w:val="nil"/>
              <w:left w:val="nil"/>
              <w:bottom w:val="nil"/>
              <w:right w:val="nil"/>
            </w:tcBorders>
            <w:shd w:val="clear" w:color="auto" w:fill="auto"/>
            <w:noWrap/>
            <w:vAlign w:val="center"/>
            <w:hideMark/>
          </w:tcPr>
          <w:p w:rsidR="00990C5C" w:rsidRPr="00990C5C" w:rsidRDefault="00990C5C" w:rsidP="00990C5C">
            <w:pPr>
              <w:spacing w:after="0" w:line="240" w:lineRule="auto"/>
              <w:jc w:val="center"/>
              <w:rPr>
                <w:rFonts w:ascii="Calibri" w:eastAsia="Times New Roman" w:hAnsi="Calibri" w:cs="Calibri"/>
                <w:color w:val="000000"/>
                <w:lang w:eastAsia="fi-FI"/>
              </w:rPr>
            </w:pPr>
            <w:r w:rsidRPr="00990C5C">
              <w:rPr>
                <w:rFonts w:ascii="Calibri" w:eastAsia="Times New Roman" w:hAnsi="Calibri" w:cs="Calibri"/>
                <w:color w:val="000000"/>
                <w:lang w:eastAsia="fi-FI"/>
              </w:rPr>
              <w:t>1-Linolenoglycerol-2TMS</w:t>
            </w:r>
          </w:p>
        </w:tc>
        <w:tc>
          <w:tcPr>
            <w:tcW w:w="1984" w:type="dxa"/>
            <w:tcBorders>
              <w:top w:val="nil"/>
              <w:left w:val="nil"/>
              <w:bottom w:val="nil"/>
              <w:right w:val="nil"/>
            </w:tcBorders>
            <w:shd w:val="clear" w:color="auto" w:fill="auto"/>
            <w:noWrap/>
            <w:vAlign w:val="center"/>
            <w:hideMark/>
          </w:tcPr>
          <w:p w:rsidR="00990C5C" w:rsidRPr="00990C5C" w:rsidRDefault="00990C5C" w:rsidP="00990C5C">
            <w:pPr>
              <w:spacing w:after="0" w:line="240" w:lineRule="auto"/>
              <w:jc w:val="center"/>
              <w:rPr>
                <w:rFonts w:ascii="Calibri" w:eastAsia="Times New Roman" w:hAnsi="Calibri" w:cs="Calibri"/>
                <w:color w:val="000000"/>
                <w:lang w:eastAsia="fi-FI"/>
              </w:rPr>
            </w:pPr>
            <w:r w:rsidRPr="00990C5C">
              <w:rPr>
                <w:rFonts w:ascii="Calibri" w:eastAsia="Times New Roman" w:hAnsi="Calibri" w:cs="Calibri"/>
                <w:color w:val="000000"/>
                <w:lang w:eastAsia="fi-FI"/>
              </w:rPr>
              <w:t>17,459</w:t>
            </w:r>
          </w:p>
        </w:tc>
        <w:tc>
          <w:tcPr>
            <w:tcW w:w="1134" w:type="dxa"/>
            <w:tcBorders>
              <w:top w:val="nil"/>
              <w:left w:val="nil"/>
              <w:bottom w:val="nil"/>
              <w:right w:val="nil"/>
            </w:tcBorders>
            <w:shd w:val="clear" w:color="auto" w:fill="auto"/>
            <w:noWrap/>
            <w:vAlign w:val="center"/>
            <w:hideMark/>
          </w:tcPr>
          <w:p w:rsidR="00990C5C" w:rsidRPr="00990C5C" w:rsidRDefault="00990C5C" w:rsidP="00990C5C">
            <w:pPr>
              <w:spacing w:after="0" w:line="240" w:lineRule="auto"/>
              <w:jc w:val="center"/>
              <w:rPr>
                <w:rFonts w:ascii="Calibri" w:eastAsia="Times New Roman" w:hAnsi="Calibri" w:cs="Calibri"/>
                <w:color w:val="000000"/>
                <w:lang w:eastAsia="fi-FI"/>
              </w:rPr>
            </w:pPr>
            <w:r w:rsidRPr="00990C5C">
              <w:rPr>
                <w:rFonts w:ascii="Calibri" w:eastAsia="Times New Roman" w:hAnsi="Calibri" w:cs="Calibri"/>
                <w:color w:val="000000"/>
                <w:lang w:eastAsia="fi-FI"/>
              </w:rPr>
              <w:t>496,34</w:t>
            </w:r>
          </w:p>
        </w:tc>
        <w:tc>
          <w:tcPr>
            <w:tcW w:w="1843" w:type="dxa"/>
            <w:tcBorders>
              <w:top w:val="nil"/>
              <w:left w:val="nil"/>
              <w:bottom w:val="nil"/>
              <w:right w:val="nil"/>
            </w:tcBorders>
            <w:shd w:val="clear" w:color="auto" w:fill="auto"/>
            <w:noWrap/>
            <w:vAlign w:val="center"/>
            <w:hideMark/>
          </w:tcPr>
          <w:p w:rsidR="00990C5C" w:rsidRPr="00990C5C" w:rsidRDefault="00990C5C" w:rsidP="00990C5C">
            <w:pPr>
              <w:spacing w:after="0" w:line="240" w:lineRule="auto"/>
              <w:jc w:val="center"/>
              <w:rPr>
                <w:rFonts w:ascii="Calibri" w:eastAsia="Times New Roman" w:hAnsi="Calibri" w:cs="Calibri"/>
                <w:color w:val="000000"/>
                <w:lang w:eastAsia="fi-FI"/>
              </w:rPr>
            </w:pPr>
            <w:r w:rsidRPr="00990C5C">
              <w:rPr>
                <w:rFonts w:ascii="Calibri" w:eastAsia="Times New Roman" w:hAnsi="Calibri" w:cs="Calibri"/>
                <w:color w:val="000000"/>
                <w:lang w:eastAsia="fi-FI"/>
              </w:rPr>
              <w:t>C</w:t>
            </w:r>
            <w:r w:rsidRPr="00852F30">
              <w:rPr>
                <w:rFonts w:ascii="Calibri" w:eastAsia="Times New Roman" w:hAnsi="Calibri" w:cs="Calibri"/>
                <w:color w:val="000000"/>
                <w:vertAlign w:val="subscript"/>
                <w:lang w:eastAsia="fi-FI"/>
              </w:rPr>
              <w:t>27</w:t>
            </w:r>
            <w:r w:rsidRPr="00990C5C">
              <w:rPr>
                <w:rFonts w:ascii="Calibri" w:eastAsia="Times New Roman" w:hAnsi="Calibri" w:cs="Calibri"/>
                <w:color w:val="000000"/>
                <w:lang w:eastAsia="fi-FI"/>
              </w:rPr>
              <w:t>H</w:t>
            </w:r>
            <w:r w:rsidRPr="00852F30">
              <w:rPr>
                <w:rFonts w:ascii="Calibri" w:eastAsia="Times New Roman" w:hAnsi="Calibri" w:cs="Calibri"/>
                <w:color w:val="000000"/>
                <w:vertAlign w:val="subscript"/>
                <w:lang w:eastAsia="fi-FI"/>
              </w:rPr>
              <w:t>52</w:t>
            </w:r>
            <w:r w:rsidRPr="00990C5C">
              <w:rPr>
                <w:rFonts w:ascii="Calibri" w:eastAsia="Times New Roman" w:hAnsi="Calibri" w:cs="Calibri"/>
                <w:color w:val="000000"/>
                <w:lang w:eastAsia="fi-FI"/>
              </w:rPr>
              <w:t>O</w:t>
            </w:r>
            <w:r w:rsidRPr="00852F30">
              <w:rPr>
                <w:rFonts w:ascii="Calibri" w:eastAsia="Times New Roman" w:hAnsi="Calibri" w:cs="Calibri"/>
                <w:color w:val="000000"/>
                <w:vertAlign w:val="subscript"/>
                <w:lang w:eastAsia="fi-FI"/>
              </w:rPr>
              <w:t>4</w:t>
            </w:r>
            <w:r w:rsidRPr="00990C5C">
              <w:rPr>
                <w:rFonts w:ascii="Calibri" w:eastAsia="Times New Roman" w:hAnsi="Calibri" w:cs="Calibri"/>
                <w:color w:val="000000"/>
                <w:lang w:eastAsia="fi-FI"/>
              </w:rPr>
              <w:t>Si</w:t>
            </w:r>
            <w:r w:rsidRPr="00852F30">
              <w:rPr>
                <w:rFonts w:ascii="Calibri" w:eastAsia="Times New Roman" w:hAnsi="Calibri" w:cs="Calibri"/>
                <w:color w:val="000000"/>
                <w:vertAlign w:val="subscript"/>
                <w:lang w:eastAsia="fi-FI"/>
              </w:rPr>
              <w:t>2</w:t>
            </w:r>
          </w:p>
        </w:tc>
        <w:tc>
          <w:tcPr>
            <w:tcW w:w="1500" w:type="dxa"/>
            <w:tcBorders>
              <w:top w:val="nil"/>
              <w:left w:val="nil"/>
              <w:bottom w:val="nil"/>
              <w:right w:val="nil"/>
            </w:tcBorders>
            <w:shd w:val="clear" w:color="auto" w:fill="auto"/>
            <w:noWrap/>
            <w:vAlign w:val="center"/>
            <w:hideMark/>
          </w:tcPr>
          <w:p w:rsidR="00990C5C" w:rsidRPr="00990C5C" w:rsidRDefault="00990C5C" w:rsidP="00990C5C">
            <w:pPr>
              <w:spacing w:after="0" w:line="240" w:lineRule="auto"/>
              <w:jc w:val="center"/>
              <w:rPr>
                <w:rFonts w:ascii="Calibri" w:eastAsia="Times New Roman" w:hAnsi="Calibri" w:cs="Calibri"/>
                <w:color w:val="000000"/>
                <w:lang w:eastAsia="fi-FI"/>
              </w:rPr>
            </w:pPr>
            <w:r w:rsidRPr="00990C5C">
              <w:rPr>
                <w:rFonts w:ascii="Calibri" w:eastAsia="Times New Roman" w:hAnsi="Calibri" w:cs="Calibri"/>
                <w:color w:val="000000"/>
                <w:lang w:eastAsia="fi-FI"/>
              </w:rPr>
              <w:t>Captiva</w:t>
            </w:r>
          </w:p>
        </w:tc>
        <w:tc>
          <w:tcPr>
            <w:tcW w:w="1477" w:type="dxa"/>
            <w:gridSpan w:val="2"/>
            <w:tcBorders>
              <w:top w:val="nil"/>
              <w:left w:val="nil"/>
              <w:bottom w:val="nil"/>
              <w:right w:val="nil"/>
            </w:tcBorders>
            <w:shd w:val="clear" w:color="auto" w:fill="auto"/>
            <w:noWrap/>
            <w:vAlign w:val="center"/>
            <w:hideMark/>
          </w:tcPr>
          <w:p w:rsidR="00990C5C" w:rsidRPr="00990C5C" w:rsidRDefault="00990C5C" w:rsidP="00990C5C">
            <w:pPr>
              <w:spacing w:after="0" w:line="240" w:lineRule="auto"/>
              <w:jc w:val="center"/>
              <w:rPr>
                <w:rFonts w:ascii="Calibri" w:eastAsia="Times New Roman" w:hAnsi="Calibri" w:cs="Calibri"/>
                <w:color w:val="000000"/>
                <w:lang w:eastAsia="fi-FI"/>
              </w:rPr>
            </w:pPr>
            <w:r w:rsidRPr="00990C5C">
              <w:rPr>
                <w:rFonts w:ascii="Calibri" w:eastAsia="Times New Roman" w:hAnsi="Calibri" w:cs="Calibri"/>
                <w:color w:val="000000"/>
                <w:lang w:eastAsia="fi-FI"/>
              </w:rPr>
              <w:t>44,8</w:t>
            </w:r>
          </w:p>
        </w:tc>
      </w:tr>
      <w:tr w:rsidR="006B47C9" w:rsidRPr="00990C5C" w:rsidTr="003D3A66">
        <w:tblPrEx>
          <w:tblCellMar>
            <w:left w:w="70" w:type="dxa"/>
            <w:right w:w="70" w:type="dxa"/>
          </w:tblCellMar>
        </w:tblPrEx>
        <w:trPr>
          <w:gridAfter w:val="1"/>
          <w:wAfter w:w="56" w:type="dxa"/>
          <w:trHeight w:val="300"/>
        </w:trPr>
        <w:tc>
          <w:tcPr>
            <w:tcW w:w="851" w:type="dxa"/>
            <w:tcBorders>
              <w:top w:val="nil"/>
              <w:left w:val="nil"/>
              <w:bottom w:val="nil"/>
              <w:right w:val="nil"/>
            </w:tcBorders>
            <w:shd w:val="clear" w:color="auto" w:fill="auto"/>
            <w:noWrap/>
            <w:vAlign w:val="center"/>
            <w:hideMark/>
          </w:tcPr>
          <w:p w:rsidR="00990C5C" w:rsidRPr="00990C5C" w:rsidRDefault="00990C5C" w:rsidP="00990C5C">
            <w:pPr>
              <w:spacing w:after="0" w:line="240" w:lineRule="auto"/>
              <w:jc w:val="center"/>
              <w:rPr>
                <w:rFonts w:ascii="Calibri" w:eastAsia="Times New Roman" w:hAnsi="Calibri" w:cs="Calibri"/>
                <w:color w:val="000000"/>
                <w:lang w:eastAsia="fi-FI"/>
              </w:rPr>
            </w:pPr>
            <w:r w:rsidRPr="00990C5C">
              <w:rPr>
                <w:rFonts w:ascii="Calibri" w:eastAsia="Times New Roman" w:hAnsi="Calibri" w:cs="Calibri"/>
                <w:color w:val="000000"/>
                <w:lang w:eastAsia="fi-FI"/>
              </w:rPr>
              <w:t>44</w:t>
            </w:r>
          </w:p>
        </w:tc>
        <w:tc>
          <w:tcPr>
            <w:tcW w:w="4111" w:type="dxa"/>
            <w:tcBorders>
              <w:top w:val="nil"/>
              <w:left w:val="nil"/>
              <w:bottom w:val="nil"/>
              <w:right w:val="nil"/>
            </w:tcBorders>
            <w:shd w:val="clear" w:color="auto" w:fill="auto"/>
            <w:noWrap/>
            <w:vAlign w:val="center"/>
            <w:hideMark/>
          </w:tcPr>
          <w:p w:rsidR="00990C5C" w:rsidRPr="00990C5C" w:rsidRDefault="00990C5C" w:rsidP="00990C5C">
            <w:pPr>
              <w:spacing w:after="0" w:line="240" w:lineRule="auto"/>
              <w:jc w:val="center"/>
              <w:rPr>
                <w:rFonts w:ascii="Calibri" w:eastAsia="Times New Roman" w:hAnsi="Calibri" w:cs="Calibri"/>
                <w:color w:val="000000"/>
                <w:lang w:eastAsia="fi-FI"/>
              </w:rPr>
            </w:pPr>
            <w:r w:rsidRPr="00990C5C">
              <w:rPr>
                <w:rFonts w:ascii="Calibri" w:eastAsia="Times New Roman" w:hAnsi="Calibri" w:cs="Calibri"/>
                <w:color w:val="000000"/>
                <w:lang w:eastAsia="fi-FI"/>
              </w:rPr>
              <w:t>Terpenoid-TMS</w:t>
            </w:r>
          </w:p>
        </w:tc>
        <w:tc>
          <w:tcPr>
            <w:tcW w:w="1984" w:type="dxa"/>
            <w:tcBorders>
              <w:top w:val="nil"/>
              <w:left w:val="nil"/>
              <w:bottom w:val="nil"/>
              <w:right w:val="nil"/>
            </w:tcBorders>
            <w:shd w:val="clear" w:color="auto" w:fill="auto"/>
            <w:noWrap/>
            <w:vAlign w:val="center"/>
            <w:hideMark/>
          </w:tcPr>
          <w:p w:rsidR="00990C5C" w:rsidRPr="00990C5C" w:rsidRDefault="00990C5C" w:rsidP="00990C5C">
            <w:pPr>
              <w:spacing w:after="0" w:line="240" w:lineRule="auto"/>
              <w:jc w:val="center"/>
              <w:rPr>
                <w:rFonts w:ascii="Calibri" w:eastAsia="Times New Roman" w:hAnsi="Calibri" w:cs="Calibri"/>
                <w:color w:val="000000"/>
                <w:lang w:eastAsia="fi-FI"/>
              </w:rPr>
            </w:pPr>
            <w:r w:rsidRPr="00990C5C">
              <w:rPr>
                <w:rFonts w:ascii="Calibri" w:eastAsia="Times New Roman" w:hAnsi="Calibri" w:cs="Calibri"/>
                <w:color w:val="000000"/>
                <w:lang w:eastAsia="fi-FI"/>
              </w:rPr>
              <w:t>17,740</w:t>
            </w:r>
          </w:p>
        </w:tc>
        <w:tc>
          <w:tcPr>
            <w:tcW w:w="1134" w:type="dxa"/>
            <w:tcBorders>
              <w:top w:val="nil"/>
              <w:left w:val="nil"/>
              <w:bottom w:val="nil"/>
              <w:right w:val="nil"/>
            </w:tcBorders>
            <w:shd w:val="clear" w:color="auto" w:fill="auto"/>
            <w:noWrap/>
            <w:vAlign w:val="center"/>
            <w:hideMark/>
          </w:tcPr>
          <w:p w:rsidR="00990C5C" w:rsidRPr="00990C5C" w:rsidRDefault="00990C5C" w:rsidP="00990C5C">
            <w:pPr>
              <w:spacing w:after="0" w:line="240" w:lineRule="auto"/>
              <w:jc w:val="center"/>
              <w:rPr>
                <w:rFonts w:ascii="Calibri" w:eastAsia="Times New Roman" w:hAnsi="Calibri" w:cs="Calibri"/>
                <w:color w:val="000000"/>
                <w:lang w:eastAsia="fi-FI"/>
              </w:rPr>
            </w:pPr>
          </w:p>
        </w:tc>
        <w:tc>
          <w:tcPr>
            <w:tcW w:w="1843" w:type="dxa"/>
            <w:tcBorders>
              <w:top w:val="nil"/>
              <w:left w:val="nil"/>
              <w:bottom w:val="nil"/>
              <w:right w:val="nil"/>
            </w:tcBorders>
            <w:shd w:val="clear" w:color="auto" w:fill="auto"/>
            <w:noWrap/>
            <w:vAlign w:val="center"/>
            <w:hideMark/>
          </w:tcPr>
          <w:p w:rsidR="00990C5C" w:rsidRPr="00990C5C" w:rsidRDefault="00990C5C" w:rsidP="00990C5C">
            <w:pPr>
              <w:spacing w:after="0" w:line="240" w:lineRule="auto"/>
              <w:jc w:val="center"/>
              <w:rPr>
                <w:rFonts w:ascii="Times New Roman" w:eastAsia="Times New Roman" w:hAnsi="Times New Roman" w:cs="Times New Roman"/>
                <w:sz w:val="20"/>
                <w:szCs w:val="20"/>
                <w:lang w:eastAsia="fi-FI"/>
              </w:rPr>
            </w:pPr>
          </w:p>
        </w:tc>
        <w:tc>
          <w:tcPr>
            <w:tcW w:w="1500" w:type="dxa"/>
            <w:tcBorders>
              <w:top w:val="nil"/>
              <w:left w:val="nil"/>
              <w:bottom w:val="nil"/>
              <w:right w:val="nil"/>
            </w:tcBorders>
            <w:shd w:val="clear" w:color="auto" w:fill="auto"/>
            <w:noWrap/>
            <w:vAlign w:val="center"/>
            <w:hideMark/>
          </w:tcPr>
          <w:p w:rsidR="00990C5C" w:rsidRPr="00990C5C" w:rsidRDefault="00990C5C" w:rsidP="00990C5C">
            <w:pPr>
              <w:spacing w:after="0" w:line="240" w:lineRule="auto"/>
              <w:jc w:val="center"/>
              <w:rPr>
                <w:rFonts w:ascii="Calibri" w:eastAsia="Times New Roman" w:hAnsi="Calibri" w:cs="Calibri"/>
                <w:color w:val="000000"/>
                <w:lang w:eastAsia="fi-FI"/>
              </w:rPr>
            </w:pPr>
            <w:r w:rsidRPr="00990C5C">
              <w:rPr>
                <w:rFonts w:ascii="Calibri" w:eastAsia="Times New Roman" w:hAnsi="Calibri" w:cs="Calibri"/>
                <w:color w:val="000000"/>
                <w:lang w:eastAsia="fi-FI"/>
              </w:rPr>
              <w:t>EMR</w:t>
            </w:r>
          </w:p>
        </w:tc>
        <w:tc>
          <w:tcPr>
            <w:tcW w:w="1477" w:type="dxa"/>
            <w:gridSpan w:val="2"/>
            <w:tcBorders>
              <w:top w:val="nil"/>
              <w:left w:val="nil"/>
              <w:bottom w:val="nil"/>
              <w:right w:val="nil"/>
            </w:tcBorders>
            <w:shd w:val="clear" w:color="auto" w:fill="auto"/>
            <w:noWrap/>
            <w:vAlign w:val="center"/>
            <w:hideMark/>
          </w:tcPr>
          <w:p w:rsidR="00990C5C" w:rsidRPr="00990C5C" w:rsidRDefault="00990C5C" w:rsidP="00990C5C">
            <w:pPr>
              <w:spacing w:after="0" w:line="240" w:lineRule="auto"/>
              <w:jc w:val="center"/>
              <w:rPr>
                <w:rFonts w:ascii="Calibri" w:eastAsia="Times New Roman" w:hAnsi="Calibri" w:cs="Calibri"/>
                <w:color w:val="000000"/>
                <w:lang w:eastAsia="fi-FI"/>
              </w:rPr>
            </w:pPr>
          </w:p>
        </w:tc>
      </w:tr>
      <w:tr w:rsidR="006B47C9" w:rsidRPr="00990C5C" w:rsidTr="003D3A66">
        <w:tblPrEx>
          <w:tblCellMar>
            <w:left w:w="70" w:type="dxa"/>
            <w:right w:w="70" w:type="dxa"/>
          </w:tblCellMar>
        </w:tblPrEx>
        <w:trPr>
          <w:gridAfter w:val="1"/>
          <w:wAfter w:w="56" w:type="dxa"/>
          <w:trHeight w:val="300"/>
        </w:trPr>
        <w:tc>
          <w:tcPr>
            <w:tcW w:w="851" w:type="dxa"/>
            <w:tcBorders>
              <w:top w:val="nil"/>
              <w:left w:val="nil"/>
              <w:bottom w:val="single" w:sz="4" w:space="0" w:color="auto"/>
              <w:right w:val="nil"/>
            </w:tcBorders>
            <w:shd w:val="clear" w:color="auto" w:fill="F2F2F2" w:themeFill="background1" w:themeFillShade="F2"/>
            <w:noWrap/>
            <w:vAlign w:val="center"/>
            <w:hideMark/>
          </w:tcPr>
          <w:p w:rsidR="00990C5C" w:rsidRPr="00990C5C" w:rsidRDefault="00990C5C" w:rsidP="00990C5C">
            <w:pPr>
              <w:spacing w:after="0" w:line="240" w:lineRule="auto"/>
              <w:jc w:val="center"/>
              <w:rPr>
                <w:rFonts w:ascii="Calibri" w:eastAsia="Times New Roman" w:hAnsi="Calibri" w:cs="Calibri"/>
                <w:color w:val="000000"/>
                <w:lang w:eastAsia="fi-FI"/>
              </w:rPr>
            </w:pPr>
            <w:r w:rsidRPr="00990C5C">
              <w:rPr>
                <w:rFonts w:ascii="Calibri" w:eastAsia="Times New Roman" w:hAnsi="Calibri" w:cs="Calibri"/>
                <w:color w:val="000000"/>
                <w:lang w:eastAsia="fi-FI"/>
              </w:rPr>
              <w:t>45</w:t>
            </w:r>
          </w:p>
        </w:tc>
        <w:tc>
          <w:tcPr>
            <w:tcW w:w="4111" w:type="dxa"/>
            <w:tcBorders>
              <w:top w:val="nil"/>
              <w:left w:val="nil"/>
              <w:bottom w:val="single" w:sz="4" w:space="0" w:color="auto"/>
              <w:right w:val="nil"/>
            </w:tcBorders>
            <w:shd w:val="clear" w:color="auto" w:fill="F2F2F2" w:themeFill="background1" w:themeFillShade="F2"/>
            <w:noWrap/>
            <w:vAlign w:val="center"/>
            <w:hideMark/>
          </w:tcPr>
          <w:p w:rsidR="00990C5C" w:rsidRPr="00990C5C" w:rsidRDefault="00990C5C" w:rsidP="00990C5C">
            <w:pPr>
              <w:spacing w:after="0" w:line="240" w:lineRule="auto"/>
              <w:jc w:val="center"/>
              <w:rPr>
                <w:rFonts w:ascii="Calibri" w:eastAsia="Times New Roman" w:hAnsi="Calibri" w:cs="Calibri"/>
                <w:color w:val="000000"/>
                <w:lang w:eastAsia="fi-FI"/>
              </w:rPr>
            </w:pPr>
            <w:r w:rsidRPr="00990C5C">
              <w:rPr>
                <w:rFonts w:ascii="Calibri" w:eastAsia="Times New Roman" w:hAnsi="Calibri" w:cs="Calibri"/>
                <w:color w:val="000000"/>
                <w:lang w:eastAsia="fi-FI"/>
              </w:rPr>
              <w:t>Terpenoid-TMS</w:t>
            </w:r>
          </w:p>
        </w:tc>
        <w:tc>
          <w:tcPr>
            <w:tcW w:w="1984" w:type="dxa"/>
            <w:tcBorders>
              <w:top w:val="nil"/>
              <w:left w:val="nil"/>
              <w:bottom w:val="single" w:sz="4" w:space="0" w:color="auto"/>
              <w:right w:val="nil"/>
            </w:tcBorders>
            <w:shd w:val="clear" w:color="auto" w:fill="F2F2F2" w:themeFill="background1" w:themeFillShade="F2"/>
            <w:noWrap/>
            <w:vAlign w:val="center"/>
            <w:hideMark/>
          </w:tcPr>
          <w:p w:rsidR="00990C5C" w:rsidRPr="00990C5C" w:rsidRDefault="00990C5C" w:rsidP="00990C5C">
            <w:pPr>
              <w:spacing w:after="0" w:line="240" w:lineRule="auto"/>
              <w:jc w:val="center"/>
              <w:rPr>
                <w:rFonts w:ascii="Calibri" w:eastAsia="Times New Roman" w:hAnsi="Calibri" w:cs="Calibri"/>
                <w:color w:val="000000"/>
                <w:lang w:eastAsia="fi-FI"/>
              </w:rPr>
            </w:pPr>
            <w:r w:rsidRPr="00990C5C">
              <w:rPr>
                <w:rFonts w:ascii="Calibri" w:eastAsia="Times New Roman" w:hAnsi="Calibri" w:cs="Calibri"/>
                <w:color w:val="000000"/>
                <w:lang w:eastAsia="fi-FI"/>
              </w:rPr>
              <w:t>17,946</w:t>
            </w:r>
          </w:p>
        </w:tc>
        <w:tc>
          <w:tcPr>
            <w:tcW w:w="1134" w:type="dxa"/>
            <w:tcBorders>
              <w:top w:val="nil"/>
              <w:left w:val="nil"/>
              <w:bottom w:val="single" w:sz="4" w:space="0" w:color="auto"/>
              <w:right w:val="nil"/>
            </w:tcBorders>
            <w:shd w:val="clear" w:color="auto" w:fill="F2F2F2" w:themeFill="background1" w:themeFillShade="F2"/>
            <w:noWrap/>
            <w:vAlign w:val="center"/>
            <w:hideMark/>
          </w:tcPr>
          <w:p w:rsidR="00990C5C" w:rsidRPr="00990C5C" w:rsidRDefault="00990C5C" w:rsidP="00990C5C">
            <w:pPr>
              <w:spacing w:after="0" w:line="240" w:lineRule="auto"/>
              <w:jc w:val="center"/>
              <w:rPr>
                <w:rFonts w:ascii="Calibri" w:eastAsia="Times New Roman" w:hAnsi="Calibri" w:cs="Calibri"/>
                <w:color w:val="000000"/>
                <w:lang w:eastAsia="fi-FI"/>
              </w:rPr>
            </w:pPr>
            <w:r w:rsidRPr="00990C5C">
              <w:rPr>
                <w:rFonts w:ascii="Calibri" w:eastAsia="Times New Roman" w:hAnsi="Calibri" w:cs="Calibri"/>
                <w:color w:val="000000"/>
                <w:lang w:eastAsia="fi-FI"/>
              </w:rPr>
              <w:t> </w:t>
            </w:r>
          </w:p>
        </w:tc>
        <w:tc>
          <w:tcPr>
            <w:tcW w:w="1843" w:type="dxa"/>
            <w:tcBorders>
              <w:top w:val="nil"/>
              <w:left w:val="nil"/>
              <w:bottom w:val="single" w:sz="4" w:space="0" w:color="auto"/>
              <w:right w:val="nil"/>
            </w:tcBorders>
            <w:shd w:val="clear" w:color="auto" w:fill="F2F2F2" w:themeFill="background1" w:themeFillShade="F2"/>
            <w:noWrap/>
            <w:vAlign w:val="center"/>
            <w:hideMark/>
          </w:tcPr>
          <w:p w:rsidR="00990C5C" w:rsidRPr="00990C5C" w:rsidRDefault="00990C5C" w:rsidP="00990C5C">
            <w:pPr>
              <w:spacing w:after="0" w:line="240" w:lineRule="auto"/>
              <w:jc w:val="center"/>
              <w:rPr>
                <w:rFonts w:ascii="Calibri" w:eastAsia="Times New Roman" w:hAnsi="Calibri" w:cs="Calibri"/>
                <w:color w:val="000000"/>
                <w:lang w:eastAsia="fi-FI"/>
              </w:rPr>
            </w:pPr>
            <w:r w:rsidRPr="00990C5C">
              <w:rPr>
                <w:rFonts w:ascii="Calibri" w:eastAsia="Times New Roman" w:hAnsi="Calibri" w:cs="Calibri"/>
                <w:color w:val="000000"/>
                <w:lang w:eastAsia="fi-FI"/>
              </w:rPr>
              <w:t> </w:t>
            </w:r>
          </w:p>
        </w:tc>
        <w:tc>
          <w:tcPr>
            <w:tcW w:w="1500" w:type="dxa"/>
            <w:tcBorders>
              <w:top w:val="nil"/>
              <w:left w:val="nil"/>
              <w:bottom w:val="single" w:sz="4" w:space="0" w:color="auto"/>
              <w:right w:val="nil"/>
            </w:tcBorders>
            <w:shd w:val="clear" w:color="auto" w:fill="F2F2F2" w:themeFill="background1" w:themeFillShade="F2"/>
            <w:noWrap/>
            <w:vAlign w:val="center"/>
            <w:hideMark/>
          </w:tcPr>
          <w:p w:rsidR="00990C5C" w:rsidRPr="00990C5C" w:rsidRDefault="00990C5C" w:rsidP="00990C5C">
            <w:pPr>
              <w:spacing w:after="0" w:line="240" w:lineRule="auto"/>
              <w:jc w:val="center"/>
              <w:rPr>
                <w:rFonts w:ascii="Calibri" w:eastAsia="Times New Roman" w:hAnsi="Calibri" w:cs="Calibri"/>
                <w:color w:val="000000"/>
                <w:lang w:eastAsia="fi-FI"/>
              </w:rPr>
            </w:pPr>
            <w:r w:rsidRPr="00990C5C">
              <w:rPr>
                <w:rFonts w:ascii="Calibri" w:eastAsia="Times New Roman" w:hAnsi="Calibri" w:cs="Calibri"/>
                <w:color w:val="000000"/>
                <w:lang w:eastAsia="fi-FI"/>
              </w:rPr>
              <w:t>Captiva, EMR</w:t>
            </w:r>
          </w:p>
        </w:tc>
        <w:tc>
          <w:tcPr>
            <w:tcW w:w="1477" w:type="dxa"/>
            <w:gridSpan w:val="2"/>
            <w:tcBorders>
              <w:top w:val="nil"/>
              <w:left w:val="nil"/>
              <w:bottom w:val="single" w:sz="4" w:space="0" w:color="auto"/>
              <w:right w:val="nil"/>
            </w:tcBorders>
            <w:shd w:val="clear" w:color="auto" w:fill="F2F2F2" w:themeFill="background1" w:themeFillShade="F2"/>
            <w:noWrap/>
            <w:vAlign w:val="center"/>
            <w:hideMark/>
          </w:tcPr>
          <w:p w:rsidR="00990C5C" w:rsidRPr="00990C5C" w:rsidRDefault="00990C5C" w:rsidP="00990C5C">
            <w:pPr>
              <w:spacing w:after="0" w:line="240" w:lineRule="auto"/>
              <w:jc w:val="center"/>
              <w:rPr>
                <w:rFonts w:ascii="Calibri" w:eastAsia="Times New Roman" w:hAnsi="Calibri" w:cs="Calibri"/>
                <w:color w:val="000000"/>
                <w:lang w:eastAsia="fi-FI"/>
              </w:rPr>
            </w:pPr>
            <w:r w:rsidRPr="00990C5C">
              <w:rPr>
                <w:rFonts w:ascii="Calibri" w:eastAsia="Times New Roman" w:hAnsi="Calibri" w:cs="Calibri"/>
                <w:color w:val="000000"/>
                <w:lang w:eastAsia="fi-FI"/>
              </w:rPr>
              <w:t> </w:t>
            </w:r>
          </w:p>
        </w:tc>
      </w:tr>
    </w:tbl>
    <w:p w:rsidR="002A647E" w:rsidRPr="00990C5C" w:rsidRDefault="002A647E"/>
    <w:p w:rsidR="00471CFD" w:rsidRDefault="00471CFD"/>
    <w:p w:rsidR="00471CFD" w:rsidRDefault="00471CFD"/>
    <w:p w:rsidR="00471CFD" w:rsidRDefault="00471CFD">
      <w:r>
        <w:rPr>
          <w:rFonts w:ascii="Arial" w:eastAsia="Arial" w:hAnsi="Arial" w:cs="Arial"/>
          <w:noProof/>
          <w:color w:val="000000"/>
          <w:sz w:val="19"/>
        </w:rPr>
        <w:lastRenderedPageBreak/>
        <w:drawing>
          <wp:inline distT="0" distB="0" distL="0" distR="0" wp14:anchorId="57B3CE30" wp14:editId="27F9E2C7">
            <wp:extent cx="8267065" cy="4971972"/>
            <wp:effectExtent l="0" t="0" r="635" b="635"/>
            <wp:docPr id="7" name="pi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28"/>
                    <pic:cNvPicPr/>
                  </pic:nvPicPr>
                  <pic:blipFill>
                    <a:blip r:embed="rId23"/>
                    <a:srcRect/>
                    <a:stretch/>
                  </pic:blipFill>
                  <pic:spPr>
                    <a:xfrm>
                      <a:off x="0" y="0"/>
                      <a:ext cx="8299848" cy="4991688"/>
                    </a:xfrm>
                    <a:prstGeom prst="rect">
                      <a:avLst/>
                    </a:prstGeom>
                  </pic:spPr>
                </pic:pic>
              </a:graphicData>
            </a:graphic>
          </wp:inline>
        </w:drawing>
      </w:r>
    </w:p>
    <w:p w:rsidR="00471CFD" w:rsidRDefault="00471CFD" w:rsidP="00FD608F">
      <w:pPr>
        <w:spacing w:after="0"/>
      </w:pPr>
    </w:p>
    <w:p w:rsidR="002C6902" w:rsidRDefault="002C6902" w:rsidP="002C6902">
      <w:pPr>
        <w:pStyle w:val="Caption"/>
        <w:sectPr w:rsidR="002C6902" w:rsidSect="002E44B5">
          <w:pgSz w:w="16838" w:h="11906" w:orient="landscape" w:code="9"/>
          <w:pgMar w:top="1440" w:right="1440" w:bottom="1440" w:left="1440" w:header="720" w:footer="720" w:gutter="0"/>
          <w:cols w:space="720"/>
          <w:titlePg/>
          <w:docGrid w:linePitch="360"/>
        </w:sectPr>
      </w:pPr>
      <w:r>
        <w:t xml:space="preserve">Figure </w:t>
      </w:r>
      <w:r w:rsidR="002E375B">
        <w:fldChar w:fldCharType="begin"/>
      </w:r>
      <w:r w:rsidR="002E375B">
        <w:instrText xml:space="preserve"> SEQ Figure \* ARABIC </w:instrText>
      </w:r>
      <w:r w:rsidR="002E375B">
        <w:fldChar w:fldCharType="separate"/>
      </w:r>
      <w:r w:rsidR="00D538BE">
        <w:rPr>
          <w:noProof/>
        </w:rPr>
        <w:t>9</w:t>
      </w:r>
      <w:r w:rsidR="002E375B">
        <w:rPr>
          <w:noProof/>
        </w:rPr>
        <w:fldChar w:fldCharType="end"/>
      </w:r>
      <w:r w:rsidRPr="002C6902">
        <w:t xml:space="preserve"> CBD oil sample prepared with the EMR-method, run on Intuvo 9000 GC system. Instrument conditions can be found in appendix 15.</w:t>
      </w:r>
    </w:p>
    <w:p w:rsidR="009417F4" w:rsidRDefault="009417F4" w:rsidP="00FD608F">
      <w:pPr>
        <w:spacing w:after="0" w:line="24" w:lineRule="auto"/>
      </w:pPr>
    </w:p>
    <w:p w:rsidR="00734392" w:rsidRDefault="00734392" w:rsidP="009E4181">
      <w:pPr>
        <w:pStyle w:val="Heading1"/>
      </w:pPr>
      <w:bookmarkStart w:id="49" w:name="_Toc515617215"/>
      <w:r>
        <w:t>Conclusions</w:t>
      </w:r>
      <w:bookmarkEnd w:id="49"/>
      <w:r>
        <w:t xml:space="preserve"> </w:t>
      </w:r>
    </w:p>
    <w:p w:rsidR="00204427" w:rsidRDefault="00204427" w:rsidP="00FC3713">
      <w:pPr>
        <w:jc w:val="both"/>
      </w:pPr>
      <w:r>
        <w:t>Over all, none of the products contained chemicals that could be either concluded to be harmful or be in the quantit</w:t>
      </w:r>
      <w:r w:rsidR="004F0728">
        <w:t>y of a harmful level. Ethan</w:t>
      </w:r>
      <w:r>
        <w:t>ol was quantified from the e-liquids and thr</w:t>
      </w:r>
      <w:r w:rsidR="004F0728">
        <w:t>ee of them contained ethan</w:t>
      </w:r>
      <w:r>
        <w:t>ol</w:t>
      </w:r>
      <w:r w:rsidR="00951E85">
        <w:t>.</w:t>
      </w:r>
      <w:r>
        <w:t xml:space="preserve"> </w:t>
      </w:r>
      <w:r w:rsidR="00951E85">
        <w:t>H</w:t>
      </w:r>
      <w:r>
        <w:t xml:space="preserve">owever, </w:t>
      </w:r>
      <w:r w:rsidR="004F0728">
        <w:t>the ethan</w:t>
      </w:r>
      <w:r w:rsidR="00951E85">
        <w:t>ol was below 0.4</w:t>
      </w:r>
      <w:r w:rsidR="000D25F3">
        <w:t xml:space="preserve"> </w:t>
      </w:r>
      <w:r w:rsidR="00951E85">
        <w:t xml:space="preserve">% in all samples and thus is considered trace level </w:t>
      </w:r>
      <w:r w:rsidR="003D3349">
        <w:t>with no</w:t>
      </w:r>
      <w:r w:rsidR="00F076DA">
        <w:t xml:space="preserve"> effect on the psychomotor performance of the consumer. </w:t>
      </w:r>
      <w:r w:rsidR="004D43B6">
        <w:t xml:space="preserve">Most of the volatile components </w:t>
      </w:r>
      <w:r w:rsidR="003D3349">
        <w:t>identified in</w:t>
      </w:r>
      <w:r w:rsidR="00F36C4A">
        <w:t xml:space="preserve"> e-liquids are flavor components which are generally regarded as safe. However, most components have a concentration limit to which they can be considered safe. The components were not quantified, and thus their safety in e-liquids in this regard cannot be </w:t>
      </w:r>
      <w:r w:rsidR="00BA531A">
        <w:t>discussed.</w:t>
      </w:r>
      <w:r w:rsidR="00F36C4A">
        <w:t xml:space="preserve"> Another aspect is that the long-term effects of inhaling these components through the e-cigarette are not know and cannot be verified as harmless to health</w:t>
      </w:r>
      <w:sdt>
        <w:sdtPr>
          <w:id w:val="-1556308475"/>
          <w:citation/>
        </w:sdtPr>
        <w:sdtEndPr/>
        <w:sdtContent>
          <w:r w:rsidR="00907834">
            <w:fldChar w:fldCharType="begin"/>
          </w:r>
          <w:r w:rsidR="00907834">
            <w:instrText xml:space="preserve"> CITATION Asz17 \l 1033 </w:instrText>
          </w:r>
          <w:r w:rsidR="00907834">
            <w:fldChar w:fldCharType="separate"/>
          </w:r>
          <w:r w:rsidR="00F1475E">
            <w:rPr>
              <w:noProof/>
            </w:rPr>
            <w:t xml:space="preserve"> (Aszyk, et al., 2017)</w:t>
          </w:r>
          <w:r w:rsidR="00907834">
            <w:fldChar w:fldCharType="end"/>
          </w:r>
        </w:sdtContent>
      </w:sdt>
      <w:r w:rsidR="00F36C4A">
        <w:t xml:space="preserve">. </w:t>
      </w:r>
    </w:p>
    <w:p w:rsidR="00734392" w:rsidRDefault="0050541E" w:rsidP="00FC3713">
      <w:pPr>
        <w:jc w:val="both"/>
      </w:pPr>
      <w:r>
        <w:t>The</w:t>
      </w:r>
      <w:r w:rsidR="0023429D">
        <w:t xml:space="preserve"> cannabidiol content of CBD products matched the labels on the bottles.</w:t>
      </w:r>
      <w:r w:rsidR="00D545FD">
        <w:t xml:space="preserve"> The largest difference percentage was 10</w:t>
      </w:r>
      <w:r w:rsidR="000D25F3">
        <w:t xml:space="preserve"> </w:t>
      </w:r>
      <w:r w:rsidR="00D545FD">
        <w:t xml:space="preserve">% for the Fruitmix CBD e-liquid. </w:t>
      </w:r>
      <w:r w:rsidR="0023429D">
        <w:t xml:space="preserve"> </w:t>
      </w:r>
      <w:r w:rsidR="00904CC3">
        <w:t>The HPLC-UV method worked well and took 18 minutes for one run. The sample preparation and standard solution preparation were simple</w:t>
      </w:r>
      <w:r w:rsidR="002C2252">
        <w:t xml:space="preserve">. </w:t>
      </w:r>
      <w:r w:rsidR="00034A1D">
        <w:t xml:space="preserve">The RSD percentages </w:t>
      </w:r>
      <w:r w:rsidR="00034A1D" w:rsidRPr="00034A1D">
        <w:t>were 0.33</w:t>
      </w:r>
      <w:r w:rsidR="000D25F3">
        <w:t xml:space="preserve"> </w:t>
      </w:r>
      <w:r w:rsidR="00034A1D" w:rsidRPr="00034A1D">
        <w:t>%, 0.21</w:t>
      </w:r>
      <w:r w:rsidR="000D25F3">
        <w:t xml:space="preserve"> </w:t>
      </w:r>
      <w:r w:rsidR="00034A1D" w:rsidRPr="00034A1D">
        <w:t>% and 0.14</w:t>
      </w:r>
      <w:r w:rsidR="000D25F3">
        <w:t xml:space="preserve"> </w:t>
      </w:r>
      <w:r w:rsidR="00034A1D" w:rsidRPr="00034A1D">
        <w:t>% for Fruitmix, Classic and CBD oil respectively</w:t>
      </w:r>
      <w:r w:rsidR="00034A1D">
        <w:t xml:space="preserve"> which shows good precision and repeatability between injections. </w:t>
      </w:r>
    </w:p>
    <w:p w:rsidR="003C49EB" w:rsidRDefault="003C49EB" w:rsidP="00FC3713">
      <w:pPr>
        <w:jc w:val="both"/>
      </w:pPr>
      <w:r>
        <w:t>The derivatization</w:t>
      </w:r>
      <w:r w:rsidR="003D3349">
        <w:t>s</w:t>
      </w:r>
      <w:r>
        <w:t xml:space="preserve"> of the cannabi</w:t>
      </w:r>
      <w:r w:rsidR="003D3349">
        <w:t>noids were</w:t>
      </w:r>
      <w:r>
        <w:t xml:space="preserve"> successful as they </w:t>
      </w:r>
      <w:r w:rsidR="007142F1">
        <w:t xml:space="preserve">were volatilized and could be analyzed with </w:t>
      </w:r>
      <w:r w:rsidR="008B62F0">
        <w:t>a gas chromatographic method</w:t>
      </w:r>
      <w:r w:rsidR="00B81E04">
        <w:t>. The possible identifications of the</w:t>
      </w:r>
      <w:r w:rsidR="007142F1">
        <w:t xml:space="preserve"> compounds included oil components such as fatty acids and terpenes which are </w:t>
      </w:r>
      <w:r w:rsidR="00EE69CB">
        <w:t xml:space="preserve">commonly </w:t>
      </w:r>
      <w:r w:rsidR="007142F1">
        <w:t xml:space="preserve">not </w:t>
      </w:r>
      <w:r w:rsidR="00EE69CB">
        <w:t>toxic</w:t>
      </w:r>
      <w:r w:rsidR="007142F1">
        <w:t xml:space="preserve"> for humans when consumed. </w:t>
      </w:r>
      <w:r w:rsidR="00B93240">
        <w:t xml:space="preserve">Three of the </w:t>
      </w:r>
      <w:r w:rsidR="00B81E04">
        <w:t xml:space="preserve">possible identifications </w:t>
      </w:r>
      <w:r w:rsidR="00B93240">
        <w:t>have therapeutic effect</w:t>
      </w:r>
      <w:r w:rsidR="00A95901">
        <w:t xml:space="preserve">s. Doconexent is anti-inflammatory, </w:t>
      </w:r>
      <w:r w:rsidR="00A95901">
        <w:rPr>
          <w:rFonts w:cstheme="minorHAnsi"/>
        </w:rPr>
        <w:t>β</w:t>
      </w:r>
      <w:r w:rsidR="00A95901">
        <w:t>-c</w:t>
      </w:r>
      <w:r w:rsidR="00A95901" w:rsidRPr="00A95901">
        <w:t>aryophyllene has anti-inflammatory, anticarcinogenic and antioxidant properties</w:t>
      </w:r>
      <w:r w:rsidR="00A95901">
        <w:t xml:space="preserve"> and 2-m</w:t>
      </w:r>
      <w:r w:rsidR="00A95901" w:rsidRPr="00A95901">
        <w:t>ethoxyestradiol</w:t>
      </w:r>
      <w:r w:rsidR="00107AF6">
        <w:t xml:space="preserve"> has potential as anticancer agent. </w:t>
      </w:r>
      <w:r w:rsidR="005B0C58">
        <w:t>The precision and resolution for the CBD peak, which is the main active component of the sample, were improved when using the Intuvo system on the same conditions to achieve separation. Resolution between a peak eluting before CBD peak</w:t>
      </w:r>
      <w:r w:rsidR="00B81E04">
        <w:t xml:space="preserve"> and the CBD peak was not possible to calculate on the 7890A but was </w:t>
      </w:r>
      <w:r w:rsidR="005B0C58">
        <w:t>1.2</w:t>
      </w:r>
      <w:r w:rsidR="00B81E04">
        <w:t xml:space="preserve"> on the Intuvo 9000</w:t>
      </w:r>
      <w:r w:rsidR="005B0C58">
        <w:t>. The RSD</w:t>
      </w:r>
      <w:r w:rsidR="00B81E04">
        <w:t> </w:t>
      </w:r>
      <w:r w:rsidR="005B0C58">
        <w:t>% was 45</w:t>
      </w:r>
      <w:r w:rsidR="00ED6949">
        <w:t xml:space="preserve"> </w:t>
      </w:r>
      <w:r w:rsidR="005B0C58">
        <w:t>% and 52</w:t>
      </w:r>
      <w:r w:rsidR="00ED6949">
        <w:t xml:space="preserve"> </w:t>
      </w:r>
      <w:r w:rsidR="005B0C58">
        <w:t>% for the CBD peaks on the 7890A GC. On the Intuvo RSD</w:t>
      </w:r>
      <w:r w:rsidR="000D25F3">
        <w:t xml:space="preserve"> </w:t>
      </w:r>
      <w:r w:rsidR="005B0C58">
        <w:t>% was 0.98</w:t>
      </w:r>
      <w:r w:rsidR="00ED6949">
        <w:t> </w:t>
      </w:r>
      <w:r w:rsidR="005B0C58">
        <w:t>% and 5.6</w:t>
      </w:r>
      <w:r w:rsidR="00ED6949">
        <w:t xml:space="preserve"> </w:t>
      </w:r>
      <w:r w:rsidR="005B0C58">
        <w:t xml:space="preserve">%. </w:t>
      </w:r>
    </w:p>
    <w:p w:rsidR="0032483A" w:rsidRDefault="00C416BB" w:rsidP="00FC3713">
      <w:pPr>
        <w:jc w:val="both"/>
      </w:pPr>
      <w:r>
        <w:t>The aim was to create simple analysis on these products to check for their quality. The liquid chromatographic method proposed was sensitive and precise and had a fast and simple sample preparation, thus it achieved the goal of being a simple and sensitive analysis.</w:t>
      </w:r>
      <w:r w:rsidR="008813D4">
        <w:t xml:space="preserve"> To </w:t>
      </w:r>
      <w:r w:rsidR="001707FA">
        <w:t>verify</w:t>
      </w:r>
      <w:r w:rsidR="00714F1B">
        <w:t xml:space="preserve"> accuracy</w:t>
      </w:r>
      <w:r w:rsidR="008813D4">
        <w:t xml:space="preserve"> and precision of the HPLC method, further statistical analysis coul</w:t>
      </w:r>
      <w:r w:rsidR="001707FA">
        <w:t>d</w:t>
      </w:r>
      <w:r w:rsidR="008813D4">
        <w:t xml:space="preserve"> be done</w:t>
      </w:r>
      <w:r w:rsidR="00B81E04">
        <w:t>, s</w:t>
      </w:r>
      <w:r w:rsidR="008813D4">
        <w:t xml:space="preserve">uch as inter-day precision. </w:t>
      </w:r>
      <w:r>
        <w:t>The e-liquid analysis requires headspace sampling which can be time consuming to optimize, but the standard and sample preparation were simple. The use of mass selective detector creates complexity as it requires mo</w:t>
      </w:r>
      <w:r w:rsidR="00BA531A">
        <w:t xml:space="preserve">re experience from the operator. </w:t>
      </w:r>
      <w:r>
        <w:t xml:space="preserve">The identification of chemical constituents from CBD oil analysis </w:t>
      </w:r>
      <w:r w:rsidR="00714F1B">
        <w:t>had a more</w:t>
      </w:r>
      <w:r w:rsidR="00B81E04">
        <w:t xml:space="preserve"> complex sample preparation step compared to the other methods</w:t>
      </w:r>
      <w:r w:rsidR="001707FA">
        <w:t xml:space="preserve"> and it required the use of MS. </w:t>
      </w:r>
    </w:p>
    <w:p w:rsidR="0018551B" w:rsidRDefault="00E81217" w:rsidP="00FC3713">
      <w:pPr>
        <w:jc w:val="both"/>
      </w:pPr>
      <w:r>
        <w:t>Regardless of these samples not containing toxic compounds, the lack of regulatio</w:t>
      </w:r>
      <w:r w:rsidR="0018551B">
        <w:t>ns on the CBD products introduces</w:t>
      </w:r>
      <w:r>
        <w:t xml:space="preserve"> a threat to the consumer safety. There </w:t>
      </w:r>
      <w:r w:rsidR="00291D93">
        <w:t>have been regulations appointed</w:t>
      </w:r>
      <w:r>
        <w:t xml:space="preserve"> on the e-liquids by the European parliament, however in the study done by the European commission in 2016, there is not any evidence that would indicate that manufacturers would perform any quality analysis on their products. </w:t>
      </w:r>
    </w:p>
    <w:p w:rsidR="005F6B32" w:rsidRDefault="00734392" w:rsidP="005F6B32">
      <w:pPr>
        <w:pStyle w:val="Heading1"/>
      </w:pPr>
      <w:bookmarkStart w:id="50" w:name="_Toc515617216"/>
      <w:r>
        <w:lastRenderedPageBreak/>
        <w:t>Discussion</w:t>
      </w:r>
      <w:bookmarkEnd w:id="50"/>
      <w:r>
        <w:t xml:space="preserve"> </w:t>
      </w:r>
    </w:p>
    <w:p w:rsidR="005F6B32" w:rsidRPr="005F6B32" w:rsidRDefault="005F6B32" w:rsidP="005F6B32">
      <w:pPr>
        <w:rPr>
          <w:lang w:eastAsia="en-US"/>
        </w:rPr>
      </w:pPr>
      <w:r>
        <w:rPr>
          <w:lang w:eastAsia="en-US"/>
        </w:rPr>
        <w:t xml:space="preserve">Firstly the questions presented in the introduction will be answered. </w:t>
      </w:r>
      <w:r w:rsidR="005C7E88">
        <w:rPr>
          <w:lang w:eastAsia="en-US"/>
        </w:rPr>
        <w:t>The main component was determined from the CBD products by HPLC-UV. From the e-liquids the main components were not determined as it was noticed that I</w:t>
      </w:r>
      <w:r w:rsidR="00295122">
        <w:rPr>
          <w:lang w:eastAsia="en-US"/>
        </w:rPr>
        <w:t xml:space="preserve">SO method was being constructed for that analysis. The matrix was not removed from the e-liquids, but it was not included in the </w:t>
      </w:r>
      <w:r w:rsidR="00B565D2">
        <w:rPr>
          <w:lang w:eastAsia="en-US"/>
        </w:rPr>
        <w:t>chromatogram</w:t>
      </w:r>
      <w:r w:rsidR="00295122">
        <w:rPr>
          <w:lang w:eastAsia="en-US"/>
        </w:rPr>
        <w:t xml:space="preserve"> as propylene glycol and glycerol have high boiling points and thus the flavor components could de detected. For the analysis of CBD oil chemical </w:t>
      </w:r>
      <w:r w:rsidR="00F24E79">
        <w:rPr>
          <w:lang w:eastAsia="en-US"/>
        </w:rPr>
        <w:t>constituents,</w:t>
      </w:r>
      <w:r w:rsidR="00295122">
        <w:rPr>
          <w:lang w:eastAsia="en-US"/>
        </w:rPr>
        <w:t xml:space="preserve"> the matrix was removed</w:t>
      </w:r>
      <w:r w:rsidR="00B565D2">
        <w:rPr>
          <w:lang w:eastAsia="en-US"/>
        </w:rPr>
        <w:t xml:space="preserve"> to an extent</w:t>
      </w:r>
      <w:r w:rsidR="00295122">
        <w:rPr>
          <w:lang w:eastAsia="en-US"/>
        </w:rPr>
        <w:t xml:space="preserve"> by QuEChERS extraction and further prepared either with </w:t>
      </w:r>
      <w:r w:rsidR="00F24E79">
        <w:rPr>
          <w:lang w:eastAsia="en-US"/>
        </w:rPr>
        <w:t>Captiva EMR-Lipid cartridges or QuEChERS dSPE EMR-Lipid sorbent. There were no toxic impurities found in any of the samples which were identified as possible identifications on the mass spectrometer.</w:t>
      </w:r>
    </w:p>
    <w:p w:rsidR="00034A1D" w:rsidRDefault="009F4135" w:rsidP="00FC3713">
      <w:pPr>
        <w:jc w:val="both"/>
      </w:pPr>
      <w:r>
        <w:t>There are many aspects for the analysis tested which cou</w:t>
      </w:r>
      <w:r w:rsidR="005142C6">
        <w:t>ld be further improved. Such as</w:t>
      </w:r>
      <w:r>
        <w:t xml:space="preserve">, the headspace sampling for the e-liquids, the minimization of matrix interfering with the stationary phase on the HPLC column and efficient lipid removal from CBD oil for GC analysis. </w:t>
      </w:r>
    </w:p>
    <w:p w:rsidR="00091191" w:rsidRDefault="006E7D1F" w:rsidP="00FC3713">
      <w:pPr>
        <w:jc w:val="both"/>
        <w:rPr>
          <w:rFonts w:cstheme="minorHAnsi"/>
        </w:rPr>
      </w:pPr>
      <w:r>
        <w:t>The ethan</w:t>
      </w:r>
      <w:r w:rsidR="00091191">
        <w:t>ol could be quantified from the e-liquid samples; however, the analysis is not yet very accurate. A factor</w:t>
      </w:r>
      <w:r w:rsidR="00B565D2">
        <w:t xml:space="preserve"> that could lower the precision </w:t>
      </w:r>
      <w:r w:rsidR="00091191">
        <w:t>is that the head space sampling has not been optimized. As me</w:t>
      </w:r>
      <w:r w:rsidR="003D3349">
        <w:t>ntioned before, the phase ratio</w:t>
      </w:r>
      <w:r w:rsidR="00091191">
        <w:t xml:space="preserve"> could be lowered by increasing the amount of the solution in the vial which then in turn would increase the instrument response and sensitivity. Another way would be </w:t>
      </w:r>
      <w:r w:rsidR="00B565D2">
        <w:t>to increase the amount injected. T</w:t>
      </w:r>
      <w:r w:rsidR="00091191">
        <w:t xml:space="preserve">he amount injected </w:t>
      </w:r>
      <w:r w:rsidR="00B565D2">
        <w:t xml:space="preserve">with the current method </w:t>
      </w:r>
      <w:r w:rsidR="00091191">
        <w:t>was the lowest amount the needle can inject which then</w:t>
      </w:r>
      <w:r w:rsidR="00B565D2">
        <w:t xml:space="preserve"> in turn</w:t>
      </w:r>
      <w:r w:rsidR="00091191">
        <w:t xml:space="preserve"> increases the error from the injection step. </w:t>
      </w:r>
      <w:r w:rsidR="0073065E">
        <w:t>To increase the sample components which are introduced to the separation system</w:t>
      </w:r>
      <w:r w:rsidR="003C0253">
        <w:t xml:space="preserve"> and to shift the equilibria in the head space sampling step,</w:t>
      </w:r>
      <w:r w:rsidR="0073065E">
        <w:t xml:space="preserve"> solid phase micro extraction could be introduced. </w:t>
      </w:r>
      <w:r w:rsidR="00883FCF">
        <w:t xml:space="preserve">In a research by </w:t>
      </w:r>
      <w:r w:rsidR="00A061F2">
        <w:t xml:space="preserve">Peace et al. 7 </w:t>
      </w:r>
      <w:r w:rsidR="00A061F2">
        <w:rPr>
          <w:rFonts w:cstheme="minorHAnsi"/>
        </w:rPr>
        <w:t xml:space="preserve">µl polydimethylsiloxane (PDMS) fiber was used for analysis of e-liquid aerosol. </w:t>
      </w:r>
    </w:p>
    <w:p w:rsidR="00BF798C" w:rsidRDefault="00DD19F0" w:rsidP="00FC3713">
      <w:pPr>
        <w:jc w:val="both"/>
      </w:pPr>
      <w:r>
        <w:t xml:space="preserve">In the beginning of this project it had been planned to test methods to analyze nicotine, propylene glycol and glycerol. </w:t>
      </w:r>
      <w:r w:rsidR="001753F7">
        <w:t>This analysis dropped in the priority list as</w:t>
      </w:r>
      <w:r>
        <w:t xml:space="preserve"> during the </w:t>
      </w:r>
      <w:r w:rsidR="002746B3">
        <w:t>t</w:t>
      </w:r>
      <w:r w:rsidR="001753F7">
        <w:t>ime</w:t>
      </w:r>
      <w:r>
        <w:t xml:space="preserve"> of this research it was noted that international organization for standardization</w:t>
      </w:r>
      <w:r w:rsidR="005C040B">
        <w:t xml:space="preserve"> (ISO) had started to develop</w:t>
      </w:r>
      <w:r>
        <w:t xml:space="preserve"> a method for </w:t>
      </w:r>
      <w:r w:rsidR="00BF798C">
        <w:t>analysis of the propylene glycol, glycerol and nicotine quantities</w:t>
      </w:r>
      <w:r>
        <w:t>. The</w:t>
      </w:r>
      <w:r w:rsidR="00BF798C">
        <w:t xml:space="preserve"> ISO/</w:t>
      </w:r>
      <w:r w:rsidR="00BF798C" w:rsidRPr="00BF798C">
        <w:t>DIS 20714</w:t>
      </w:r>
      <w:r w:rsidR="00BF798C">
        <w:t xml:space="preserve"> GC method</w:t>
      </w:r>
      <w:r w:rsidR="002746B3">
        <w:t xml:space="preserve"> is stated currently to be</w:t>
      </w:r>
      <w:r w:rsidR="00BF798C">
        <w:t xml:space="preserve"> under construction. </w:t>
      </w:r>
      <w:r>
        <w:t xml:space="preserve">This method uses GC and the aim is to see if the quantities of these compounds match to what is stated </w:t>
      </w:r>
      <w:r w:rsidR="00BE09E9">
        <w:t>on the product. Agilent as well has</w:t>
      </w:r>
      <w:r>
        <w:t xml:space="preserve"> an application note where a method based on the ISO DIS/20714 has been de</w:t>
      </w:r>
      <w:r w:rsidR="00897D1B">
        <w:t xml:space="preserve">veloped for the Intuvo 9000 GC </w:t>
      </w:r>
      <w:sdt>
        <w:sdtPr>
          <w:id w:val="-1672947847"/>
          <w:citation/>
        </w:sdtPr>
        <w:sdtEndPr/>
        <w:sdtContent>
          <w:r w:rsidR="00897D1B">
            <w:fldChar w:fldCharType="begin"/>
          </w:r>
          <w:r w:rsidR="00897D1B">
            <w:instrText xml:space="preserve"> CITATION Dav \l 1033 </w:instrText>
          </w:r>
          <w:r w:rsidR="00897D1B">
            <w:fldChar w:fldCharType="separate"/>
          </w:r>
          <w:r w:rsidR="00F1475E">
            <w:rPr>
              <w:noProof/>
            </w:rPr>
            <w:t>(David, D'Haenens, &amp; Devos, 2018)</w:t>
          </w:r>
          <w:r w:rsidR="00897D1B">
            <w:fldChar w:fldCharType="end"/>
          </w:r>
        </w:sdtContent>
      </w:sdt>
      <w:r w:rsidR="00897D1B">
        <w:t xml:space="preserve">. </w:t>
      </w:r>
    </w:p>
    <w:p w:rsidR="00E32EAC" w:rsidRDefault="00E32EAC" w:rsidP="00FC3713">
      <w:pPr>
        <w:jc w:val="both"/>
      </w:pPr>
      <w:r>
        <w:t xml:space="preserve">Liquid chromatography has proven to be very suitable for cannabidiol quantification of CBD products. </w:t>
      </w:r>
      <w:r w:rsidR="00D545FD">
        <w:t>This can be seen for instance in the correlation coefficient values of the cannabinoid standards are very good and the relative standard deviation between the sample CBD peaks was below 0.40</w:t>
      </w:r>
      <w:r w:rsidR="00ED6949">
        <w:t xml:space="preserve"> </w:t>
      </w:r>
      <w:r w:rsidR="00D545FD">
        <w:t xml:space="preserve">%. </w:t>
      </w:r>
      <w:r w:rsidR="005C040B">
        <w:t>With a HPLC connected</w:t>
      </w:r>
      <w:r>
        <w:t xml:space="preserve"> to a mass spectrometer or having other cannabinoid standards</w:t>
      </w:r>
      <w:r w:rsidR="00B565D2">
        <w:t>,</w:t>
      </w:r>
      <w:r>
        <w:t xml:space="preserve"> the other peaks which were visible at 230 nm could be identified</w:t>
      </w:r>
      <w:r w:rsidR="00D545FD">
        <w:t xml:space="preserve"> in the future</w:t>
      </w:r>
      <w:r>
        <w:t>.</w:t>
      </w:r>
      <w:r w:rsidR="00B565D2">
        <w:t xml:space="preserve"> These peaks can be expected to be other cannabinoids.</w:t>
      </w:r>
      <w:r>
        <w:t xml:space="preserve"> Liquid chromatography is a good method for cannabinoid identification and quantification if the acid forms, which</w:t>
      </w:r>
      <w:r w:rsidR="00B565D2">
        <w:t xml:space="preserve"> naturally occur C. Sativa, wish to</w:t>
      </w:r>
      <w:r>
        <w:t xml:space="preserve"> be quantified. Acid forms of cannabinoids are decarboxylated when exposed to heat and thus they are not visible with GC methods</w:t>
      </w:r>
      <w:sdt>
        <w:sdtPr>
          <w:id w:val="385306274"/>
          <w:citation/>
        </w:sdtPr>
        <w:sdtEndPr/>
        <w:sdtContent>
          <w:r w:rsidR="00A028DB">
            <w:fldChar w:fldCharType="begin"/>
          </w:r>
          <w:r w:rsidR="00A028DB">
            <w:instrText xml:space="preserve"> CITATION Pav \l 1033 </w:instrText>
          </w:r>
          <w:r w:rsidR="00A028DB">
            <w:fldChar w:fldCharType="separate"/>
          </w:r>
          <w:r w:rsidR="00F1475E">
            <w:rPr>
              <w:noProof/>
            </w:rPr>
            <w:t xml:space="preserve"> (Pavlovic, et al., 2018)</w:t>
          </w:r>
          <w:r w:rsidR="00A028DB">
            <w:fldChar w:fldCharType="end"/>
          </w:r>
        </w:sdtContent>
      </w:sdt>
      <w:r w:rsidR="00A028DB">
        <w:t>. Also</w:t>
      </w:r>
      <w:r w:rsidR="006575D9">
        <w:t>,</w:t>
      </w:r>
      <w:r w:rsidR="00A028DB">
        <w:t xml:space="preserve"> during the process of the production of CBD oil is exposed to heat so that the acid form of cannabidiolic acid (CBDA) is converted to the therapeutically active CBD. </w:t>
      </w:r>
    </w:p>
    <w:p w:rsidR="005F3932" w:rsidRDefault="005F3932" w:rsidP="00FC3713">
      <w:pPr>
        <w:jc w:val="both"/>
      </w:pPr>
      <w:r>
        <w:rPr>
          <w:rFonts w:cstheme="minorHAnsi"/>
        </w:rPr>
        <w:lastRenderedPageBreak/>
        <w:t>Δ</w:t>
      </w:r>
      <w:r w:rsidR="00ED6949">
        <w:rPr>
          <w:vertAlign w:val="superscript"/>
        </w:rPr>
        <w:t>9</w:t>
      </w:r>
      <w:r>
        <w:t xml:space="preserve">-THC standard was attempted to purchase from Merck since it would be of interest to quantify the THC and to determine </w:t>
      </w:r>
      <w:r w:rsidR="00ED6949">
        <w:t>whether</w:t>
      </w:r>
      <w:r>
        <w:t xml:space="preserve"> it is below the acceptable concentration. The </w:t>
      </w:r>
      <w:r>
        <w:rPr>
          <w:rFonts w:cstheme="minorHAnsi"/>
        </w:rPr>
        <w:t>Δ</w:t>
      </w:r>
      <w:r w:rsidR="00ED6949">
        <w:rPr>
          <w:vertAlign w:val="superscript"/>
        </w:rPr>
        <w:t>9</w:t>
      </w:r>
      <w:r>
        <w:t>-THC standard could not be purchased as the Dutch law Opium act restricts narcotics from crossing the Dutch border and the origin of the standard was from the US</w:t>
      </w:r>
      <w:sdt>
        <w:sdtPr>
          <w:id w:val="-935049821"/>
          <w:citation/>
        </w:sdtPr>
        <w:sdtEndPr/>
        <w:sdtContent>
          <w:r w:rsidR="005C040B">
            <w:fldChar w:fldCharType="begin"/>
          </w:r>
          <w:r w:rsidR="005C040B">
            <w:instrText xml:space="preserve"> CITATION Bel \l 1033 </w:instrText>
          </w:r>
          <w:r w:rsidR="005C040B">
            <w:fldChar w:fldCharType="separate"/>
          </w:r>
          <w:r w:rsidR="00F1475E">
            <w:rPr>
              <w:noProof/>
            </w:rPr>
            <w:t xml:space="preserve"> (Belastingdienst, n.d.)</w:t>
          </w:r>
          <w:r w:rsidR="005C040B">
            <w:fldChar w:fldCharType="end"/>
          </w:r>
        </w:sdtContent>
      </w:sdt>
      <w:r>
        <w:t xml:space="preserve">. It was clear from the GS/MS analysis on CBD oil, </w:t>
      </w:r>
      <w:r>
        <w:rPr>
          <w:rFonts w:cstheme="minorHAnsi"/>
        </w:rPr>
        <w:t>Δ</w:t>
      </w:r>
      <w:r w:rsidR="00ED6949">
        <w:rPr>
          <w:vertAlign w:val="superscript"/>
        </w:rPr>
        <w:t>9</w:t>
      </w:r>
      <w:r>
        <w:t>-THC was present. Different fractions were collected fr</w:t>
      </w:r>
      <w:r w:rsidR="00A5253F">
        <w:t xml:space="preserve">om the HPLC analysis when CBD oil was analyzed and prepared for the GC/MS analysis to see what were the peaks besides CBD and CBN. In the end </w:t>
      </w:r>
      <w:r w:rsidR="005C040B">
        <w:t>only,</w:t>
      </w:r>
      <w:r w:rsidR="00A5253F">
        <w:t xml:space="preserve"> CBD could be identified with the GC/MS and this is likely due to the concentrations of the other compounds being so small that they could not be identified. </w:t>
      </w:r>
    </w:p>
    <w:p w:rsidR="001D225C" w:rsidRDefault="000B790A" w:rsidP="00FC3713">
      <w:pPr>
        <w:jc w:val="both"/>
      </w:pPr>
      <w:r>
        <w:t xml:space="preserve">The guard column was used to increase the column life time. However, it was noted that there is a slight increase in pressure </w:t>
      </w:r>
      <w:r w:rsidR="001A775B">
        <w:t>towards the end of the research period. This could be due to the oil matrix leaving residue to the column which then requires the system to increase the pressure to keep the same flow rate. The interference of the oil matrix could be removed by efficient matrix removal, such as the QuEChERS which were used for the GC cannabis oil analysis. However, by directly diluting the sample the analysis is faster and doesn’t require the purchase of the matrix removal kits. It could be evaluated weather the use of matrix removal kits or changing the guard column would be</w:t>
      </w:r>
      <w:r w:rsidR="00705089">
        <w:t xml:space="preserve"> more</w:t>
      </w:r>
      <w:r w:rsidR="001A775B">
        <w:t xml:space="preserve"> cost efficient to a laboratory. </w:t>
      </w:r>
    </w:p>
    <w:p w:rsidR="004B6B37" w:rsidRDefault="007D47B5" w:rsidP="00FC3713">
      <w:pPr>
        <w:jc w:val="both"/>
      </w:pPr>
      <w:r>
        <w:t xml:space="preserve">The analysis for the identification of CBD oil constituents </w:t>
      </w:r>
      <w:r w:rsidR="00194A71">
        <w:t xml:space="preserve">would still require optimization because the </w:t>
      </w:r>
      <w:r w:rsidR="0035669E">
        <w:t xml:space="preserve">GC/MS analysis revealed that there </w:t>
      </w:r>
      <w:r w:rsidR="00F300A2">
        <w:t>were still some of the oil constituents present which could be removed with a</w:t>
      </w:r>
      <w:r w:rsidR="000B790A">
        <w:t>n</w:t>
      </w:r>
      <w:r w:rsidR="00F300A2">
        <w:t xml:space="preserve"> optimized matrix removal at the sample preparation. Furthermore, many of the compounds could not be identified with the help of the NIST library which could be due to some peaks co-eluting and thus the scan of a certain region does not represent a single molecule and t</w:t>
      </w:r>
      <w:r w:rsidR="00705089">
        <w:t>he software cannot identify it. W</w:t>
      </w:r>
      <w:r w:rsidR="00EE69CB">
        <w:t xml:space="preserve">ith the removal of all lipid compounds, the other chemical constituents </w:t>
      </w:r>
      <w:r w:rsidR="001E7B46">
        <w:t xml:space="preserve">of the CBD oil would become more visible. </w:t>
      </w:r>
    </w:p>
    <w:p w:rsidR="00E61B02" w:rsidRDefault="00E61B02" w:rsidP="00FC3713">
      <w:pPr>
        <w:jc w:val="both"/>
      </w:pPr>
      <w:r>
        <w:t xml:space="preserve">The resolution was better with Intuvo 9000 than with the 7890A </w:t>
      </w:r>
      <w:r w:rsidR="001E7B46">
        <w:t xml:space="preserve">GC as well as the precision between injections. This is likely to be due to the guard chip in the Intuvo system which </w:t>
      </w:r>
      <w:r w:rsidR="009F0018">
        <w:t xml:space="preserve">provides further separation and is designed to trap impurities to increase the column lifetime. The separation and identification with the </w:t>
      </w:r>
      <w:r w:rsidR="00340AF9">
        <w:t xml:space="preserve">GC </w:t>
      </w:r>
      <w:r w:rsidR="009F0018">
        <w:t xml:space="preserve">conditions used would have been the most effective with an Intuvo system equipped with a mass selective detector. </w:t>
      </w:r>
    </w:p>
    <w:p w:rsidR="009F0018" w:rsidRDefault="00E61B02" w:rsidP="00FC3713">
      <w:pPr>
        <w:jc w:val="both"/>
      </w:pPr>
      <w:r w:rsidRPr="00E61B02">
        <w:t xml:space="preserve">Terpene profiles are unique to each C. Sativa breed and can be used to assess the quality of different C. Sativa breeds. As observed in the chromatogram in figure 1, there is a region between 15-18 minute where many terpenoids seem to elute. The terpene profiles could also be determined for the CBD oil to identify the C. Sativa breed which was used to manufacture a CBD oil product. Terpenoid identification is important because terpenoid profile can determine how well they cross the cell membranes and the blood-brain barrier which then can influence the medicinal quality of different C. Sativa breeds </w:t>
      </w:r>
      <w:sdt>
        <w:sdtPr>
          <w:id w:val="-1397900097"/>
          <w:citation/>
        </w:sdtPr>
        <w:sdtEndPr/>
        <w:sdtContent>
          <w:r w:rsidRPr="00E61B02">
            <w:fldChar w:fldCharType="begin"/>
          </w:r>
          <w:r w:rsidRPr="00E61B02">
            <w:instrText xml:space="preserve"> CITATION Pav \l 1033 </w:instrText>
          </w:r>
          <w:r w:rsidRPr="00E61B02">
            <w:fldChar w:fldCharType="separate"/>
          </w:r>
          <w:r w:rsidR="00F1475E">
            <w:rPr>
              <w:noProof/>
            </w:rPr>
            <w:t>(Pavlovic, et al., 2018)</w:t>
          </w:r>
          <w:r w:rsidRPr="00E61B02">
            <w:fldChar w:fldCharType="end"/>
          </w:r>
        </w:sdtContent>
      </w:sdt>
      <w:r w:rsidRPr="00E61B02">
        <w:t xml:space="preserve">. </w:t>
      </w:r>
      <w:r w:rsidR="009F0018">
        <w:t xml:space="preserve">Other common analysis to ensure the quality of </w:t>
      </w:r>
      <w:r w:rsidR="00340AF9">
        <w:t>C. Sativa plant</w:t>
      </w:r>
      <w:r w:rsidR="009F0018">
        <w:t xml:space="preserve"> include pesticide analysis, mycotoxin </w:t>
      </w:r>
      <w:r w:rsidR="00340AF9">
        <w:t xml:space="preserve">analysis and residual solvents and these analyses could be developed for the CBD oil in the future as the plant material is used in CBD oil. </w:t>
      </w:r>
    </w:p>
    <w:p w:rsidR="00706753" w:rsidRDefault="003D3A66" w:rsidP="00A5253F">
      <w:pPr>
        <w:jc w:val="both"/>
      </w:pPr>
      <w:r>
        <w:t xml:space="preserve">Overall, the results have been positive as no toxic components were found in the any of the samples. </w:t>
      </w:r>
      <w:r w:rsidR="005F05D1">
        <w:t xml:space="preserve">Although it </w:t>
      </w:r>
      <w:r w:rsidR="00705089">
        <w:t>must</w:t>
      </w:r>
      <w:r w:rsidR="005F05D1">
        <w:t xml:space="preserve"> be kept in mind tha</w:t>
      </w:r>
      <w:r w:rsidR="00705089">
        <w:t>t the identifications are simply</w:t>
      </w:r>
      <w:r w:rsidR="005F05D1">
        <w:t xml:space="preserve"> possible identifications as there were no reference standards</w:t>
      </w:r>
      <w:r w:rsidR="00B4159B">
        <w:t xml:space="preserve"> available at the moment</w:t>
      </w:r>
      <w:r w:rsidR="005F05D1">
        <w:t xml:space="preserve">. </w:t>
      </w:r>
      <w:r>
        <w:t xml:space="preserve">Some previous research has indicated that especially the e-liquids would contain impurities. Such has been the research where </w:t>
      </w:r>
      <w:r>
        <w:lastRenderedPageBreak/>
        <w:t>M</w:t>
      </w:r>
      <w:r w:rsidR="00A732B2">
        <w:t>DMB</w:t>
      </w:r>
      <w:r w:rsidR="00FF678A">
        <w:noBreakHyphen/>
      </w:r>
      <w:r w:rsidR="00A732B2">
        <w:t>FUBINACA</w:t>
      </w:r>
      <w:r w:rsidR="00A732B2">
        <w:rPr>
          <w:rStyle w:val="FootnoteReference"/>
        </w:rPr>
        <w:footnoteReference w:id="7"/>
      </w:r>
      <w:r w:rsidR="00A732B2">
        <w:t xml:space="preserve"> was determined to be a major component in e-liquid samples purchased from an online store </w:t>
      </w:r>
      <w:sdt>
        <w:sdtPr>
          <w:id w:val="91596480"/>
          <w:citation/>
        </w:sdtPr>
        <w:sdtEndPr/>
        <w:sdtContent>
          <w:r w:rsidR="00A732B2">
            <w:fldChar w:fldCharType="begin"/>
          </w:r>
          <w:r w:rsidR="00A732B2" w:rsidRPr="00A732B2">
            <w:rPr>
              <w:lang w:val="en-GB"/>
            </w:rPr>
            <w:instrText xml:space="preserve"> CITATION Pea16 \l 1035 </w:instrText>
          </w:r>
          <w:r w:rsidR="00A732B2">
            <w:fldChar w:fldCharType="separate"/>
          </w:r>
          <w:r w:rsidR="00F1475E" w:rsidRPr="00F1475E">
            <w:rPr>
              <w:noProof/>
              <w:lang w:val="en-GB"/>
            </w:rPr>
            <w:t>(Peace;Krakowiak;Wolf;Poklis;&amp; Poklis, 2016)</w:t>
          </w:r>
          <w:r w:rsidR="00A732B2">
            <w:fldChar w:fldCharType="end"/>
          </w:r>
        </w:sdtContent>
      </w:sdt>
      <w:r w:rsidR="00A732B2">
        <w:t xml:space="preserve">. </w:t>
      </w:r>
      <w:r w:rsidR="00D13583">
        <w:t>There ha</w:t>
      </w:r>
      <w:r w:rsidR="003408D6">
        <w:t>s</w:t>
      </w:r>
      <w:r w:rsidR="00D13583">
        <w:t xml:space="preserve"> not been</w:t>
      </w:r>
      <w:r w:rsidR="003408D6">
        <w:t xml:space="preserve"> much research on the CBD products whether they contain impurities. A research was published on May 20</w:t>
      </w:r>
      <w:r w:rsidR="003408D6" w:rsidRPr="003408D6">
        <w:rPr>
          <w:vertAlign w:val="superscript"/>
        </w:rPr>
        <w:t>th</w:t>
      </w:r>
      <w:r w:rsidR="003408D6">
        <w:t>, 2018 where 14 different commercially available CBD oils were analyzed regarding to their CDB content, terpenoid profiles and over all chemical constituents</w:t>
      </w:r>
      <w:sdt>
        <w:sdtPr>
          <w:id w:val="1323160974"/>
          <w:citation/>
        </w:sdtPr>
        <w:sdtEndPr/>
        <w:sdtContent>
          <w:r w:rsidR="006C5343">
            <w:fldChar w:fldCharType="begin"/>
          </w:r>
          <w:r w:rsidR="006C5343">
            <w:instrText xml:space="preserve"> CITATION Pav \l 1033 </w:instrText>
          </w:r>
          <w:r w:rsidR="006C5343">
            <w:fldChar w:fldCharType="separate"/>
          </w:r>
          <w:r w:rsidR="00F1475E">
            <w:rPr>
              <w:noProof/>
            </w:rPr>
            <w:t xml:space="preserve"> (Pavlovic, et al., 2018)</w:t>
          </w:r>
          <w:r w:rsidR="006C5343">
            <w:fldChar w:fldCharType="end"/>
          </w:r>
        </w:sdtContent>
      </w:sdt>
      <w:r w:rsidR="003408D6">
        <w:t xml:space="preserve">. The analytical techniques included GC/MS and HPLC-Q-Exactive-Orbitrap-MS. One of the samples contained </w:t>
      </w:r>
      <w:r w:rsidR="00E81217">
        <w:t>THC above the allowed percentage (0.3</w:t>
      </w:r>
      <w:r w:rsidR="00ED6949">
        <w:t xml:space="preserve"> </w:t>
      </w:r>
      <w:r w:rsidR="00E81217">
        <w:t>%), and only five of the samples contained CBD within the optimal limits (variation less than 10</w:t>
      </w:r>
      <w:r w:rsidR="00ED6949">
        <w:t xml:space="preserve"> </w:t>
      </w:r>
      <w:r w:rsidR="00E81217">
        <w:t>%). Pavlovic et al. recommended stricter regulations to the CBD oi</w:t>
      </w:r>
      <w:r w:rsidR="00A5253F">
        <w:t>l</w:t>
      </w:r>
      <w:r w:rsidR="00E81217">
        <w:t xml:space="preserve"> manufacturers </w:t>
      </w:r>
      <w:r w:rsidR="00A5253F">
        <w:t>to</w:t>
      </w:r>
      <w:r w:rsidR="00E81217">
        <w:t xml:space="preserve"> ensure consumer safety. </w:t>
      </w:r>
    </w:p>
    <w:p w:rsidR="00F24E79" w:rsidRDefault="00F24E79" w:rsidP="00A5253F">
      <w:pPr>
        <w:jc w:val="both"/>
      </w:pPr>
    </w:p>
    <w:p w:rsidR="00F24E79" w:rsidRDefault="00F24E79" w:rsidP="00A5253F">
      <w:pPr>
        <w:jc w:val="both"/>
      </w:pPr>
    </w:p>
    <w:p w:rsidR="00F24E79" w:rsidRDefault="00F24E79" w:rsidP="00A5253F">
      <w:pPr>
        <w:jc w:val="both"/>
      </w:pPr>
    </w:p>
    <w:p w:rsidR="00F24E79" w:rsidRDefault="00F24E79" w:rsidP="00A5253F">
      <w:pPr>
        <w:jc w:val="both"/>
      </w:pPr>
    </w:p>
    <w:p w:rsidR="00F24E79" w:rsidRDefault="00F24E79" w:rsidP="00A5253F">
      <w:pPr>
        <w:jc w:val="both"/>
      </w:pPr>
    </w:p>
    <w:p w:rsidR="00F24E79" w:rsidRDefault="00F24E79" w:rsidP="00A5253F">
      <w:pPr>
        <w:jc w:val="both"/>
      </w:pPr>
    </w:p>
    <w:p w:rsidR="00F24E79" w:rsidRDefault="00F24E79" w:rsidP="00A5253F">
      <w:pPr>
        <w:jc w:val="both"/>
      </w:pPr>
    </w:p>
    <w:p w:rsidR="00F24E79" w:rsidRDefault="00F24E79" w:rsidP="00A5253F">
      <w:pPr>
        <w:jc w:val="both"/>
      </w:pPr>
    </w:p>
    <w:p w:rsidR="00F24E79" w:rsidRDefault="00F24E79" w:rsidP="00A5253F">
      <w:pPr>
        <w:jc w:val="both"/>
      </w:pPr>
    </w:p>
    <w:p w:rsidR="00F24E79" w:rsidRDefault="00F24E79" w:rsidP="00A5253F">
      <w:pPr>
        <w:jc w:val="both"/>
      </w:pPr>
    </w:p>
    <w:p w:rsidR="00F24E79" w:rsidRDefault="00F24E79" w:rsidP="00A5253F">
      <w:pPr>
        <w:jc w:val="both"/>
      </w:pPr>
    </w:p>
    <w:p w:rsidR="00F24E79" w:rsidRDefault="00F24E79" w:rsidP="00A5253F">
      <w:pPr>
        <w:jc w:val="both"/>
      </w:pPr>
    </w:p>
    <w:p w:rsidR="00F24E79" w:rsidRDefault="00F24E79" w:rsidP="00A5253F">
      <w:pPr>
        <w:jc w:val="both"/>
      </w:pPr>
    </w:p>
    <w:p w:rsidR="00F24E79" w:rsidRDefault="00F24E79" w:rsidP="00A5253F">
      <w:pPr>
        <w:jc w:val="both"/>
      </w:pPr>
    </w:p>
    <w:p w:rsidR="00F24E79" w:rsidRDefault="00F24E79" w:rsidP="00A5253F">
      <w:pPr>
        <w:jc w:val="both"/>
      </w:pPr>
    </w:p>
    <w:p w:rsidR="00F24E79" w:rsidRDefault="00F24E79" w:rsidP="00A5253F">
      <w:pPr>
        <w:jc w:val="both"/>
      </w:pPr>
    </w:p>
    <w:p w:rsidR="00F24E79" w:rsidRDefault="00F24E79" w:rsidP="00A5253F">
      <w:pPr>
        <w:jc w:val="both"/>
      </w:pPr>
    </w:p>
    <w:p w:rsidR="00F24E79" w:rsidRDefault="00F24E79" w:rsidP="00A5253F">
      <w:pPr>
        <w:jc w:val="both"/>
      </w:pPr>
    </w:p>
    <w:p w:rsidR="00F24E79" w:rsidRDefault="00F24E79" w:rsidP="00A5253F">
      <w:pPr>
        <w:jc w:val="both"/>
      </w:pPr>
    </w:p>
    <w:p w:rsidR="00734392" w:rsidRDefault="00734392" w:rsidP="009E4181">
      <w:pPr>
        <w:pStyle w:val="Heading1"/>
      </w:pPr>
      <w:bookmarkStart w:id="51" w:name="_Toc515617217"/>
      <w:r>
        <w:lastRenderedPageBreak/>
        <w:t>Recommendations</w:t>
      </w:r>
      <w:bookmarkEnd w:id="51"/>
      <w:r>
        <w:t xml:space="preserve"> </w:t>
      </w:r>
    </w:p>
    <w:p w:rsidR="00734392" w:rsidRDefault="00E13075" w:rsidP="00FC3713">
      <w:pPr>
        <w:jc w:val="both"/>
      </w:pPr>
      <w:r>
        <w:t>In order t</w:t>
      </w:r>
      <w:r w:rsidR="00847FFC">
        <w:t>o ensure consumer safety,</w:t>
      </w:r>
      <w:r w:rsidR="00A2626F">
        <w:t xml:space="preserve"> regulations need to be</w:t>
      </w:r>
      <w:r>
        <w:t xml:space="preserve"> imposed on the CBD oil, CBD e-liquids and e-liquids. Quality assurance analysis must be performed on these products to make sure that they contain their active components (nicotine, CBD) within the optimal limits. CDB oil which contains the plant material should be analyzed for mycotoxins, pesticides, residual solvents and </w:t>
      </w:r>
      <w:r w:rsidR="005338BE">
        <w:t>terpenoids. E-liquids and CBD e-liquids should be analyzed for VOC’s, SVOC’s, heavy metals, PAH’s</w:t>
      </w:r>
      <w:r w:rsidR="00706753">
        <w:t xml:space="preserve">. </w:t>
      </w:r>
    </w:p>
    <w:p w:rsidR="00916E56" w:rsidRDefault="00706753" w:rsidP="00FC3713">
      <w:pPr>
        <w:jc w:val="both"/>
      </w:pPr>
      <w:r>
        <w:t xml:space="preserve">Based on the results of this research few recommendations for future research can be proposed. The headspace sampling for volatile compounds in e-liquids could be optimized possibly with a SPME-HS sampling which would enable the detection </w:t>
      </w:r>
      <w:r w:rsidR="002E1B58">
        <w:t>of compounds which are in very small concentrations. A fast analysis method could</w:t>
      </w:r>
      <w:r w:rsidR="00916E56">
        <w:t xml:space="preserve"> be created for the quantification</w:t>
      </w:r>
      <w:r w:rsidR="002E1B58">
        <w:t xml:space="preserve"> of nicotine, propylene glycol and glycerol based on the ISO</w:t>
      </w:r>
      <w:r w:rsidR="002E1B58" w:rsidRPr="002E1B58">
        <w:t>/DIS 20714</w:t>
      </w:r>
      <w:r w:rsidR="002E1B58">
        <w:t xml:space="preserve"> method which is currently under construction. </w:t>
      </w:r>
      <w:r w:rsidR="00916E56">
        <w:t xml:space="preserve">Another important aspect would be to see to which degree metals are discarded from the electronic cigarette coils. </w:t>
      </w:r>
    </w:p>
    <w:p w:rsidR="00916E56" w:rsidRDefault="00916E56" w:rsidP="00FC3713">
      <w:pPr>
        <w:jc w:val="both"/>
      </w:pPr>
      <w:r>
        <w:t xml:space="preserve">It would be beneficial for a laboratory which does quality analysis on CBD oil to know whether it is more cost effective to have the simple sample preparation for a HPLC method and a guard column, or if they should invest in good sample preparation methods and therefore increase the lifetime of the column. </w:t>
      </w:r>
    </w:p>
    <w:p w:rsidR="00706753" w:rsidRDefault="00916E56" w:rsidP="00FC3713">
      <w:pPr>
        <w:jc w:val="both"/>
      </w:pPr>
      <w:r>
        <w:t xml:space="preserve">It would be interesting to see a better profile of the compounds that are in the CBD oil beside the oil components. To achieve this the sample preparation step should </w:t>
      </w:r>
      <w:r w:rsidR="00E5408D">
        <w:t xml:space="preserve">be optimized so that none of the lipids are left in the sample. The derivatization step of the analysis could be optimized by testing different derivatization reagents, as some compounds require a catalyst to be derivatized, and which temperatures and time are required for complete derivatization. It would be </w:t>
      </w:r>
      <w:r w:rsidR="009C468C">
        <w:t xml:space="preserve">would be interesting to see whether the identification of compounds would be more efficient on a Intuvo 900 GC system equipped with a MSD. </w:t>
      </w:r>
    </w:p>
    <w:p w:rsidR="009C468C" w:rsidRDefault="009C468C" w:rsidP="00FC3713">
      <w:pPr>
        <w:jc w:val="both"/>
      </w:pPr>
      <w:r>
        <w:t xml:space="preserve">The </w:t>
      </w:r>
      <w:r w:rsidRPr="009C468C">
        <w:t>Poros</w:t>
      </w:r>
      <w:r w:rsidR="00F24E79">
        <w:t>hell 120 EC-C18 50 mm x 2.1 mm</w:t>
      </w:r>
      <w:r w:rsidRPr="009C468C">
        <w:t xml:space="preserve"> 2.7 µm</w:t>
      </w:r>
      <w:r>
        <w:t xml:space="preserve"> column is recommended for the cannabinoid separation as a good separation is achieved. With initial tests other columns were tested, however, this column had significantly better sep</w:t>
      </w:r>
      <w:r w:rsidR="00F24E79">
        <w:t>aration. Methanol is used</w:t>
      </w:r>
      <w:r>
        <w:t xml:space="preserve"> as a solvent for many canna</w:t>
      </w:r>
      <w:r w:rsidR="00F24E79">
        <w:t>binoid analyses on HPLC. When methanol</w:t>
      </w:r>
      <w:r>
        <w:t xml:space="preserve"> was tested on the Poroshell column</w:t>
      </w:r>
      <w:r w:rsidR="00F24E79">
        <w:t xml:space="preserve"> for the CBD </w:t>
      </w:r>
      <w:r w:rsidR="00C72F5E">
        <w:t>quantification, the</w:t>
      </w:r>
      <w:r w:rsidR="00F24E79">
        <w:t xml:space="preserve"> </w:t>
      </w:r>
      <w:r>
        <w:t>peaks became overrun by the baseline and thus would not be recommended as a s</w:t>
      </w:r>
      <w:r w:rsidR="00F24E79">
        <w:t xml:space="preserve">olvent for this method. </w:t>
      </w:r>
    </w:p>
    <w:p w:rsidR="008D7EBE" w:rsidRDefault="0003674B" w:rsidP="00FC3713">
      <w:pPr>
        <w:jc w:val="both"/>
      </w:pPr>
      <w:r>
        <w:t>Intuvo 9000 GC s</w:t>
      </w:r>
      <w:r w:rsidR="00F24E79">
        <w:t>ystem is more efficient and easier</w:t>
      </w:r>
      <w:r>
        <w:t xml:space="preserve"> to use than 7890A and thus it is recommended for analysts who do not have much experience with GC. </w:t>
      </w:r>
    </w:p>
    <w:p w:rsidR="0003674B" w:rsidRDefault="0003674B" w:rsidP="00FC3713">
      <w:pPr>
        <w:jc w:val="both"/>
      </w:pPr>
      <w:r>
        <w:t xml:space="preserve">The DB-35ms UI 15 m x 0.25 mm x </w:t>
      </w:r>
      <w:r w:rsidR="00A7166B">
        <w:t xml:space="preserve">0.25 </w:t>
      </w:r>
      <w:r w:rsidR="00A7166B" w:rsidRPr="00A7166B">
        <w:t>µ</w:t>
      </w:r>
      <w:r w:rsidR="00A7166B">
        <w:t>m column worked well to separate the ca</w:t>
      </w:r>
      <w:r w:rsidR="0024065B">
        <w:t>nnabinoids. Often in research articles (5</w:t>
      </w:r>
      <w:r w:rsidR="00ED6949">
        <w:t xml:space="preserve"> </w:t>
      </w:r>
      <w:r w:rsidR="0024065B">
        <w:t xml:space="preserve">%-phenyl)-methylpolysiloxane stationary phases are used for cannabinoid separation, but the DB-35ms UI works as well. </w:t>
      </w:r>
    </w:p>
    <w:p w:rsidR="00E90319" w:rsidRDefault="00E90319" w:rsidP="00FC3713">
      <w:pPr>
        <w:jc w:val="both"/>
      </w:pPr>
      <w:r>
        <w:t>In case the</w:t>
      </w:r>
      <w:r w:rsidR="00F24E79">
        <w:t xml:space="preserve"> therapeutic effects of CBD </w:t>
      </w:r>
      <w:r w:rsidR="00BA531A">
        <w:t>will</w:t>
      </w:r>
      <w:r>
        <w:t xml:space="preserve"> to be studied in the future, pure CBD should be used. As seen in the CBD oil constituent identification, it is possible that the CBD oil contains other compounds which have the therapeutic effect investigated. </w:t>
      </w:r>
    </w:p>
    <w:p w:rsidR="0024065B" w:rsidRDefault="0024065B"/>
    <w:p w:rsidR="001524B7" w:rsidRDefault="00E220B2" w:rsidP="00783735">
      <w:pPr>
        <w:pStyle w:val="Heading1"/>
        <w:numPr>
          <w:ilvl w:val="0"/>
          <w:numId w:val="0"/>
        </w:numPr>
        <w:ind w:left="426" w:hanging="426"/>
      </w:pPr>
      <w:bookmarkStart w:id="52" w:name="_Toc515617218"/>
      <w:r>
        <w:lastRenderedPageBreak/>
        <w:t>Appendices</w:t>
      </w:r>
      <w:bookmarkEnd w:id="52"/>
      <w:r>
        <w:t xml:space="preserve">  </w:t>
      </w:r>
    </w:p>
    <w:p w:rsidR="001524B7" w:rsidRPr="00BE4A9F" w:rsidRDefault="00BE4A9F" w:rsidP="00BE4A9F">
      <w:pPr>
        <w:spacing w:after="160" w:line="259" w:lineRule="auto"/>
        <w:rPr>
          <w:rFonts w:ascii="Calibri" w:eastAsia="Calibri" w:hAnsi="Calibri" w:cs="Times New Roman"/>
          <w:lang w:eastAsia="en-US"/>
        </w:rPr>
      </w:pPr>
      <w:r w:rsidRPr="00BE4A9F">
        <w:rPr>
          <w:rFonts w:ascii="Calibri" w:eastAsia="Calibri" w:hAnsi="Calibri" w:cs="Times New Roman"/>
          <w:lang w:eastAsia="en-US"/>
        </w:rPr>
        <w:t xml:space="preserve">Appendix 1. Canabidol’s cannabinoid test report analyzed with GC. </w:t>
      </w:r>
    </w:p>
    <w:p w:rsidR="001524B7" w:rsidRDefault="00A95901">
      <w:r>
        <w:rPr>
          <w:noProof/>
        </w:rPr>
        <w:drawing>
          <wp:inline distT="0" distB="0" distL="0" distR="0" wp14:anchorId="79D5E62F">
            <wp:extent cx="5029835" cy="7541260"/>
            <wp:effectExtent l="0" t="0" r="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29835" cy="7541260"/>
                    </a:xfrm>
                    <a:prstGeom prst="rect">
                      <a:avLst/>
                    </a:prstGeom>
                    <a:noFill/>
                  </pic:spPr>
                </pic:pic>
              </a:graphicData>
            </a:graphic>
          </wp:inline>
        </w:drawing>
      </w:r>
    </w:p>
    <w:p w:rsidR="0090060D" w:rsidRDefault="00666831" w:rsidP="00666831">
      <w:pPr>
        <w:pStyle w:val="Caption"/>
      </w:pPr>
      <w:r>
        <w:t xml:space="preserve">Figure </w:t>
      </w:r>
      <w:r w:rsidR="002E375B">
        <w:fldChar w:fldCharType="begin"/>
      </w:r>
      <w:r w:rsidR="002E375B">
        <w:instrText xml:space="preserve"> SEQ Figure \* ARABIC </w:instrText>
      </w:r>
      <w:r w:rsidR="002E375B">
        <w:fldChar w:fldCharType="separate"/>
      </w:r>
      <w:r w:rsidR="00D538BE">
        <w:rPr>
          <w:noProof/>
        </w:rPr>
        <w:t>10</w:t>
      </w:r>
      <w:r w:rsidR="002E375B">
        <w:rPr>
          <w:noProof/>
        </w:rPr>
        <w:fldChar w:fldCharType="end"/>
      </w:r>
      <w:r w:rsidRPr="00666831">
        <w:t xml:space="preserve"> CBD analysis on GC by Canabidol company</w:t>
      </w:r>
    </w:p>
    <w:p w:rsidR="00666831" w:rsidRPr="00666831" w:rsidRDefault="00666831" w:rsidP="00666831"/>
    <w:p w:rsidR="00BE4A9F" w:rsidRDefault="00BE4A9F">
      <w:r>
        <w:lastRenderedPageBreak/>
        <w:t>Appendix 2. Information about the e-liquids as stated on the labels.</w:t>
      </w:r>
    </w:p>
    <w:p w:rsidR="00666831" w:rsidRDefault="00666831" w:rsidP="00666831">
      <w:pPr>
        <w:pStyle w:val="Caption"/>
        <w:keepNext/>
      </w:pPr>
      <w:r>
        <w:t xml:space="preserve">Table </w:t>
      </w:r>
      <w:r w:rsidR="002E375B">
        <w:fldChar w:fldCharType="begin"/>
      </w:r>
      <w:r w:rsidR="002E375B">
        <w:instrText xml:space="preserve"> SEQ Table \* ARABIC </w:instrText>
      </w:r>
      <w:r w:rsidR="002E375B">
        <w:fldChar w:fldCharType="separate"/>
      </w:r>
      <w:r w:rsidR="00715BEF">
        <w:rPr>
          <w:noProof/>
        </w:rPr>
        <w:t>3</w:t>
      </w:r>
      <w:r w:rsidR="002E375B">
        <w:rPr>
          <w:noProof/>
        </w:rPr>
        <w:fldChar w:fldCharType="end"/>
      </w:r>
      <w:r w:rsidRPr="00666831">
        <w:t xml:space="preserve"> E-liquid sample information as stated on the label.</w:t>
      </w:r>
    </w:p>
    <w:tbl>
      <w:tblPr>
        <w:tblW w:w="9356" w:type="dxa"/>
        <w:tblLook w:val="04A0" w:firstRow="1" w:lastRow="0" w:firstColumn="1" w:lastColumn="0" w:noHBand="0" w:noVBand="1"/>
      </w:tblPr>
      <w:tblGrid>
        <w:gridCol w:w="1276"/>
        <w:gridCol w:w="1843"/>
        <w:gridCol w:w="1417"/>
        <w:gridCol w:w="4820"/>
      </w:tblGrid>
      <w:tr w:rsidR="00AA75EE" w:rsidRPr="00AA75EE" w:rsidTr="00637E31">
        <w:trPr>
          <w:trHeight w:val="300"/>
        </w:trPr>
        <w:tc>
          <w:tcPr>
            <w:tcW w:w="1276" w:type="dxa"/>
            <w:tcBorders>
              <w:top w:val="single" w:sz="4" w:space="0" w:color="auto"/>
              <w:left w:val="nil"/>
              <w:bottom w:val="thinThickThinSmallGap" w:sz="24" w:space="0" w:color="auto"/>
              <w:right w:val="nil"/>
            </w:tcBorders>
            <w:shd w:val="clear" w:color="auto" w:fill="DBE5F1" w:themeFill="accent1" w:themeFillTint="33"/>
            <w:noWrap/>
            <w:vAlign w:val="center"/>
            <w:hideMark/>
          </w:tcPr>
          <w:p w:rsidR="00AA75EE" w:rsidRPr="00AA75EE" w:rsidRDefault="00AA75EE" w:rsidP="00AA75EE">
            <w:pPr>
              <w:spacing w:after="0" w:line="240" w:lineRule="auto"/>
              <w:jc w:val="center"/>
              <w:rPr>
                <w:rFonts w:ascii="Calibri" w:eastAsia="Times New Roman" w:hAnsi="Calibri" w:cs="Calibri"/>
                <w:b/>
                <w:bCs/>
                <w:color w:val="000000"/>
              </w:rPr>
            </w:pPr>
            <w:r w:rsidRPr="00AA75EE">
              <w:rPr>
                <w:rFonts w:ascii="Calibri" w:eastAsia="Times New Roman" w:hAnsi="Calibri" w:cs="Calibri"/>
                <w:b/>
                <w:bCs/>
                <w:color w:val="000000"/>
              </w:rPr>
              <w:t xml:space="preserve">Sample No. </w:t>
            </w:r>
          </w:p>
        </w:tc>
        <w:tc>
          <w:tcPr>
            <w:tcW w:w="1843" w:type="dxa"/>
            <w:tcBorders>
              <w:top w:val="single" w:sz="4" w:space="0" w:color="auto"/>
              <w:left w:val="nil"/>
              <w:bottom w:val="thinThickThinSmallGap" w:sz="24" w:space="0" w:color="auto"/>
              <w:right w:val="nil"/>
            </w:tcBorders>
            <w:shd w:val="clear" w:color="auto" w:fill="DBE5F1" w:themeFill="accent1" w:themeFillTint="33"/>
            <w:noWrap/>
            <w:vAlign w:val="center"/>
            <w:hideMark/>
          </w:tcPr>
          <w:p w:rsidR="00AA75EE" w:rsidRPr="00AA75EE" w:rsidRDefault="00AA75EE" w:rsidP="00AA75EE">
            <w:pPr>
              <w:spacing w:after="0" w:line="240" w:lineRule="auto"/>
              <w:jc w:val="center"/>
              <w:rPr>
                <w:rFonts w:ascii="Calibri" w:eastAsia="Times New Roman" w:hAnsi="Calibri" w:cs="Calibri"/>
                <w:b/>
                <w:bCs/>
                <w:color w:val="000000"/>
              </w:rPr>
            </w:pPr>
            <w:r w:rsidRPr="00AA75EE">
              <w:rPr>
                <w:rFonts w:ascii="Calibri" w:eastAsia="Times New Roman" w:hAnsi="Calibri" w:cs="Calibri"/>
                <w:b/>
                <w:bCs/>
                <w:color w:val="000000"/>
              </w:rPr>
              <w:t xml:space="preserve">Sample Name </w:t>
            </w:r>
          </w:p>
        </w:tc>
        <w:tc>
          <w:tcPr>
            <w:tcW w:w="1417" w:type="dxa"/>
            <w:tcBorders>
              <w:top w:val="single" w:sz="4" w:space="0" w:color="auto"/>
              <w:left w:val="nil"/>
              <w:bottom w:val="thinThickThinSmallGap" w:sz="24" w:space="0" w:color="auto"/>
              <w:right w:val="nil"/>
            </w:tcBorders>
            <w:shd w:val="clear" w:color="auto" w:fill="DBE5F1" w:themeFill="accent1" w:themeFillTint="33"/>
            <w:noWrap/>
            <w:vAlign w:val="center"/>
            <w:hideMark/>
          </w:tcPr>
          <w:p w:rsidR="00AA75EE" w:rsidRPr="00AA75EE" w:rsidRDefault="00AA75EE" w:rsidP="00AA75EE">
            <w:pPr>
              <w:spacing w:after="0" w:line="240" w:lineRule="auto"/>
              <w:jc w:val="center"/>
              <w:rPr>
                <w:rFonts w:ascii="Calibri" w:eastAsia="Times New Roman" w:hAnsi="Calibri" w:cs="Calibri"/>
                <w:b/>
                <w:bCs/>
                <w:color w:val="000000"/>
              </w:rPr>
            </w:pPr>
            <w:r w:rsidRPr="00AA75EE">
              <w:rPr>
                <w:rFonts w:ascii="Calibri" w:eastAsia="Times New Roman" w:hAnsi="Calibri" w:cs="Calibri"/>
                <w:b/>
                <w:bCs/>
                <w:color w:val="000000"/>
              </w:rPr>
              <w:t xml:space="preserve">Brand </w:t>
            </w:r>
          </w:p>
        </w:tc>
        <w:tc>
          <w:tcPr>
            <w:tcW w:w="4820" w:type="dxa"/>
            <w:tcBorders>
              <w:top w:val="single" w:sz="4" w:space="0" w:color="auto"/>
              <w:left w:val="nil"/>
              <w:bottom w:val="thinThickThinSmallGap" w:sz="24" w:space="0" w:color="auto"/>
              <w:right w:val="nil"/>
            </w:tcBorders>
            <w:shd w:val="clear" w:color="auto" w:fill="DBE5F1" w:themeFill="accent1" w:themeFillTint="33"/>
            <w:noWrap/>
            <w:vAlign w:val="center"/>
            <w:hideMark/>
          </w:tcPr>
          <w:p w:rsidR="00AA75EE" w:rsidRPr="00AA75EE" w:rsidRDefault="00AA75EE" w:rsidP="00AA75EE">
            <w:pPr>
              <w:spacing w:after="0" w:line="240" w:lineRule="auto"/>
              <w:jc w:val="center"/>
              <w:rPr>
                <w:rFonts w:ascii="Calibri" w:eastAsia="Times New Roman" w:hAnsi="Calibri" w:cs="Calibri"/>
                <w:b/>
                <w:bCs/>
                <w:color w:val="000000"/>
              </w:rPr>
            </w:pPr>
            <w:r w:rsidRPr="00AA75EE">
              <w:rPr>
                <w:rFonts w:ascii="Calibri" w:eastAsia="Times New Roman" w:hAnsi="Calibri" w:cs="Calibri"/>
                <w:b/>
                <w:bCs/>
                <w:color w:val="000000"/>
              </w:rPr>
              <w:t xml:space="preserve">Sample Information </w:t>
            </w:r>
          </w:p>
        </w:tc>
      </w:tr>
      <w:tr w:rsidR="00AA75EE" w:rsidRPr="00AA75EE" w:rsidTr="00F93230">
        <w:trPr>
          <w:trHeight w:val="300"/>
        </w:trPr>
        <w:tc>
          <w:tcPr>
            <w:tcW w:w="1276" w:type="dxa"/>
            <w:tcBorders>
              <w:top w:val="thinThickThinSmallGap" w:sz="24" w:space="0" w:color="auto"/>
              <w:left w:val="nil"/>
              <w:bottom w:val="nil"/>
              <w:right w:val="nil"/>
            </w:tcBorders>
            <w:shd w:val="clear" w:color="auto" w:fill="auto"/>
            <w:noWrap/>
            <w:vAlign w:val="center"/>
            <w:hideMark/>
          </w:tcPr>
          <w:p w:rsidR="00AA75EE" w:rsidRPr="00AA75EE" w:rsidRDefault="00AA75EE" w:rsidP="00AA75EE">
            <w:pPr>
              <w:spacing w:after="0" w:line="240" w:lineRule="auto"/>
              <w:jc w:val="center"/>
              <w:rPr>
                <w:rFonts w:ascii="Calibri" w:eastAsia="Times New Roman" w:hAnsi="Calibri" w:cs="Calibri"/>
                <w:color w:val="000000"/>
              </w:rPr>
            </w:pPr>
            <w:r w:rsidRPr="00AA75EE">
              <w:rPr>
                <w:rFonts w:ascii="Calibri" w:eastAsia="Times New Roman" w:hAnsi="Calibri" w:cs="Calibri"/>
                <w:color w:val="000000"/>
              </w:rPr>
              <w:t>1</w:t>
            </w:r>
          </w:p>
        </w:tc>
        <w:tc>
          <w:tcPr>
            <w:tcW w:w="1843" w:type="dxa"/>
            <w:tcBorders>
              <w:top w:val="thinThickThinSmallGap" w:sz="24" w:space="0" w:color="auto"/>
              <w:left w:val="nil"/>
              <w:bottom w:val="nil"/>
              <w:right w:val="nil"/>
            </w:tcBorders>
            <w:shd w:val="clear" w:color="auto" w:fill="auto"/>
            <w:noWrap/>
            <w:vAlign w:val="center"/>
            <w:hideMark/>
          </w:tcPr>
          <w:p w:rsidR="00AA75EE" w:rsidRPr="00AA75EE" w:rsidRDefault="00AA75EE" w:rsidP="00AA75EE">
            <w:pPr>
              <w:spacing w:after="0" w:line="240" w:lineRule="auto"/>
              <w:jc w:val="center"/>
              <w:rPr>
                <w:rFonts w:ascii="Calibri" w:eastAsia="Times New Roman" w:hAnsi="Calibri" w:cs="Calibri"/>
                <w:color w:val="000000"/>
              </w:rPr>
            </w:pPr>
            <w:r w:rsidRPr="00AA75EE">
              <w:rPr>
                <w:rFonts w:ascii="Calibri" w:eastAsia="Times New Roman" w:hAnsi="Calibri" w:cs="Calibri"/>
                <w:color w:val="000000"/>
              </w:rPr>
              <w:t xml:space="preserve">Mystic Island </w:t>
            </w:r>
          </w:p>
        </w:tc>
        <w:tc>
          <w:tcPr>
            <w:tcW w:w="1417" w:type="dxa"/>
            <w:tcBorders>
              <w:top w:val="thinThickThinSmallGap" w:sz="24" w:space="0" w:color="auto"/>
              <w:left w:val="nil"/>
              <w:bottom w:val="nil"/>
              <w:right w:val="nil"/>
            </w:tcBorders>
            <w:shd w:val="clear" w:color="auto" w:fill="auto"/>
            <w:noWrap/>
            <w:vAlign w:val="center"/>
            <w:hideMark/>
          </w:tcPr>
          <w:p w:rsidR="00AA75EE" w:rsidRPr="00AA75EE" w:rsidRDefault="00AA75EE" w:rsidP="00AA75EE">
            <w:pPr>
              <w:spacing w:after="0" w:line="240" w:lineRule="auto"/>
              <w:jc w:val="center"/>
              <w:rPr>
                <w:rFonts w:ascii="Calibri" w:eastAsia="Times New Roman" w:hAnsi="Calibri" w:cs="Calibri"/>
                <w:color w:val="000000"/>
              </w:rPr>
            </w:pPr>
            <w:r w:rsidRPr="00AA75EE">
              <w:rPr>
                <w:rFonts w:ascii="Calibri" w:eastAsia="Times New Roman" w:hAnsi="Calibri" w:cs="Calibri"/>
                <w:color w:val="000000"/>
              </w:rPr>
              <w:t>Exclu Cig</w:t>
            </w:r>
          </w:p>
        </w:tc>
        <w:tc>
          <w:tcPr>
            <w:tcW w:w="4820" w:type="dxa"/>
            <w:tcBorders>
              <w:top w:val="thinThickThinSmallGap" w:sz="24" w:space="0" w:color="auto"/>
              <w:left w:val="nil"/>
              <w:bottom w:val="nil"/>
              <w:right w:val="nil"/>
            </w:tcBorders>
            <w:shd w:val="clear" w:color="auto" w:fill="auto"/>
            <w:noWrap/>
            <w:vAlign w:val="center"/>
            <w:hideMark/>
          </w:tcPr>
          <w:p w:rsidR="00AA75EE" w:rsidRPr="00AA75EE" w:rsidRDefault="00074309" w:rsidP="00AA75EE">
            <w:pPr>
              <w:spacing w:after="0" w:line="240" w:lineRule="auto"/>
              <w:jc w:val="center"/>
              <w:rPr>
                <w:rFonts w:ascii="Calibri" w:eastAsia="Times New Roman" w:hAnsi="Calibri" w:cs="Calibri"/>
                <w:color w:val="000000"/>
              </w:rPr>
            </w:pPr>
            <w:r>
              <w:rPr>
                <w:rFonts w:ascii="Calibri" w:eastAsia="Times New Roman" w:hAnsi="Calibri" w:cs="Calibri"/>
                <w:color w:val="000000"/>
              </w:rPr>
              <w:t>Purple label 6 mg/mL</w:t>
            </w:r>
            <w:r w:rsidR="00AA75EE" w:rsidRPr="00AA75EE">
              <w:rPr>
                <w:rFonts w:ascii="Calibri" w:eastAsia="Times New Roman" w:hAnsi="Calibri" w:cs="Calibri"/>
                <w:color w:val="000000"/>
              </w:rPr>
              <w:t xml:space="preserve"> VG 80</w:t>
            </w:r>
            <w:r w:rsidR="00ED6949">
              <w:rPr>
                <w:rFonts w:ascii="Calibri" w:eastAsia="Times New Roman" w:hAnsi="Calibri" w:cs="Calibri"/>
                <w:color w:val="000000"/>
              </w:rPr>
              <w:t xml:space="preserve"> </w:t>
            </w:r>
            <w:r w:rsidR="00AA75EE" w:rsidRPr="00AA75EE">
              <w:rPr>
                <w:rFonts w:ascii="Calibri" w:eastAsia="Times New Roman" w:hAnsi="Calibri" w:cs="Calibri"/>
                <w:color w:val="000000"/>
              </w:rPr>
              <w:t>%/PG20</w:t>
            </w:r>
            <w:r w:rsidR="00ED6949">
              <w:rPr>
                <w:rFonts w:ascii="Calibri" w:eastAsia="Times New Roman" w:hAnsi="Calibri" w:cs="Calibri"/>
                <w:color w:val="000000"/>
              </w:rPr>
              <w:t xml:space="preserve"> </w:t>
            </w:r>
            <w:r w:rsidR="00AA75EE" w:rsidRPr="00AA75EE">
              <w:rPr>
                <w:rFonts w:ascii="Calibri" w:eastAsia="Times New Roman" w:hAnsi="Calibri" w:cs="Calibri"/>
                <w:color w:val="000000"/>
              </w:rPr>
              <w:t>%</w:t>
            </w:r>
          </w:p>
        </w:tc>
      </w:tr>
      <w:tr w:rsidR="00AA75EE" w:rsidRPr="00AA75EE" w:rsidTr="00EF4C54">
        <w:trPr>
          <w:trHeight w:val="300"/>
        </w:trPr>
        <w:tc>
          <w:tcPr>
            <w:tcW w:w="1276" w:type="dxa"/>
            <w:tcBorders>
              <w:top w:val="nil"/>
              <w:left w:val="nil"/>
              <w:bottom w:val="nil"/>
              <w:right w:val="nil"/>
            </w:tcBorders>
            <w:shd w:val="clear" w:color="auto" w:fill="auto"/>
            <w:noWrap/>
            <w:vAlign w:val="center"/>
            <w:hideMark/>
          </w:tcPr>
          <w:p w:rsidR="00AA75EE" w:rsidRPr="00AA75EE" w:rsidRDefault="00AA75EE" w:rsidP="00AA75EE">
            <w:pPr>
              <w:spacing w:after="0" w:line="240" w:lineRule="auto"/>
              <w:jc w:val="center"/>
              <w:rPr>
                <w:rFonts w:ascii="Calibri" w:eastAsia="Times New Roman" w:hAnsi="Calibri" w:cs="Calibri"/>
                <w:color w:val="000000"/>
              </w:rPr>
            </w:pPr>
            <w:r w:rsidRPr="00AA75EE">
              <w:rPr>
                <w:rFonts w:ascii="Calibri" w:eastAsia="Times New Roman" w:hAnsi="Calibri" w:cs="Calibri"/>
                <w:color w:val="000000"/>
              </w:rPr>
              <w:t>2</w:t>
            </w:r>
          </w:p>
        </w:tc>
        <w:tc>
          <w:tcPr>
            <w:tcW w:w="1843" w:type="dxa"/>
            <w:tcBorders>
              <w:top w:val="nil"/>
              <w:left w:val="nil"/>
              <w:bottom w:val="nil"/>
              <w:right w:val="nil"/>
            </w:tcBorders>
            <w:shd w:val="clear" w:color="auto" w:fill="auto"/>
            <w:noWrap/>
            <w:vAlign w:val="center"/>
            <w:hideMark/>
          </w:tcPr>
          <w:p w:rsidR="00AA75EE" w:rsidRPr="00AA75EE" w:rsidRDefault="00AA75EE" w:rsidP="00AA75EE">
            <w:pPr>
              <w:spacing w:after="0" w:line="240" w:lineRule="auto"/>
              <w:jc w:val="center"/>
              <w:rPr>
                <w:rFonts w:ascii="Calibri" w:eastAsia="Times New Roman" w:hAnsi="Calibri" w:cs="Calibri"/>
                <w:color w:val="000000"/>
              </w:rPr>
            </w:pPr>
            <w:r w:rsidRPr="00AA75EE">
              <w:rPr>
                <w:rFonts w:ascii="Calibri" w:eastAsia="Times New Roman" w:hAnsi="Calibri" w:cs="Calibri"/>
                <w:color w:val="000000"/>
              </w:rPr>
              <w:t>Apple Shisha</w:t>
            </w:r>
          </w:p>
        </w:tc>
        <w:tc>
          <w:tcPr>
            <w:tcW w:w="1417" w:type="dxa"/>
            <w:tcBorders>
              <w:top w:val="nil"/>
              <w:left w:val="nil"/>
              <w:bottom w:val="nil"/>
              <w:right w:val="nil"/>
            </w:tcBorders>
            <w:shd w:val="clear" w:color="auto" w:fill="auto"/>
            <w:noWrap/>
            <w:vAlign w:val="center"/>
            <w:hideMark/>
          </w:tcPr>
          <w:p w:rsidR="00AA75EE" w:rsidRPr="00AA75EE" w:rsidRDefault="00AA75EE" w:rsidP="00AA75EE">
            <w:pPr>
              <w:spacing w:after="0" w:line="240" w:lineRule="auto"/>
              <w:jc w:val="center"/>
              <w:rPr>
                <w:rFonts w:ascii="Calibri" w:eastAsia="Times New Roman" w:hAnsi="Calibri" w:cs="Calibri"/>
                <w:color w:val="000000"/>
              </w:rPr>
            </w:pPr>
            <w:r w:rsidRPr="00AA75EE">
              <w:rPr>
                <w:rFonts w:ascii="Calibri" w:eastAsia="Times New Roman" w:hAnsi="Calibri" w:cs="Calibri"/>
                <w:color w:val="000000"/>
              </w:rPr>
              <w:t>Exclu Cig</w:t>
            </w:r>
          </w:p>
        </w:tc>
        <w:tc>
          <w:tcPr>
            <w:tcW w:w="4820" w:type="dxa"/>
            <w:tcBorders>
              <w:top w:val="nil"/>
              <w:left w:val="nil"/>
              <w:bottom w:val="nil"/>
              <w:right w:val="nil"/>
            </w:tcBorders>
            <w:shd w:val="clear" w:color="auto" w:fill="auto"/>
            <w:noWrap/>
            <w:vAlign w:val="center"/>
            <w:hideMark/>
          </w:tcPr>
          <w:p w:rsidR="00AA75EE" w:rsidRPr="00AA75EE" w:rsidRDefault="00074309" w:rsidP="00AA75EE">
            <w:pPr>
              <w:spacing w:after="0" w:line="240" w:lineRule="auto"/>
              <w:jc w:val="center"/>
              <w:rPr>
                <w:rFonts w:ascii="Calibri" w:eastAsia="Times New Roman" w:hAnsi="Calibri" w:cs="Calibri"/>
                <w:color w:val="000000"/>
              </w:rPr>
            </w:pPr>
            <w:r>
              <w:rPr>
                <w:rFonts w:ascii="Calibri" w:eastAsia="Times New Roman" w:hAnsi="Calibri" w:cs="Calibri"/>
                <w:color w:val="000000"/>
              </w:rPr>
              <w:t>Diamond label 0 mg/mL</w:t>
            </w:r>
            <w:r w:rsidR="00AA75EE" w:rsidRPr="00AA75EE">
              <w:rPr>
                <w:rFonts w:ascii="Calibri" w:eastAsia="Times New Roman" w:hAnsi="Calibri" w:cs="Calibri"/>
                <w:color w:val="000000"/>
              </w:rPr>
              <w:t xml:space="preserve"> VG 60</w:t>
            </w:r>
            <w:r w:rsidR="00ED6949">
              <w:rPr>
                <w:rFonts w:ascii="Calibri" w:eastAsia="Times New Roman" w:hAnsi="Calibri" w:cs="Calibri"/>
                <w:color w:val="000000"/>
              </w:rPr>
              <w:t xml:space="preserve"> </w:t>
            </w:r>
            <w:r w:rsidR="00AA75EE" w:rsidRPr="00AA75EE">
              <w:rPr>
                <w:rFonts w:ascii="Calibri" w:eastAsia="Times New Roman" w:hAnsi="Calibri" w:cs="Calibri"/>
                <w:color w:val="000000"/>
              </w:rPr>
              <w:t>%/PG40 %</w:t>
            </w:r>
          </w:p>
        </w:tc>
      </w:tr>
      <w:tr w:rsidR="00AA75EE" w:rsidRPr="00AA75EE" w:rsidTr="00EF4C54">
        <w:trPr>
          <w:trHeight w:val="300"/>
        </w:trPr>
        <w:tc>
          <w:tcPr>
            <w:tcW w:w="1276" w:type="dxa"/>
            <w:tcBorders>
              <w:top w:val="nil"/>
              <w:left w:val="nil"/>
              <w:bottom w:val="nil"/>
              <w:right w:val="nil"/>
            </w:tcBorders>
            <w:shd w:val="clear" w:color="auto" w:fill="auto"/>
            <w:noWrap/>
            <w:vAlign w:val="center"/>
            <w:hideMark/>
          </w:tcPr>
          <w:p w:rsidR="00AA75EE" w:rsidRPr="00AA75EE" w:rsidRDefault="00AA75EE" w:rsidP="00AA75EE">
            <w:pPr>
              <w:spacing w:after="0" w:line="240" w:lineRule="auto"/>
              <w:jc w:val="center"/>
              <w:rPr>
                <w:rFonts w:ascii="Calibri" w:eastAsia="Times New Roman" w:hAnsi="Calibri" w:cs="Calibri"/>
                <w:color w:val="000000"/>
              </w:rPr>
            </w:pPr>
            <w:r w:rsidRPr="00AA75EE">
              <w:rPr>
                <w:rFonts w:ascii="Calibri" w:eastAsia="Times New Roman" w:hAnsi="Calibri" w:cs="Calibri"/>
                <w:color w:val="000000"/>
              </w:rPr>
              <w:t>3</w:t>
            </w:r>
          </w:p>
        </w:tc>
        <w:tc>
          <w:tcPr>
            <w:tcW w:w="1843" w:type="dxa"/>
            <w:tcBorders>
              <w:top w:val="nil"/>
              <w:left w:val="nil"/>
              <w:bottom w:val="nil"/>
              <w:right w:val="nil"/>
            </w:tcBorders>
            <w:shd w:val="clear" w:color="auto" w:fill="auto"/>
            <w:noWrap/>
            <w:vAlign w:val="center"/>
            <w:hideMark/>
          </w:tcPr>
          <w:p w:rsidR="00AA75EE" w:rsidRPr="00AA75EE" w:rsidRDefault="00AA75EE" w:rsidP="00AA75EE">
            <w:pPr>
              <w:spacing w:after="0" w:line="240" w:lineRule="auto"/>
              <w:jc w:val="center"/>
              <w:rPr>
                <w:rFonts w:ascii="Calibri" w:eastAsia="Times New Roman" w:hAnsi="Calibri" w:cs="Calibri"/>
                <w:color w:val="000000"/>
              </w:rPr>
            </w:pPr>
            <w:r w:rsidRPr="00AA75EE">
              <w:rPr>
                <w:rFonts w:ascii="Calibri" w:eastAsia="Times New Roman" w:hAnsi="Calibri" w:cs="Calibri"/>
                <w:color w:val="000000"/>
              </w:rPr>
              <w:t xml:space="preserve">Juicy Peach </w:t>
            </w:r>
          </w:p>
        </w:tc>
        <w:tc>
          <w:tcPr>
            <w:tcW w:w="1417" w:type="dxa"/>
            <w:tcBorders>
              <w:top w:val="nil"/>
              <w:left w:val="nil"/>
              <w:bottom w:val="nil"/>
              <w:right w:val="nil"/>
            </w:tcBorders>
            <w:shd w:val="clear" w:color="auto" w:fill="auto"/>
            <w:noWrap/>
            <w:vAlign w:val="center"/>
            <w:hideMark/>
          </w:tcPr>
          <w:p w:rsidR="00AA75EE" w:rsidRPr="00AA75EE" w:rsidRDefault="00AA75EE" w:rsidP="00AA75EE">
            <w:pPr>
              <w:spacing w:after="0" w:line="240" w:lineRule="auto"/>
              <w:jc w:val="center"/>
              <w:rPr>
                <w:rFonts w:ascii="Calibri" w:eastAsia="Times New Roman" w:hAnsi="Calibri" w:cs="Calibri"/>
                <w:color w:val="000000"/>
              </w:rPr>
            </w:pPr>
            <w:r w:rsidRPr="00AA75EE">
              <w:rPr>
                <w:rFonts w:ascii="Calibri" w:eastAsia="Times New Roman" w:hAnsi="Calibri" w:cs="Calibri"/>
                <w:color w:val="000000"/>
              </w:rPr>
              <w:t>Exclu Cig</w:t>
            </w:r>
          </w:p>
        </w:tc>
        <w:tc>
          <w:tcPr>
            <w:tcW w:w="4820" w:type="dxa"/>
            <w:tcBorders>
              <w:top w:val="nil"/>
              <w:left w:val="nil"/>
              <w:bottom w:val="nil"/>
              <w:right w:val="nil"/>
            </w:tcBorders>
            <w:shd w:val="clear" w:color="auto" w:fill="auto"/>
            <w:noWrap/>
            <w:vAlign w:val="center"/>
            <w:hideMark/>
          </w:tcPr>
          <w:p w:rsidR="00AA75EE" w:rsidRPr="00AA75EE" w:rsidRDefault="00074309" w:rsidP="00AA75EE">
            <w:pPr>
              <w:spacing w:after="0" w:line="240" w:lineRule="auto"/>
              <w:jc w:val="center"/>
              <w:rPr>
                <w:rFonts w:ascii="Calibri" w:eastAsia="Times New Roman" w:hAnsi="Calibri" w:cs="Calibri"/>
                <w:color w:val="000000"/>
              </w:rPr>
            </w:pPr>
            <w:r>
              <w:rPr>
                <w:rFonts w:ascii="Calibri" w:eastAsia="Times New Roman" w:hAnsi="Calibri" w:cs="Calibri"/>
                <w:color w:val="000000"/>
              </w:rPr>
              <w:t>Diamond label 18 mg/mL</w:t>
            </w:r>
            <w:r w:rsidR="00AA75EE" w:rsidRPr="00AA75EE">
              <w:rPr>
                <w:rFonts w:ascii="Calibri" w:eastAsia="Times New Roman" w:hAnsi="Calibri" w:cs="Calibri"/>
                <w:color w:val="000000"/>
              </w:rPr>
              <w:t xml:space="preserve"> VG 60</w:t>
            </w:r>
            <w:r w:rsidR="00ED6949">
              <w:rPr>
                <w:rFonts w:ascii="Calibri" w:eastAsia="Times New Roman" w:hAnsi="Calibri" w:cs="Calibri"/>
                <w:color w:val="000000"/>
              </w:rPr>
              <w:t xml:space="preserve"> </w:t>
            </w:r>
            <w:r w:rsidR="00AA75EE" w:rsidRPr="00AA75EE">
              <w:rPr>
                <w:rFonts w:ascii="Calibri" w:eastAsia="Times New Roman" w:hAnsi="Calibri" w:cs="Calibri"/>
                <w:color w:val="000000"/>
              </w:rPr>
              <w:t>%/PG 40</w:t>
            </w:r>
            <w:r w:rsidR="00ED6949">
              <w:rPr>
                <w:rFonts w:ascii="Calibri" w:eastAsia="Times New Roman" w:hAnsi="Calibri" w:cs="Calibri"/>
                <w:color w:val="000000"/>
              </w:rPr>
              <w:t xml:space="preserve"> </w:t>
            </w:r>
            <w:r w:rsidR="00AA75EE" w:rsidRPr="00AA75EE">
              <w:rPr>
                <w:rFonts w:ascii="Calibri" w:eastAsia="Times New Roman" w:hAnsi="Calibri" w:cs="Calibri"/>
                <w:color w:val="000000"/>
              </w:rPr>
              <w:t>%</w:t>
            </w:r>
          </w:p>
        </w:tc>
      </w:tr>
      <w:tr w:rsidR="00AA75EE" w:rsidRPr="00AA75EE" w:rsidTr="00EF4C54">
        <w:trPr>
          <w:trHeight w:val="300"/>
        </w:trPr>
        <w:tc>
          <w:tcPr>
            <w:tcW w:w="1276" w:type="dxa"/>
            <w:tcBorders>
              <w:top w:val="nil"/>
              <w:left w:val="nil"/>
              <w:bottom w:val="nil"/>
              <w:right w:val="nil"/>
            </w:tcBorders>
            <w:shd w:val="clear" w:color="auto" w:fill="auto"/>
            <w:noWrap/>
            <w:vAlign w:val="center"/>
            <w:hideMark/>
          </w:tcPr>
          <w:p w:rsidR="00AA75EE" w:rsidRPr="00AA75EE" w:rsidRDefault="00AA75EE" w:rsidP="00AA75EE">
            <w:pPr>
              <w:spacing w:after="0" w:line="240" w:lineRule="auto"/>
              <w:jc w:val="center"/>
              <w:rPr>
                <w:rFonts w:ascii="Calibri" w:eastAsia="Times New Roman" w:hAnsi="Calibri" w:cs="Calibri"/>
                <w:color w:val="000000"/>
              </w:rPr>
            </w:pPr>
            <w:r w:rsidRPr="00AA75EE">
              <w:rPr>
                <w:rFonts w:ascii="Calibri" w:eastAsia="Times New Roman" w:hAnsi="Calibri" w:cs="Calibri"/>
                <w:color w:val="000000"/>
              </w:rPr>
              <w:t>4</w:t>
            </w:r>
          </w:p>
        </w:tc>
        <w:tc>
          <w:tcPr>
            <w:tcW w:w="1843" w:type="dxa"/>
            <w:tcBorders>
              <w:top w:val="nil"/>
              <w:left w:val="nil"/>
              <w:bottom w:val="nil"/>
              <w:right w:val="nil"/>
            </w:tcBorders>
            <w:shd w:val="clear" w:color="auto" w:fill="auto"/>
            <w:noWrap/>
            <w:vAlign w:val="center"/>
            <w:hideMark/>
          </w:tcPr>
          <w:p w:rsidR="00AA75EE" w:rsidRPr="00AA75EE" w:rsidRDefault="00AA75EE" w:rsidP="00AA75EE">
            <w:pPr>
              <w:spacing w:after="0" w:line="240" w:lineRule="auto"/>
              <w:jc w:val="center"/>
              <w:rPr>
                <w:rFonts w:ascii="Calibri" w:eastAsia="Times New Roman" w:hAnsi="Calibri" w:cs="Calibri"/>
                <w:color w:val="000000"/>
              </w:rPr>
            </w:pPr>
            <w:r w:rsidRPr="00AA75EE">
              <w:rPr>
                <w:rFonts w:ascii="Calibri" w:eastAsia="Times New Roman" w:hAnsi="Calibri" w:cs="Calibri"/>
                <w:color w:val="000000"/>
              </w:rPr>
              <w:t xml:space="preserve">Water Melon </w:t>
            </w:r>
          </w:p>
        </w:tc>
        <w:tc>
          <w:tcPr>
            <w:tcW w:w="1417" w:type="dxa"/>
            <w:tcBorders>
              <w:top w:val="nil"/>
              <w:left w:val="nil"/>
              <w:bottom w:val="nil"/>
              <w:right w:val="nil"/>
            </w:tcBorders>
            <w:shd w:val="clear" w:color="auto" w:fill="auto"/>
            <w:noWrap/>
            <w:vAlign w:val="center"/>
            <w:hideMark/>
          </w:tcPr>
          <w:p w:rsidR="00AA75EE" w:rsidRPr="00AA75EE" w:rsidRDefault="00AA75EE" w:rsidP="00AA75EE">
            <w:pPr>
              <w:spacing w:after="0" w:line="240" w:lineRule="auto"/>
              <w:jc w:val="center"/>
              <w:rPr>
                <w:rFonts w:ascii="Calibri" w:eastAsia="Times New Roman" w:hAnsi="Calibri" w:cs="Calibri"/>
                <w:color w:val="000000"/>
              </w:rPr>
            </w:pPr>
            <w:r w:rsidRPr="00AA75EE">
              <w:rPr>
                <w:rFonts w:ascii="Calibri" w:eastAsia="Times New Roman" w:hAnsi="Calibri" w:cs="Calibri"/>
                <w:color w:val="000000"/>
              </w:rPr>
              <w:t>Exclu Cig</w:t>
            </w:r>
          </w:p>
        </w:tc>
        <w:tc>
          <w:tcPr>
            <w:tcW w:w="4820" w:type="dxa"/>
            <w:tcBorders>
              <w:top w:val="nil"/>
              <w:left w:val="nil"/>
              <w:bottom w:val="nil"/>
              <w:right w:val="nil"/>
            </w:tcBorders>
            <w:shd w:val="clear" w:color="auto" w:fill="auto"/>
            <w:noWrap/>
            <w:vAlign w:val="center"/>
            <w:hideMark/>
          </w:tcPr>
          <w:p w:rsidR="00AA75EE" w:rsidRPr="00AA75EE" w:rsidRDefault="00074309" w:rsidP="00AA75EE">
            <w:pPr>
              <w:spacing w:after="0" w:line="240" w:lineRule="auto"/>
              <w:jc w:val="center"/>
              <w:rPr>
                <w:rFonts w:ascii="Calibri" w:eastAsia="Times New Roman" w:hAnsi="Calibri" w:cs="Calibri"/>
                <w:color w:val="000000"/>
              </w:rPr>
            </w:pPr>
            <w:r>
              <w:rPr>
                <w:rFonts w:ascii="Calibri" w:eastAsia="Times New Roman" w:hAnsi="Calibri" w:cs="Calibri"/>
                <w:color w:val="000000"/>
              </w:rPr>
              <w:t>Diamond label 18 mg/mL</w:t>
            </w:r>
            <w:r w:rsidR="00AA75EE" w:rsidRPr="00AA75EE">
              <w:rPr>
                <w:rFonts w:ascii="Calibri" w:eastAsia="Times New Roman" w:hAnsi="Calibri" w:cs="Calibri"/>
                <w:color w:val="000000"/>
              </w:rPr>
              <w:t xml:space="preserve"> VG 60</w:t>
            </w:r>
            <w:r w:rsidR="00ED6949">
              <w:rPr>
                <w:rFonts w:ascii="Calibri" w:eastAsia="Times New Roman" w:hAnsi="Calibri" w:cs="Calibri"/>
                <w:color w:val="000000"/>
              </w:rPr>
              <w:t xml:space="preserve"> </w:t>
            </w:r>
            <w:r w:rsidR="00AA75EE" w:rsidRPr="00AA75EE">
              <w:rPr>
                <w:rFonts w:ascii="Calibri" w:eastAsia="Times New Roman" w:hAnsi="Calibri" w:cs="Calibri"/>
                <w:color w:val="000000"/>
              </w:rPr>
              <w:t>%/PG 40</w:t>
            </w:r>
            <w:r w:rsidR="00ED6949">
              <w:rPr>
                <w:rFonts w:ascii="Calibri" w:eastAsia="Times New Roman" w:hAnsi="Calibri" w:cs="Calibri"/>
                <w:color w:val="000000"/>
              </w:rPr>
              <w:t xml:space="preserve"> </w:t>
            </w:r>
            <w:r w:rsidR="00AA75EE" w:rsidRPr="00AA75EE">
              <w:rPr>
                <w:rFonts w:ascii="Calibri" w:eastAsia="Times New Roman" w:hAnsi="Calibri" w:cs="Calibri"/>
                <w:color w:val="000000"/>
              </w:rPr>
              <w:t>%</w:t>
            </w:r>
          </w:p>
        </w:tc>
      </w:tr>
      <w:tr w:rsidR="00AA75EE" w:rsidRPr="002E375B" w:rsidTr="00EF4C54">
        <w:trPr>
          <w:trHeight w:val="300"/>
        </w:trPr>
        <w:tc>
          <w:tcPr>
            <w:tcW w:w="1276" w:type="dxa"/>
            <w:tcBorders>
              <w:top w:val="nil"/>
              <w:left w:val="nil"/>
              <w:bottom w:val="nil"/>
              <w:right w:val="nil"/>
            </w:tcBorders>
            <w:shd w:val="clear" w:color="auto" w:fill="auto"/>
            <w:noWrap/>
            <w:vAlign w:val="center"/>
            <w:hideMark/>
          </w:tcPr>
          <w:p w:rsidR="00AA75EE" w:rsidRPr="00AA75EE" w:rsidRDefault="00AA75EE" w:rsidP="00AA75EE">
            <w:pPr>
              <w:spacing w:after="0" w:line="240" w:lineRule="auto"/>
              <w:jc w:val="center"/>
              <w:rPr>
                <w:rFonts w:ascii="Calibri" w:eastAsia="Times New Roman" w:hAnsi="Calibri" w:cs="Calibri"/>
                <w:color w:val="000000"/>
              </w:rPr>
            </w:pPr>
            <w:r w:rsidRPr="00AA75EE">
              <w:rPr>
                <w:rFonts w:ascii="Calibri" w:eastAsia="Times New Roman" w:hAnsi="Calibri" w:cs="Calibri"/>
                <w:color w:val="000000"/>
              </w:rPr>
              <w:t>5</w:t>
            </w:r>
          </w:p>
        </w:tc>
        <w:tc>
          <w:tcPr>
            <w:tcW w:w="1843" w:type="dxa"/>
            <w:tcBorders>
              <w:top w:val="nil"/>
              <w:left w:val="nil"/>
              <w:bottom w:val="nil"/>
              <w:right w:val="nil"/>
            </w:tcBorders>
            <w:shd w:val="clear" w:color="auto" w:fill="auto"/>
            <w:noWrap/>
            <w:vAlign w:val="center"/>
            <w:hideMark/>
          </w:tcPr>
          <w:p w:rsidR="00AA75EE" w:rsidRPr="00AA75EE" w:rsidRDefault="00AA75EE" w:rsidP="00AA75EE">
            <w:pPr>
              <w:spacing w:after="0" w:line="240" w:lineRule="auto"/>
              <w:jc w:val="center"/>
              <w:rPr>
                <w:rFonts w:ascii="Calibri" w:eastAsia="Times New Roman" w:hAnsi="Calibri" w:cs="Calibri"/>
                <w:color w:val="000000"/>
              </w:rPr>
            </w:pPr>
            <w:r w:rsidRPr="00AA75EE">
              <w:rPr>
                <w:rFonts w:ascii="Calibri" w:eastAsia="Times New Roman" w:hAnsi="Calibri" w:cs="Calibri"/>
                <w:color w:val="000000"/>
              </w:rPr>
              <w:t>American Blend</w:t>
            </w:r>
          </w:p>
        </w:tc>
        <w:tc>
          <w:tcPr>
            <w:tcW w:w="1417" w:type="dxa"/>
            <w:tcBorders>
              <w:top w:val="nil"/>
              <w:left w:val="nil"/>
              <w:bottom w:val="nil"/>
              <w:right w:val="nil"/>
            </w:tcBorders>
            <w:shd w:val="clear" w:color="auto" w:fill="auto"/>
            <w:noWrap/>
            <w:vAlign w:val="center"/>
            <w:hideMark/>
          </w:tcPr>
          <w:p w:rsidR="00AA75EE" w:rsidRPr="00AA75EE" w:rsidRDefault="00AA75EE" w:rsidP="00AA75EE">
            <w:pPr>
              <w:spacing w:after="0" w:line="240" w:lineRule="auto"/>
              <w:jc w:val="center"/>
              <w:rPr>
                <w:rFonts w:ascii="Calibri" w:eastAsia="Times New Roman" w:hAnsi="Calibri" w:cs="Calibri"/>
                <w:color w:val="000000"/>
              </w:rPr>
            </w:pPr>
            <w:r w:rsidRPr="00AA75EE">
              <w:rPr>
                <w:rFonts w:ascii="Calibri" w:eastAsia="Times New Roman" w:hAnsi="Calibri" w:cs="Calibri"/>
                <w:color w:val="000000"/>
              </w:rPr>
              <w:t>Sansie</w:t>
            </w:r>
          </w:p>
        </w:tc>
        <w:tc>
          <w:tcPr>
            <w:tcW w:w="4820" w:type="dxa"/>
            <w:tcBorders>
              <w:top w:val="nil"/>
              <w:left w:val="nil"/>
              <w:bottom w:val="nil"/>
              <w:right w:val="nil"/>
            </w:tcBorders>
            <w:shd w:val="clear" w:color="auto" w:fill="auto"/>
            <w:noWrap/>
            <w:vAlign w:val="center"/>
            <w:hideMark/>
          </w:tcPr>
          <w:p w:rsidR="00AA75EE" w:rsidRPr="00DF7840" w:rsidRDefault="00074309" w:rsidP="00AA75EE">
            <w:pPr>
              <w:spacing w:after="0" w:line="240" w:lineRule="auto"/>
              <w:jc w:val="center"/>
              <w:rPr>
                <w:rFonts w:ascii="Calibri" w:eastAsia="Times New Roman" w:hAnsi="Calibri" w:cs="Calibri"/>
                <w:color w:val="000000"/>
                <w:lang w:val="nl-NL"/>
              </w:rPr>
            </w:pPr>
            <w:r>
              <w:rPr>
                <w:rFonts w:ascii="Calibri" w:eastAsia="Times New Roman" w:hAnsi="Calibri" w:cs="Calibri"/>
                <w:color w:val="000000"/>
                <w:lang w:val="nl-NL"/>
              </w:rPr>
              <w:t>18 mg/mL</w:t>
            </w:r>
            <w:r w:rsidR="00AA75EE" w:rsidRPr="00DF7840">
              <w:rPr>
                <w:rFonts w:ascii="Calibri" w:eastAsia="Times New Roman" w:hAnsi="Calibri" w:cs="Calibri"/>
                <w:color w:val="000000"/>
                <w:lang w:val="nl-NL"/>
              </w:rPr>
              <w:t xml:space="preserve"> VG 50</w:t>
            </w:r>
            <w:r w:rsidR="00ED6949">
              <w:rPr>
                <w:rFonts w:ascii="Calibri" w:eastAsia="Times New Roman" w:hAnsi="Calibri" w:cs="Calibri"/>
                <w:color w:val="000000"/>
                <w:lang w:val="nl-NL"/>
              </w:rPr>
              <w:t xml:space="preserve"> </w:t>
            </w:r>
            <w:r w:rsidR="00AA75EE" w:rsidRPr="00DF7840">
              <w:rPr>
                <w:rFonts w:ascii="Calibri" w:eastAsia="Times New Roman" w:hAnsi="Calibri" w:cs="Calibri"/>
                <w:color w:val="000000"/>
                <w:lang w:val="nl-NL"/>
              </w:rPr>
              <w:t>%/PG 50</w:t>
            </w:r>
            <w:r w:rsidR="00ED6949">
              <w:rPr>
                <w:rFonts w:ascii="Calibri" w:eastAsia="Times New Roman" w:hAnsi="Calibri" w:cs="Calibri"/>
                <w:color w:val="000000"/>
                <w:lang w:val="nl-NL"/>
              </w:rPr>
              <w:t xml:space="preserve"> </w:t>
            </w:r>
            <w:r w:rsidR="00AA75EE" w:rsidRPr="00DF7840">
              <w:rPr>
                <w:rFonts w:ascii="Calibri" w:eastAsia="Times New Roman" w:hAnsi="Calibri" w:cs="Calibri"/>
                <w:color w:val="000000"/>
                <w:lang w:val="nl-NL"/>
              </w:rPr>
              <w:t>% Bevat Benzyl alcohol</w:t>
            </w:r>
          </w:p>
        </w:tc>
      </w:tr>
      <w:tr w:rsidR="00AA75EE" w:rsidRPr="002E375B" w:rsidTr="00EF4C54">
        <w:trPr>
          <w:trHeight w:val="300"/>
        </w:trPr>
        <w:tc>
          <w:tcPr>
            <w:tcW w:w="1276" w:type="dxa"/>
            <w:tcBorders>
              <w:top w:val="nil"/>
              <w:left w:val="nil"/>
              <w:bottom w:val="nil"/>
              <w:right w:val="nil"/>
            </w:tcBorders>
            <w:shd w:val="clear" w:color="auto" w:fill="auto"/>
            <w:noWrap/>
            <w:vAlign w:val="center"/>
            <w:hideMark/>
          </w:tcPr>
          <w:p w:rsidR="00AA75EE" w:rsidRPr="00AA75EE" w:rsidRDefault="00AA75EE" w:rsidP="00AA75EE">
            <w:pPr>
              <w:spacing w:after="0" w:line="240" w:lineRule="auto"/>
              <w:jc w:val="center"/>
              <w:rPr>
                <w:rFonts w:ascii="Calibri" w:eastAsia="Times New Roman" w:hAnsi="Calibri" w:cs="Calibri"/>
                <w:color w:val="000000"/>
              </w:rPr>
            </w:pPr>
            <w:r w:rsidRPr="00AA75EE">
              <w:rPr>
                <w:rFonts w:ascii="Calibri" w:eastAsia="Times New Roman" w:hAnsi="Calibri" w:cs="Calibri"/>
                <w:color w:val="000000"/>
              </w:rPr>
              <w:t>6</w:t>
            </w:r>
          </w:p>
        </w:tc>
        <w:tc>
          <w:tcPr>
            <w:tcW w:w="1843" w:type="dxa"/>
            <w:tcBorders>
              <w:top w:val="nil"/>
              <w:left w:val="nil"/>
              <w:bottom w:val="nil"/>
              <w:right w:val="nil"/>
            </w:tcBorders>
            <w:shd w:val="clear" w:color="auto" w:fill="auto"/>
            <w:noWrap/>
            <w:vAlign w:val="center"/>
            <w:hideMark/>
          </w:tcPr>
          <w:p w:rsidR="00AA75EE" w:rsidRPr="00AA75EE" w:rsidRDefault="00AA75EE" w:rsidP="00AA75EE">
            <w:pPr>
              <w:spacing w:after="0" w:line="240" w:lineRule="auto"/>
              <w:jc w:val="center"/>
              <w:rPr>
                <w:rFonts w:ascii="Calibri" w:eastAsia="Times New Roman" w:hAnsi="Calibri" w:cs="Calibri"/>
                <w:color w:val="000000"/>
              </w:rPr>
            </w:pPr>
            <w:r w:rsidRPr="00AA75EE">
              <w:rPr>
                <w:rFonts w:ascii="Calibri" w:eastAsia="Times New Roman" w:hAnsi="Calibri" w:cs="Calibri"/>
                <w:color w:val="000000"/>
              </w:rPr>
              <w:t>CBD Classic</w:t>
            </w:r>
          </w:p>
        </w:tc>
        <w:tc>
          <w:tcPr>
            <w:tcW w:w="1417" w:type="dxa"/>
            <w:tcBorders>
              <w:top w:val="nil"/>
              <w:left w:val="nil"/>
              <w:bottom w:val="nil"/>
              <w:right w:val="nil"/>
            </w:tcBorders>
            <w:shd w:val="clear" w:color="auto" w:fill="auto"/>
            <w:noWrap/>
            <w:vAlign w:val="center"/>
            <w:hideMark/>
          </w:tcPr>
          <w:p w:rsidR="00AA75EE" w:rsidRPr="00AA75EE" w:rsidRDefault="00AA75EE" w:rsidP="00AA75EE">
            <w:pPr>
              <w:spacing w:after="0" w:line="240" w:lineRule="auto"/>
              <w:jc w:val="center"/>
              <w:rPr>
                <w:rFonts w:ascii="Calibri" w:eastAsia="Times New Roman" w:hAnsi="Calibri" w:cs="Calibri"/>
                <w:color w:val="000000"/>
              </w:rPr>
            </w:pPr>
            <w:r w:rsidRPr="00AA75EE">
              <w:rPr>
                <w:rFonts w:ascii="Calibri" w:eastAsia="Times New Roman" w:hAnsi="Calibri" w:cs="Calibri"/>
                <w:color w:val="000000"/>
              </w:rPr>
              <w:t>CANOIL</w:t>
            </w:r>
          </w:p>
        </w:tc>
        <w:tc>
          <w:tcPr>
            <w:tcW w:w="4820" w:type="dxa"/>
            <w:tcBorders>
              <w:top w:val="nil"/>
              <w:left w:val="nil"/>
              <w:bottom w:val="nil"/>
              <w:right w:val="nil"/>
            </w:tcBorders>
            <w:shd w:val="clear" w:color="auto" w:fill="auto"/>
            <w:noWrap/>
            <w:vAlign w:val="center"/>
            <w:hideMark/>
          </w:tcPr>
          <w:p w:rsidR="00AA75EE" w:rsidRPr="00DF7840" w:rsidRDefault="00AA75EE" w:rsidP="00AA75EE">
            <w:pPr>
              <w:spacing w:after="0" w:line="240" w:lineRule="auto"/>
              <w:jc w:val="center"/>
              <w:rPr>
                <w:rFonts w:ascii="Calibri" w:eastAsia="Times New Roman" w:hAnsi="Calibri" w:cs="Calibri"/>
                <w:color w:val="000000"/>
                <w:lang w:val="nl-NL"/>
              </w:rPr>
            </w:pPr>
            <w:r w:rsidRPr="00DF7840">
              <w:rPr>
                <w:rFonts w:ascii="Calibri" w:eastAsia="Times New Roman" w:hAnsi="Calibri" w:cs="Calibri"/>
                <w:color w:val="000000"/>
                <w:lang w:val="nl-NL"/>
              </w:rPr>
              <w:t xml:space="preserve"> 50 mg VG 50</w:t>
            </w:r>
            <w:r w:rsidR="00ED6949">
              <w:rPr>
                <w:rFonts w:ascii="Calibri" w:eastAsia="Times New Roman" w:hAnsi="Calibri" w:cs="Calibri"/>
                <w:color w:val="000000"/>
                <w:lang w:val="nl-NL"/>
              </w:rPr>
              <w:t xml:space="preserve"> </w:t>
            </w:r>
            <w:r w:rsidRPr="00DF7840">
              <w:rPr>
                <w:rFonts w:ascii="Calibri" w:eastAsia="Times New Roman" w:hAnsi="Calibri" w:cs="Calibri"/>
                <w:color w:val="000000"/>
                <w:lang w:val="nl-NL"/>
              </w:rPr>
              <w:t>%/PG 50</w:t>
            </w:r>
            <w:r w:rsidR="00ED6949">
              <w:rPr>
                <w:rFonts w:ascii="Calibri" w:eastAsia="Times New Roman" w:hAnsi="Calibri" w:cs="Calibri"/>
                <w:color w:val="000000"/>
                <w:lang w:val="nl-NL"/>
              </w:rPr>
              <w:t xml:space="preserve"> </w:t>
            </w:r>
            <w:r w:rsidRPr="00DF7840">
              <w:rPr>
                <w:rFonts w:ascii="Calibri" w:eastAsia="Times New Roman" w:hAnsi="Calibri" w:cs="Calibri"/>
                <w:color w:val="000000"/>
                <w:lang w:val="nl-NL"/>
              </w:rPr>
              <w:t>% Sativa kruiden extract</w:t>
            </w:r>
          </w:p>
        </w:tc>
      </w:tr>
      <w:tr w:rsidR="00AA75EE" w:rsidRPr="002E375B" w:rsidTr="00EF4C54">
        <w:trPr>
          <w:trHeight w:val="300"/>
        </w:trPr>
        <w:tc>
          <w:tcPr>
            <w:tcW w:w="1276" w:type="dxa"/>
            <w:tcBorders>
              <w:top w:val="nil"/>
              <w:left w:val="nil"/>
              <w:bottom w:val="single" w:sz="4" w:space="0" w:color="auto"/>
              <w:right w:val="nil"/>
            </w:tcBorders>
            <w:shd w:val="clear" w:color="auto" w:fill="auto"/>
            <w:noWrap/>
            <w:vAlign w:val="center"/>
            <w:hideMark/>
          </w:tcPr>
          <w:p w:rsidR="00AA75EE" w:rsidRPr="00AA75EE" w:rsidRDefault="00AA75EE" w:rsidP="00AA75EE">
            <w:pPr>
              <w:spacing w:after="0" w:line="240" w:lineRule="auto"/>
              <w:jc w:val="center"/>
              <w:rPr>
                <w:rFonts w:ascii="Calibri" w:eastAsia="Times New Roman" w:hAnsi="Calibri" w:cs="Calibri"/>
                <w:color w:val="000000"/>
              </w:rPr>
            </w:pPr>
            <w:r w:rsidRPr="00AA75EE">
              <w:rPr>
                <w:rFonts w:ascii="Calibri" w:eastAsia="Times New Roman" w:hAnsi="Calibri" w:cs="Calibri"/>
                <w:color w:val="000000"/>
              </w:rPr>
              <w:t>7</w:t>
            </w:r>
          </w:p>
        </w:tc>
        <w:tc>
          <w:tcPr>
            <w:tcW w:w="1843" w:type="dxa"/>
            <w:tcBorders>
              <w:top w:val="nil"/>
              <w:left w:val="nil"/>
              <w:bottom w:val="single" w:sz="4" w:space="0" w:color="auto"/>
              <w:right w:val="nil"/>
            </w:tcBorders>
            <w:shd w:val="clear" w:color="auto" w:fill="auto"/>
            <w:noWrap/>
            <w:vAlign w:val="center"/>
            <w:hideMark/>
          </w:tcPr>
          <w:p w:rsidR="00AA75EE" w:rsidRPr="00AA75EE" w:rsidRDefault="00AA75EE" w:rsidP="00AA75EE">
            <w:pPr>
              <w:spacing w:after="0" w:line="240" w:lineRule="auto"/>
              <w:jc w:val="center"/>
              <w:rPr>
                <w:rFonts w:ascii="Calibri" w:eastAsia="Times New Roman" w:hAnsi="Calibri" w:cs="Calibri"/>
                <w:color w:val="000000"/>
              </w:rPr>
            </w:pPr>
            <w:r w:rsidRPr="00AA75EE">
              <w:rPr>
                <w:rFonts w:ascii="Calibri" w:eastAsia="Times New Roman" w:hAnsi="Calibri" w:cs="Calibri"/>
                <w:color w:val="000000"/>
              </w:rPr>
              <w:t>CBD Fruitmix</w:t>
            </w:r>
          </w:p>
        </w:tc>
        <w:tc>
          <w:tcPr>
            <w:tcW w:w="1417" w:type="dxa"/>
            <w:tcBorders>
              <w:top w:val="nil"/>
              <w:left w:val="nil"/>
              <w:bottom w:val="single" w:sz="4" w:space="0" w:color="auto"/>
              <w:right w:val="nil"/>
            </w:tcBorders>
            <w:shd w:val="clear" w:color="auto" w:fill="auto"/>
            <w:noWrap/>
            <w:vAlign w:val="center"/>
            <w:hideMark/>
          </w:tcPr>
          <w:p w:rsidR="00AA75EE" w:rsidRPr="00AA75EE" w:rsidRDefault="00AA75EE" w:rsidP="00AA75EE">
            <w:pPr>
              <w:spacing w:after="0" w:line="240" w:lineRule="auto"/>
              <w:jc w:val="center"/>
              <w:rPr>
                <w:rFonts w:ascii="Calibri" w:eastAsia="Times New Roman" w:hAnsi="Calibri" w:cs="Calibri"/>
                <w:color w:val="000000"/>
              </w:rPr>
            </w:pPr>
            <w:r w:rsidRPr="00AA75EE">
              <w:rPr>
                <w:rFonts w:ascii="Calibri" w:eastAsia="Times New Roman" w:hAnsi="Calibri" w:cs="Calibri"/>
                <w:color w:val="000000"/>
              </w:rPr>
              <w:t>CANOIL</w:t>
            </w:r>
          </w:p>
        </w:tc>
        <w:tc>
          <w:tcPr>
            <w:tcW w:w="4820" w:type="dxa"/>
            <w:tcBorders>
              <w:top w:val="nil"/>
              <w:left w:val="nil"/>
              <w:bottom w:val="single" w:sz="4" w:space="0" w:color="auto"/>
              <w:right w:val="nil"/>
            </w:tcBorders>
            <w:shd w:val="clear" w:color="auto" w:fill="auto"/>
            <w:noWrap/>
            <w:vAlign w:val="center"/>
            <w:hideMark/>
          </w:tcPr>
          <w:p w:rsidR="00AA75EE" w:rsidRPr="00DF7840" w:rsidRDefault="00AA75EE" w:rsidP="00AA75EE">
            <w:pPr>
              <w:spacing w:after="0" w:line="240" w:lineRule="auto"/>
              <w:jc w:val="center"/>
              <w:rPr>
                <w:rFonts w:ascii="Calibri" w:eastAsia="Times New Roman" w:hAnsi="Calibri" w:cs="Calibri"/>
                <w:color w:val="000000"/>
                <w:lang w:val="nl-NL"/>
              </w:rPr>
            </w:pPr>
            <w:r w:rsidRPr="00DF7840">
              <w:rPr>
                <w:rFonts w:ascii="Calibri" w:eastAsia="Times New Roman" w:hAnsi="Calibri" w:cs="Calibri"/>
                <w:color w:val="000000"/>
                <w:lang w:val="nl-NL"/>
              </w:rPr>
              <w:t>50 mg VG 50</w:t>
            </w:r>
            <w:r w:rsidR="00ED6949">
              <w:rPr>
                <w:rFonts w:ascii="Calibri" w:eastAsia="Times New Roman" w:hAnsi="Calibri" w:cs="Calibri"/>
                <w:color w:val="000000"/>
                <w:lang w:val="nl-NL"/>
              </w:rPr>
              <w:t xml:space="preserve"> </w:t>
            </w:r>
            <w:r w:rsidRPr="00DF7840">
              <w:rPr>
                <w:rFonts w:ascii="Calibri" w:eastAsia="Times New Roman" w:hAnsi="Calibri" w:cs="Calibri"/>
                <w:color w:val="000000"/>
                <w:lang w:val="nl-NL"/>
              </w:rPr>
              <w:t>%/PG 50</w:t>
            </w:r>
            <w:r w:rsidR="00ED6949">
              <w:rPr>
                <w:rFonts w:ascii="Calibri" w:eastAsia="Times New Roman" w:hAnsi="Calibri" w:cs="Calibri"/>
                <w:color w:val="000000"/>
                <w:lang w:val="nl-NL"/>
              </w:rPr>
              <w:t xml:space="preserve"> </w:t>
            </w:r>
            <w:r w:rsidRPr="00DF7840">
              <w:rPr>
                <w:rFonts w:ascii="Calibri" w:eastAsia="Times New Roman" w:hAnsi="Calibri" w:cs="Calibri"/>
                <w:color w:val="000000"/>
                <w:lang w:val="nl-NL"/>
              </w:rPr>
              <w:t>% Melkzuur, Triacetine</w:t>
            </w:r>
          </w:p>
        </w:tc>
      </w:tr>
    </w:tbl>
    <w:p w:rsidR="00BE4A9F" w:rsidRPr="00DF7840" w:rsidRDefault="00BE4A9F">
      <w:pPr>
        <w:rPr>
          <w:lang w:val="nl-NL"/>
        </w:rPr>
      </w:pPr>
    </w:p>
    <w:p w:rsidR="001524B7" w:rsidRDefault="00B33F70">
      <w:r>
        <w:t xml:space="preserve">Appendix 3. </w:t>
      </w:r>
      <w:r w:rsidR="00F93230">
        <w:t>Instrument parameter information for HS-GC-FID method f</w:t>
      </w:r>
      <w:r w:rsidR="006E7D1F">
        <w:t>or quantification of ethan</w:t>
      </w:r>
      <w:r w:rsidR="00F93230">
        <w:t xml:space="preserve">ol from e-liquids. </w:t>
      </w:r>
    </w:p>
    <w:p w:rsidR="00666831" w:rsidRDefault="00666831" w:rsidP="00666831">
      <w:pPr>
        <w:pStyle w:val="Caption"/>
      </w:pPr>
      <w:r>
        <w:t xml:space="preserve">Table </w:t>
      </w:r>
      <w:r w:rsidR="002E375B">
        <w:fldChar w:fldCharType="begin"/>
      </w:r>
      <w:r w:rsidR="002E375B">
        <w:instrText xml:space="preserve"> SEQ Table \* ARABIC </w:instrText>
      </w:r>
      <w:r w:rsidR="002E375B">
        <w:fldChar w:fldCharType="separate"/>
      </w:r>
      <w:r w:rsidR="00715BEF">
        <w:rPr>
          <w:noProof/>
        </w:rPr>
        <w:t>4</w:t>
      </w:r>
      <w:r w:rsidR="002E375B">
        <w:rPr>
          <w:noProof/>
        </w:rPr>
        <w:fldChar w:fldCharType="end"/>
      </w:r>
      <w:r>
        <w:t xml:space="preserve"> Headspace-GC-FID instrument parameters for ethanol quantification from e-liquid samples.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8"/>
        <w:gridCol w:w="4498"/>
      </w:tblGrid>
      <w:tr w:rsidR="00F93230" w:rsidRPr="0013726F" w:rsidTr="00637E31">
        <w:tc>
          <w:tcPr>
            <w:tcW w:w="4814" w:type="dxa"/>
            <w:tcBorders>
              <w:top w:val="single" w:sz="4" w:space="0" w:color="auto"/>
              <w:bottom w:val="thinThickThinSmallGap" w:sz="24" w:space="0" w:color="auto"/>
            </w:tcBorders>
            <w:shd w:val="clear" w:color="auto" w:fill="DBE5F1" w:themeFill="accent1" w:themeFillTint="33"/>
          </w:tcPr>
          <w:p w:rsidR="00F93230" w:rsidRPr="00F93230" w:rsidRDefault="00F93230" w:rsidP="00F93230">
            <w:pPr>
              <w:jc w:val="center"/>
              <w:rPr>
                <w:b/>
              </w:rPr>
            </w:pPr>
            <w:r w:rsidRPr="00F93230">
              <w:rPr>
                <w:b/>
              </w:rPr>
              <w:t>Parameter</w:t>
            </w:r>
          </w:p>
        </w:tc>
        <w:tc>
          <w:tcPr>
            <w:tcW w:w="4814" w:type="dxa"/>
            <w:tcBorders>
              <w:top w:val="single" w:sz="4" w:space="0" w:color="auto"/>
              <w:bottom w:val="thinThickThinSmallGap" w:sz="24" w:space="0" w:color="auto"/>
            </w:tcBorders>
            <w:shd w:val="clear" w:color="auto" w:fill="DBE5F1" w:themeFill="accent1" w:themeFillTint="33"/>
          </w:tcPr>
          <w:p w:rsidR="00F93230" w:rsidRPr="00F93230" w:rsidRDefault="00F93230" w:rsidP="00F93230">
            <w:pPr>
              <w:jc w:val="center"/>
              <w:rPr>
                <w:b/>
              </w:rPr>
            </w:pPr>
            <w:r w:rsidRPr="00F93230">
              <w:rPr>
                <w:b/>
              </w:rPr>
              <w:t>Value</w:t>
            </w:r>
          </w:p>
        </w:tc>
      </w:tr>
      <w:tr w:rsidR="00F93230" w:rsidRPr="0013726F" w:rsidTr="00F93230">
        <w:tc>
          <w:tcPr>
            <w:tcW w:w="4814" w:type="dxa"/>
            <w:tcBorders>
              <w:top w:val="thinThickThinSmallGap" w:sz="24" w:space="0" w:color="auto"/>
              <w:bottom w:val="single" w:sz="4" w:space="0" w:color="auto"/>
            </w:tcBorders>
          </w:tcPr>
          <w:p w:rsidR="00F93230" w:rsidRPr="0013726F" w:rsidRDefault="00F93230" w:rsidP="00F93230">
            <w:pPr>
              <w:jc w:val="center"/>
            </w:pPr>
            <w:r w:rsidRPr="0013726F">
              <w:t>Incubation temperature (</w:t>
            </w:r>
            <w:r w:rsidRPr="0013726F">
              <w:rPr>
                <w:rFonts w:cstheme="minorHAnsi"/>
              </w:rPr>
              <w:t>°C)</w:t>
            </w:r>
          </w:p>
        </w:tc>
        <w:tc>
          <w:tcPr>
            <w:tcW w:w="4814" w:type="dxa"/>
            <w:tcBorders>
              <w:top w:val="thinThickThinSmallGap" w:sz="24" w:space="0" w:color="auto"/>
              <w:bottom w:val="single" w:sz="4" w:space="0" w:color="auto"/>
            </w:tcBorders>
          </w:tcPr>
          <w:p w:rsidR="00F93230" w:rsidRPr="0013726F" w:rsidRDefault="00F93230" w:rsidP="00F93230">
            <w:pPr>
              <w:jc w:val="center"/>
            </w:pPr>
            <w:r w:rsidRPr="0013726F">
              <w:t>90</w:t>
            </w:r>
          </w:p>
        </w:tc>
      </w:tr>
      <w:tr w:rsidR="00F93230" w:rsidRPr="0013726F" w:rsidTr="00F93230">
        <w:tc>
          <w:tcPr>
            <w:tcW w:w="4814" w:type="dxa"/>
            <w:tcBorders>
              <w:top w:val="single" w:sz="4" w:space="0" w:color="auto"/>
              <w:bottom w:val="single" w:sz="4" w:space="0" w:color="auto"/>
            </w:tcBorders>
          </w:tcPr>
          <w:p w:rsidR="00F93230" w:rsidRPr="0013726F" w:rsidRDefault="00F93230" w:rsidP="00F93230">
            <w:pPr>
              <w:jc w:val="center"/>
            </w:pPr>
            <w:r w:rsidRPr="0013726F">
              <w:t>Incubation time (s)</w:t>
            </w:r>
          </w:p>
        </w:tc>
        <w:tc>
          <w:tcPr>
            <w:tcW w:w="4814" w:type="dxa"/>
            <w:tcBorders>
              <w:top w:val="single" w:sz="4" w:space="0" w:color="auto"/>
              <w:bottom w:val="single" w:sz="4" w:space="0" w:color="auto"/>
            </w:tcBorders>
          </w:tcPr>
          <w:p w:rsidR="00F93230" w:rsidRPr="0013726F" w:rsidRDefault="00F93230" w:rsidP="00F93230">
            <w:pPr>
              <w:jc w:val="center"/>
            </w:pPr>
            <w:r w:rsidRPr="0013726F">
              <w:t>600</w:t>
            </w:r>
          </w:p>
        </w:tc>
      </w:tr>
      <w:tr w:rsidR="00F93230" w:rsidRPr="0013726F" w:rsidTr="00F93230">
        <w:tc>
          <w:tcPr>
            <w:tcW w:w="4814" w:type="dxa"/>
            <w:tcBorders>
              <w:top w:val="single" w:sz="4" w:space="0" w:color="auto"/>
              <w:bottom w:val="single" w:sz="4" w:space="0" w:color="auto"/>
            </w:tcBorders>
          </w:tcPr>
          <w:p w:rsidR="00F93230" w:rsidRPr="0013726F" w:rsidRDefault="00F93230" w:rsidP="00F93230">
            <w:pPr>
              <w:jc w:val="center"/>
            </w:pPr>
            <w:r w:rsidRPr="0013726F">
              <w:t>Syringe temperature (</w:t>
            </w:r>
            <w:r w:rsidRPr="0013726F">
              <w:rPr>
                <w:rFonts w:cstheme="minorHAnsi"/>
              </w:rPr>
              <w:t>°</w:t>
            </w:r>
            <w:r w:rsidRPr="0013726F">
              <w:t>C)</w:t>
            </w:r>
          </w:p>
        </w:tc>
        <w:tc>
          <w:tcPr>
            <w:tcW w:w="4814" w:type="dxa"/>
            <w:tcBorders>
              <w:top w:val="single" w:sz="4" w:space="0" w:color="auto"/>
              <w:bottom w:val="single" w:sz="4" w:space="0" w:color="auto"/>
            </w:tcBorders>
          </w:tcPr>
          <w:p w:rsidR="00F93230" w:rsidRPr="0013726F" w:rsidRDefault="00F93230" w:rsidP="00F93230">
            <w:pPr>
              <w:jc w:val="center"/>
            </w:pPr>
            <w:r w:rsidRPr="0013726F">
              <w:t>75</w:t>
            </w:r>
          </w:p>
        </w:tc>
      </w:tr>
      <w:tr w:rsidR="00F93230" w:rsidRPr="0013726F" w:rsidTr="00F93230">
        <w:tc>
          <w:tcPr>
            <w:tcW w:w="4814" w:type="dxa"/>
            <w:tcBorders>
              <w:top w:val="single" w:sz="4" w:space="0" w:color="auto"/>
              <w:bottom w:val="single" w:sz="4" w:space="0" w:color="auto"/>
            </w:tcBorders>
          </w:tcPr>
          <w:p w:rsidR="00F93230" w:rsidRPr="0013726F" w:rsidRDefault="00F93230" w:rsidP="00F93230">
            <w:pPr>
              <w:jc w:val="center"/>
            </w:pPr>
            <w:r w:rsidRPr="0013726F">
              <w:t>Injection volume (µl)</w:t>
            </w:r>
          </w:p>
        </w:tc>
        <w:tc>
          <w:tcPr>
            <w:tcW w:w="4814" w:type="dxa"/>
            <w:tcBorders>
              <w:top w:val="single" w:sz="4" w:space="0" w:color="auto"/>
              <w:bottom w:val="single" w:sz="4" w:space="0" w:color="auto"/>
            </w:tcBorders>
          </w:tcPr>
          <w:p w:rsidR="00F93230" w:rsidRPr="0013726F" w:rsidRDefault="00F93230" w:rsidP="00F93230">
            <w:pPr>
              <w:jc w:val="center"/>
            </w:pPr>
            <w:r w:rsidRPr="0013726F">
              <w:t>250</w:t>
            </w:r>
          </w:p>
        </w:tc>
      </w:tr>
      <w:tr w:rsidR="00F93230" w:rsidRPr="0013726F" w:rsidTr="00F93230">
        <w:tc>
          <w:tcPr>
            <w:tcW w:w="4814" w:type="dxa"/>
            <w:tcBorders>
              <w:top w:val="single" w:sz="4" w:space="0" w:color="auto"/>
              <w:bottom w:val="single" w:sz="4" w:space="0" w:color="auto"/>
            </w:tcBorders>
          </w:tcPr>
          <w:p w:rsidR="00F93230" w:rsidRPr="0013726F" w:rsidRDefault="00F93230" w:rsidP="00F93230">
            <w:pPr>
              <w:jc w:val="center"/>
            </w:pPr>
            <w:r w:rsidRPr="0013726F">
              <w:t>Inlet temperature (°C)</w:t>
            </w:r>
          </w:p>
        </w:tc>
        <w:tc>
          <w:tcPr>
            <w:tcW w:w="4814" w:type="dxa"/>
            <w:tcBorders>
              <w:top w:val="single" w:sz="4" w:space="0" w:color="auto"/>
              <w:bottom w:val="single" w:sz="4" w:space="0" w:color="auto"/>
            </w:tcBorders>
          </w:tcPr>
          <w:p w:rsidR="00F93230" w:rsidRPr="0013726F" w:rsidRDefault="00F93230" w:rsidP="00F93230">
            <w:pPr>
              <w:jc w:val="center"/>
            </w:pPr>
            <w:r w:rsidRPr="0013726F">
              <w:t>280</w:t>
            </w:r>
          </w:p>
        </w:tc>
      </w:tr>
      <w:tr w:rsidR="00F93230" w:rsidRPr="0013726F" w:rsidTr="00F93230">
        <w:tc>
          <w:tcPr>
            <w:tcW w:w="4814" w:type="dxa"/>
            <w:tcBorders>
              <w:top w:val="single" w:sz="4" w:space="0" w:color="auto"/>
              <w:bottom w:val="single" w:sz="4" w:space="0" w:color="auto"/>
            </w:tcBorders>
          </w:tcPr>
          <w:p w:rsidR="00F93230" w:rsidRPr="0013726F" w:rsidRDefault="00F93230" w:rsidP="00F93230">
            <w:pPr>
              <w:jc w:val="center"/>
            </w:pPr>
            <w:r w:rsidRPr="0013726F">
              <w:t>Split ratio</w:t>
            </w:r>
          </w:p>
        </w:tc>
        <w:tc>
          <w:tcPr>
            <w:tcW w:w="4814" w:type="dxa"/>
            <w:tcBorders>
              <w:top w:val="single" w:sz="4" w:space="0" w:color="auto"/>
              <w:bottom w:val="single" w:sz="4" w:space="0" w:color="auto"/>
            </w:tcBorders>
          </w:tcPr>
          <w:p w:rsidR="00F93230" w:rsidRPr="0013726F" w:rsidRDefault="00F93230" w:rsidP="00F93230">
            <w:pPr>
              <w:jc w:val="center"/>
            </w:pPr>
            <w:r w:rsidRPr="0013726F">
              <w:t>1:40</w:t>
            </w:r>
          </w:p>
        </w:tc>
      </w:tr>
      <w:tr w:rsidR="00F93230" w:rsidRPr="0013726F" w:rsidTr="00F93230">
        <w:tc>
          <w:tcPr>
            <w:tcW w:w="4814" w:type="dxa"/>
            <w:tcBorders>
              <w:top w:val="single" w:sz="4" w:space="0" w:color="auto"/>
              <w:bottom w:val="single" w:sz="4" w:space="0" w:color="auto"/>
            </w:tcBorders>
          </w:tcPr>
          <w:p w:rsidR="00F93230" w:rsidRPr="0013726F" w:rsidRDefault="00074309" w:rsidP="00F93230">
            <w:pPr>
              <w:jc w:val="center"/>
            </w:pPr>
            <w:r>
              <w:t>Split flow (mL</w:t>
            </w:r>
            <w:r w:rsidR="00F93230" w:rsidRPr="0013726F">
              <w:t>/min)</w:t>
            </w:r>
          </w:p>
        </w:tc>
        <w:tc>
          <w:tcPr>
            <w:tcW w:w="4814" w:type="dxa"/>
            <w:tcBorders>
              <w:top w:val="single" w:sz="4" w:space="0" w:color="auto"/>
              <w:bottom w:val="single" w:sz="4" w:space="0" w:color="auto"/>
            </w:tcBorders>
          </w:tcPr>
          <w:p w:rsidR="00F93230" w:rsidRPr="0013726F" w:rsidRDefault="00F93230" w:rsidP="00F93230">
            <w:pPr>
              <w:jc w:val="center"/>
            </w:pPr>
            <w:r w:rsidRPr="0013726F">
              <w:t>75.76</w:t>
            </w:r>
          </w:p>
        </w:tc>
      </w:tr>
      <w:tr w:rsidR="000604F0" w:rsidRPr="0013726F" w:rsidTr="00F93230">
        <w:tc>
          <w:tcPr>
            <w:tcW w:w="4814" w:type="dxa"/>
            <w:tcBorders>
              <w:top w:val="single" w:sz="4" w:space="0" w:color="auto"/>
              <w:bottom w:val="single" w:sz="4" w:space="0" w:color="auto"/>
            </w:tcBorders>
          </w:tcPr>
          <w:p w:rsidR="000604F0" w:rsidRPr="0013726F" w:rsidRDefault="000604F0" w:rsidP="00F93230">
            <w:pPr>
              <w:jc w:val="center"/>
            </w:pPr>
            <w:r>
              <w:t>Carrier gas</w:t>
            </w:r>
          </w:p>
        </w:tc>
        <w:tc>
          <w:tcPr>
            <w:tcW w:w="4814" w:type="dxa"/>
            <w:tcBorders>
              <w:top w:val="single" w:sz="4" w:space="0" w:color="auto"/>
              <w:bottom w:val="single" w:sz="4" w:space="0" w:color="auto"/>
            </w:tcBorders>
          </w:tcPr>
          <w:p w:rsidR="000604F0" w:rsidRPr="0013726F" w:rsidRDefault="000604F0" w:rsidP="00F93230">
            <w:pPr>
              <w:jc w:val="center"/>
            </w:pPr>
            <w:r>
              <w:t>Helium</w:t>
            </w:r>
          </w:p>
        </w:tc>
      </w:tr>
      <w:tr w:rsidR="00F93230" w:rsidRPr="0013726F" w:rsidTr="00F93230">
        <w:tc>
          <w:tcPr>
            <w:tcW w:w="4814" w:type="dxa"/>
            <w:tcBorders>
              <w:top w:val="single" w:sz="4" w:space="0" w:color="auto"/>
              <w:bottom w:val="single" w:sz="4" w:space="0" w:color="auto"/>
            </w:tcBorders>
          </w:tcPr>
          <w:p w:rsidR="00F93230" w:rsidRPr="0013726F" w:rsidRDefault="00F93230" w:rsidP="00F93230">
            <w:pPr>
              <w:jc w:val="center"/>
            </w:pPr>
            <w:r w:rsidRPr="0013726F">
              <w:t>Gas saver on after (min)</w:t>
            </w:r>
          </w:p>
        </w:tc>
        <w:tc>
          <w:tcPr>
            <w:tcW w:w="4814" w:type="dxa"/>
            <w:tcBorders>
              <w:top w:val="single" w:sz="4" w:space="0" w:color="auto"/>
              <w:bottom w:val="single" w:sz="4" w:space="0" w:color="auto"/>
            </w:tcBorders>
          </w:tcPr>
          <w:p w:rsidR="00F93230" w:rsidRPr="0013726F" w:rsidRDefault="00F93230" w:rsidP="00F93230">
            <w:pPr>
              <w:jc w:val="center"/>
            </w:pPr>
            <w:r w:rsidRPr="0013726F">
              <w:t>3</w:t>
            </w:r>
          </w:p>
        </w:tc>
      </w:tr>
      <w:tr w:rsidR="00F93230" w:rsidRPr="0013726F" w:rsidTr="00F93230">
        <w:tc>
          <w:tcPr>
            <w:tcW w:w="4814" w:type="dxa"/>
            <w:tcBorders>
              <w:top w:val="single" w:sz="4" w:space="0" w:color="auto"/>
              <w:bottom w:val="single" w:sz="4" w:space="0" w:color="auto"/>
            </w:tcBorders>
          </w:tcPr>
          <w:p w:rsidR="00F93230" w:rsidRPr="0013726F" w:rsidRDefault="00074309" w:rsidP="00F93230">
            <w:pPr>
              <w:jc w:val="center"/>
            </w:pPr>
            <w:r>
              <w:t>Septum purge (mL</w:t>
            </w:r>
            <w:r w:rsidR="00F93230" w:rsidRPr="0013726F">
              <w:t>/min)</w:t>
            </w:r>
          </w:p>
        </w:tc>
        <w:tc>
          <w:tcPr>
            <w:tcW w:w="4814" w:type="dxa"/>
            <w:tcBorders>
              <w:top w:val="single" w:sz="4" w:space="0" w:color="auto"/>
              <w:bottom w:val="single" w:sz="4" w:space="0" w:color="auto"/>
            </w:tcBorders>
          </w:tcPr>
          <w:p w:rsidR="00F93230" w:rsidRPr="0013726F" w:rsidRDefault="00F93230" w:rsidP="00F93230">
            <w:pPr>
              <w:jc w:val="center"/>
            </w:pPr>
            <w:r w:rsidRPr="0013726F">
              <w:t>3</w:t>
            </w:r>
          </w:p>
        </w:tc>
      </w:tr>
      <w:tr w:rsidR="00F93230" w:rsidRPr="0013726F" w:rsidTr="00F93230">
        <w:tc>
          <w:tcPr>
            <w:tcW w:w="4814" w:type="dxa"/>
            <w:tcBorders>
              <w:top w:val="single" w:sz="4" w:space="0" w:color="auto"/>
              <w:bottom w:val="single" w:sz="4" w:space="0" w:color="auto"/>
            </w:tcBorders>
          </w:tcPr>
          <w:p w:rsidR="00F93230" w:rsidRPr="0013726F" w:rsidRDefault="00074309" w:rsidP="00F93230">
            <w:pPr>
              <w:jc w:val="center"/>
            </w:pPr>
            <w:r>
              <w:t>Flow (mL</w:t>
            </w:r>
            <w:r w:rsidR="00F93230" w:rsidRPr="0013726F">
              <w:t xml:space="preserve">/min at 50 </w:t>
            </w:r>
            <w:r w:rsidR="00F93230" w:rsidRPr="0013726F">
              <w:rPr>
                <w:rFonts w:cstheme="minorHAnsi"/>
              </w:rPr>
              <w:t>°</w:t>
            </w:r>
            <w:r w:rsidR="00F93230" w:rsidRPr="0013726F">
              <w:t>C)</w:t>
            </w:r>
          </w:p>
        </w:tc>
        <w:tc>
          <w:tcPr>
            <w:tcW w:w="4814" w:type="dxa"/>
            <w:tcBorders>
              <w:top w:val="single" w:sz="4" w:space="0" w:color="auto"/>
              <w:bottom w:val="single" w:sz="4" w:space="0" w:color="auto"/>
            </w:tcBorders>
          </w:tcPr>
          <w:p w:rsidR="00F93230" w:rsidRPr="0013726F" w:rsidRDefault="00F93230" w:rsidP="00F93230">
            <w:pPr>
              <w:jc w:val="center"/>
            </w:pPr>
            <w:r w:rsidRPr="0013726F">
              <w:t>1.894</w:t>
            </w:r>
          </w:p>
        </w:tc>
      </w:tr>
      <w:tr w:rsidR="00F93230" w:rsidRPr="0013726F" w:rsidTr="00F93230">
        <w:tc>
          <w:tcPr>
            <w:tcW w:w="4814" w:type="dxa"/>
            <w:tcBorders>
              <w:top w:val="single" w:sz="4" w:space="0" w:color="auto"/>
              <w:bottom w:val="single" w:sz="4" w:space="0" w:color="auto"/>
            </w:tcBorders>
          </w:tcPr>
          <w:p w:rsidR="00F93230" w:rsidRPr="0013726F" w:rsidRDefault="00F93230" w:rsidP="00F93230">
            <w:pPr>
              <w:jc w:val="center"/>
            </w:pPr>
            <w:r w:rsidRPr="0013726F">
              <w:t>Pressure (bar)</w:t>
            </w:r>
          </w:p>
        </w:tc>
        <w:tc>
          <w:tcPr>
            <w:tcW w:w="4814" w:type="dxa"/>
            <w:tcBorders>
              <w:top w:val="single" w:sz="4" w:space="0" w:color="auto"/>
              <w:bottom w:val="single" w:sz="4" w:space="0" w:color="auto"/>
            </w:tcBorders>
          </w:tcPr>
          <w:p w:rsidR="00F93230" w:rsidRPr="0013726F" w:rsidRDefault="00F93230" w:rsidP="00F93230">
            <w:pPr>
              <w:jc w:val="center"/>
            </w:pPr>
            <w:r w:rsidRPr="0013726F">
              <w:t>1.3</w:t>
            </w:r>
          </w:p>
        </w:tc>
      </w:tr>
      <w:tr w:rsidR="00F93230" w:rsidRPr="0013726F" w:rsidTr="00F93230">
        <w:tc>
          <w:tcPr>
            <w:tcW w:w="4814" w:type="dxa"/>
            <w:tcBorders>
              <w:top w:val="single" w:sz="4" w:space="0" w:color="auto"/>
              <w:bottom w:val="single" w:sz="4" w:space="0" w:color="auto"/>
            </w:tcBorders>
          </w:tcPr>
          <w:p w:rsidR="00F93230" w:rsidRPr="0013726F" w:rsidRDefault="00F93230" w:rsidP="00F93230">
            <w:pPr>
              <w:jc w:val="center"/>
            </w:pPr>
            <w:r w:rsidRPr="0013726F">
              <w:t>Average velocity (cm/sec)</w:t>
            </w:r>
          </w:p>
        </w:tc>
        <w:tc>
          <w:tcPr>
            <w:tcW w:w="4814" w:type="dxa"/>
            <w:tcBorders>
              <w:top w:val="single" w:sz="4" w:space="0" w:color="auto"/>
              <w:bottom w:val="single" w:sz="4" w:space="0" w:color="auto"/>
            </w:tcBorders>
          </w:tcPr>
          <w:p w:rsidR="00F93230" w:rsidRPr="0013726F" w:rsidRDefault="00F93230" w:rsidP="00F93230">
            <w:pPr>
              <w:jc w:val="center"/>
            </w:pPr>
            <w:r w:rsidRPr="0013726F">
              <w:t>40,053</w:t>
            </w:r>
          </w:p>
        </w:tc>
      </w:tr>
      <w:tr w:rsidR="00F93230" w:rsidRPr="0013726F" w:rsidTr="00F93230">
        <w:tc>
          <w:tcPr>
            <w:tcW w:w="4814" w:type="dxa"/>
            <w:tcBorders>
              <w:top w:val="single" w:sz="4" w:space="0" w:color="auto"/>
              <w:bottom w:val="single" w:sz="4" w:space="0" w:color="auto"/>
            </w:tcBorders>
          </w:tcPr>
          <w:p w:rsidR="00F93230" w:rsidRPr="0013726F" w:rsidRDefault="00F93230" w:rsidP="00F93230">
            <w:pPr>
              <w:jc w:val="center"/>
            </w:pPr>
            <w:r w:rsidRPr="0013726F">
              <w:t>Pressure mode</w:t>
            </w:r>
          </w:p>
        </w:tc>
        <w:tc>
          <w:tcPr>
            <w:tcW w:w="4814" w:type="dxa"/>
            <w:tcBorders>
              <w:top w:val="single" w:sz="4" w:space="0" w:color="auto"/>
              <w:bottom w:val="single" w:sz="4" w:space="0" w:color="auto"/>
            </w:tcBorders>
          </w:tcPr>
          <w:p w:rsidR="00F93230" w:rsidRPr="0013726F" w:rsidRDefault="00F93230" w:rsidP="00F93230">
            <w:pPr>
              <w:jc w:val="center"/>
            </w:pPr>
            <w:r w:rsidRPr="0013726F">
              <w:t>Constant pressure</w:t>
            </w:r>
          </w:p>
        </w:tc>
      </w:tr>
      <w:tr w:rsidR="00F93230" w:rsidRPr="002E375B" w:rsidTr="00F93230">
        <w:tc>
          <w:tcPr>
            <w:tcW w:w="4814" w:type="dxa"/>
            <w:tcBorders>
              <w:top w:val="single" w:sz="4" w:space="0" w:color="auto"/>
              <w:bottom w:val="single" w:sz="4" w:space="0" w:color="auto"/>
            </w:tcBorders>
          </w:tcPr>
          <w:p w:rsidR="00F93230" w:rsidRPr="0013726F" w:rsidRDefault="00F93230" w:rsidP="00F93230">
            <w:pPr>
              <w:jc w:val="center"/>
            </w:pPr>
            <w:r w:rsidRPr="0013726F">
              <w:t>Column</w:t>
            </w:r>
          </w:p>
        </w:tc>
        <w:tc>
          <w:tcPr>
            <w:tcW w:w="4814" w:type="dxa"/>
            <w:tcBorders>
              <w:top w:val="single" w:sz="4" w:space="0" w:color="auto"/>
              <w:bottom w:val="single" w:sz="4" w:space="0" w:color="auto"/>
            </w:tcBorders>
          </w:tcPr>
          <w:p w:rsidR="00F93230" w:rsidRPr="00245115" w:rsidRDefault="00F93230" w:rsidP="00F93230">
            <w:pPr>
              <w:jc w:val="center"/>
              <w:rPr>
                <w:lang w:val="de-DE"/>
              </w:rPr>
            </w:pPr>
            <w:r w:rsidRPr="00245115">
              <w:rPr>
                <w:lang w:val="de-DE"/>
              </w:rPr>
              <w:t>VF-WAXms 30 m x 0.25 mm x 0.25 um</w:t>
            </w:r>
          </w:p>
        </w:tc>
      </w:tr>
      <w:tr w:rsidR="00F93230" w:rsidRPr="002E375B" w:rsidTr="00F93230">
        <w:tc>
          <w:tcPr>
            <w:tcW w:w="4814" w:type="dxa"/>
            <w:tcBorders>
              <w:top w:val="single" w:sz="4" w:space="0" w:color="auto"/>
              <w:bottom w:val="single" w:sz="4" w:space="0" w:color="auto"/>
            </w:tcBorders>
          </w:tcPr>
          <w:p w:rsidR="00F93230" w:rsidRPr="0013726F" w:rsidRDefault="00F93230" w:rsidP="00F93230">
            <w:pPr>
              <w:jc w:val="center"/>
            </w:pPr>
            <w:r w:rsidRPr="0013726F">
              <w:t>Oven temperature program</w:t>
            </w:r>
          </w:p>
        </w:tc>
        <w:tc>
          <w:tcPr>
            <w:tcW w:w="4814" w:type="dxa"/>
            <w:tcBorders>
              <w:top w:val="single" w:sz="4" w:space="0" w:color="auto"/>
              <w:bottom w:val="single" w:sz="4" w:space="0" w:color="auto"/>
            </w:tcBorders>
          </w:tcPr>
          <w:p w:rsidR="00F93230" w:rsidRPr="00245115" w:rsidRDefault="00F93230" w:rsidP="00F93230">
            <w:pPr>
              <w:jc w:val="center"/>
              <w:rPr>
                <w:lang w:val="fi-FI"/>
              </w:rPr>
            </w:pPr>
            <w:r w:rsidRPr="00245115">
              <w:rPr>
                <w:lang w:val="fi-FI"/>
              </w:rPr>
              <w:t>50 °C (0.5min), 35 °C/min --&gt; 210 °C(6min)</w:t>
            </w:r>
          </w:p>
        </w:tc>
      </w:tr>
      <w:tr w:rsidR="00F93230" w:rsidRPr="0013726F" w:rsidTr="00F93230">
        <w:tc>
          <w:tcPr>
            <w:tcW w:w="4814" w:type="dxa"/>
            <w:tcBorders>
              <w:top w:val="single" w:sz="4" w:space="0" w:color="auto"/>
              <w:bottom w:val="single" w:sz="4" w:space="0" w:color="auto"/>
            </w:tcBorders>
          </w:tcPr>
          <w:p w:rsidR="00F93230" w:rsidRPr="0013726F" w:rsidRDefault="00F93230" w:rsidP="00F93230">
            <w:pPr>
              <w:jc w:val="center"/>
            </w:pPr>
            <w:r w:rsidRPr="0013726F">
              <w:t>FID Temperature (°C)</w:t>
            </w:r>
          </w:p>
        </w:tc>
        <w:tc>
          <w:tcPr>
            <w:tcW w:w="4814" w:type="dxa"/>
            <w:tcBorders>
              <w:top w:val="single" w:sz="4" w:space="0" w:color="auto"/>
              <w:bottom w:val="single" w:sz="4" w:space="0" w:color="auto"/>
            </w:tcBorders>
          </w:tcPr>
          <w:p w:rsidR="00F93230" w:rsidRPr="0013726F" w:rsidRDefault="00F93230" w:rsidP="00F93230">
            <w:pPr>
              <w:jc w:val="center"/>
            </w:pPr>
            <w:r w:rsidRPr="0013726F">
              <w:t>300</w:t>
            </w:r>
          </w:p>
        </w:tc>
      </w:tr>
      <w:tr w:rsidR="00F93230" w:rsidRPr="0013726F" w:rsidTr="00F93230">
        <w:tc>
          <w:tcPr>
            <w:tcW w:w="4814" w:type="dxa"/>
            <w:tcBorders>
              <w:top w:val="single" w:sz="4" w:space="0" w:color="auto"/>
              <w:bottom w:val="single" w:sz="4" w:space="0" w:color="auto"/>
            </w:tcBorders>
          </w:tcPr>
          <w:p w:rsidR="00F93230" w:rsidRPr="0013726F" w:rsidRDefault="00074309" w:rsidP="00F93230">
            <w:pPr>
              <w:jc w:val="center"/>
            </w:pPr>
            <w:r>
              <w:t>Air flow (mL</w:t>
            </w:r>
            <w:r w:rsidR="00F93230" w:rsidRPr="0013726F">
              <w:t>/min)</w:t>
            </w:r>
          </w:p>
        </w:tc>
        <w:tc>
          <w:tcPr>
            <w:tcW w:w="4814" w:type="dxa"/>
            <w:tcBorders>
              <w:top w:val="single" w:sz="4" w:space="0" w:color="auto"/>
              <w:bottom w:val="single" w:sz="4" w:space="0" w:color="auto"/>
            </w:tcBorders>
          </w:tcPr>
          <w:p w:rsidR="00F93230" w:rsidRPr="0013726F" w:rsidRDefault="00F93230" w:rsidP="00F93230">
            <w:pPr>
              <w:jc w:val="center"/>
            </w:pPr>
            <w:r w:rsidRPr="0013726F">
              <w:t>400</w:t>
            </w:r>
          </w:p>
        </w:tc>
      </w:tr>
      <w:tr w:rsidR="00F93230" w:rsidRPr="0013726F" w:rsidTr="00F93230">
        <w:tc>
          <w:tcPr>
            <w:tcW w:w="4814" w:type="dxa"/>
            <w:tcBorders>
              <w:top w:val="single" w:sz="4" w:space="0" w:color="auto"/>
              <w:bottom w:val="single" w:sz="4" w:space="0" w:color="auto"/>
            </w:tcBorders>
          </w:tcPr>
          <w:p w:rsidR="00F93230" w:rsidRPr="0013726F" w:rsidRDefault="00074309" w:rsidP="00F93230">
            <w:pPr>
              <w:jc w:val="center"/>
            </w:pPr>
            <w:r>
              <w:t>H2 Fuel flow (mL</w:t>
            </w:r>
            <w:r w:rsidR="00F93230" w:rsidRPr="0013726F">
              <w:t>/min)</w:t>
            </w:r>
          </w:p>
        </w:tc>
        <w:tc>
          <w:tcPr>
            <w:tcW w:w="4814" w:type="dxa"/>
            <w:tcBorders>
              <w:top w:val="single" w:sz="4" w:space="0" w:color="auto"/>
              <w:bottom w:val="single" w:sz="4" w:space="0" w:color="auto"/>
            </w:tcBorders>
          </w:tcPr>
          <w:p w:rsidR="00F93230" w:rsidRPr="0013726F" w:rsidRDefault="00F93230" w:rsidP="00F93230">
            <w:pPr>
              <w:jc w:val="center"/>
            </w:pPr>
            <w:r w:rsidRPr="0013726F">
              <w:t>30</w:t>
            </w:r>
          </w:p>
        </w:tc>
      </w:tr>
      <w:tr w:rsidR="00F93230" w:rsidRPr="0013726F" w:rsidTr="00F93230">
        <w:tc>
          <w:tcPr>
            <w:tcW w:w="4814" w:type="dxa"/>
            <w:tcBorders>
              <w:top w:val="single" w:sz="4" w:space="0" w:color="auto"/>
              <w:bottom w:val="single" w:sz="4" w:space="0" w:color="auto"/>
            </w:tcBorders>
          </w:tcPr>
          <w:p w:rsidR="00F93230" w:rsidRPr="0013726F" w:rsidRDefault="00074309" w:rsidP="00F93230">
            <w:pPr>
              <w:jc w:val="center"/>
            </w:pPr>
            <w:r>
              <w:t>Make up flow (N2) (mL</w:t>
            </w:r>
            <w:r w:rsidR="00F93230" w:rsidRPr="0013726F">
              <w:t>/min)</w:t>
            </w:r>
          </w:p>
        </w:tc>
        <w:tc>
          <w:tcPr>
            <w:tcW w:w="4814" w:type="dxa"/>
            <w:tcBorders>
              <w:top w:val="single" w:sz="4" w:space="0" w:color="auto"/>
              <w:bottom w:val="single" w:sz="4" w:space="0" w:color="auto"/>
            </w:tcBorders>
          </w:tcPr>
          <w:p w:rsidR="00F93230" w:rsidRPr="0013726F" w:rsidRDefault="00F93230" w:rsidP="00F93230">
            <w:pPr>
              <w:jc w:val="center"/>
            </w:pPr>
            <w:r w:rsidRPr="0013726F">
              <w:t>20</w:t>
            </w:r>
          </w:p>
        </w:tc>
      </w:tr>
    </w:tbl>
    <w:p w:rsidR="00F93230" w:rsidRDefault="00F93230"/>
    <w:p w:rsidR="001524B7" w:rsidRDefault="001524B7"/>
    <w:p w:rsidR="0090060D" w:rsidRDefault="0090060D"/>
    <w:p w:rsidR="0090060D" w:rsidRDefault="0090060D"/>
    <w:p w:rsidR="00F93230" w:rsidRDefault="00F93230"/>
    <w:p w:rsidR="00F93230" w:rsidRDefault="00F93230"/>
    <w:p w:rsidR="00F93230" w:rsidRDefault="00F93230">
      <w:r w:rsidRPr="00E31AB3">
        <w:t xml:space="preserve">Appendix 4. </w:t>
      </w:r>
      <w:bookmarkStart w:id="53" w:name="_Hlk514931968"/>
      <w:r w:rsidRPr="00E31AB3">
        <w:t>Instrument parameter information for HS-GC-MS method for identification of volatile components in e-liquids.</w:t>
      </w:r>
      <w:r>
        <w:t xml:space="preserve"> </w:t>
      </w:r>
      <w:bookmarkEnd w:id="53"/>
    </w:p>
    <w:p w:rsidR="00A74656" w:rsidRDefault="00A74656" w:rsidP="00A74656">
      <w:pPr>
        <w:pStyle w:val="Caption"/>
      </w:pPr>
      <w:r>
        <w:t xml:space="preserve">Table </w:t>
      </w:r>
      <w:r w:rsidR="002E375B">
        <w:fldChar w:fldCharType="begin"/>
      </w:r>
      <w:r w:rsidR="002E375B">
        <w:instrText xml:space="preserve"> SEQ Table \* ARABIC </w:instrText>
      </w:r>
      <w:r w:rsidR="002E375B">
        <w:fldChar w:fldCharType="separate"/>
      </w:r>
      <w:r w:rsidR="00715BEF">
        <w:rPr>
          <w:noProof/>
        </w:rPr>
        <w:t>5</w:t>
      </w:r>
      <w:r w:rsidR="002E375B">
        <w:rPr>
          <w:noProof/>
        </w:rPr>
        <w:fldChar w:fldCharType="end"/>
      </w:r>
      <w:r w:rsidR="00855A76">
        <w:t xml:space="preserve"> </w:t>
      </w:r>
      <w:r>
        <w:t xml:space="preserve">Headspace-GC-FID </w:t>
      </w:r>
      <w:r w:rsidR="00855A76">
        <w:t xml:space="preserve">instrument parameters for possible identifications of volatile components in e-liquids. </w:t>
      </w:r>
    </w:p>
    <w:tbl>
      <w:tblPr>
        <w:tblStyle w:val="TableGrid"/>
        <w:tblW w:w="0" w:type="auto"/>
        <w:tblBorders>
          <w:top w:val="none" w:sz="0" w:space="0" w:color="auto"/>
          <w:left w:val="none" w:sz="0" w:space="0" w:color="auto"/>
          <w:bottom w:val="none" w:sz="0" w:space="0" w:color="auto"/>
          <w:right w:val="none" w:sz="0" w:space="0" w:color="auto"/>
          <w:insideH w:val="single" w:sz="6" w:space="0" w:color="auto"/>
          <w:insideV w:val="none" w:sz="0" w:space="0" w:color="auto"/>
        </w:tblBorders>
        <w:tblLook w:val="04A0" w:firstRow="1" w:lastRow="0" w:firstColumn="1" w:lastColumn="0" w:noHBand="0" w:noVBand="1"/>
      </w:tblPr>
      <w:tblGrid>
        <w:gridCol w:w="4503"/>
        <w:gridCol w:w="4473"/>
        <w:gridCol w:w="50"/>
      </w:tblGrid>
      <w:tr w:rsidR="00F93230" w:rsidRPr="0013726F" w:rsidTr="00637E31">
        <w:tc>
          <w:tcPr>
            <w:tcW w:w="4503" w:type="dxa"/>
            <w:tcBorders>
              <w:top w:val="single" w:sz="6" w:space="0" w:color="auto"/>
              <w:bottom w:val="thinThickThinSmallGap" w:sz="24" w:space="0" w:color="auto"/>
            </w:tcBorders>
            <w:shd w:val="clear" w:color="auto" w:fill="DBE5F1" w:themeFill="accent1" w:themeFillTint="33"/>
          </w:tcPr>
          <w:p w:rsidR="00F93230" w:rsidRPr="000354E1" w:rsidRDefault="00F93230" w:rsidP="004253CB">
            <w:pPr>
              <w:jc w:val="center"/>
              <w:rPr>
                <w:b/>
              </w:rPr>
            </w:pPr>
            <w:r w:rsidRPr="000354E1">
              <w:rPr>
                <w:b/>
              </w:rPr>
              <w:t>Parameter</w:t>
            </w:r>
          </w:p>
        </w:tc>
        <w:tc>
          <w:tcPr>
            <w:tcW w:w="4523" w:type="dxa"/>
            <w:gridSpan w:val="2"/>
            <w:tcBorders>
              <w:top w:val="single" w:sz="6" w:space="0" w:color="auto"/>
              <w:bottom w:val="thinThickThinSmallGap" w:sz="24" w:space="0" w:color="auto"/>
            </w:tcBorders>
            <w:shd w:val="clear" w:color="auto" w:fill="DBE5F1" w:themeFill="accent1" w:themeFillTint="33"/>
          </w:tcPr>
          <w:p w:rsidR="00F93230" w:rsidRPr="000354E1" w:rsidRDefault="00F93230" w:rsidP="004253CB">
            <w:pPr>
              <w:jc w:val="center"/>
              <w:rPr>
                <w:b/>
              </w:rPr>
            </w:pPr>
            <w:r w:rsidRPr="000354E1">
              <w:rPr>
                <w:b/>
              </w:rPr>
              <w:t>Value</w:t>
            </w:r>
          </w:p>
        </w:tc>
      </w:tr>
      <w:tr w:rsidR="00F93230" w:rsidRPr="0013726F" w:rsidTr="00E31AB3">
        <w:tc>
          <w:tcPr>
            <w:tcW w:w="4503" w:type="dxa"/>
            <w:tcBorders>
              <w:top w:val="thinThickThinSmallGap" w:sz="24" w:space="0" w:color="auto"/>
            </w:tcBorders>
          </w:tcPr>
          <w:p w:rsidR="00F93230" w:rsidRPr="0013726F" w:rsidRDefault="00F93230" w:rsidP="004253CB">
            <w:pPr>
              <w:jc w:val="center"/>
            </w:pPr>
            <w:r w:rsidRPr="0013726F">
              <w:t>Incubation temperature (</w:t>
            </w:r>
            <w:r w:rsidRPr="0013726F">
              <w:rPr>
                <w:rFonts w:cstheme="minorHAnsi"/>
              </w:rPr>
              <w:t>°C)</w:t>
            </w:r>
          </w:p>
        </w:tc>
        <w:tc>
          <w:tcPr>
            <w:tcW w:w="4523" w:type="dxa"/>
            <w:gridSpan w:val="2"/>
            <w:tcBorders>
              <w:top w:val="thinThickThinSmallGap" w:sz="24" w:space="0" w:color="auto"/>
            </w:tcBorders>
          </w:tcPr>
          <w:p w:rsidR="00F93230" w:rsidRPr="0013726F" w:rsidRDefault="00F93230" w:rsidP="004253CB">
            <w:pPr>
              <w:jc w:val="center"/>
            </w:pPr>
            <w:r w:rsidRPr="0013726F">
              <w:t>90</w:t>
            </w:r>
          </w:p>
        </w:tc>
      </w:tr>
      <w:tr w:rsidR="00F93230" w:rsidRPr="0013726F" w:rsidTr="00E31AB3">
        <w:trPr>
          <w:gridAfter w:val="1"/>
          <w:wAfter w:w="50" w:type="dxa"/>
        </w:trPr>
        <w:tc>
          <w:tcPr>
            <w:tcW w:w="4503" w:type="dxa"/>
          </w:tcPr>
          <w:p w:rsidR="00F93230" w:rsidRPr="0013726F" w:rsidRDefault="00F93230" w:rsidP="004253CB">
            <w:pPr>
              <w:jc w:val="center"/>
            </w:pPr>
            <w:r w:rsidRPr="0013726F">
              <w:t>Incubation time (s)</w:t>
            </w:r>
          </w:p>
        </w:tc>
        <w:tc>
          <w:tcPr>
            <w:tcW w:w="4473" w:type="dxa"/>
          </w:tcPr>
          <w:p w:rsidR="00F93230" w:rsidRPr="0013726F" w:rsidRDefault="00F93230" w:rsidP="004253CB">
            <w:pPr>
              <w:jc w:val="center"/>
            </w:pPr>
            <w:r w:rsidRPr="0013726F">
              <w:t>600</w:t>
            </w:r>
          </w:p>
        </w:tc>
      </w:tr>
      <w:tr w:rsidR="00F93230" w:rsidRPr="0013726F" w:rsidTr="00E31AB3">
        <w:trPr>
          <w:gridAfter w:val="1"/>
          <w:wAfter w:w="50" w:type="dxa"/>
        </w:trPr>
        <w:tc>
          <w:tcPr>
            <w:tcW w:w="4503" w:type="dxa"/>
          </w:tcPr>
          <w:p w:rsidR="00F93230" w:rsidRPr="0013726F" w:rsidRDefault="00F93230" w:rsidP="004253CB">
            <w:pPr>
              <w:jc w:val="center"/>
            </w:pPr>
            <w:r w:rsidRPr="0013726F">
              <w:t>Syringe temperature (</w:t>
            </w:r>
            <w:r w:rsidRPr="0013726F">
              <w:rPr>
                <w:rFonts w:cstheme="minorHAnsi"/>
              </w:rPr>
              <w:t>°</w:t>
            </w:r>
            <w:r w:rsidRPr="0013726F">
              <w:t>C)</w:t>
            </w:r>
          </w:p>
        </w:tc>
        <w:tc>
          <w:tcPr>
            <w:tcW w:w="4473" w:type="dxa"/>
          </w:tcPr>
          <w:p w:rsidR="00F93230" w:rsidRPr="0013726F" w:rsidRDefault="00F93230" w:rsidP="004253CB">
            <w:pPr>
              <w:jc w:val="center"/>
            </w:pPr>
            <w:r w:rsidRPr="0013726F">
              <w:t>75</w:t>
            </w:r>
          </w:p>
        </w:tc>
      </w:tr>
      <w:tr w:rsidR="00F93230" w:rsidRPr="0013726F" w:rsidTr="00E31AB3">
        <w:trPr>
          <w:gridAfter w:val="1"/>
          <w:wAfter w:w="50" w:type="dxa"/>
        </w:trPr>
        <w:tc>
          <w:tcPr>
            <w:tcW w:w="4503" w:type="dxa"/>
          </w:tcPr>
          <w:p w:rsidR="00F93230" w:rsidRPr="0013726F" w:rsidRDefault="00F93230" w:rsidP="004253CB">
            <w:pPr>
              <w:jc w:val="center"/>
            </w:pPr>
            <w:r w:rsidRPr="0013726F">
              <w:t>Injection volume (µl)</w:t>
            </w:r>
            <w:r>
              <w:t>, manual injection</w:t>
            </w:r>
          </w:p>
        </w:tc>
        <w:tc>
          <w:tcPr>
            <w:tcW w:w="4473" w:type="dxa"/>
          </w:tcPr>
          <w:p w:rsidR="00F93230" w:rsidRPr="0013726F" w:rsidRDefault="00F93230" w:rsidP="004253CB">
            <w:pPr>
              <w:jc w:val="center"/>
            </w:pPr>
            <w:r w:rsidRPr="0013726F">
              <w:t>25</w:t>
            </w:r>
          </w:p>
        </w:tc>
      </w:tr>
      <w:tr w:rsidR="00F93230" w:rsidRPr="0013726F" w:rsidTr="00E31AB3">
        <w:trPr>
          <w:gridAfter w:val="1"/>
          <w:wAfter w:w="50" w:type="dxa"/>
        </w:trPr>
        <w:tc>
          <w:tcPr>
            <w:tcW w:w="4503" w:type="dxa"/>
          </w:tcPr>
          <w:p w:rsidR="00F93230" w:rsidRPr="0013726F" w:rsidRDefault="00F93230" w:rsidP="004253CB">
            <w:pPr>
              <w:jc w:val="center"/>
            </w:pPr>
            <w:r w:rsidRPr="0013726F">
              <w:t>Inlet temperature (°C)</w:t>
            </w:r>
          </w:p>
        </w:tc>
        <w:tc>
          <w:tcPr>
            <w:tcW w:w="4473" w:type="dxa"/>
          </w:tcPr>
          <w:p w:rsidR="00F93230" w:rsidRPr="0013726F" w:rsidRDefault="00F93230" w:rsidP="004253CB">
            <w:pPr>
              <w:jc w:val="center"/>
            </w:pPr>
            <w:r w:rsidRPr="0013726F">
              <w:t>280</w:t>
            </w:r>
          </w:p>
        </w:tc>
      </w:tr>
      <w:tr w:rsidR="00F93230" w:rsidRPr="0013726F" w:rsidTr="00E31AB3">
        <w:trPr>
          <w:gridAfter w:val="1"/>
          <w:wAfter w:w="50" w:type="dxa"/>
        </w:trPr>
        <w:tc>
          <w:tcPr>
            <w:tcW w:w="4503" w:type="dxa"/>
          </w:tcPr>
          <w:p w:rsidR="00F93230" w:rsidRPr="0013726F" w:rsidRDefault="00F93230" w:rsidP="004253CB">
            <w:pPr>
              <w:jc w:val="center"/>
            </w:pPr>
            <w:r w:rsidRPr="0013726F">
              <w:t>Split ratio</w:t>
            </w:r>
          </w:p>
        </w:tc>
        <w:tc>
          <w:tcPr>
            <w:tcW w:w="4473" w:type="dxa"/>
          </w:tcPr>
          <w:p w:rsidR="00F93230" w:rsidRPr="0013726F" w:rsidRDefault="00F93230" w:rsidP="004253CB">
            <w:pPr>
              <w:jc w:val="center"/>
            </w:pPr>
            <w:r w:rsidRPr="0013726F">
              <w:t>1:40</w:t>
            </w:r>
          </w:p>
        </w:tc>
      </w:tr>
      <w:tr w:rsidR="000604F0" w:rsidRPr="0013726F" w:rsidTr="00E31AB3">
        <w:trPr>
          <w:gridAfter w:val="1"/>
          <w:wAfter w:w="50" w:type="dxa"/>
        </w:trPr>
        <w:tc>
          <w:tcPr>
            <w:tcW w:w="4503" w:type="dxa"/>
          </w:tcPr>
          <w:p w:rsidR="000604F0" w:rsidRPr="0013726F" w:rsidRDefault="000604F0" w:rsidP="004253CB">
            <w:pPr>
              <w:jc w:val="center"/>
            </w:pPr>
            <w:r>
              <w:t xml:space="preserve">Carrier gas </w:t>
            </w:r>
          </w:p>
        </w:tc>
        <w:tc>
          <w:tcPr>
            <w:tcW w:w="4473" w:type="dxa"/>
          </w:tcPr>
          <w:p w:rsidR="000604F0" w:rsidRPr="0013726F" w:rsidRDefault="000604F0" w:rsidP="004253CB">
            <w:pPr>
              <w:jc w:val="center"/>
            </w:pPr>
            <w:r>
              <w:t>Helium</w:t>
            </w:r>
          </w:p>
        </w:tc>
      </w:tr>
      <w:tr w:rsidR="00F93230" w:rsidRPr="0013726F" w:rsidTr="00E31AB3">
        <w:trPr>
          <w:gridAfter w:val="1"/>
          <w:wAfter w:w="50" w:type="dxa"/>
        </w:trPr>
        <w:tc>
          <w:tcPr>
            <w:tcW w:w="4503" w:type="dxa"/>
          </w:tcPr>
          <w:p w:rsidR="00F93230" w:rsidRPr="0013726F" w:rsidRDefault="00F93230" w:rsidP="004253CB">
            <w:pPr>
              <w:jc w:val="center"/>
            </w:pPr>
            <w:r w:rsidRPr="0013726F">
              <w:t>Gas saver on after (min)</w:t>
            </w:r>
          </w:p>
        </w:tc>
        <w:tc>
          <w:tcPr>
            <w:tcW w:w="4473" w:type="dxa"/>
          </w:tcPr>
          <w:p w:rsidR="00F93230" w:rsidRPr="0013726F" w:rsidRDefault="00F93230" w:rsidP="004253CB">
            <w:pPr>
              <w:jc w:val="center"/>
            </w:pPr>
            <w:r w:rsidRPr="0013726F">
              <w:t>3</w:t>
            </w:r>
          </w:p>
        </w:tc>
      </w:tr>
      <w:tr w:rsidR="00F93230" w:rsidRPr="0013726F" w:rsidTr="00E31AB3">
        <w:trPr>
          <w:gridAfter w:val="1"/>
          <w:wAfter w:w="50" w:type="dxa"/>
        </w:trPr>
        <w:tc>
          <w:tcPr>
            <w:tcW w:w="4503" w:type="dxa"/>
          </w:tcPr>
          <w:p w:rsidR="00F93230" w:rsidRPr="0013726F" w:rsidRDefault="003E711F" w:rsidP="004253CB">
            <w:pPr>
              <w:jc w:val="center"/>
            </w:pPr>
            <w:r>
              <w:t>Septum purge (mL</w:t>
            </w:r>
            <w:r w:rsidR="00F93230" w:rsidRPr="0013726F">
              <w:t>/min)</w:t>
            </w:r>
          </w:p>
        </w:tc>
        <w:tc>
          <w:tcPr>
            <w:tcW w:w="4473" w:type="dxa"/>
          </w:tcPr>
          <w:p w:rsidR="00F93230" w:rsidRPr="0013726F" w:rsidRDefault="00F93230" w:rsidP="004253CB">
            <w:pPr>
              <w:jc w:val="center"/>
            </w:pPr>
            <w:r w:rsidRPr="0013726F">
              <w:t>3</w:t>
            </w:r>
          </w:p>
        </w:tc>
      </w:tr>
      <w:tr w:rsidR="00F93230" w:rsidRPr="0013726F" w:rsidTr="00E31AB3">
        <w:trPr>
          <w:gridAfter w:val="1"/>
          <w:wAfter w:w="50" w:type="dxa"/>
        </w:trPr>
        <w:tc>
          <w:tcPr>
            <w:tcW w:w="4503" w:type="dxa"/>
          </w:tcPr>
          <w:p w:rsidR="00F93230" w:rsidRPr="0013726F" w:rsidRDefault="003E711F" w:rsidP="004253CB">
            <w:pPr>
              <w:jc w:val="center"/>
            </w:pPr>
            <w:r>
              <w:t>Flow (mL</w:t>
            </w:r>
            <w:r w:rsidR="00F93230" w:rsidRPr="0013726F">
              <w:t>/min)</w:t>
            </w:r>
          </w:p>
        </w:tc>
        <w:tc>
          <w:tcPr>
            <w:tcW w:w="4473" w:type="dxa"/>
          </w:tcPr>
          <w:p w:rsidR="00F93230" w:rsidRPr="0013726F" w:rsidRDefault="00F93230" w:rsidP="004253CB">
            <w:pPr>
              <w:jc w:val="center"/>
            </w:pPr>
            <w:r w:rsidRPr="0013726F">
              <w:t>1.2</w:t>
            </w:r>
          </w:p>
        </w:tc>
      </w:tr>
      <w:tr w:rsidR="00F93230" w:rsidRPr="0013726F" w:rsidTr="00E31AB3">
        <w:trPr>
          <w:gridAfter w:val="1"/>
          <w:wAfter w:w="50" w:type="dxa"/>
        </w:trPr>
        <w:tc>
          <w:tcPr>
            <w:tcW w:w="4503" w:type="dxa"/>
          </w:tcPr>
          <w:p w:rsidR="00F93230" w:rsidRPr="0013726F" w:rsidRDefault="003E711F" w:rsidP="004253CB">
            <w:pPr>
              <w:jc w:val="center"/>
            </w:pPr>
            <w:r>
              <w:t>Transfer column flow (mL</w:t>
            </w:r>
            <w:r w:rsidR="00F93230" w:rsidRPr="0013726F">
              <w:t>/min)</w:t>
            </w:r>
          </w:p>
        </w:tc>
        <w:tc>
          <w:tcPr>
            <w:tcW w:w="4473" w:type="dxa"/>
          </w:tcPr>
          <w:p w:rsidR="00F93230" w:rsidRPr="0013726F" w:rsidRDefault="00F93230" w:rsidP="004253CB">
            <w:pPr>
              <w:jc w:val="center"/>
            </w:pPr>
            <w:r w:rsidRPr="0013726F">
              <w:t>1.4</w:t>
            </w:r>
          </w:p>
        </w:tc>
      </w:tr>
      <w:tr w:rsidR="00F93230" w:rsidRPr="0013726F" w:rsidTr="00E31AB3">
        <w:trPr>
          <w:gridAfter w:val="1"/>
          <w:wAfter w:w="50" w:type="dxa"/>
        </w:trPr>
        <w:tc>
          <w:tcPr>
            <w:tcW w:w="4503" w:type="dxa"/>
          </w:tcPr>
          <w:p w:rsidR="00F93230" w:rsidRPr="0013726F" w:rsidRDefault="00F93230" w:rsidP="004253CB">
            <w:pPr>
              <w:jc w:val="center"/>
            </w:pPr>
            <w:r w:rsidRPr="0013726F">
              <w:t>Pressure mode</w:t>
            </w:r>
          </w:p>
        </w:tc>
        <w:tc>
          <w:tcPr>
            <w:tcW w:w="4473" w:type="dxa"/>
          </w:tcPr>
          <w:p w:rsidR="00F93230" w:rsidRPr="0013726F" w:rsidRDefault="00F93230" w:rsidP="004253CB">
            <w:pPr>
              <w:jc w:val="center"/>
            </w:pPr>
            <w:r w:rsidRPr="0013726F">
              <w:t>Constant flow</w:t>
            </w:r>
          </w:p>
        </w:tc>
      </w:tr>
      <w:tr w:rsidR="00F93230" w:rsidRPr="002E375B" w:rsidTr="00E31AB3">
        <w:trPr>
          <w:gridAfter w:val="1"/>
          <w:wAfter w:w="50" w:type="dxa"/>
        </w:trPr>
        <w:tc>
          <w:tcPr>
            <w:tcW w:w="4503" w:type="dxa"/>
          </w:tcPr>
          <w:p w:rsidR="00F93230" w:rsidRPr="0013726F" w:rsidRDefault="00F93230" w:rsidP="004253CB">
            <w:pPr>
              <w:jc w:val="center"/>
            </w:pPr>
            <w:r w:rsidRPr="0013726F">
              <w:t>Column</w:t>
            </w:r>
          </w:p>
        </w:tc>
        <w:tc>
          <w:tcPr>
            <w:tcW w:w="4473" w:type="dxa"/>
          </w:tcPr>
          <w:p w:rsidR="00F93230" w:rsidRPr="00245115" w:rsidRDefault="00F93230" w:rsidP="004253CB">
            <w:pPr>
              <w:jc w:val="center"/>
              <w:rPr>
                <w:lang w:val="de-DE"/>
              </w:rPr>
            </w:pPr>
            <w:r w:rsidRPr="00245115">
              <w:rPr>
                <w:lang w:val="de-DE"/>
              </w:rPr>
              <w:t>DB-35ms UI 15 m x 0.25 mm x 0.25 um</w:t>
            </w:r>
          </w:p>
        </w:tc>
      </w:tr>
      <w:tr w:rsidR="00F93230" w:rsidRPr="0013726F" w:rsidTr="00E31AB3">
        <w:trPr>
          <w:gridAfter w:val="1"/>
          <w:wAfter w:w="50" w:type="dxa"/>
        </w:trPr>
        <w:tc>
          <w:tcPr>
            <w:tcW w:w="4503" w:type="dxa"/>
          </w:tcPr>
          <w:p w:rsidR="00F93230" w:rsidRPr="0013726F" w:rsidRDefault="00F93230" w:rsidP="004253CB">
            <w:pPr>
              <w:jc w:val="center"/>
            </w:pPr>
            <w:r w:rsidRPr="0013726F">
              <w:t>Transfer column</w:t>
            </w:r>
          </w:p>
        </w:tc>
        <w:tc>
          <w:tcPr>
            <w:tcW w:w="4473" w:type="dxa"/>
          </w:tcPr>
          <w:p w:rsidR="00F93230" w:rsidRPr="0013726F" w:rsidRDefault="00F93230" w:rsidP="004253CB">
            <w:pPr>
              <w:jc w:val="center"/>
            </w:pPr>
            <w:r>
              <w:t xml:space="preserve">1.3 m 0.15 mm x 0 </w:t>
            </w:r>
            <w:r>
              <w:rPr>
                <w:rFonts w:cstheme="minorHAnsi"/>
              </w:rPr>
              <w:t>µ</w:t>
            </w:r>
            <w:r>
              <w:t>m</w:t>
            </w:r>
          </w:p>
        </w:tc>
      </w:tr>
      <w:tr w:rsidR="00F93230" w:rsidRPr="002E375B" w:rsidTr="00E31AB3">
        <w:trPr>
          <w:gridAfter w:val="1"/>
          <w:wAfter w:w="50" w:type="dxa"/>
        </w:trPr>
        <w:tc>
          <w:tcPr>
            <w:tcW w:w="4503" w:type="dxa"/>
          </w:tcPr>
          <w:p w:rsidR="00F93230" w:rsidRPr="0013726F" w:rsidRDefault="00F93230" w:rsidP="004253CB">
            <w:pPr>
              <w:jc w:val="center"/>
            </w:pPr>
            <w:r w:rsidRPr="0013726F">
              <w:t>Oven temperature program</w:t>
            </w:r>
          </w:p>
        </w:tc>
        <w:tc>
          <w:tcPr>
            <w:tcW w:w="4473" w:type="dxa"/>
          </w:tcPr>
          <w:p w:rsidR="00F93230" w:rsidRPr="00245115" w:rsidRDefault="00F93230" w:rsidP="004253CB">
            <w:pPr>
              <w:jc w:val="center"/>
              <w:rPr>
                <w:lang w:val="fi-FI"/>
              </w:rPr>
            </w:pPr>
            <w:r w:rsidRPr="00245115">
              <w:rPr>
                <w:lang w:val="fi-FI"/>
              </w:rPr>
              <w:t>50 °C (0.5min), 35 °C/min --&gt; 300 °C(6min)</w:t>
            </w:r>
          </w:p>
        </w:tc>
      </w:tr>
      <w:tr w:rsidR="00F93230" w:rsidRPr="0013726F" w:rsidTr="00E31AB3">
        <w:trPr>
          <w:gridAfter w:val="1"/>
          <w:wAfter w:w="50" w:type="dxa"/>
        </w:trPr>
        <w:tc>
          <w:tcPr>
            <w:tcW w:w="4503" w:type="dxa"/>
          </w:tcPr>
          <w:p w:rsidR="00F93230" w:rsidRPr="0013726F" w:rsidRDefault="00F93230" w:rsidP="004253CB">
            <w:pPr>
              <w:jc w:val="center"/>
            </w:pPr>
            <w:r w:rsidRPr="0013726F">
              <w:t>Transfer line temperature (°C)</w:t>
            </w:r>
          </w:p>
        </w:tc>
        <w:tc>
          <w:tcPr>
            <w:tcW w:w="4473" w:type="dxa"/>
          </w:tcPr>
          <w:p w:rsidR="00F93230" w:rsidRPr="0013726F" w:rsidRDefault="00F93230" w:rsidP="004253CB">
            <w:pPr>
              <w:jc w:val="center"/>
            </w:pPr>
            <w:r>
              <w:t>280</w:t>
            </w:r>
          </w:p>
        </w:tc>
      </w:tr>
      <w:tr w:rsidR="00F93230" w:rsidTr="00E31AB3">
        <w:trPr>
          <w:gridAfter w:val="1"/>
          <w:wAfter w:w="50" w:type="dxa"/>
        </w:trPr>
        <w:tc>
          <w:tcPr>
            <w:tcW w:w="4503" w:type="dxa"/>
          </w:tcPr>
          <w:p w:rsidR="00F93230" w:rsidRPr="0013726F" w:rsidRDefault="00F93230" w:rsidP="004253CB">
            <w:pPr>
              <w:jc w:val="center"/>
            </w:pPr>
            <w:r>
              <w:t xml:space="preserve">Source temperature </w:t>
            </w:r>
            <w:r w:rsidRPr="00547D6F">
              <w:t>(°C)</w:t>
            </w:r>
          </w:p>
        </w:tc>
        <w:tc>
          <w:tcPr>
            <w:tcW w:w="4473" w:type="dxa"/>
          </w:tcPr>
          <w:p w:rsidR="00F93230" w:rsidRDefault="00F93230" w:rsidP="004253CB">
            <w:pPr>
              <w:jc w:val="center"/>
            </w:pPr>
            <w:r>
              <w:t>230</w:t>
            </w:r>
          </w:p>
        </w:tc>
      </w:tr>
      <w:tr w:rsidR="00F93230" w:rsidRPr="0013726F" w:rsidTr="00E31AB3">
        <w:trPr>
          <w:gridAfter w:val="1"/>
          <w:wAfter w:w="50" w:type="dxa"/>
        </w:trPr>
        <w:tc>
          <w:tcPr>
            <w:tcW w:w="4503" w:type="dxa"/>
          </w:tcPr>
          <w:p w:rsidR="00F93230" w:rsidRPr="0013726F" w:rsidRDefault="00F93230" w:rsidP="004253CB">
            <w:pPr>
              <w:jc w:val="center"/>
            </w:pPr>
            <w:r w:rsidRPr="0013726F">
              <w:t>Electron energy (eV)</w:t>
            </w:r>
          </w:p>
        </w:tc>
        <w:tc>
          <w:tcPr>
            <w:tcW w:w="4473" w:type="dxa"/>
          </w:tcPr>
          <w:p w:rsidR="00F93230" w:rsidRPr="0013726F" w:rsidRDefault="00F93230" w:rsidP="004253CB">
            <w:pPr>
              <w:jc w:val="center"/>
            </w:pPr>
            <w:r w:rsidRPr="0013726F">
              <w:t>70</w:t>
            </w:r>
          </w:p>
        </w:tc>
      </w:tr>
      <w:tr w:rsidR="00F93230" w:rsidRPr="0013726F" w:rsidTr="00E31AB3">
        <w:trPr>
          <w:gridAfter w:val="1"/>
          <w:wAfter w:w="50" w:type="dxa"/>
        </w:trPr>
        <w:tc>
          <w:tcPr>
            <w:tcW w:w="4503" w:type="dxa"/>
            <w:tcBorders>
              <w:bottom w:val="single" w:sz="6" w:space="0" w:color="auto"/>
            </w:tcBorders>
          </w:tcPr>
          <w:p w:rsidR="00F93230" w:rsidRPr="0013726F" w:rsidRDefault="00F93230" w:rsidP="004253CB">
            <w:pPr>
              <w:jc w:val="center"/>
            </w:pPr>
            <w:r w:rsidRPr="0013726F">
              <w:t>Scan (m/z)</w:t>
            </w:r>
          </w:p>
        </w:tc>
        <w:tc>
          <w:tcPr>
            <w:tcW w:w="4473" w:type="dxa"/>
            <w:tcBorders>
              <w:bottom w:val="single" w:sz="6" w:space="0" w:color="auto"/>
            </w:tcBorders>
          </w:tcPr>
          <w:p w:rsidR="00F93230" w:rsidRPr="0013726F" w:rsidRDefault="00F93230" w:rsidP="004253CB">
            <w:pPr>
              <w:jc w:val="center"/>
            </w:pPr>
            <w:r w:rsidRPr="0013726F">
              <w:t>40-500</w:t>
            </w:r>
          </w:p>
        </w:tc>
      </w:tr>
      <w:tr w:rsidR="00F93230" w:rsidRPr="0013726F" w:rsidTr="00E31AB3">
        <w:trPr>
          <w:gridAfter w:val="1"/>
          <w:wAfter w:w="50" w:type="dxa"/>
          <w:trHeight w:val="80"/>
        </w:trPr>
        <w:tc>
          <w:tcPr>
            <w:tcW w:w="4503" w:type="dxa"/>
            <w:tcBorders>
              <w:top w:val="single" w:sz="6" w:space="0" w:color="auto"/>
              <w:bottom w:val="single" w:sz="6" w:space="0" w:color="auto"/>
            </w:tcBorders>
          </w:tcPr>
          <w:p w:rsidR="00F93230" w:rsidRPr="0013726F" w:rsidRDefault="00F93230" w:rsidP="004253CB">
            <w:pPr>
              <w:jc w:val="center"/>
            </w:pPr>
            <w:r w:rsidRPr="0013726F">
              <w:t>Make up flow (N2)</w:t>
            </w:r>
            <w:r w:rsidR="003E711F">
              <w:t xml:space="preserve"> (mL</w:t>
            </w:r>
            <w:r w:rsidRPr="0013726F">
              <w:t>/min)</w:t>
            </w:r>
          </w:p>
        </w:tc>
        <w:tc>
          <w:tcPr>
            <w:tcW w:w="4473" w:type="dxa"/>
            <w:tcBorders>
              <w:top w:val="single" w:sz="6" w:space="0" w:color="auto"/>
              <w:bottom w:val="single" w:sz="6" w:space="0" w:color="auto"/>
            </w:tcBorders>
          </w:tcPr>
          <w:p w:rsidR="00F93230" w:rsidRPr="0013726F" w:rsidRDefault="00F93230" w:rsidP="004253CB">
            <w:pPr>
              <w:jc w:val="center"/>
            </w:pPr>
            <w:r w:rsidRPr="0013726F">
              <w:t>20</w:t>
            </w:r>
          </w:p>
        </w:tc>
      </w:tr>
    </w:tbl>
    <w:p w:rsidR="00E17128" w:rsidRDefault="00E17128"/>
    <w:p w:rsidR="00E17128" w:rsidRDefault="00E17128"/>
    <w:p w:rsidR="00E17128" w:rsidRDefault="00E17128"/>
    <w:p w:rsidR="00E17128" w:rsidRDefault="00E17128"/>
    <w:p w:rsidR="00E17128" w:rsidRDefault="00E17128"/>
    <w:p w:rsidR="00E17128" w:rsidRDefault="00E17128"/>
    <w:p w:rsidR="00E17128" w:rsidRDefault="00E17128"/>
    <w:p w:rsidR="00E17128" w:rsidRDefault="00E17128"/>
    <w:p w:rsidR="00E17128" w:rsidRDefault="00E17128"/>
    <w:p w:rsidR="00E17128" w:rsidRDefault="00E17128"/>
    <w:p w:rsidR="00E17128" w:rsidRDefault="00E17128"/>
    <w:p w:rsidR="0090060D" w:rsidRDefault="0090060D"/>
    <w:p w:rsidR="00E31AB3" w:rsidRDefault="006E7D1F">
      <w:r>
        <w:lastRenderedPageBreak/>
        <w:t>Appendix 5. Ethanol</w:t>
      </w:r>
      <w:r w:rsidR="00745641">
        <w:t xml:space="preserve"> </w:t>
      </w:r>
      <w:r w:rsidR="00070D5A">
        <w:t>c</w:t>
      </w:r>
      <w:r w:rsidR="00745641">
        <w:t xml:space="preserve">alibration curve (n=3). </w:t>
      </w:r>
    </w:p>
    <w:p w:rsidR="001524B7" w:rsidRDefault="00A95901">
      <w:r>
        <w:rPr>
          <w:noProof/>
        </w:rPr>
        <w:drawing>
          <wp:inline distT="0" distB="0" distL="0" distR="0" wp14:anchorId="1422918E">
            <wp:extent cx="6127115" cy="3481070"/>
            <wp:effectExtent l="0" t="0" r="6985"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27115" cy="3481070"/>
                    </a:xfrm>
                    <a:prstGeom prst="rect">
                      <a:avLst/>
                    </a:prstGeom>
                    <a:noFill/>
                  </pic:spPr>
                </pic:pic>
              </a:graphicData>
            </a:graphic>
          </wp:inline>
        </w:drawing>
      </w:r>
    </w:p>
    <w:p w:rsidR="00E31AB3" w:rsidRDefault="00E31AB3" w:rsidP="00E31AB3">
      <w:pPr>
        <w:pStyle w:val="Caption"/>
      </w:pPr>
      <w:r>
        <w:t xml:space="preserve">Figure </w:t>
      </w:r>
      <w:r w:rsidR="002E375B">
        <w:fldChar w:fldCharType="begin"/>
      </w:r>
      <w:r w:rsidR="002E375B">
        <w:instrText xml:space="preserve"> SEQ Figure \* ARABIC </w:instrText>
      </w:r>
      <w:r w:rsidR="002E375B">
        <w:fldChar w:fldCharType="separate"/>
      </w:r>
      <w:r w:rsidR="00D538BE">
        <w:rPr>
          <w:noProof/>
        </w:rPr>
        <w:t>11</w:t>
      </w:r>
      <w:r w:rsidR="002E375B">
        <w:rPr>
          <w:noProof/>
        </w:rPr>
        <w:fldChar w:fldCharType="end"/>
      </w:r>
      <w:r>
        <w:t xml:space="preserve"> Ethanol calibration curve with error margins, correlation coefficient and the linear regression equation</w:t>
      </w:r>
    </w:p>
    <w:p w:rsidR="00745641" w:rsidRDefault="00745641">
      <w:r>
        <w:t xml:space="preserve">Appendix 6. </w:t>
      </w:r>
      <w:r w:rsidR="006E7D1F">
        <w:t>Ethan</w:t>
      </w:r>
      <w:r w:rsidR="00E220B2">
        <w:t xml:space="preserve">ol </w:t>
      </w:r>
      <w:r w:rsidR="00070D5A">
        <w:t>c</w:t>
      </w:r>
      <w:r w:rsidR="00E220B2">
        <w:t xml:space="preserve">alibration curve (n=3) lower concentrations. </w:t>
      </w:r>
    </w:p>
    <w:p w:rsidR="00E220B2" w:rsidRDefault="00A95901">
      <w:r>
        <w:rPr>
          <w:noProof/>
        </w:rPr>
        <w:drawing>
          <wp:inline distT="0" distB="0" distL="0" distR="0" wp14:anchorId="1AB965E5">
            <wp:extent cx="6163310" cy="3719195"/>
            <wp:effectExtent l="0" t="0" r="889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63310" cy="3719195"/>
                    </a:xfrm>
                    <a:prstGeom prst="rect">
                      <a:avLst/>
                    </a:prstGeom>
                    <a:noFill/>
                  </pic:spPr>
                </pic:pic>
              </a:graphicData>
            </a:graphic>
          </wp:inline>
        </w:drawing>
      </w:r>
    </w:p>
    <w:p w:rsidR="0090060D" w:rsidRDefault="00E31AB3" w:rsidP="00E31AB3">
      <w:pPr>
        <w:pStyle w:val="Caption"/>
      </w:pPr>
      <w:r>
        <w:t xml:space="preserve">Figure </w:t>
      </w:r>
      <w:r w:rsidR="002E375B">
        <w:fldChar w:fldCharType="begin"/>
      </w:r>
      <w:r w:rsidR="002E375B">
        <w:instrText xml:space="preserve"> SEQ Figure \* ARABIC </w:instrText>
      </w:r>
      <w:r w:rsidR="002E375B">
        <w:fldChar w:fldCharType="separate"/>
      </w:r>
      <w:r w:rsidR="00D538BE">
        <w:rPr>
          <w:noProof/>
        </w:rPr>
        <w:t>12</w:t>
      </w:r>
      <w:r w:rsidR="002E375B">
        <w:rPr>
          <w:noProof/>
        </w:rPr>
        <w:fldChar w:fldCharType="end"/>
      </w:r>
      <w:r>
        <w:t xml:space="preserve"> Ethanol calibration curve of lower concentrations with error margins. </w:t>
      </w:r>
    </w:p>
    <w:p w:rsidR="0090060D" w:rsidRDefault="0090060D"/>
    <w:p w:rsidR="001524B7" w:rsidRDefault="0098226F">
      <w:r>
        <w:lastRenderedPageBreak/>
        <w:t>Appendix 7. Information about CBD oil sample.</w:t>
      </w:r>
    </w:p>
    <w:p w:rsidR="00296123" w:rsidRDefault="00296123" w:rsidP="00296123">
      <w:pPr>
        <w:pStyle w:val="Caption"/>
      </w:pPr>
      <w:r>
        <w:t xml:space="preserve">Table </w:t>
      </w:r>
      <w:r w:rsidR="002E375B">
        <w:fldChar w:fldCharType="begin"/>
      </w:r>
      <w:r w:rsidR="002E375B">
        <w:instrText xml:space="preserve"> SEQ Table \* ARABIC </w:instrText>
      </w:r>
      <w:r w:rsidR="002E375B">
        <w:fldChar w:fldCharType="separate"/>
      </w:r>
      <w:r w:rsidR="00715BEF">
        <w:rPr>
          <w:noProof/>
        </w:rPr>
        <w:t>6</w:t>
      </w:r>
      <w:r w:rsidR="002E375B">
        <w:rPr>
          <w:noProof/>
        </w:rPr>
        <w:fldChar w:fldCharType="end"/>
      </w:r>
      <w:r>
        <w:t xml:space="preserve"> Information of the CBD oil sample which was purchased from a local drugstore as stated on the label. </w:t>
      </w:r>
    </w:p>
    <w:tbl>
      <w:tblPr>
        <w:tblW w:w="9840" w:type="dxa"/>
        <w:tblCellMar>
          <w:left w:w="70" w:type="dxa"/>
          <w:right w:w="70" w:type="dxa"/>
        </w:tblCellMar>
        <w:tblLook w:val="04A0" w:firstRow="1" w:lastRow="0" w:firstColumn="1" w:lastColumn="0" w:noHBand="0" w:noVBand="1"/>
      </w:tblPr>
      <w:tblGrid>
        <w:gridCol w:w="1420"/>
        <w:gridCol w:w="1409"/>
        <w:gridCol w:w="1780"/>
        <w:gridCol w:w="1660"/>
        <w:gridCol w:w="3571"/>
      </w:tblGrid>
      <w:tr w:rsidR="0098226F" w:rsidRPr="0098226F" w:rsidTr="00637E31">
        <w:trPr>
          <w:trHeight w:val="405"/>
        </w:trPr>
        <w:tc>
          <w:tcPr>
            <w:tcW w:w="1420" w:type="dxa"/>
            <w:tcBorders>
              <w:top w:val="single" w:sz="4" w:space="0" w:color="auto"/>
              <w:left w:val="nil"/>
              <w:bottom w:val="thinThickThinSmallGap" w:sz="24" w:space="0" w:color="auto"/>
              <w:right w:val="nil"/>
            </w:tcBorders>
            <w:shd w:val="clear" w:color="auto" w:fill="DBE5F1" w:themeFill="accent1" w:themeFillTint="33"/>
            <w:vAlign w:val="center"/>
            <w:hideMark/>
          </w:tcPr>
          <w:p w:rsidR="0098226F" w:rsidRPr="0098226F" w:rsidRDefault="0098226F" w:rsidP="0098226F">
            <w:pPr>
              <w:spacing w:after="0" w:line="240" w:lineRule="auto"/>
              <w:jc w:val="center"/>
              <w:rPr>
                <w:rFonts w:ascii="Calibri" w:eastAsia="Times New Roman" w:hAnsi="Calibri" w:cs="Calibri"/>
                <w:b/>
                <w:color w:val="000000"/>
                <w:lang w:eastAsia="fi-FI"/>
              </w:rPr>
            </w:pPr>
            <w:r w:rsidRPr="0098226F">
              <w:rPr>
                <w:rFonts w:ascii="Calibri" w:eastAsia="Times New Roman" w:hAnsi="Calibri" w:cs="Calibri"/>
                <w:b/>
                <w:color w:val="000000"/>
                <w:lang w:eastAsia="fi-FI"/>
              </w:rPr>
              <w:t xml:space="preserve">Product name </w:t>
            </w:r>
          </w:p>
        </w:tc>
        <w:tc>
          <w:tcPr>
            <w:tcW w:w="1400" w:type="dxa"/>
            <w:tcBorders>
              <w:top w:val="single" w:sz="4" w:space="0" w:color="auto"/>
              <w:left w:val="nil"/>
              <w:bottom w:val="thinThickThinSmallGap" w:sz="24" w:space="0" w:color="auto"/>
              <w:right w:val="nil"/>
            </w:tcBorders>
            <w:shd w:val="clear" w:color="auto" w:fill="DBE5F1" w:themeFill="accent1" w:themeFillTint="33"/>
            <w:vAlign w:val="center"/>
            <w:hideMark/>
          </w:tcPr>
          <w:p w:rsidR="0098226F" w:rsidRPr="0098226F" w:rsidRDefault="0098226F" w:rsidP="0098226F">
            <w:pPr>
              <w:spacing w:after="0" w:line="240" w:lineRule="auto"/>
              <w:jc w:val="center"/>
              <w:rPr>
                <w:rFonts w:ascii="Calibri" w:eastAsia="Times New Roman" w:hAnsi="Calibri" w:cs="Calibri"/>
                <w:b/>
                <w:color w:val="000000"/>
                <w:lang w:eastAsia="fi-FI"/>
              </w:rPr>
            </w:pPr>
            <w:r w:rsidRPr="0098226F">
              <w:rPr>
                <w:rFonts w:ascii="Calibri" w:eastAsia="Times New Roman" w:hAnsi="Calibri" w:cs="Calibri"/>
                <w:b/>
                <w:color w:val="000000"/>
                <w:lang w:eastAsia="fi-FI"/>
              </w:rPr>
              <w:t xml:space="preserve">Manufacturer </w:t>
            </w:r>
          </w:p>
        </w:tc>
        <w:tc>
          <w:tcPr>
            <w:tcW w:w="1780" w:type="dxa"/>
            <w:tcBorders>
              <w:top w:val="single" w:sz="4" w:space="0" w:color="auto"/>
              <w:left w:val="nil"/>
              <w:bottom w:val="thinThickThinSmallGap" w:sz="24" w:space="0" w:color="auto"/>
              <w:right w:val="nil"/>
            </w:tcBorders>
            <w:shd w:val="clear" w:color="auto" w:fill="DBE5F1" w:themeFill="accent1" w:themeFillTint="33"/>
            <w:vAlign w:val="center"/>
            <w:hideMark/>
          </w:tcPr>
          <w:p w:rsidR="0098226F" w:rsidRPr="0098226F" w:rsidRDefault="0098226F" w:rsidP="0098226F">
            <w:pPr>
              <w:spacing w:after="0" w:line="240" w:lineRule="auto"/>
              <w:jc w:val="center"/>
              <w:rPr>
                <w:rFonts w:ascii="Calibri" w:eastAsia="Times New Roman" w:hAnsi="Calibri" w:cs="Calibri"/>
                <w:b/>
                <w:color w:val="000000"/>
                <w:lang w:eastAsia="fi-FI"/>
              </w:rPr>
            </w:pPr>
            <w:r w:rsidRPr="0098226F">
              <w:rPr>
                <w:rFonts w:ascii="Calibri" w:eastAsia="Times New Roman" w:hAnsi="Calibri" w:cs="Calibri"/>
                <w:b/>
                <w:color w:val="000000"/>
                <w:lang w:eastAsia="fi-FI"/>
              </w:rPr>
              <w:t xml:space="preserve">CBD concentration </w:t>
            </w:r>
          </w:p>
        </w:tc>
        <w:tc>
          <w:tcPr>
            <w:tcW w:w="1660" w:type="dxa"/>
            <w:tcBorders>
              <w:top w:val="single" w:sz="4" w:space="0" w:color="auto"/>
              <w:left w:val="nil"/>
              <w:bottom w:val="thinThickThinSmallGap" w:sz="24" w:space="0" w:color="auto"/>
              <w:right w:val="nil"/>
            </w:tcBorders>
            <w:shd w:val="clear" w:color="auto" w:fill="DBE5F1" w:themeFill="accent1" w:themeFillTint="33"/>
            <w:vAlign w:val="center"/>
            <w:hideMark/>
          </w:tcPr>
          <w:p w:rsidR="0098226F" w:rsidRPr="0098226F" w:rsidRDefault="0098226F" w:rsidP="0098226F">
            <w:pPr>
              <w:spacing w:after="0" w:line="240" w:lineRule="auto"/>
              <w:jc w:val="center"/>
              <w:rPr>
                <w:rFonts w:ascii="Calibri" w:eastAsia="Times New Roman" w:hAnsi="Calibri" w:cs="Calibri"/>
                <w:b/>
                <w:color w:val="000000"/>
                <w:lang w:eastAsia="fi-FI"/>
              </w:rPr>
            </w:pPr>
            <w:r w:rsidRPr="0098226F">
              <w:rPr>
                <w:rFonts w:ascii="Calibri" w:eastAsia="Times New Roman" w:hAnsi="Calibri" w:cs="Calibri"/>
                <w:b/>
                <w:color w:val="000000"/>
                <w:lang w:eastAsia="fi-FI"/>
              </w:rPr>
              <w:t xml:space="preserve">Ingredients </w:t>
            </w:r>
          </w:p>
        </w:tc>
        <w:tc>
          <w:tcPr>
            <w:tcW w:w="3580" w:type="dxa"/>
            <w:tcBorders>
              <w:top w:val="single" w:sz="4" w:space="0" w:color="auto"/>
              <w:left w:val="nil"/>
              <w:bottom w:val="thinThickThinSmallGap" w:sz="24" w:space="0" w:color="auto"/>
              <w:right w:val="nil"/>
            </w:tcBorders>
            <w:shd w:val="clear" w:color="auto" w:fill="DBE5F1" w:themeFill="accent1" w:themeFillTint="33"/>
            <w:vAlign w:val="center"/>
            <w:hideMark/>
          </w:tcPr>
          <w:p w:rsidR="0098226F" w:rsidRPr="0098226F" w:rsidRDefault="0098226F" w:rsidP="0098226F">
            <w:pPr>
              <w:spacing w:after="0" w:line="240" w:lineRule="auto"/>
              <w:jc w:val="center"/>
              <w:rPr>
                <w:rFonts w:ascii="Calibri" w:eastAsia="Times New Roman" w:hAnsi="Calibri" w:cs="Calibri"/>
                <w:b/>
                <w:color w:val="000000"/>
                <w:lang w:eastAsia="fi-FI"/>
              </w:rPr>
            </w:pPr>
            <w:r w:rsidRPr="0098226F">
              <w:rPr>
                <w:rFonts w:ascii="Calibri" w:eastAsia="Times New Roman" w:hAnsi="Calibri" w:cs="Calibri"/>
                <w:b/>
                <w:color w:val="000000"/>
                <w:lang w:eastAsia="fi-FI"/>
              </w:rPr>
              <w:t xml:space="preserve">Sample information </w:t>
            </w:r>
          </w:p>
        </w:tc>
      </w:tr>
      <w:tr w:rsidR="0098226F" w:rsidRPr="0024065B" w:rsidTr="00CC7D5E">
        <w:trPr>
          <w:trHeight w:val="3657"/>
        </w:trPr>
        <w:tc>
          <w:tcPr>
            <w:tcW w:w="1420" w:type="dxa"/>
            <w:tcBorders>
              <w:top w:val="thinThickThinSmallGap" w:sz="24" w:space="0" w:color="auto"/>
              <w:left w:val="nil"/>
              <w:bottom w:val="single" w:sz="4" w:space="0" w:color="auto"/>
              <w:right w:val="nil"/>
            </w:tcBorders>
            <w:shd w:val="clear" w:color="auto" w:fill="auto"/>
            <w:noWrap/>
            <w:vAlign w:val="center"/>
            <w:hideMark/>
          </w:tcPr>
          <w:p w:rsidR="0098226F" w:rsidRPr="0098226F" w:rsidRDefault="0098226F" w:rsidP="0098226F">
            <w:pPr>
              <w:spacing w:after="0" w:line="240" w:lineRule="auto"/>
              <w:jc w:val="center"/>
              <w:rPr>
                <w:rFonts w:ascii="Calibri" w:eastAsia="Times New Roman" w:hAnsi="Calibri" w:cs="Calibri"/>
                <w:color w:val="000000"/>
                <w:lang w:eastAsia="fi-FI"/>
              </w:rPr>
            </w:pPr>
            <w:r w:rsidRPr="0098226F">
              <w:rPr>
                <w:rFonts w:ascii="Calibri" w:eastAsia="Times New Roman" w:hAnsi="Calibri" w:cs="Calibri"/>
                <w:color w:val="000000"/>
                <w:lang w:eastAsia="fi-FI"/>
              </w:rPr>
              <w:t>CBD Olie</w:t>
            </w:r>
          </w:p>
        </w:tc>
        <w:tc>
          <w:tcPr>
            <w:tcW w:w="1400" w:type="dxa"/>
            <w:tcBorders>
              <w:top w:val="thinThickThinSmallGap" w:sz="24" w:space="0" w:color="auto"/>
              <w:left w:val="nil"/>
              <w:bottom w:val="single" w:sz="4" w:space="0" w:color="auto"/>
              <w:right w:val="nil"/>
            </w:tcBorders>
            <w:shd w:val="clear" w:color="auto" w:fill="auto"/>
            <w:noWrap/>
            <w:vAlign w:val="center"/>
            <w:hideMark/>
          </w:tcPr>
          <w:p w:rsidR="0098226F" w:rsidRPr="0098226F" w:rsidRDefault="0098226F" w:rsidP="0098226F">
            <w:pPr>
              <w:spacing w:after="0" w:line="240" w:lineRule="auto"/>
              <w:jc w:val="center"/>
              <w:rPr>
                <w:rFonts w:ascii="Calibri" w:eastAsia="Times New Roman" w:hAnsi="Calibri" w:cs="Calibri"/>
                <w:color w:val="000000"/>
                <w:lang w:eastAsia="fi-FI"/>
              </w:rPr>
            </w:pPr>
            <w:r w:rsidRPr="0098226F">
              <w:rPr>
                <w:rFonts w:ascii="Calibri" w:eastAsia="Times New Roman" w:hAnsi="Calibri" w:cs="Calibri"/>
                <w:color w:val="000000"/>
                <w:lang w:eastAsia="fi-FI"/>
              </w:rPr>
              <w:t>Jacob Hooy</w:t>
            </w:r>
          </w:p>
        </w:tc>
        <w:tc>
          <w:tcPr>
            <w:tcW w:w="1780" w:type="dxa"/>
            <w:tcBorders>
              <w:top w:val="thinThickThinSmallGap" w:sz="24" w:space="0" w:color="auto"/>
              <w:left w:val="nil"/>
              <w:bottom w:val="single" w:sz="4" w:space="0" w:color="auto"/>
              <w:right w:val="nil"/>
            </w:tcBorders>
            <w:shd w:val="clear" w:color="auto" w:fill="auto"/>
            <w:noWrap/>
            <w:vAlign w:val="center"/>
            <w:hideMark/>
          </w:tcPr>
          <w:p w:rsidR="0098226F" w:rsidRPr="0098226F" w:rsidRDefault="0098226F" w:rsidP="0098226F">
            <w:pPr>
              <w:spacing w:after="0" w:line="240" w:lineRule="auto"/>
              <w:jc w:val="center"/>
              <w:rPr>
                <w:rFonts w:ascii="Calibri" w:eastAsia="Times New Roman" w:hAnsi="Calibri" w:cs="Calibri"/>
                <w:color w:val="000000"/>
                <w:lang w:eastAsia="fi-FI"/>
              </w:rPr>
            </w:pPr>
            <w:r w:rsidRPr="0098226F">
              <w:rPr>
                <w:rFonts w:ascii="Calibri" w:eastAsia="Times New Roman" w:hAnsi="Calibri" w:cs="Calibri"/>
                <w:color w:val="000000"/>
                <w:lang w:eastAsia="fi-FI"/>
              </w:rPr>
              <w:t>2.75 %</w:t>
            </w:r>
          </w:p>
        </w:tc>
        <w:tc>
          <w:tcPr>
            <w:tcW w:w="1660" w:type="dxa"/>
            <w:tcBorders>
              <w:top w:val="thinThickThinSmallGap" w:sz="24" w:space="0" w:color="auto"/>
              <w:left w:val="nil"/>
              <w:bottom w:val="single" w:sz="4" w:space="0" w:color="auto"/>
              <w:right w:val="nil"/>
            </w:tcBorders>
            <w:shd w:val="clear" w:color="auto" w:fill="auto"/>
            <w:vAlign w:val="center"/>
            <w:hideMark/>
          </w:tcPr>
          <w:p w:rsidR="0098226F" w:rsidRPr="00CC7D5E" w:rsidRDefault="0098226F" w:rsidP="0098226F">
            <w:pPr>
              <w:spacing w:after="0" w:line="240" w:lineRule="auto"/>
              <w:jc w:val="center"/>
              <w:rPr>
                <w:rFonts w:ascii="Calibri" w:eastAsia="Times New Roman" w:hAnsi="Calibri" w:cs="Calibri"/>
                <w:color w:val="000000"/>
                <w:lang w:val="de-DE" w:eastAsia="fi-FI"/>
              </w:rPr>
            </w:pPr>
            <w:r w:rsidRPr="00DF7840">
              <w:rPr>
                <w:rFonts w:ascii="Calibri" w:eastAsia="Times New Roman" w:hAnsi="Calibri" w:cs="Calibri"/>
                <w:color w:val="000000"/>
                <w:lang w:val="nl-NL" w:eastAsia="fi-FI"/>
              </w:rPr>
              <w:t>Hennepzaadolie, henneppasta</w:t>
            </w:r>
            <w:r w:rsidR="00CC7D5E" w:rsidRPr="00DF7840">
              <w:rPr>
                <w:rFonts w:ascii="Calibri" w:eastAsia="Times New Roman" w:hAnsi="Calibri" w:cs="Calibri"/>
                <w:color w:val="000000"/>
                <w:lang w:val="nl-NL" w:eastAsia="fi-FI"/>
              </w:rPr>
              <w:t xml:space="preserve"> (blade n bloem). </w:t>
            </w:r>
            <w:r w:rsidR="00CC7D5E">
              <w:rPr>
                <w:rFonts w:ascii="Calibri" w:eastAsia="Times New Roman" w:hAnsi="Calibri" w:cs="Calibri"/>
                <w:color w:val="000000"/>
                <w:lang w:val="de-DE" w:eastAsia="fi-FI"/>
              </w:rPr>
              <w:t>Bevat ca. 2750mg</w:t>
            </w:r>
            <w:r w:rsidRPr="00CC7D5E">
              <w:rPr>
                <w:rFonts w:ascii="Calibri" w:eastAsia="Times New Roman" w:hAnsi="Calibri" w:cs="Calibri"/>
                <w:color w:val="000000"/>
                <w:lang w:val="de-DE" w:eastAsia="fi-FI"/>
              </w:rPr>
              <w:t xml:space="preserve"> CBD</w:t>
            </w:r>
          </w:p>
        </w:tc>
        <w:tc>
          <w:tcPr>
            <w:tcW w:w="3580" w:type="dxa"/>
            <w:tcBorders>
              <w:top w:val="thinThickThinSmallGap" w:sz="24" w:space="0" w:color="auto"/>
              <w:left w:val="nil"/>
              <w:bottom w:val="single" w:sz="4" w:space="0" w:color="auto"/>
              <w:right w:val="nil"/>
            </w:tcBorders>
            <w:shd w:val="clear" w:color="auto" w:fill="auto"/>
            <w:vAlign w:val="center"/>
            <w:hideMark/>
          </w:tcPr>
          <w:p w:rsidR="0098226F" w:rsidRPr="00CC7D5E" w:rsidRDefault="00CC7D5E" w:rsidP="00CC7D5E">
            <w:pPr>
              <w:spacing w:after="0" w:line="240" w:lineRule="auto"/>
              <w:jc w:val="center"/>
              <w:rPr>
                <w:rFonts w:ascii="Calibri" w:eastAsia="Times New Roman" w:hAnsi="Calibri" w:cs="Calibri"/>
                <w:color w:val="000000"/>
                <w:lang w:val="nl-NL" w:eastAsia="fi-FI"/>
              </w:rPr>
            </w:pPr>
            <w:r w:rsidRPr="00CC7D5E">
              <w:rPr>
                <w:rFonts w:ascii="Calibri" w:eastAsia="Times New Roman" w:hAnsi="Calibri" w:cs="Calibri"/>
                <w:color w:val="000000"/>
                <w:lang w:val="nl-NL" w:eastAsia="fi-FI"/>
              </w:rPr>
              <w:t xml:space="preserve"> Druppel 2-3 maal daags enkele druppels onder de tong. Max. 15 druppels per dag. Laat de olie 1 minuut in de mond alvorens in the slikken. Dosering langzaam opbouwen, deze verschilt per person. Dagelijks aanbevolen hoeveelheid niet overschrijden. Niet gebruiken tijdents zwangerschap en borstvoeding. </w:t>
            </w:r>
          </w:p>
        </w:tc>
      </w:tr>
    </w:tbl>
    <w:p w:rsidR="0098226F" w:rsidRPr="00D501E5" w:rsidRDefault="0098226F">
      <w:pPr>
        <w:rPr>
          <w:lang w:val="de-DE"/>
        </w:rPr>
      </w:pPr>
    </w:p>
    <w:p w:rsidR="001524B7" w:rsidRDefault="00F02671">
      <w:r w:rsidRPr="00114D81">
        <w:t xml:space="preserve">Appendix 8. </w:t>
      </w:r>
      <w:r w:rsidR="00114D81" w:rsidRPr="00114D81">
        <w:t xml:space="preserve">HPLC instrument configuration </w:t>
      </w:r>
    </w:p>
    <w:p w:rsidR="00CC7D5E" w:rsidRPr="00114D81" w:rsidRDefault="00CC7D5E" w:rsidP="00CC7D5E">
      <w:pPr>
        <w:pStyle w:val="Caption"/>
      </w:pPr>
      <w:r>
        <w:t xml:space="preserve">Table </w:t>
      </w:r>
      <w:r w:rsidR="002E375B">
        <w:fldChar w:fldCharType="begin"/>
      </w:r>
      <w:r w:rsidR="002E375B">
        <w:instrText xml:space="preserve"> SEQ Table \* ARABIC </w:instrText>
      </w:r>
      <w:r w:rsidR="002E375B">
        <w:fldChar w:fldCharType="separate"/>
      </w:r>
      <w:r w:rsidR="00715BEF">
        <w:rPr>
          <w:noProof/>
        </w:rPr>
        <w:t>7</w:t>
      </w:r>
      <w:r w:rsidR="002E375B">
        <w:rPr>
          <w:noProof/>
        </w:rPr>
        <w:fldChar w:fldCharType="end"/>
      </w:r>
      <w:r>
        <w:t xml:space="preserve"> HPLC instrument configuration for </w:t>
      </w:r>
      <w:r w:rsidR="00BD4F58">
        <w:t xml:space="preserve">cannabinoid separation. </w:t>
      </w:r>
    </w:p>
    <w:tbl>
      <w:tblPr>
        <w:tblW w:w="9782" w:type="dxa"/>
        <w:tblBorders>
          <w:top w:val="single" w:sz="4" w:space="0" w:color="auto"/>
          <w:bottom w:val="single" w:sz="4" w:space="0" w:color="auto"/>
          <w:insideH w:val="single" w:sz="4" w:space="0" w:color="auto"/>
        </w:tblBorders>
        <w:tblCellMar>
          <w:left w:w="70" w:type="dxa"/>
          <w:right w:w="70" w:type="dxa"/>
        </w:tblCellMar>
        <w:tblLook w:val="04A0" w:firstRow="1" w:lastRow="0" w:firstColumn="1" w:lastColumn="0" w:noHBand="0" w:noVBand="1"/>
      </w:tblPr>
      <w:tblGrid>
        <w:gridCol w:w="5673"/>
        <w:gridCol w:w="4109"/>
      </w:tblGrid>
      <w:tr w:rsidR="00114D81" w:rsidRPr="00114D81" w:rsidTr="00637E31">
        <w:trPr>
          <w:trHeight w:val="315"/>
        </w:trPr>
        <w:tc>
          <w:tcPr>
            <w:tcW w:w="5673" w:type="dxa"/>
            <w:tcBorders>
              <w:bottom w:val="thinThickThinSmallGap" w:sz="24" w:space="0" w:color="auto"/>
            </w:tcBorders>
            <w:shd w:val="clear" w:color="auto" w:fill="DBE5F1" w:themeFill="accent1" w:themeFillTint="33"/>
            <w:noWrap/>
            <w:vAlign w:val="center"/>
            <w:hideMark/>
          </w:tcPr>
          <w:p w:rsidR="00114D81" w:rsidRPr="00114D81" w:rsidRDefault="00114D81" w:rsidP="00114D81">
            <w:pPr>
              <w:spacing w:after="0" w:line="240" w:lineRule="auto"/>
              <w:jc w:val="center"/>
              <w:rPr>
                <w:rFonts w:ascii="Calibri" w:eastAsia="Times New Roman" w:hAnsi="Calibri" w:cs="Calibri"/>
                <w:b/>
                <w:color w:val="000000"/>
                <w:lang w:eastAsia="fi-FI"/>
              </w:rPr>
            </w:pPr>
            <w:r w:rsidRPr="00114D81">
              <w:rPr>
                <w:rFonts w:ascii="Calibri" w:eastAsia="Times New Roman" w:hAnsi="Calibri" w:cs="Calibri"/>
                <w:b/>
                <w:color w:val="000000"/>
                <w:lang w:eastAsia="fi-FI"/>
              </w:rPr>
              <w:t xml:space="preserve">HPLC configuration </w:t>
            </w:r>
          </w:p>
        </w:tc>
        <w:tc>
          <w:tcPr>
            <w:tcW w:w="4109" w:type="dxa"/>
            <w:tcBorders>
              <w:bottom w:val="thinThickThinSmallGap" w:sz="24" w:space="0" w:color="auto"/>
            </w:tcBorders>
            <w:shd w:val="clear" w:color="auto" w:fill="DBE5F1" w:themeFill="accent1" w:themeFillTint="33"/>
            <w:noWrap/>
            <w:vAlign w:val="center"/>
            <w:hideMark/>
          </w:tcPr>
          <w:p w:rsidR="00114D81" w:rsidRPr="00114D81" w:rsidRDefault="00114D81" w:rsidP="00114D81">
            <w:pPr>
              <w:spacing w:after="0" w:line="240" w:lineRule="auto"/>
              <w:jc w:val="center"/>
              <w:rPr>
                <w:rFonts w:ascii="Calibri" w:eastAsia="Times New Roman" w:hAnsi="Calibri" w:cs="Calibri"/>
                <w:b/>
                <w:color w:val="000000"/>
                <w:lang w:eastAsia="fi-FI"/>
              </w:rPr>
            </w:pPr>
            <w:r w:rsidRPr="00114D81">
              <w:rPr>
                <w:rFonts w:ascii="Calibri" w:eastAsia="Times New Roman" w:hAnsi="Calibri" w:cs="Calibri"/>
                <w:b/>
                <w:color w:val="000000"/>
                <w:lang w:eastAsia="fi-FI"/>
              </w:rPr>
              <w:t xml:space="preserve">Part number </w:t>
            </w:r>
          </w:p>
        </w:tc>
      </w:tr>
      <w:tr w:rsidR="00114D81" w:rsidRPr="00114D81" w:rsidTr="00114D81">
        <w:trPr>
          <w:trHeight w:val="315"/>
        </w:trPr>
        <w:tc>
          <w:tcPr>
            <w:tcW w:w="5673" w:type="dxa"/>
            <w:tcBorders>
              <w:top w:val="thinThickThinSmallGap" w:sz="24" w:space="0" w:color="auto"/>
            </w:tcBorders>
            <w:shd w:val="clear" w:color="auto" w:fill="auto"/>
            <w:noWrap/>
            <w:vAlign w:val="center"/>
            <w:hideMark/>
          </w:tcPr>
          <w:p w:rsidR="00114D81" w:rsidRPr="00114D81" w:rsidRDefault="00114D81" w:rsidP="00114D81">
            <w:pPr>
              <w:spacing w:after="0" w:line="240" w:lineRule="auto"/>
              <w:jc w:val="center"/>
              <w:rPr>
                <w:rFonts w:ascii="Calibri" w:eastAsia="Times New Roman" w:hAnsi="Calibri" w:cs="Calibri"/>
                <w:color w:val="000000"/>
                <w:lang w:eastAsia="fi-FI"/>
              </w:rPr>
            </w:pPr>
            <w:r w:rsidRPr="00114D81">
              <w:rPr>
                <w:rFonts w:ascii="Calibri" w:eastAsia="Times New Roman" w:hAnsi="Calibri" w:cs="Calibri"/>
                <w:color w:val="000000"/>
                <w:lang w:eastAsia="fi-FI"/>
              </w:rPr>
              <w:t xml:space="preserve">1260 Infinity Quaternary Pump with a degasser </w:t>
            </w:r>
          </w:p>
        </w:tc>
        <w:tc>
          <w:tcPr>
            <w:tcW w:w="4109" w:type="dxa"/>
            <w:tcBorders>
              <w:top w:val="thinThickThinSmallGap" w:sz="24" w:space="0" w:color="auto"/>
            </w:tcBorders>
            <w:shd w:val="clear" w:color="auto" w:fill="auto"/>
            <w:noWrap/>
            <w:vAlign w:val="center"/>
            <w:hideMark/>
          </w:tcPr>
          <w:p w:rsidR="00114D81" w:rsidRPr="00114D81" w:rsidRDefault="00114D81" w:rsidP="00114D81">
            <w:pPr>
              <w:spacing w:after="0" w:line="240" w:lineRule="auto"/>
              <w:jc w:val="center"/>
              <w:rPr>
                <w:rFonts w:ascii="Calibri" w:eastAsia="Times New Roman" w:hAnsi="Calibri" w:cs="Calibri"/>
                <w:color w:val="000000"/>
                <w:lang w:eastAsia="fi-FI"/>
              </w:rPr>
            </w:pPr>
            <w:r w:rsidRPr="00114D81">
              <w:rPr>
                <w:rFonts w:ascii="Calibri" w:eastAsia="Times New Roman" w:hAnsi="Calibri" w:cs="Calibri"/>
                <w:color w:val="000000"/>
                <w:lang w:eastAsia="fi-FI"/>
              </w:rPr>
              <w:t>(p/n G1311B)</w:t>
            </w:r>
          </w:p>
        </w:tc>
      </w:tr>
      <w:tr w:rsidR="00114D81" w:rsidRPr="00114D81" w:rsidTr="00114D81">
        <w:trPr>
          <w:trHeight w:val="315"/>
        </w:trPr>
        <w:tc>
          <w:tcPr>
            <w:tcW w:w="5673" w:type="dxa"/>
            <w:shd w:val="clear" w:color="auto" w:fill="auto"/>
            <w:noWrap/>
            <w:vAlign w:val="center"/>
            <w:hideMark/>
          </w:tcPr>
          <w:p w:rsidR="00114D81" w:rsidRPr="00114D81" w:rsidRDefault="00114D81" w:rsidP="00114D81">
            <w:pPr>
              <w:spacing w:after="0" w:line="240" w:lineRule="auto"/>
              <w:jc w:val="center"/>
              <w:rPr>
                <w:rFonts w:ascii="Calibri" w:eastAsia="Times New Roman" w:hAnsi="Calibri" w:cs="Calibri"/>
                <w:color w:val="000000"/>
                <w:lang w:eastAsia="fi-FI"/>
              </w:rPr>
            </w:pPr>
            <w:r w:rsidRPr="00114D81">
              <w:rPr>
                <w:rFonts w:ascii="Calibri" w:eastAsia="Times New Roman" w:hAnsi="Calibri" w:cs="Calibri"/>
                <w:color w:val="000000"/>
                <w:lang w:eastAsia="fi-FI"/>
              </w:rPr>
              <w:t xml:space="preserve">1260 Infinity Automatic Liquid Sampler </w:t>
            </w:r>
          </w:p>
        </w:tc>
        <w:tc>
          <w:tcPr>
            <w:tcW w:w="4109" w:type="dxa"/>
            <w:shd w:val="clear" w:color="auto" w:fill="auto"/>
            <w:noWrap/>
            <w:vAlign w:val="center"/>
            <w:hideMark/>
          </w:tcPr>
          <w:p w:rsidR="00114D81" w:rsidRPr="00114D81" w:rsidRDefault="00114D81" w:rsidP="00114D81">
            <w:pPr>
              <w:spacing w:after="0" w:line="240" w:lineRule="auto"/>
              <w:jc w:val="center"/>
              <w:rPr>
                <w:rFonts w:ascii="Calibri" w:eastAsia="Times New Roman" w:hAnsi="Calibri" w:cs="Calibri"/>
                <w:color w:val="000000"/>
                <w:lang w:eastAsia="fi-FI"/>
              </w:rPr>
            </w:pPr>
            <w:r w:rsidRPr="00114D81">
              <w:rPr>
                <w:rFonts w:ascii="Calibri" w:eastAsia="Times New Roman" w:hAnsi="Calibri" w:cs="Calibri"/>
                <w:color w:val="000000"/>
                <w:lang w:eastAsia="fi-FI"/>
              </w:rPr>
              <w:t>(p/n G1329B)</w:t>
            </w:r>
          </w:p>
        </w:tc>
      </w:tr>
      <w:tr w:rsidR="00114D81" w:rsidRPr="00114D81" w:rsidTr="00114D81">
        <w:trPr>
          <w:trHeight w:val="315"/>
        </w:trPr>
        <w:tc>
          <w:tcPr>
            <w:tcW w:w="5673" w:type="dxa"/>
            <w:shd w:val="clear" w:color="auto" w:fill="auto"/>
            <w:noWrap/>
            <w:vAlign w:val="center"/>
            <w:hideMark/>
          </w:tcPr>
          <w:p w:rsidR="00114D81" w:rsidRPr="00114D81" w:rsidRDefault="00114D81" w:rsidP="00114D81">
            <w:pPr>
              <w:spacing w:after="0" w:line="240" w:lineRule="auto"/>
              <w:jc w:val="center"/>
              <w:rPr>
                <w:rFonts w:ascii="Calibri" w:eastAsia="Times New Roman" w:hAnsi="Calibri" w:cs="Calibri"/>
                <w:color w:val="000000"/>
                <w:lang w:eastAsia="fi-FI"/>
              </w:rPr>
            </w:pPr>
            <w:r w:rsidRPr="00114D81">
              <w:rPr>
                <w:rFonts w:ascii="Calibri" w:eastAsia="Times New Roman" w:hAnsi="Calibri" w:cs="Calibri"/>
                <w:color w:val="000000"/>
                <w:lang w:eastAsia="fi-FI"/>
              </w:rPr>
              <w:t xml:space="preserve">1260 Infinity Thermostatted Column Compartment </w:t>
            </w:r>
          </w:p>
        </w:tc>
        <w:tc>
          <w:tcPr>
            <w:tcW w:w="4109" w:type="dxa"/>
            <w:shd w:val="clear" w:color="auto" w:fill="auto"/>
            <w:noWrap/>
            <w:vAlign w:val="center"/>
            <w:hideMark/>
          </w:tcPr>
          <w:p w:rsidR="00114D81" w:rsidRPr="00114D81" w:rsidRDefault="00114D81" w:rsidP="00114D81">
            <w:pPr>
              <w:spacing w:after="0" w:line="240" w:lineRule="auto"/>
              <w:jc w:val="center"/>
              <w:rPr>
                <w:rFonts w:ascii="Calibri" w:eastAsia="Times New Roman" w:hAnsi="Calibri" w:cs="Calibri"/>
                <w:color w:val="000000"/>
                <w:lang w:eastAsia="fi-FI"/>
              </w:rPr>
            </w:pPr>
            <w:r w:rsidRPr="00114D81">
              <w:rPr>
                <w:rFonts w:ascii="Calibri" w:eastAsia="Times New Roman" w:hAnsi="Calibri" w:cs="Calibri"/>
                <w:color w:val="000000"/>
                <w:lang w:eastAsia="fi-FI"/>
              </w:rPr>
              <w:t>(p/n G1316A)</w:t>
            </w:r>
          </w:p>
        </w:tc>
      </w:tr>
      <w:tr w:rsidR="00114D81" w:rsidRPr="00114D81" w:rsidTr="00114D81">
        <w:trPr>
          <w:trHeight w:val="315"/>
        </w:trPr>
        <w:tc>
          <w:tcPr>
            <w:tcW w:w="5673" w:type="dxa"/>
            <w:shd w:val="clear" w:color="auto" w:fill="auto"/>
            <w:noWrap/>
            <w:vAlign w:val="center"/>
            <w:hideMark/>
          </w:tcPr>
          <w:p w:rsidR="00114D81" w:rsidRPr="00114D81" w:rsidRDefault="00114D81" w:rsidP="00114D81">
            <w:pPr>
              <w:spacing w:after="0" w:line="240" w:lineRule="auto"/>
              <w:jc w:val="center"/>
              <w:rPr>
                <w:rFonts w:ascii="Calibri" w:eastAsia="Times New Roman" w:hAnsi="Calibri" w:cs="Calibri"/>
                <w:color w:val="000000"/>
                <w:lang w:eastAsia="fi-FI"/>
              </w:rPr>
            </w:pPr>
            <w:r w:rsidRPr="00114D81">
              <w:rPr>
                <w:rFonts w:ascii="Calibri" w:eastAsia="Times New Roman" w:hAnsi="Calibri" w:cs="Calibri"/>
                <w:color w:val="000000"/>
                <w:lang w:eastAsia="fi-FI"/>
              </w:rPr>
              <w:t>1260 Infinity Variable Wavelength Detector</w:t>
            </w:r>
          </w:p>
        </w:tc>
        <w:tc>
          <w:tcPr>
            <w:tcW w:w="4109" w:type="dxa"/>
            <w:shd w:val="clear" w:color="auto" w:fill="auto"/>
            <w:noWrap/>
            <w:vAlign w:val="center"/>
            <w:hideMark/>
          </w:tcPr>
          <w:p w:rsidR="00114D81" w:rsidRPr="00114D81" w:rsidRDefault="00114D81" w:rsidP="00114D81">
            <w:pPr>
              <w:spacing w:after="0" w:line="240" w:lineRule="auto"/>
              <w:jc w:val="center"/>
              <w:rPr>
                <w:rFonts w:ascii="Calibri" w:eastAsia="Times New Roman" w:hAnsi="Calibri" w:cs="Calibri"/>
                <w:color w:val="000000"/>
                <w:lang w:eastAsia="fi-FI"/>
              </w:rPr>
            </w:pPr>
            <w:r w:rsidRPr="00114D81">
              <w:rPr>
                <w:rFonts w:ascii="Calibri" w:eastAsia="Times New Roman" w:hAnsi="Calibri" w:cs="Calibri"/>
                <w:color w:val="000000"/>
                <w:lang w:eastAsia="fi-FI"/>
              </w:rPr>
              <w:t>(p/n G1314F)</w:t>
            </w:r>
          </w:p>
        </w:tc>
      </w:tr>
      <w:tr w:rsidR="00114D81" w:rsidRPr="00114D81" w:rsidTr="00114D81">
        <w:trPr>
          <w:trHeight w:val="315"/>
        </w:trPr>
        <w:tc>
          <w:tcPr>
            <w:tcW w:w="5673" w:type="dxa"/>
            <w:shd w:val="clear" w:color="auto" w:fill="auto"/>
            <w:noWrap/>
            <w:vAlign w:val="center"/>
            <w:hideMark/>
          </w:tcPr>
          <w:p w:rsidR="00114D81" w:rsidRPr="00114D81" w:rsidRDefault="00114D81" w:rsidP="00114D81">
            <w:pPr>
              <w:spacing w:after="0" w:line="240" w:lineRule="auto"/>
              <w:jc w:val="center"/>
              <w:rPr>
                <w:rFonts w:ascii="Calibri" w:eastAsia="Times New Roman" w:hAnsi="Calibri" w:cs="Calibri"/>
                <w:color w:val="000000"/>
                <w:lang w:eastAsia="fi-FI"/>
              </w:rPr>
            </w:pPr>
            <w:r w:rsidRPr="00114D81">
              <w:rPr>
                <w:rFonts w:ascii="Calibri" w:eastAsia="Times New Roman" w:hAnsi="Calibri" w:cs="Calibri"/>
                <w:color w:val="000000"/>
                <w:lang w:eastAsia="fi-FI"/>
              </w:rPr>
              <w:t>Poroshell 120 EC-C18 50 x 2.1 mm i.d. 2.7 µm</w:t>
            </w:r>
          </w:p>
        </w:tc>
        <w:tc>
          <w:tcPr>
            <w:tcW w:w="4109" w:type="dxa"/>
            <w:shd w:val="clear" w:color="auto" w:fill="auto"/>
            <w:noWrap/>
            <w:vAlign w:val="center"/>
            <w:hideMark/>
          </w:tcPr>
          <w:p w:rsidR="00114D81" w:rsidRPr="00114D81" w:rsidRDefault="00114D81" w:rsidP="00114D81">
            <w:pPr>
              <w:spacing w:after="0" w:line="240" w:lineRule="auto"/>
              <w:jc w:val="center"/>
              <w:rPr>
                <w:rFonts w:ascii="Calibri" w:eastAsia="Times New Roman" w:hAnsi="Calibri" w:cs="Calibri"/>
                <w:color w:val="000000"/>
                <w:lang w:eastAsia="fi-FI"/>
              </w:rPr>
            </w:pPr>
            <w:r w:rsidRPr="00114D81">
              <w:rPr>
                <w:rFonts w:ascii="Calibri" w:eastAsia="Times New Roman" w:hAnsi="Calibri" w:cs="Calibri"/>
                <w:color w:val="000000"/>
                <w:lang w:eastAsia="fi-FI"/>
              </w:rPr>
              <w:t xml:space="preserve">(p/n 699775-902) </w:t>
            </w:r>
          </w:p>
        </w:tc>
      </w:tr>
      <w:tr w:rsidR="00114D81" w:rsidRPr="00114D81" w:rsidTr="00114D81">
        <w:trPr>
          <w:trHeight w:val="315"/>
        </w:trPr>
        <w:tc>
          <w:tcPr>
            <w:tcW w:w="5673" w:type="dxa"/>
            <w:shd w:val="clear" w:color="auto" w:fill="auto"/>
            <w:noWrap/>
            <w:vAlign w:val="center"/>
            <w:hideMark/>
          </w:tcPr>
          <w:p w:rsidR="00114D81" w:rsidRPr="00114D81" w:rsidRDefault="00114D81" w:rsidP="00114D81">
            <w:pPr>
              <w:spacing w:after="0" w:line="240" w:lineRule="auto"/>
              <w:jc w:val="center"/>
              <w:rPr>
                <w:rFonts w:ascii="Calibri" w:eastAsia="Times New Roman" w:hAnsi="Calibri" w:cs="Calibri"/>
                <w:color w:val="000000"/>
                <w:lang w:eastAsia="fi-FI"/>
              </w:rPr>
            </w:pPr>
            <w:r w:rsidRPr="00114D81">
              <w:rPr>
                <w:rFonts w:ascii="Calibri" w:eastAsia="Times New Roman" w:hAnsi="Calibri" w:cs="Calibri"/>
                <w:color w:val="000000"/>
                <w:lang w:eastAsia="fi-FI"/>
              </w:rPr>
              <w:t>EC-C18 Guard column 4.6 x 5 mm i.d. 2.7 µm</w:t>
            </w:r>
          </w:p>
        </w:tc>
        <w:tc>
          <w:tcPr>
            <w:tcW w:w="4109" w:type="dxa"/>
            <w:shd w:val="clear" w:color="auto" w:fill="auto"/>
            <w:noWrap/>
            <w:vAlign w:val="center"/>
            <w:hideMark/>
          </w:tcPr>
          <w:p w:rsidR="00114D81" w:rsidRPr="00114D81" w:rsidRDefault="00114D81" w:rsidP="00114D81">
            <w:pPr>
              <w:spacing w:after="0" w:line="240" w:lineRule="auto"/>
              <w:jc w:val="center"/>
              <w:rPr>
                <w:rFonts w:ascii="Calibri" w:eastAsia="Times New Roman" w:hAnsi="Calibri" w:cs="Calibri"/>
                <w:color w:val="000000"/>
                <w:lang w:eastAsia="fi-FI"/>
              </w:rPr>
            </w:pPr>
            <w:r w:rsidRPr="00114D81">
              <w:rPr>
                <w:rFonts w:ascii="Calibri" w:eastAsia="Times New Roman" w:hAnsi="Calibri" w:cs="Calibri"/>
                <w:color w:val="000000"/>
                <w:lang w:eastAsia="fi-FI"/>
              </w:rPr>
              <w:t xml:space="preserve">(p/n 820750-911) </w:t>
            </w:r>
          </w:p>
        </w:tc>
      </w:tr>
    </w:tbl>
    <w:p w:rsidR="00114D81" w:rsidRPr="00114D81" w:rsidRDefault="00114D81" w:rsidP="00114D81">
      <w:pPr>
        <w:spacing w:after="0"/>
      </w:pPr>
    </w:p>
    <w:p w:rsidR="00114D81" w:rsidRDefault="00114D81">
      <w:r w:rsidRPr="00114D81">
        <w:t>Appendix 9. HPLC instrument parameters.</w:t>
      </w:r>
    </w:p>
    <w:p w:rsidR="00BD4F58" w:rsidRPr="00114D81" w:rsidRDefault="00BD4F58" w:rsidP="00BD4F58">
      <w:pPr>
        <w:pStyle w:val="Caption"/>
      </w:pPr>
      <w:r>
        <w:t xml:space="preserve">Table </w:t>
      </w:r>
      <w:r w:rsidR="002E375B">
        <w:fldChar w:fldCharType="begin"/>
      </w:r>
      <w:r w:rsidR="002E375B">
        <w:instrText xml:space="preserve"> SEQ Table \* ARABIC </w:instrText>
      </w:r>
      <w:r w:rsidR="002E375B">
        <w:fldChar w:fldCharType="separate"/>
      </w:r>
      <w:r w:rsidR="00715BEF">
        <w:rPr>
          <w:noProof/>
        </w:rPr>
        <w:t>8</w:t>
      </w:r>
      <w:r w:rsidR="002E375B">
        <w:rPr>
          <w:noProof/>
        </w:rPr>
        <w:fldChar w:fldCharType="end"/>
      </w:r>
      <w:r>
        <w:t xml:space="preserve"> HPLC instrument parameters for cannabinoid separation. </w:t>
      </w:r>
    </w:p>
    <w:tbl>
      <w:tblPr>
        <w:tblW w:w="9356" w:type="dxa"/>
        <w:tblBorders>
          <w:top w:val="single" w:sz="4" w:space="0" w:color="auto"/>
          <w:insideH w:val="single" w:sz="4" w:space="0" w:color="auto"/>
        </w:tblBorders>
        <w:tblCellMar>
          <w:left w:w="70" w:type="dxa"/>
          <w:right w:w="70" w:type="dxa"/>
        </w:tblCellMar>
        <w:tblLook w:val="04A0" w:firstRow="1" w:lastRow="0" w:firstColumn="1" w:lastColumn="0" w:noHBand="0" w:noVBand="1"/>
      </w:tblPr>
      <w:tblGrid>
        <w:gridCol w:w="4111"/>
        <w:gridCol w:w="5245"/>
      </w:tblGrid>
      <w:tr w:rsidR="00114D81" w:rsidRPr="00114D81" w:rsidTr="00637E31">
        <w:trPr>
          <w:trHeight w:val="300"/>
        </w:trPr>
        <w:tc>
          <w:tcPr>
            <w:tcW w:w="4111" w:type="dxa"/>
            <w:tcBorders>
              <w:bottom w:val="thinThickThinSmallGap" w:sz="24" w:space="0" w:color="auto"/>
            </w:tcBorders>
            <w:shd w:val="clear" w:color="auto" w:fill="DBE5F1" w:themeFill="accent1" w:themeFillTint="33"/>
            <w:noWrap/>
            <w:vAlign w:val="center"/>
            <w:hideMark/>
          </w:tcPr>
          <w:p w:rsidR="00114D81" w:rsidRPr="00114D81" w:rsidRDefault="00114D81" w:rsidP="00114D81">
            <w:pPr>
              <w:spacing w:after="0" w:line="240" w:lineRule="auto"/>
              <w:jc w:val="center"/>
              <w:rPr>
                <w:rFonts w:ascii="Calibri" w:eastAsia="Times New Roman" w:hAnsi="Calibri" w:cs="Calibri"/>
                <w:b/>
                <w:color w:val="000000"/>
                <w:lang w:eastAsia="fi-FI"/>
              </w:rPr>
            </w:pPr>
            <w:r w:rsidRPr="00114D81">
              <w:rPr>
                <w:rFonts w:ascii="Calibri" w:eastAsia="Times New Roman" w:hAnsi="Calibri" w:cs="Calibri"/>
                <w:b/>
                <w:color w:val="000000"/>
                <w:lang w:eastAsia="fi-FI"/>
              </w:rPr>
              <w:t xml:space="preserve">Parameter </w:t>
            </w:r>
          </w:p>
        </w:tc>
        <w:tc>
          <w:tcPr>
            <w:tcW w:w="5245" w:type="dxa"/>
            <w:tcBorders>
              <w:bottom w:val="thinThickThinSmallGap" w:sz="24" w:space="0" w:color="auto"/>
            </w:tcBorders>
            <w:shd w:val="clear" w:color="auto" w:fill="DBE5F1" w:themeFill="accent1" w:themeFillTint="33"/>
            <w:noWrap/>
            <w:vAlign w:val="center"/>
            <w:hideMark/>
          </w:tcPr>
          <w:p w:rsidR="00114D81" w:rsidRPr="00114D81" w:rsidRDefault="00114D81" w:rsidP="00114D81">
            <w:pPr>
              <w:spacing w:after="0" w:line="240" w:lineRule="auto"/>
              <w:jc w:val="center"/>
              <w:rPr>
                <w:rFonts w:ascii="Calibri" w:eastAsia="Times New Roman" w:hAnsi="Calibri" w:cs="Calibri"/>
                <w:b/>
                <w:color w:val="000000"/>
                <w:lang w:eastAsia="fi-FI"/>
              </w:rPr>
            </w:pPr>
            <w:r w:rsidRPr="00114D81">
              <w:rPr>
                <w:rFonts w:ascii="Calibri" w:eastAsia="Times New Roman" w:hAnsi="Calibri" w:cs="Calibri"/>
                <w:b/>
                <w:color w:val="000000"/>
                <w:lang w:eastAsia="fi-FI"/>
              </w:rPr>
              <w:t xml:space="preserve">Value </w:t>
            </w:r>
          </w:p>
        </w:tc>
      </w:tr>
      <w:tr w:rsidR="00114D81" w:rsidRPr="00114D81" w:rsidTr="00114D81">
        <w:trPr>
          <w:trHeight w:val="300"/>
        </w:trPr>
        <w:tc>
          <w:tcPr>
            <w:tcW w:w="4111" w:type="dxa"/>
            <w:tcBorders>
              <w:top w:val="thinThickThinSmallGap" w:sz="24" w:space="0" w:color="auto"/>
            </w:tcBorders>
            <w:shd w:val="clear" w:color="auto" w:fill="auto"/>
            <w:noWrap/>
            <w:vAlign w:val="center"/>
            <w:hideMark/>
          </w:tcPr>
          <w:p w:rsidR="00114D81" w:rsidRPr="00114D81" w:rsidRDefault="00114D81" w:rsidP="00114D81">
            <w:pPr>
              <w:spacing w:after="0" w:line="240" w:lineRule="auto"/>
              <w:jc w:val="center"/>
              <w:rPr>
                <w:rFonts w:ascii="Calibri" w:eastAsia="Times New Roman" w:hAnsi="Calibri" w:cs="Calibri"/>
                <w:color w:val="000000"/>
                <w:lang w:eastAsia="fi-FI"/>
              </w:rPr>
            </w:pPr>
            <w:r w:rsidRPr="00114D81">
              <w:rPr>
                <w:rFonts w:ascii="Calibri" w:eastAsia="Times New Roman" w:hAnsi="Calibri" w:cs="Calibri"/>
                <w:color w:val="000000"/>
                <w:lang w:eastAsia="fi-FI"/>
              </w:rPr>
              <w:t>Injection volume (µl)</w:t>
            </w:r>
          </w:p>
        </w:tc>
        <w:tc>
          <w:tcPr>
            <w:tcW w:w="5245" w:type="dxa"/>
            <w:tcBorders>
              <w:top w:val="thinThickThinSmallGap" w:sz="24" w:space="0" w:color="auto"/>
            </w:tcBorders>
            <w:shd w:val="clear" w:color="auto" w:fill="auto"/>
            <w:noWrap/>
            <w:vAlign w:val="center"/>
            <w:hideMark/>
          </w:tcPr>
          <w:p w:rsidR="00114D81" w:rsidRPr="00114D81" w:rsidRDefault="00114D81" w:rsidP="00114D81">
            <w:pPr>
              <w:spacing w:after="0" w:line="240" w:lineRule="auto"/>
              <w:jc w:val="center"/>
              <w:rPr>
                <w:rFonts w:ascii="Calibri" w:eastAsia="Times New Roman" w:hAnsi="Calibri" w:cs="Calibri"/>
                <w:color w:val="000000"/>
                <w:lang w:eastAsia="fi-FI"/>
              </w:rPr>
            </w:pPr>
            <w:r w:rsidRPr="00114D81">
              <w:rPr>
                <w:rFonts w:ascii="Calibri" w:eastAsia="Times New Roman" w:hAnsi="Calibri" w:cs="Calibri"/>
                <w:color w:val="000000"/>
                <w:lang w:eastAsia="fi-FI"/>
              </w:rPr>
              <w:t>2</w:t>
            </w:r>
          </w:p>
        </w:tc>
      </w:tr>
      <w:tr w:rsidR="00114D81" w:rsidRPr="00114D81" w:rsidTr="00114D81">
        <w:trPr>
          <w:trHeight w:val="300"/>
        </w:trPr>
        <w:tc>
          <w:tcPr>
            <w:tcW w:w="4111" w:type="dxa"/>
            <w:shd w:val="clear" w:color="auto" w:fill="auto"/>
            <w:noWrap/>
            <w:vAlign w:val="center"/>
            <w:hideMark/>
          </w:tcPr>
          <w:p w:rsidR="00114D81" w:rsidRPr="00114D81" w:rsidRDefault="003E711F" w:rsidP="00114D81">
            <w:pPr>
              <w:spacing w:after="0" w:line="240" w:lineRule="auto"/>
              <w:jc w:val="center"/>
              <w:rPr>
                <w:rFonts w:ascii="Calibri" w:eastAsia="Times New Roman" w:hAnsi="Calibri" w:cs="Calibri"/>
                <w:color w:val="000000"/>
                <w:lang w:eastAsia="fi-FI"/>
              </w:rPr>
            </w:pPr>
            <w:r>
              <w:rPr>
                <w:rFonts w:ascii="Calibri" w:eastAsia="Times New Roman" w:hAnsi="Calibri" w:cs="Calibri"/>
                <w:color w:val="000000"/>
                <w:lang w:eastAsia="fi-FI"/>
              </w:rPr>
              <w:t>Flow rate (mL</w:t>
            </w:r>
            <w:r w:rsidR="00114D81" w:rsidRPr="00114D81">
              <w:rPr>
                <w:rFonts w:ascii="Calibri" w:eastAsia="Times New Roman" w:hAnsi="Calibri" w:cs="Calibri"/>
                <w:color w:val="000000"/>
                <w:lang w:eastAsia="fi-FI"/>
              </w:rPr>
              <w:t>/min)</w:t>
            </w:r>
          </w:p>
        </w:tc>
        <w:tc>
          <w:tcPr>
            <w:tcW w:w="5245" w:type="dxa"/>
            <w:shd w:val="clear" w:color="auto" w:fill="auto"/>
            <w:noWrap/>
            <w:vAlign w:val="center"/>
            <w:hideMark/>
          </w:tcPr>
          <w:p w:rsidR="00114D81" w:rsidRPr="00114D81" w:rsidRDefault="00114D81" w:rsidP="00114D81">
            <w:pPr>
              <w:spacing w:after="0" w:line="240" w:lineRule="auto"/>
              <w:jc w:val="center"/>
              <w:rPr>
                <w:rFonts w:ascii="Calibri" w:eastAsia="Times New Roman" w:hAnsi="Calibri" w:cs="Calibri"/>
                <w:color w:val="000000"/>
                <w:lang w:eastAsia="fi-FI"/>
              </w:rPr>
            </w:pPr>
            <w:r w:rsidRPr="00114D81">
              <w:rPr>
                <w:rFonts w:ascii="Calibri" w:eastAsia="Times New Roman" w:hAnsi="Calibri" w:cs="Calibri"/>
                <w:color w:val="000000"/>
                <w:lang w:eastAsia="fi-FI"/>
              </w:rPr>
              <w:t>0.500</w:t>
            </w:r>
          </w:p>
        </w:tc>
      </w:tr>
      <w:tr w:rsidR="00114D81" w:rsidRPr="00114D81" w:rsidTr="00114D81">
        <w:trPr>
          <w:trHeight w:val="300"/>
        </w:trPr>
        <w:tc>
          <w:tcPr>
            <w:tcW w:w="4111" w:type="dxa"/>
            <w:shd w:val="clear" w:color="auto" w:fill="auto"/>
            <w:noWrap/>
            <w:vAlign w:val="center"/>
            <w:hideMark/>
          </w:tcPr>
          <w:p w:rsidR="00114D81" w:rsidRPr="00114D81" w:rsidRDefault="00114D81" w:rsidP="00114D81">
            <w:pPr>
              <w:spacing w:after="0" w:line="240" w:lineRule="auto"/>
              <w:jc w:val="center"/>
              <w:rPr>
                <w:rFonts w:ascii="Calibri" w:eastAsia="Times New Roman" w:hAnsi="Calibri" w:cs="Calibri"/>
                <w:color w:val="000000"/>
                <w:lang w:eastAsia="fi-FI"/>
              </w:rPr>
            </w:pPr>
            <w:r w:rsidRPr="00114D81">
              <w:rPr>
                <w:rFonts w:ascii="Calibri" w:eastAsia="Times New Roman" w:hAnsi="Calibri" w:cs="Calibri"/>
                <w:color w:val="000000"/>
                <w:lang w:eastAsia="fi-FI"/>
              </w:rPr>
              <w:t>ALS temperature (°C)</w:t>
            </w:r>
          </w:p>
        </w:tc>
        <w:tc>
          <w:tcPr>
            <w:tcW w:w="5245" w:type="dxa"/>
            <w:shd w:val="clear" w:color="auto" w:fill="auto"/>
            <w:noWrap/>
            <w:vAlign w:val="center"/>
            <w:hideMark/>
          </w:tcPr>
          <w:p w:rsidR="00114D81" w:rsidRPr="00114D81" w:rsidRDefault="00114D81" w:rsidP="00114D81">
            <w:pPr>
              <w:spacing w:after="0" w:line="240" w:lineRule="auto"/>
              <w:jc w:val="center"/>
              <w:rPr>
                <w:rFonts w:ascii="Calibri" w:eastAsia="Times New Roman" w:hAnsi="Calibri" w:cs="Calibri"/>
                <w:color w:val="000000"/>
                <w:lang w:eastAsia="fi-FI"/>
              </w:rPr>
            </w:pPr>
            <w:r w:rsidRPr="00114D81">
              <w:rPr>
                <w:rFonts w:ascii="Calibri" w:eastAsia="Times New Roman" w:hAnsi="Calibri" w:cs="Calibri"/>
                <w:color w:val="000000"/>
                <w:lang w:eastAsia="fi-FI"/>
              </w:rPr>
              <w:t xml:space="preserve">Ambient </w:t>
            </w:r>
          </w:p>
        </w:tc>
      </w:tr>
      <w:tr w:rsidR="00114D81" w:rsidRPr="00114D81" w:rsidTr="00114D81">
        <w:trPr>
          <w:trHeight w:val="300"/>
        </w:trPr>
        <w:tc>
          <w:tcPr>
            <w:tcW w:w="4111" w:type="dxa"/>
            <w:shd w:val="clear" w:color="auto" w:fill="auto"/>
            <w:noWrap/>
            <w:vAlign w:val="center"/>
            <w:hideMark/>
          </w:tcPr>
          <w:p w:rsidR="00114D81" w:rsidRPr="00114D81" w:rsidRDefault="00114D81" w:rsidP="00114D81">
            <w:pPr>
              <w:spacing w:after="0" w:line="240" w:lineRule="auto"/>
              <w:jc w:val="center"/>
              <w:rPr>
                <w:rFonts w:ascii="Calibri" w:eastAsia="Times New Roman" w:hAnsi="Calibri" w:cs="Calibri"/>
                <w:color w:val="000000"/>
                <w:lang w:eastAsia="fi-FI"/>
              </w:rPr>
            </w:pPr>
            <w:r w:rsidRPr="00114D81">
              <w:rPr>
                <w:rFonts w:ascii="Calibri" w:eastAsia="Times New Roman" w:hAnsi="Calibri" w:cs="Calibri"/>
                <w:color w:val="000000"/>
                <w:lang w:eastAsia="fi-FI"/>
              </w:rPr>
              <w:t>Column temperature (°C)</w:t>
            </w:r>
          </w:p>
        </w:tc>
        <w:tc>
          <w:tcPr>
            <w:tcW w:w="5245" w:type="dxa"/>
            <w:shd w:val="clear" w:color="auto" w:fill="auto"/>
            <w:noWrap/>
            <w:vAlign w:val="center"/>
            <w:hideMark/>
          </w:tcPr>
          <w:p w:rsidR="00114D81" w:rsidRPr="00114D81" w:rsidRDefault="00114D81" w:rsidP="00114D81">
            <w:pPr>
              <w:spacing w:after="0" w:line="240" w:lineRule="auto"/>
              <w:jc w:val="center"/>
              <w:rPr>
                <w:rFonts w:ascii="Calibri" w:eastAsia="Times New Roman" w:hAnsi="Calibri" w:cs="Calibri"/>
                <w:color w:val="000000"/>
                <w:lang w:eastAsia="fi-FI"/>
              </w:rPr>
            </w:pPr>
            <w:r w:rsidRPr="00114D81">
              <w:rPr>
                <w:rFonts w:ascii="Calibri" w:eastAsia="Times New Roman" w:hAnsi="Calibri" w:cs="Calibri"/>
                <w:color w:val="000000"/>
                <w:lang w:eastAsia="fi-FI"/>
              </w:rPr>
              <w:t>30</w:t>
            </w:r>
          </w:p>
        </w:tc>
      </w:tr>
      <w:tr w:rsidR="00114D81" w:rsidRPr="00114D81" w:rsidTr="00114D81">
        <w:trPr>
          <w:trHeight w:val="300"/>
        </w:trPr>
        <w:tc>
          <w:tcPr>
            <w:tcW w:w="4111" w:type="dxa"/>
            <w:shd w:val="clear" w:color="auto" w:fill="auto"/>
            <w:noWrap/>
            <w:vAlign w:val="center"/>
            <w:hideMark/>
          </w:tcPr>
          <w:p w:rsidR="00114D81" w:rsidRPr="00114D81" w:rsidRDefault="00114D81" w:rsidP="00114D81">
            <w:pPr>
              <w:spacing w:after="0" w:line="240" w:lineRule="auto"/>
              <w:jc w:val="center"/>
              <w:rPr>
                <w:rFonts w:ascii="Calibri" w:eastAsia="Times New Roman" w:hAnsi="Calibri" w:cs="Calibri"/>
                <w:color w:val="000000"/>
                <w:lang w:eastAsia="fi-FI"/>
              </w:rPr>
            </w:pPr>
            <w:r w:rsidRPr="00114D81">
              <w:rPr>
                <w:rFonts w:ascii="Calibri" w:eastAsia="Times New Roman" w:hAnsi="Calibri" w:cs="Calibri"/>
                <w:color w:val="000000"/>
                <w:lang w:eastAsia="fi-FI"/>
              </w:rPr>
              <w:t>Solvent A (100</w:t>
            </w:r>
            <w:r w:rsidR="00ED6949">
              <w:rPr>
                <w:rFonts w:ascii="Calibri" w:eastAsia="Times New Roman" w:hAnsi="Calibri" w:cs="Calibri"/>
                <w:color w:val="000000"/>
                <w:lang w:eastAsia="fi-FI"/>
              </w:rPr>
              <w:t xml:space="preserve"> </w:t>
            </w:r>
            <w:r w:rsidRPr="00114D81">
              <w:rPr>
                <w:rFonts w:ascii="Calibri" w:eastAsia="Times New Roman" w:hAnsi="Calibri" w:cs="Calibri"/>
                <w:color w:val="000000"/>
                <w:lang w:eastAsia="fi-FI"/>
              </w:rPr>
              <w:t>%)</w:t>
            </w:r>
          </w:p>
        </w:tc>
        <w:tc>
          <w:tcPr>
            <w:tcW w:w="5245" w:type="dxa"/>
            <w:shd w:val="clear" w:color="auto" w:fill="auto"/>
            <w:noWrap/>
            <w:vAlign w:val="center"/>
            <w:hideMark/>
          </w:tcPr>
          <w:p w:rsidR="00114D81" w:rsidRPr="00114D81" w:rsidRDefault="00114D81" w:rsidP="00114D81">
            <w:pPr>
              <w:spacing w:after="0" w:line="240" w:lineRule="auto"/>
              <w:jc w:val="center"/>
              <w:rPr>
                <w:rFonts w:ascii="Calibri" w:eastAsia="Times New Roman" w:hAnsi="Calibri" w:cs="Calibri"/>
                <w:color w:val="000000"/>
                <w:lang w:eastAsia="fi-FI"/>
              </w:rPr>
            </w:pPr>
            <w:r w:rsidRPr="00114D81">
              <w:rPr>
                <w:rFonts w:ascii="Calibri" w:eastAsia="Times New Roman" w:hAnsi="Calibri" w:cs="Calibri"/>
                <w:color w:val="000000"/>
                <w:lang w:eastAsia="fi-FI"/>
              </w:rPr>
              <w:t xml:space="preserve">Water </w:t>
            </w:r>
          </w:p>
        </w:tc>
      </w:tr>
      <w:tr w:rsidR="00114D81" w:rsidRPr="00114D81" w:rsidTr="00114D81">
        <w:trPr>
          <w:trHeight w:val="300"/>
        </w:trPr>
        <w:tc>
          <w:tcPr>
            <w:tcW w:w="4111" w:type="dxa"/>
            <w:shd w:val="clear" w:color="auto" w:fill="auto"/>
            <w:noWrap/>
            <w:vAlign w:val="center"/>
            <w:hideMark/>
          </w:tcPr>
          <w:p w:rsidR="00114D81" w:rsidRPr="00114D81" w:rsidRDefault="00114D81" w:rsidP="00114D81">
            <w:pPr>
              <w:spacing w:after="0" w:line="240" w:lineRule="auto"/>
              <w:jc w:val="center"/>
              <w:rPr>
                <w:rFonts w:ascii="Calibri" w:eastAsia="Times New Roman" w:hAnsi="Calibri" w:cs="Calibri"/>
                <w:color w:val="000000"/>
                <w:lang w:eastAsia="fi-FI"/>
              </w:rPr>
            </w:pPr>
            <w:r w:rsidRPr="00114D81">
              <w:rPr>
                <w:rFonts w:ascii="Calibri" w:eastAsia="Times New Roman" w:hAnsi="Calibri" w:cs="Calibri"/>
                <w:color w:val="000000"/>
                <w:lang w:eastAsia="fi-FI"/>
              </w:rPr>
              <w:t>Solvent B (≥99.8</w:t>
            </w:r>
            <w:r w:rsidR="00ED6949">
              <w:rPr>
                <w:rFonts w:ascii="Calibri" w:eastAsia="Times New Roman" w:hAnsi="Calibri" w:cs="Calibri"/>
                <w:color w:val="000000"/>
                <w:lang w:eastAsia="fi-FI"/>
              </w:rPr>
              <w:t xml:space="preserve"> </w:t>
            </w:r>
            <w:r w:rsidRPr="00114D81">
              <w:rPr>
                <w:rFonts w:ascii="Calibri" w:eastAsia="Times New Roman" w:hAnsi="Calibri" w:cs="Calibri"/>
                <w:color w:val="000000"/>
                <w:lang w:eastAsia="fi-FI"/>
              </w:rPr>
              <w:t>%)</w:t>
            </w:r>
          </w:p>
        </w:tc>
        <w:tc>
          <w:tcPr>
            <w:tcW w:w="5245" w:type="dxa"/>
            <w:shd w:val="clear" w:color="auto" w:fill="auto"/>
            <w:noWrap/>
            <w:vAlign w:val="center"/>
            <w:hideMark/>
          </w:tcPr>
          <w:p w:rsidR="00114D81" w:rsidRPr="00114D81" w:rsidRDefault="00114D81" w:rsidP="00114D81">
            <w:pPr>
              <w:spacing w:after="0" w:line="240" w:lineRule="auto"/>
              <w:jc w:val="center"/>
              <w:rPr>
                <w:rFonts w:ascii="Calibri" w:eastAsia="Times New Roman" w:hAnsi="Calibri" w:cs="Calibri"/>
                <w:color w:val="000000"/>
                <w:lang w:eastAsia="fi-FI"/>
              </w:rPr>
            </w:pPr>
            <w:r w:rsidRPr="00114D81">
              <w:rPr>
                <w:rFonts w:ascii="Calibri" w:eastAsia="Times New Roman" w:hAnsi="Calibri" w:cs="Calibri"/>
                <w:color w:val="000000"/>
                <w:lang w:eastAsia="fi-FI"/>
              </w:rPr>
              <w:t xml:space="preserve">Acetonitrile </w:t>
            </w:r>
          </w:p>
        </w:tc>
      </w:tr>
      <w:tr w:rsidR="00114D81" w:rsidRPr="00114D81" w:rsidTr="00114D81">
        <w:trPr>
          <w:trHeight w:val="900"/>
        </w:trPr>
        <w:tc>
          <w:tcPr>
            <w:tcW w:w="4111" w:type="dxa"/>
            <w:tcBorders>
              <w:bottom w:val="single" w:sz="4" w:space="0" w:color="auto"/>
            </w:tcBorders>
            <w:shd w:val="clear" w:color="auto" w:fill="auto"/>
            <w:noWrap/>
            <w:vAlign w:val="center"/>
            <w:hideMark/>
          </w:tcPr>
          <w:p w:rsidR="00114D81" w:rsidRPr="00114D81" w:rsidRDefault="00114D81" w:rsidP="00114D81">
            <w:pPr>
              <w:spacing w:after="0" w:line="240" w:lineRule="auto"/>
              <w:jc w:val="center"/>
              <w:rPr>
                <w:rFonts w:ascii="Calibri" w:eastAsia="Times New Roman" w:hAnsi="Calibri" w:cs="Calibri"/>
                <w:color w:val="000000"/>
                <w:lang w:eastAsia="fi-FI"/>
              </w:rPr>
            </w:pPr>
            <w:r w:rsidRPr="00114D81">
              <w:rPr>
                <w:rFonts w:ascii="Calibri" w:eastAsia="Times New Roman" w:hAnsi="Calibri" w:cs="Calibri"/>
                <w:color w:val="000000"/>
                <w:lang w:eastAsia="fi-FI"/>
              </w:rPr>
              <w:t>Solvent gradient program</w:t>
            </w:r>
          </w:p>
        </w:tc>
        <w:tc>
          <w:tcPr>
            <w:tcW w:w="5245" w:type="dxa"/>
            <w:tcBorders>
              <w:bottom w:val="single" w:sz="4" w:space="0" w:color="auto"/>
            </w:tcBorders>
            <w:shd w:val="clear" w:color="auto" w:fill="auto"/>
            <w:vAlign w:val="center"/>
            <w:hideMark/>
          </w:tcPr>
          <w:p w:rsidR="00114D81" w:rsidRPr="00114D81" w:rsidRDefault="00114D81" w:rsidP="00114D81">
            <w:pPr>
              <w:spacing w:after="0" w:line="240" w:lineRule="auto"/>
              <w:jc w:val="center"/>
              <w:rPr>
                <w:rFonts w:ascii="Calibri" w:eastAsia="Times New Roman" w:hAnsi="Calibri" w:cs="Calibri"/>
                <w:color w:val="000000"/>
                <w:lang w:eastAsia="fi-FI"/>
              </w:rPr>
            </w:pPr>
            <w:r w:rsidRPr="00114D81">
              <w:rPr>
                <w:rFonts w:ascii="Calibri" w:eastAsia="Times New Roman" w:hAnsi="Calibri" w:cs="Calibri"/>
                <w:color w:val="000000"/>
                <w:lang w:eastAsia="fi-FI"/>
              </w:rPr>
              <w:t>Solvent B at 60</w:t>
            </w:r>
            <w:r w:rsidR="00ED6949">
              <w:rPr>
                <w:rFonts w:ascii="Calibri" w:eastAsia="Times New Roman" w:hAnsi="Calibri" w:cs="Calibri"/>
                <w:color w:val="000000"/>
                <w:lang w:eastAsia="fi-FI"/>
              </w:rPr>
              <w:t xml:space="preserve"> </w:t>
            </w:r>
            <w:r w:rsidRPr="00114D81">
              <w:rPr>
                <w:rFonts w:ascii="Calibri" w:eastAsia="Times New Roman" w:hAnsi="Calibri" w:cs="Calibri"/>
                <w:color w:val="000000"/>
                <w:lang w:eastAsia="fi-FI"/>
              </w:rPr>
              <w:t>% for 3 min, raised to</w:t>
            </w:r>
            <w:r>
              <w:rPr>
                <w:rFonts w:ascii="Calibri" w:eastAsia="Times New Roman" w:hAnsi="Calibri" w:cs="Calibri"/>
                <w:color w:val="000000"/>
                <w:lang w:eastAsia="fi-FI"/>
              </w:rPr>
              <w:t xml:space="preserve"> be</w:t>
            </w:r>
            <w:r w:rsidRPr="00114D81">
              <w:rPr>
                <w:rFonts w:ascii="Calibri" w:eastAsia="Times New Roman" w:hAnsi="Calibri" w:cs="Calibri"/>
                <w:color w:val="000000"/>
                <w:lang w:eastAsia="fi-FI"/>
              </w:rPr>
              <w:t xml:space="preserve"> 70</w:t>
            </w:r>
            <w:r w:rsidR="00ED6949">
              <w:rPr>
                <w:rFonts w:ascii="Calibri" w:eastAsia="Times New Roman" w:hAnsi="Calibri" w:cs="Calibri"/>
                <w:color w:val="000000"/>
                <w:lang w:eastAsia="fi-FI"/>
              </w:rPr>
              <w:t xml:space="preserve"> </w:t>
            </w:r>
            <w:r w:rsidRPr="00114D81">
              <w:rPr>
                <w:rFonts w:ascii="Calibri" w:eastAsia="Times New Roman" w:hAnsi="Calibri" w:cs="Calibri"/>
                <w:color w:val="000000"/>
                <w:lang w:eastAsia="fi-FI"/>
              </w:rPr>
              <w:t>% at 10 min, lowered back to be 60</w:t>
            </w:r>
            <w:r w:rsidR="00ED6949">
              <w:rPr>
                <w:rFonts w:ascii="Calibri" w:eastAsia="Times New Roman" w:hAnsi="Calibri" w:cs="Calibri"/>
                <w:color w:val="000000"/>
                <w:lang w:eastAsia="fi-FI"/>
              </w:rPr>
              <w:t xml:space="preserve"> </w:t>
            </w:r>
            <w:r w:rsidRPr="00114D81">
              <w:rPr>
                <w:rFonts w:ascii="Calibri" w:eastAsia="Times New Roman" w:hAnsi="Calibri" w:cs="Calibri"/>
                <w:color w:val="000000"/>
                <w:lang w:eastAsia="fi-FI"/>
              </w:rPr>
              <w:t xml:space="preserve">% by 18 min. </w:t>
            </w:r>
          </w:p>
        </w:tc>
      </w:tr>
      <w:tr w:rsidR="00114D81" w:rsidRPr="00114D81" w:rsidTr="00114D81">
        <w:trPr>
          <w:trHeight w:val="300"/>
        </w:trPr>
        <w:tc>
          <w:tcPr>
            <w:tcW w:w="4111" w:type="dxa"/>
            <w:tcBorders>
              <w:bottom w:val="single" w:sz="4" w:space="0" w:color="auto"/>
            </w:tcBorders>
            <w:shd w:val="clear" w:color="auto" w:fill="auto"/>
            <w:noWrap/>
            <w:vAlign w:val="center"/>
            <w:hideMark/>
          </w:tcPr>
          <w:p w:rsidR="00114D81" w:rsidRPr="00114D81" w:rsidRDefault="00114D81" w:rsidP="00114D81">
            <w:pPr>
              <w:spacing w:after="0" w:line="240" w:lineRule="auto"/>
              <w:jc w:val="center"/>
              <w:rPr>
                <w:rFonts w:ascii="Calibri" w:eastAsia="Times New Roman" w:hAnsi="Calibri" w:cs="Calibri"/>
                <w:color w:val="000000"/>
                <w:lang w:eastAsia="fi-FI"/>
              </w:rPr>
            </w:pPr>
            <w:r w:rsidRPr="00114D81">
              <w:rPr>
                <w:rFonts w:ascii="Calibri" w:eastAsia="Times New Roman" w:hAnsi="Calibri" w:cs="Calibri"/>
                <w:color w:val="000000"/>
                <w:lang w:eastAsia="fi-FI"/>
              </w:rPr>
              <w:t xml:space="preserve">UV wavelength (nm) </w:t>
            </w:r>
          </w:p>
        </w:tc>
        <w:tc>
          <w:tcPr>
            <w:tcW w:w="5245" w:type="dxa"/>
            <w:tcBorders>
              <w:bottom w:val="single" w:sz="4" w:space="0" w:color="auto"/>
            </w:tcBorders>
            <w:shd w:val="clear" w:color="auto" w:fill="auto"/>
            <w:noWrap/>
            <w:vAlign w:val="center"/>
            <w:hideMark/>
          </w:tcPr>
          <w:p w:rsidR="00114D81" w:rsidRPr="00114D81" w:rsidRDefault="00114D81" w:rsidP="00114D81">
            <w:pPr>
              <w:spacing w:after="0" w:line="240" w:lineRule="auto"/>
              <w:jc w:val="center"/>
              <w:rPr>
                <w:rFonts w:ascii="Calibri" w:eastAsia="Times New Roman" w:hAnsi="Calibri" w:cs="Calibri"/>
                <w:color w:val="000000"/>
                <w:lang w:eastAsia="fi-FI"/>
              </w:rPr>
            </w:pPr>
            <w:r w:rsidRPr="00114D81">
              <w:rPr>
                <w:rFonts w:ascii="Calibri" w:eastAsia="Times New Roman" w:hAnsi="Calibri" w:cs="Calibri"/>
                <w:color w:val="000000"/>
                <w:lang w:eastAsia="fi-FI"/>
              </w:rPr>
              <w:t>230</w:t>
            </w:r>
          </w:p>
        </w:tc>
      </w:tr>
    </w:tbl>
    <w:p w:rsidR="00E059EC" w:rsidRDefault="00E059EC">
      <w:r>
        <w:lastRenderedPageBreak/>
        <w:t xml:space="preserve">Appendix 10. </w:t>
      </w:r>
      <w:r w:rsidR="00AE49F5">
        <w:t xml:space="preserve">Cannabidiol calibration curve (n=3). </w:t>
      </w:r>
    </w:p>
    <w:p w:rsidR="00AB3054" w:rsidRDefault="00A95901">
      <w:r>
        <w:rPr>
          <w:noProof/>
        </w:rPr>
        <w:drawing>
          <wp:inline distT="0" distB="0" distL="0" distR="0" wp14:anchorId="7448AC06">
            <wp:extent cx="6151245" cy="4895215"/>
            <wp:effectExtent l="0" t="0" r="1905"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51245" cy="4895215"/>
                    </a:xfrm>
                    <a:prstGeom prst="rect">
                      <a:avLst/>
                    </a:prstGeom>
                    <a:noFill/>
                  </pic:spPr>
                </pic:pic>
              </a:graphicData>
            </a:graphic>
          </wp:inline>
        </w:drawing>
      </w:r>
    </w:p>
    <w:p w:rsidR="0090060D" w:rsidRDefault="00BD4F58" w:rsidP="00BD4F58">
      <w:pPr>
        <w:pStyle w:val="Caption"/>
      </w:pPr>
      <w:r>
        <w:t xml:space="preserve">Figure </w:t>
      </w:r>
      <w:r w:rsidR="002E375B">
        <w:fldChar w:fldCharType="begin"/>
      </w:r>
      <w:r w:rsidR="002E375B">
        <w:instrText xml:space="preserve"> SEQ Figure \* ARABIC </w:instrText>
      </w:r>
      <w:r w:rsidR="002E375B">
        <w:fldChar w:fldCharType="separate"/>
      </w:r>
      <w:r w:rsidR="00D538BE">
        <w:rPr>
          <w:noProof/>
        </w:rPr>
        <w:t>13</w:t>
      </w:r>
      <w:r w:rsidR="002E375B">
        <w:rPr>
          <w:noProof/>
        </w:rPr>
        <w:fldChar w:fldCharType="end"/>
      </w:r>
      <w:r>
        <w:t xml:space="preserve"> CBD calibration curve with error margins, correlation coefficient and linear regression equation. </w:t>
      </w:r>
    </w:p>
    <w:p w:rsidR="00BD4F58" w:rsidRDefault="00BD4F58"/>
    <w:p w:rsidR="00BD4F58" w:rsidRDefault="00BD4F58"/>
    <w:p w:rsidR="00BD4F58" w:rsidRDefault="00BD4F58"/>
    <w:p w:rsidR="00BD4F58" w:rsidRDefault="00BD4F58"/>
    <w:p w:rsidR="00BD4F58" w:rsidRDefault="00BD4F58"/>
    <w:p w:rsidR="00BD4F58" w:rsidRDefault="00BD4F58"/>
    <w:p w:rsidR="00BD4F58" w:rsidRDefault="00BD4F58"/>
    <w:p w:rsidR="00BD4F58" w:rsidRDefault="00BD4F58"/>
    <w:p w:rsidR="00BD4F58" w:rsidRDefault="00BD4F58"/>
    <w:p w:rsidR="00BD4F58" w:rsidRDefault="00BD4F58"/>
    <w:p w:rsidR="001524B7" w:rsidRDefault="00AE49F5">
      <w:r>
        <w:lastRenderedPageBreak/>
        <w:t xml:space="preserve">Appendix 11. Cannabinol calibration curve (n=3). </w:t>
      </w:r>
    </w:p>
    <w:p w:rsidR="00AE49F5" w:rsidRDefault="00A95901">
      <w:r>
        <w:rPr>
          <w:noProof/>
        </w:rPr>
        <w:drawing>
          <wp:inline distT="0" distB="0" distL="0" distR="0" wp14:anchorId="6671C76A">
            <wp:extent cx="6188075" cy="4170045"/>
            <wp:effectExtent l="0" t="0" r="3175"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88075" cy="4170045"/>
                    </a:xfrm>
                    <a:prstGeom prst="rect">
                      <a:avLst/>
                    </a:prstGeom>
                    <a:noFill/>
                  </pic:spPr>
                </pic:pic>
              </a:graphicData>
            </a:graphic>
          </wp:inline>
        </w:drawing>
      </w:r>
    </w:p>
    <w:p w:rsidR="00BD4F58" w:rsidRDefault="00BD4F58" w:rsidP="00BD4F58">
      <w:pPr>
        <w:pStyle w:val="Caption"/>
      </w:pPr>
      <w:r>
        <w:t xml:space="preserve">Figure </w:t>
      </w:r>
      <w:r w:rsidR="002E375B">
        <w:fldChar w:fldCharType="begin"/>
      </w:r>
      <w:r w:rsidR="002E375B">
        <w:instrText xml:space="preserve"> SEQ Figure \* ARABIC </w:instrText>
      </w:r>
      <w:r w:rsidR="002E375B">
        <w:fldChar w:fldCharType="separate"/>
      </w:r>
      <w:r w:rsidR="00D538BE">
        <w:rPr>
          <w:noProof/>
        </w:rPr>
        <w:t>14</w:t>
      </w:r>
      <w:r w:rsidR="002E375B">
        <w:rPr>
          <w:noProof/>
        </w:rPr>
        <w:fldChar w:fldCharType="end"/>
      </w:r>
      <w:r>
        <w:t xml:space="preserve"> CBN calibration curve with error margins, correlation coefficient and linear regression line.</w:t>
      </w:r>
    </w:p>
    <w:p w:rsidR="001524B7" w:rsidRDefault="00272B8D">
      <w:r>
        <w:t xml:space="preserve">Appendix 12. </w:t>
      </w:r>
      <w:r w:rsidR="000D41DA">
        <w:t>C</w:t>
      </w:r>
      <w:r w:rsidR="00070D5A">
        <w:t xml:space="preserve">annabidiol calibration curve </w:t>
      </w:r>
      <w:r w:rsidR="00D65BDA">
        <w:t xml:space="preserve">(n=3) lower concentrations. </w:t>
      </w:r>
    </w:p>
    <w:p w:rsidR="00096BB2" w:rsidRDefault="00A95901">
      <w:r>
        <w:rPr>
          <w:noProof/>
        </w:rPr>
        <w:drawing>
          <wp:inline distT="0" distB="0" distL="0" distR="0" wp14:anchorId="1B744E42">
            <wp:extent cx="6188075" cy="2755900"/>
            <wp:effectExtent l="0" t="0" r="3175"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88075" cy="2755900"/>
                    </a:xfrm>
                    <a:prstGeom prst="rect">
                      <a:avLst/>
                    </a:prstGeom>
                    <a:noFill/>
                  </pic:spPr>
                </pic:pic>
              </a:graphicData>
            </a:graphic>
          </wp:inline>
        </w:drawing>
      </w:r>
    </w:p>
    <w:p w:rsidR="00AB3054" w:rsidRDefault="00BD4F58" w:rsidP="00BD4F58">
      <w:pPr>
        <w:pStyle w:val="Caption"/>
      </w:pPr>
      <w:r>
        <w:t xml:space="preserve">Figure </w:t>
      </w:r>
      <w:r w:rsidR="002E375B">
        <w:fldChar w:fldCharType="begin"/>
      </w:r>
      <w:r w:rsidR="002E375B">
        <w:instrText xml:space="preserve"> SEQ Figure \* ARABIC </w:instrText>
      </w:r>
      <w:r w:rsidR="002E375B">
        <w:fldChar w:fldCharType="separate"/>
      </w:r>
      <w:r w:rsidR="00D538BE">
        <w:rPr>
          <w:noProof/>
        </w:rPr>
        <w:t>15</w:t>
      </w:r>
      <w:r w:rsidR="002E375B">
        <w:rPr>
          <w:noProof/>
        </w:rPr>
        <w:fldChar w:fldCharType="end"/>
      </w:r>
      <w:r>
        <w:t xml:space="preserve"> CBD calibration curve of lower concentrations with error margins. </w:t>
      </w:r>
    </w:p>
    <w:p w:rsidR="0090060D" w:rsidRDefault="0090060D"/>
    <w:p w:rsidR="0090060D" w:rsidRDefault="0090060D"/>
    <w:p w:rsidR="00D65BDA" w:rsidRDefault="00D65BDA">
      <w:r>
        <w:t>Appendix</w:t>
      </w:r>
      <w:r w:rsidR="00096BB2">
        <w:t xml:space="preserve"> 13.</w:t>
      </w:r>
      <w:r>
        <w:t xml:space="preserve"> Cannabinol calibration curve (n=3) lower concentrations. </w:t>
      </w:r>
    </w:p>
    <w:p w:rsidR="001524B7" w:rsidRDefault="00A95901">
      <w:r>
        <w:rPr>
          <w:noProof/>
        </w:rPr>
        <w:drawing>
          <wp:inline distT="0" distB="0" distL="0" distR="0" wp14:anchorId="0CFB9A36">
            <wp:extent cx="6212205" cy="2755900"/>
            <wp:effectExtent l="0" t="0" r="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212205" cy="2755900"/>
                    </a:xfrm>
                    <a:prstGeom prst="rect">
                      <a:avLst/>
                    </a:prstGeom>
                    <a:noFill/>
                  </pic:spPr>
                </pic:pic>
              </a:graphicData>
            </a:graphic>
          </wp:inline>
        </w:drawing>
      </w:r>
    </w:p>
    <w:p w:rsidR="00E90319" w:rsidRDefault="00E90319" w:rsidP="00E90319">
      <w:pPr>
        <w:pStyle w:val="Caption"/>
      </w:pPr>
      <w:r>
        <w:t xml:space="preserve">Figure </w:t>
      </w:r>
      <w:r w:rsidR="002E375B">
        <w:fldChar w:fldCharType="begin"/>
      </w:r>
      <w:r w:rsidR="002E375B">
        <w:instrText xml:space="preserve"> SEQ Figure \* ARABIC </w:instrText>
      </w:r>
      <w:r w:rsidR="002E375B">
        <w:fldChar w:fldCharType="separate"/>
      </w:r>
      <w:r w:rsidR="00D538BE">
        <w:rPr>
          <w:noProof/>
        </w:rPr>
        <w:t>16</w:t>
      </w:r>
      <w:r w:rsidR="002E375B">
        <w:rPr>
          <w:noProof/>
        </w:rPr>
        <w:fldChar w:fldCharType="end"/>
      </w:r>
      <w:r>
        <w:t xml:space="preserve"> CBN calibration curve of lower concentrations with error margins. </w:t>
      </w:r>
    </w:p>
    <w:p w:rsidR="009F08C8" w:rsidRDefault="009F08C8">
      <w:r>
        <w:t xml:space="preserve">Appendix 14. </w:t>
      </w:r>
      <w:r w:rsidRPr="009F08C8">
        <w:t>Instrument pa</w:t>
      </w:r>
      <w:r>
        <w:t xml:space="preserve">rameter information for GC/MS method for identification of chemical constituents in CBD oil. </w:t>
      </w:r>
    </w:p>
    <w:p w:rsidR="00E90319" w:rsidRDefault="00E90319" w:rsidP="00E90319">
      <w:pPr>
        <w:pStyle w:val="Caption"/>
      </w:pPr>
      <w:r>
        <w:t xml:space="preserve">Table </w:t>
      </w:r>
      <w:r w:rsidR="002E375B">
        <w:fldChar w:fldCharType="begin"/>
      </w:r>
      <w:r w:rsidR="002E375B">
        <w:instrText xml:space="preserve"> SEQ Table \* ARABIC </w:instrText>
      </w:r>
      <w:r w:rsidR="002E375B">
        <w:fldChar w:fldCharType="separate"/>
      </w:r>
      <w:r w:rsidR="00715BEF">
        <w:rPr>
          <w:noProof/>
        </w:rPr>
        <w:t>9</w:t>
      </w:r>
      <w:r w:rsidR="002E375B">
        <w:rPr>
          <w:noProof/>
        </w:rPr>
        <w:fldChar w:fldCharType="end"/>
      </w:r>
      <w:r>
        <w:t xml:space="preserve"> GC/MS instrument parameters for possible identifications of CBD oil chemical constituents.</w:t>
      </w:r>
    </w:p>
    <w:tbl>
      <w:tblPr>
        <w:tblW w:w="9760" w:type="dxa"/>
        <w:tblBorders>
          <w:top w:val="single" w:sz="4" w:space="0" w:color="auto"/>
          <w:insideH w:val="single" w:sz="4" w:space="0" w:color="auto"/>
        </w:tblBorders>
        <w:tblLook w:val="04A0" w:firstRow="1" w:lastRow="0" w:firstColumn="1" w:lastColumn="0" w:noHBand="0" w:noVBand="1"/>
      </w:tblPr>
      <w:tblGrid>
        <w:gridCol w:w="2900"/>
        <w:gridCol w:w="6860"/>
      </w:tblGrid>
      <w:tr w:rsidR="009F08C8" w:rsidRPr="009F08C8" w:rsidTr="00637E31">
        <w:trPr>
          <w:trHeight w:val="300"/>
        </w:trPr>
        <w:tc>
          <w:tcPr>
            <w:tcW w:w="2900" w:type="dxa"/>
            <w:tcBorders>
              <w:bottom w:val="thinThickThinSmallGap" w:sz="24" w:space="0" w:color="auto"/>
            </w:tcBorders>
            <w:shd w:val="clear" w:color="auto" w:fill="DBE5F1" w:themeFill="accent1" w:themeFillTint="33"/>
            <w:noWrap/>
            <w:vAlign w:val="center"/>
            <w:hideMark/>
          </w:tcPr>
          <w:p w:rsidR="009F08C8" w:rsidRPr="009F08C8" w:rsidRDefault="009F08C8" w:rsidP="009F08C8">
            <w:pPr>
              <w:spacing w:after="0" w:line="240" w:lineRule="auto"/>
              <w:jc w:val="center"/>
              <w:rPr>
                <w:rFonts w:ascii="Calibri" w:eastAsia="Times New Roman" w:hAnsi="Calibri" w:cs="Calibri"/>
                <w:b/>
                <w:bCs/>
                <w:color w:val="000000"/>
              </w:rPr>
            </w:pPr>
            <w:r w:rsidRPr="009F08C8">
              <w:rPr>
                <w:rFonts w:ascii="Calibri" w:eastAsia="Times New Roman" w:hAnsi="Calibri" w:cs="Calibri"/>
                <w:b/>
                <w:bCs/>
                <w:color w:val="000000"/>
              </w:rPr>
              <w:t>Parameter</w:t>
            </w:r>
          </w:p>
        </w:tc>
        <w:tc>
          <w:tcPr>
            <w:tcW w:w="6860" w:type="dxa"/>
            <w:tcBorders>
              <w:bottom w:val="thinThickThinSmallGap" w:sz="24" w:space="0" w:color="auto"/>
            </w:tcBorders>
            <w:shd w:val="clear" w:color="auto" w:fill="DBE5F1" w:themeFill="accent1" w:themeFillTint="33"/>
            <w:noWrap/>
            <w:vAlign w:val="center"/>
            <w:hideMark/>
          </w:tcPr>
          <w:p w:rsidR="009F08C8" w:rsidRPr="009F08C8" w:rsidRDefault="009F08C8" w:rsidP="009F08C8">
            <w:pPr>
              <w:spacing w:after="0" w:line="240" w:lineRule="auto"/>
              <w:jc w:val="center"/>
              <w:rPr>
                <w:rFonts w:ascii="Calibri" w:eastAsia="Times New Roman" w:hAnsi="Calibri" w:cs="Calibri"/>
                <w:b/>
                <w:bCs/>
                <w:color w:val="000000"/>
              </w:rPr>
            </w:pPr>
            <w:r w:rsidRPr="009F08C8">
              <w:rPr>
                <w:rFonts w:ascii="Calibri" w:eastAsia="Times New Roman" w:hAnsi="Calibri" w:cs="Calibri"/>
                <w:b/>
                <w:bCs/>
                <w:color w:val="000000"/>
              </w:rPr>
              <w:t>Value</w:t>
            </w:r>
          </w:p>
        </w:tc>
      </w:tr>
      <w:tr w:rsidR="009F08C8" w:rsidRPr="009F08C8" w:rsidTr="009F08C8">
        <w:trPr>
          <w:trHeight w:val="300"/>
        </w:trPr>
        <w:tc>
          <w:tcPr>
            <w:tcW w:w="2900" w:type="dxa"/>
            <w:tcBorders>
              <w:top w:val="thinThickThinSmallGap" w:sz="24" w:space="0" w:color="auto"/>
            </w:tcBorders>
            <w:shd w:val="clear" w:color="auto" w:fill="auto"/>
            <w:noWrap/>
            <w:vAlign w:val="center"/>
            <w:hideMark/>
          </w:tcPr>
          <w:p w:rsidR="009F08C8" w:rsidRPr="009F08C8" w:rsidRDefault="009F08C8" w:rsidP="009F08C8">
            <w:pPr>
              <w:spacing w:after="0" w:line="240" w:lineRule="auto"/>
              <w:jc w:val="center"/>
              <w:rPr>
                <w:rFonts w:ascii="Calibri" w:eastAsia="Times New Roman" w:hAnsi="Calibri" w:cs="Calibri"/>
                <w:color w:val="000000"/>
              </w:rPr>
            </w:pPr>
            <w:r w:rsidRPr="009F08C8">
              <w:rPr>
                <w:rFonts w:ascii="Calibri" w:eastAsia="Times New Roman" w:hAnsi="Calibri" w:cs="Calibri"/>
                <w:color w:val="000000"/>
              </w:rPr>
              <w:t>Injection volume (µL)</w:t>
            </w:r>
          </w:p>
        </w:tc>
        <w:tc>
          <w:tcPr>
            <w:tcW w:w="6860" w:type="dxa"/>
            <w:tcBorders>
              <w:top w:val="thinThickThinSmallGap" w:sz="24" w:space="0" w:color="auto"/>
            </w:tcBorders>
            <w:shd w:val="clear" w:color="auto" w:fill="auto"/>
            <w:noWrap/>
            <w:vAlign w:val="center"/>
            <w:hideMark/>
          </w:tcPr>
          <w:p w:rsidR="009F08C8" w:rsidRPr="009F08C8" w:rsidRDefault="009F08C8" w:rsidP="009F08C8">
            <w:pPr>
              <w:spacing w:after="0" w:line="240" w:lineRule="auto"/>
              <w:jc w:val="center"/>
              <w:rPr>
                <w:rFonts w:ascii="Calibri" w:eastAsia="Times New Roman" w:hAnsi="Calibri" w:cs="Calibri"/>
                <w:color w:val="000000"/>
              </w:rPr>
            </w:pPr>
            <w:r w:rsidRPr="009F08C8">
              <w:rPr>
                <w:rFonts w:ascii="Calibri" w:eastAsia="Times New Roman" w:hAnsi="Calibri" w:cs="Calibri"/>
                <w:color w:val="000000"/>
              </w:rPr>
              <w:t>1</w:t>
            </w:r>
          </w:p>
        </w:tc>
      </w:tr>
      <w:tr w:rsidR="009F08C8" w:rsidRPr="009F08C8" w:rsidTr="009F08C8">
        <w:trPr>
          <w:trHeight w:val="300"/>
        </w:trPr>
        <w:tc>
          <w:tcPr>
            <w:tcW w:w="2900" w:type="dxa"/>
            <w:shd w:val="clear" w:color="auto" w:fill="auto"/>
            <w:noWrap/>
            <w:vAlign w:val="center"/>
            <w:hideMark/>
          </w:tcPr>
          <w:p w:rsidR="009F08C8" w:rsidRPr="009F08C8" w:rsidRDefault="009F08C8" w:rsidP="009F08C8">
            <w:pPr>
              <w:spacing w:after="0" w:line="240" w:lineRule="auto"/>
              <w:jc w:val="center"/>
              <w:rPr>
                <w:rFonts w:ascii="Calibri" w:eastAsia="Times New Roman" w:hAnsi="Calibri" w:cs="Calibri"/>
                <w:color w:val="000000"/>
              </w:rPr>
            </w:pPr>
            <w:r w:rsidRPr="009F08C8">
              <w:rPr>
                <w:rFonts w:ascii="Calibri" w:eastAsia="Times New Roman" w:hAnsi="Calibri" w:cs="Calibri"/>
                <w:color w:val="000000"/>
              </w:rPr>
              <w:t>Inlet temperature (°C)</w:t>
            </w:r>
          </w:p>
        </w:tc>
        <w:tc>
          <w:tcPr>
            <w:tcW w:w="6860" w:type="dxa"/>
            <w:shd w:val="clear" w:color="auto" w:fill="auto"/>
            <w:noWrap/>
            <w:vAlign w:val="center"/>
            <w:hideMark/>
          </w:tcPr>
          <w:p w:rsidR="009F08C8" w:rsidRPr="009F08C8" w:rsidRDefault="009F08C8" w:rsidP="009F08C8">
            <w:pPr>
              <w:spacing w:after="0" w:line="240" w:lineRule="auto"/>
              <w:jc w:val="center"/>
              <w:rPr>
                <w:rFonts w:ascii="Calibri" w:eastAsia="Times New Roman" w:hAnsi="Calibri" w:cs="Calibri"/>
                <w:color w:val="000000"/>
              </w:rPr>
            </w:pPr>
            <w:r w:rsidRPr="009F08C8">
              <w:rPr>
                <w:rFonts w:ascii="Calibri" w:eastAsia="Times New Roman" w:hAnsi="Calibri" w:cs="Calibri"/>
                <w:color w:val="000000"/>
              </w:rPr>
              <w:t>250</w:t>
            </w:r>
          </w:p>
        </w:tc>
      </w:tr>
      <w:tr w:rsidR="009F08C8" w:rsidRPr="009F08C8" w:rsidTr="009F08C8">
        <w:trPr>
          <w:trHeight w:val="300"/>
        </w:trPr>
        <w:tc>
          <w:tcPr>
            <w:tcW w:w="2900" w:type="dxa"/>
            <w:shd w:val="clear" w:color="auto" w:fill="auto"/>
            <w:noWrap/>
            <w:vAlign w:val="center"/>
            <w:hideMark/>
          </w:tcPr>
          <w:p w:rsidR="009F08C8" w:rsidRPr="009F08C8" w:rsidRDefault="009F08C8" w:rsidP="009F08C8">
            <w:pPr>
              <w:spacing w:after="0" w:line="240" w:lineRule="auto"/>
              <w:jc w:val="center"/>
              <w:rPr>
                <w:rFonts w:ascii="Calibri" w:eastAsia="Times New Roman" w:hAnsi="Calibri" w:cs="Calibri"/>
                <w:color w:val="000000"/>
              </w:rPr>
            </w:pPr>
            <w:r w:rsidRPr="009F08C8">
              <w:rPr>
                <w:rFonts w:ascii="Calibri" w:eastAsia="Times New Roman" w:hAnsi="Calibri" w:cs="Calibri"/>
                <w:color w:val="000000"/>
              </w:rPr>
              <w:t>Split ratio</w:t>
            </w:r>
          </w:p>
        </w:tc>
        <w:tc>
          <w:tcPr>
            <w:tcW w:w="6860" w:type="dxa"/>
            <w:shd w:val="clear" w:color="auto" w:fill="auto"/>
            <w:noWrap/>
            <w:vAlign w:val="center"/>
            <w:hideMark/>
          </w:tcPr>
          <w:p w:rsidR="009F08C8" w:rsidRPr="009F08C8" w:rsidRDefault="00331176" w:rsidP="009F08C8">
            <w:pPr>
              <w:spacing w:after="0" w:line="240" w:lineRule="auto"/>
              <w:jc w:val="center"/>
              <w:rPr>
                <w:rFonts w:ascii="Calibri" w:eastAsia="Times New Roman" w:hAnsi="Calibri" w:cs="Calibri"/>
                <w:color w:val="000000"/>
              </w:rPr>
            </w:pPr>
            <w:r>
              <w:rPr>
                <w:rFonts w:ascii="Calibri" w:eastAsia="Times New Roman" w:hAnsi="Calibri" w:cs="Calibri"/>
                <w:color w:val="000000"/>
              </w:rPr>
              <w:t>1:20</w:t>
            </w:r>
          </w:p>
        </w:tc>
      </w:tr>
      <w:tr w:rsidR="009F08C8" w:rsidRPr="009F08C8" w:rsidTr="009F08C8">
        <w:trPr>
          <w:trHeight w:val="300"/>
        </w:trPr>
        <w:tc>
          <w:tcPr>
            <w:tcW w:w="2900" w:type="dxa"/>
            <w:shd w:val="clear" w:color="auto" w:fill="auto"/>
            <w:noWrap/>
            <w:vAlign w:val="center"/>
            <w:hideMark/>
          </w:tcPr>
          <w:p w:rsidR="009F08C8" w:rsidRPr="009F08C8" w:rsidRDefault="003E711F" w:rsidP="009F08C8">
            <w:pPr>
              <w:spacing w:after="0" w:line="240" w:lineRule="auto"/>
              <w:jc w:val="center"/>
              <w:rPr>
                <w:rFonts w:ascii="Calibri" w:eastAsia="Times New Roman" w:hAnsi="Calibri" w:cs="Calibri"/>
                <w:color w:val="000000"/>
              </w:rPr>
            </w:pPr>
            <w:r>
              <w:rPr>
                <w:rFonts w:ascii="Calibri" w:eastAsia="Times New Roman" w:hAnsi="Calibri" w:cs="Calibri"/>
                <w:color w:val="000000"/>
              </w:rPr>
              <w:t>Split flow (mL</w:t>
            </w:r>
            <w:r w:rsidR="009F08C8" w:rsidRPr="009F08C8">
              <w:rPr>
                <w:rFonts w:ascii="Calibri" w:eastAsia="Times New Roman" w:hAnsi="Calibri" w:cs="Calibri"/>
                <w:color w:val="000000"/>
              </w:rPr>
              <w:t>/min)</w:t>
            </w:r>
          </w:p>
        </w:tc>
        <w:tc>
          <w:tcPr>
            <w:tcW w:w="6860" w:type="dxa"/>
            <w:shd w:val="clear" w:color="auto" w:fill="auto"/>
            <w:noWrap/>
            <w:vAlign w:val="center"/>
            <w:hideMark/>
          </w:tcPr>
          <w:p w:rsidR="009F08C8" w:rsidRPr="009F08C8" w:rsidRDefault="009F08C8" w:rsidP="009F08C8">
            <w:pPr>
              <w:spacing w:after="0" w:line="240" w:lineRule="auto"/>
              <w:jc w:val="center"/>
              <w:rPr>
                <w:rFonts w:ascii="Calibri" w:eastAsia="Times New Roman" w:hAnsi="Calibri" w:cs="Calibri"/>
                <w:color w:val="000000"/>
              </w:rPr>
            </w:pPr>
            <w:r w:rsidRPr="009F08C8">
              <w:rPr>
                <w:rFonts w:ascii="Calibri" w:eastAsia="Times New Roman" w:hAnsi="Calibri" w:cs="Calibri"/>
                <w:color w:val="000000"/>
              </w:rPr>
              <w:t>24</w:t>
            </w:r>
          </w:p>
        </w:tc>
      </w:tr>
      <w:tr w:rsidR="009F08C8" w:rsidRPr="009F08C8" w:rsidTr="009F08C8">
        <w:trPr>
          <w:trHeight w:val="300"/>
        </w:trPr>
        <w:tc>
          <w:tcPr>
            <w:tcW w:w="2900" w:type="dxa"/>
            <w:shd w:val="clear" w:color="auto" w:fill="auto"/>
            <w:noWrap/>
            <w:vAlign w:val="center"/>
            <w:hideMark/>
          </w:tcPr>
          <w:p w:rsidR="009F08C8" w:rsidRPr="009F08C8" w:rsidRDefault="009F08C8" w:rsidP="009F08C8">
            <w:pPr>
              <w:spacing w:after="0" w:line="240" w:lineRule="auto"/>
              <w:jc w:val="center"/>
              <w:rPr>
                <w:rFonts w:ascii="Calibri" w:eastAsia="Times New Roman" w:hAnsi="Calibri" w:cs="Calibri"/>
                <w:color w:val="000000"/>
              </w:rPr>
            </w:pPr>
            <w:r w:rsidRPr="009F08C8">
              <w:rPr>
                <w:rFonts w:ascii="Calibri" w:eastAsia="Times New Roman" w:hAnsi="Calibri" w:cs="Calibri"/>
                <w:color w:val="000000"/>
              </w:rPr>
              <w:t xml:space="preserve">Carrier gas </w:t>
            </w:r>
          </w:p>
        </w:tc>
        <w:tc>
          <w:tcPr>
            <w:tcW w:w="6860" w:type="dxa"/>
            <w:shd w:val="clear" w:color="auto" w:fill="auto"/>
            <w:noWrap/>
            <w:vAlign w:val="center"/>
            <w:hideMark/>
          </w:tcPr>
          <w:p w:rsidR="009F08C8" w:rsidRPr="009F08C8" w:rsidRDefault="009F08C8" w:rsidP="009F08C8">
            <w:pPr>
              <w:spacing w:after="0" w:line="240" w:lineRule="auto"/>
              <w:jc w:val="center"/>
              <w:rPr>
                <w:rFonts w:ascii="Calibri" w:eastAsia="Times New Roman" w:hAnsi="Calibri" w:cs="Calibri"/>
                <w:color w:val="000000"/>
              </w:rPr>
            </w:pPr>
            <w:r w:rsidRPr="009F08C8">
              <w:rPr>
                <w:rFonts w:ascii="Calibri" w:eastAsia="Times New Roman" w:hAnsi="Calibri" w:cs="Calibri"/>
                <w:color w:val="000000"/>
              </w:rPr>
              <w:t>Helium</w:t>
            </w:r>
          </w:p>
        </w:tc>
      </w:tr>
      <w:tr w:rsidR="009F08C8" w:rsidRPr="009F08C8" w:rsidTr="009F08C8">
        <w:trPr>
          <w:trHeight w:val="300"/>
        </w:trPr>
        <w:tc>
          <w:tcPr>
            <w:tcW w:w="2900" w:type="dxa"/>
            <w:shd w:val="clear" w:color="auto" w:fill="auto"/>
            <w:noWrap/>
            <w:vAlign w:val="center"/>
            <w:hideMark/>
          </w:tcPr>
          <w:p w:rsidR="009F08C8" w:rsidRPr="009F08C8" w:rsidRDefault="009F08C8" w:rsidP="009F08C8">
            <w:pPr>
              <w:spacing w:after="0" w:line="240" w:lineRule="auto"/>
              <w:jc w:val="center"/>
              <w:rPr>
                <w:rFonts w:ascii="Calibri" w:eastAsia="Times New Roman" w:hAnsi="Calibri" w:cs="Calibri"/>
                <w:color w:val="000000"/>
              </w:rPr>
            </w:pPr>
            <w:r w:rsidRPr="009F08C8">
              <w:rPr>
                <w:rFonts w:ascii="Calibri" w:eastAsia="Times New Roman" w:hAnsi="Calibri" w:cs="Calibri"/>
                <w:color w:val="000000"/>
              </w:rPr>
              <w:t>Gas saver on after (min)</w:t>
            </w:r>
          </w:p>
        </w:tc>
        <w:tc>
          <w:tcPr>
            <w:tcW w:w="6860" w:type="dxa"/>
            <w:shd w:val="clear" w:color="auto" w:fill="auto"/>
            <w:noWrap/>
            <w:vAlign w:val="center"/>
            <w:hideMark/>
          </w:tcPr>
          <w:p w:rsidR="009F08C8" w:rsidRPr="009F08C8" w:rsidRDefault="009F08C8" w:rsidP="009F08C8">
            <w:pPr>
              <w:spacing w:after="0" w:line="240" w:lineRule="auto"/>
              <w:jc w:val="center"/>
              <w:rPr>
                <w:rFonts w:ascii="Calibri" w:eastAsia="Times New Roman" w:hAnsi="Calibri" w:cs="Calibri"/>
                <w:color w:val="000000"/>
              </w:rPr>
            </w:pPr>
            <w:r w:rsidRPr="009F08C8">
              <w:rPr>
                <w:rFonts w:ascii="Calibri" w:eastAsia="Times New Roman" w:hAnsi="Calibri" w:cs="Calibri"/>
                <w:color w:val="000000"/>
              </w:rPr>
              <w:t>3</w:t>
            </w:r>
          </w:p>
        </w:tc>
      </w:tr>
      <w:tr w:rsidR="009F08C8" w:rsidRPr="009F08C8" w:rsidTr="009F08C8">
        <w:trPr>
          <w:trHeight w:val="300"/>
        </w:trPr>
        <w:tc>
          <w:tcPr>
            <w:tcW w:w="2900" w:type="dxa"/>
            <w:shd w:val="clear" w:color="auto" w:fill="auto"/>
            <w:noWrap/>
            <w:vAlign w:val="center"/>
            <w:hideMark/>
          </w:tcPr>
          <w:p w:rsidR="009F08C8" w:rsidRPr="009F08C8" w:rsidRDefault="003E711F" w:rsidP="009F08C8">
            <w:pPr>
              <w:spacing w:after="0" w:line="240" w:lineRule="auto"/>
              <w:jc w:val="center"/>
              <w:rPr>
                <w:rFonts w:ascii="Calibri" w:eastAsia="Times New Roman" w:hAnsi="Calibri" w:cs="Calibri"/>
                <w:color w:val="000000"/>
              </w:rPr>
            </w:pPr>
            <w:r>
              <w:rPr>
                <w:rFonts w:ascii="Calibri" w:eastAsia="Times New Roman" w:hAnsi="Calibri" w:cs="Calibri"/>
                <w:color w:val="000000"/>
              </w:rPr>
              <w:t>Septum purge (mL</w:t>
            </w:r>
            <w:r w:rsidR="009F08C8" w:rsidRPr="009F08C8">
              <w:rPr>
                <w:rFonts w:ascii="Calibri" w:eastAsia="Times New Roman" w:hAnsi="Calibri" w:cs="Calibri"/>
                <w:color w:val="000000"/>
              </w:rPr>
              <w:t>/min)</w:t>
            </w:r>
          </w:p>
        </w:tc>
        <w:tc>
          <w:tcPr>
            <w:tcW w:w="6860" w:type="dxa"/>
            <w:shd w:val="clear" w:color="auto" w:fill="auto"/>
            <w:noWrap/>
            <w:vAlign w:val="center"/>
            <w:hideMark/>
          </w:tcPr>
          <w:p w:rsidR="009F08C8" w:rsidRPr="009F08C8" w:rsidRDefault="009F08C8" w:rsidP="009F08C8">
            <w:pPr>
              <w:spacing w:after="0" w:line="240" w:lineRule="auto"/>
              <w:jc w:val="center"/>
              <w:rPr>
                <w:rFonts w:ascii="Calibri" w:eastAsia="Times New Roman" w:hAnsi="Calibri" w:cs="Calibri"/>
                <w:color w:val="000000"/>
              </w:rPr>
            </w:pPr>
            <w:r w:rsidRPr="009F08C8">
              <w:rPr>
                <w:rFonts w:ascii="Calibri" w:eastAsia="Times New Roman" w:hAnsi="Calibri" w:cs="Calibri"/>
                <w:color w:val="000000"/>
              </w:rPr>
              <w:t>3</w:t>
            </w:r>
          </w:p>
        </w:tc>
      </w:tr>
      <w:tr w:rsidR="009F08C8" w:rsidRPr="009F08C8" w:rsidTr="009F08C8">
        <w:trPr>
          <w:trHeight w:val="300"/>
        </w:trPr>
        <w:tc>
          <w:tcPr>
            <w:tcW w:w="2900" w:type="dxa"/>
            <w:shd w:val="clear" w:color="auto" w:fill="auto"/>
            <w:noWrap/>
            <w:vAlign w:val="center"/>
            <w:hideMark/>
          </w:tcPr>
          <w:p w:rsidR="009F08C8" w:rsidRPr="009F08C8" w:rsidRDefault="003E711F" w:rsidP="009F08C8">
            <w:pPr>
              <w:spacing w:after="0" w:line="240" w:lineRule="auto"/>
              <w:jc w:val="center"/>
              <w:rPr>
                <w:rFonts w:ascii="Calibri" w:eastAsia="Times New Roman" w:hAnsi="Calibri" w:cs="Calibri"/>
                <w:color w:val="000000"/>
              </w:rPr>
            </w:pPr>
            <w:r>
              <w:rPr>
                <w:rFonts w:ascii="Calibri" w:eastAsia="Times New Roman" w:hAnsi="Calibri" w:cs="Calibri"/>
                <w:color w:val="000000"/>
              </w:rPr>
              <w:t>Flow (mL</w:t>
            </w:r>
            <w:r w:rsidR="009F08C8" w:rsidRPr="009F08C8">
              <w:rPr>
                <w:rFonts w:ascii="Calibri" w:eastAsia="Times New Roman" w:hAnsi="Calibri" w:cs="Calibri"/>
                <w:color w:val="000000"/>
              </w:rPr>
              <w:t>/min)</w:t>
            </w:r>
          </w:p>
        </w:tc>
        <w:tc>
          <w:tcPr>
            <w:tcW w:w="6860" w:type="dxa"/>
            <w:shd w:val="clear" w:color="auto" w:fill="auto"/>
            <w:noWrap/>
            <w:vAlign w:val="center"/>
            <w:hideMark/>
          </w:tcPr>
          <w:p w:rsidR="009F08C8" w:rsidRPr="009F08C8" w:rsidRDefault="009F08C8" w:rsidP="009F08C8">
            <w:pPr>
              <w:spacing w:after="0" w:line="240" w:lineRule="auto"/>
              <w:jc w:val="center"/>
              <w:rPr>
                <w:rFonts w:ascii="Calibri" w:eastAsia="Times New Roman" w:hAnsi="Calibri" w:cs="Calibri"/>
                <w:color w:val="000000"/>
              </w:rPr>
            </w:pPr>
            <w:r w:rsidRPr="009F08C8">
              <w:rPr>
                <w:rFonts w:ascii="Calibri" w:eastAsia="Times New Roman" w:hAnsi="Calibri" w:cs="Calibri"/>
                <w:color w:val="000000"/>
              </w:rPr>
              <w:t>1.2</w:t>
            </w:r>
          </w:p>
        </w:tc>
      </w:tr>
      <w:tr w:rsidR="009F08C8" w:rsidRPr="009F08C8" w:rsidTr="009F08C8">
        <w:trPr>
          <w:trHeight w:val="300"/>
        </w:trPr>
        <w:tc>
          <w:tcPr>
            <w:tcW w:w="2900" w:type="dxa"/>
            <w:shd w:val="clear" w:color="auto" w:fill="auto"/>
            <w:noWrap/>
            <w:vAlign w:val="center"/>
            <w:hideMark/>
          </w:tcPr>
          <w:p w:rsidR="009F08C8" w:rsidRPr="009F08C8" w:rsidRDefault="003E711F" w:rsidP="009F08C8">
            <w:pPr>
              <w:spacing w:after="0" w:line="240" w:lineRule="auto"/>
              <w:jc w:val="center"/>
              <w:rPr>
                <w:rFonts w:ascii="Calibri" w:eastAsia="Times New Roman" w:hAnsi="Calibri" w:cs="Calibri"/>
                <w:color w:val="000000"/>
              </w:rPr>
            </w:pPr>
            <w:r>
              <w:rPr>
                <w:rFonts w:ascii="Calibri" w:eastAsia="Times New Roman" w:hAnsi="Calibri" w:cs="Calibri"/>
                <w:color w:val="000000"/>
              </w:rPr>
              <w:t>Transfer column flow (mL</w:t>
            </w:r>
            <w:r w:rsidR="009F08C8" w:rsidRPr="009F08C8">
              <w:rPr>
                <w:rFonts w:ascii="Calibri" w:eastAsia="Times New Roman" w:hAnsi="Calibri" w:cs="Calibri"/>
                <w:color w:val="000000"/>
              </w:rPr>
              <w:t>/min)</w:t>
            </w:r>
          </w:p>
        </w:tc>
        <w:tc>
          <w:tcPr>
            <w:tcW w:w="6860" w:type="dxa"/>
            <w:shd w:val="clear" w:color="auto" w:fill="auto"/>
            <w:noWrap/>
            <w:vAlign w:val="center"/>
            <w:hideMark/>
          </w:tcPr>
          <w:p w:rsidR="009F08C8" w:rsidRPr="009F08C8" w:rsidRDefault="009F08C8" w:rsidP="009F08C8">
            <w:pPr>
              <w:spacing w:after="0" w:line="240" w:lineRule="auto"/>
              <w:jc w:val="center"/>
              <w:rPr>
                <w:rFonts w:ascii="Calibri" w:eastAsia="Times New Roman" w:hAnsi="Calibri" w:cs="Calibri"/>
                <w:color w:val="000000"/>
              </w:rPr>
            </w:pPr>
            <w:r w:rsidRPr="009F08C8">
              <w:rPr>
                <w:rFonts w:ascii="Calibri" w:eastAsia="Times New Roman" w:hAnsi="Calibri" w:cs="Calibri"/>
                <w:color w:val="000000"/>
              </w:rPr>
              <w:t>1.4</w:t>
            </w:r>
          </w:p>
        </w:tc>
      </w:tr>
      <w:tr w:rsidR="009F08C8" w:rsidRPr="009F08C8" w:rsidTr="009F08C8">
        <w:trPr>
          <w:trHeight w:val="300"/>
        </w:trPr>
        <w:tc>
          <w:tcPr>
            <w:tcW w:w="2900" w:type="dxa"/>
            <w:shd w:val="clear" w:color="auto" w:fill="auto"/>
            <w:noWrap/>
            <w:vAlign w:val="center"/>
            <w:hideMark/>
          </w:tcPr>
          <w:p w:rsidR="009F08C8" w:rsidRPr="009F08C8" w:rsidRDefault="009F08C8" w:rsidP="009F08C8">
            <w:pPr>
              <w:spacing w:after="0" w:line="240" w:lineRule="auto"/>
              <w:jc w:val="center"/>
              <w:rPr>
                <w:rFonts w:ascii="Calibri" w:eastAsia="Times New Roman" w:hAnsi="Calibri" w:cs="Calibri"/>
                <w:color w:val="000000"/>
              </w:rPr>
            </w:pPr>
            <w:r w:rsidRPr="009F08C8">
              <w:rPr>
                <w:rFonts w:ascii="Calibri" w:eastAsia="Times New Roman" w:hAnsi="Calibri" w:cs="Calibri"/>
                <w:color w:val="000000"/>
              </w:rPr>
              <w:t>Average velocity (cm/sec)</w:t>
            </w:r>
          </w:p>
        </w:tc>
        <w:tc>
          <w:tcPr>
            <w:tcW w:w="6860" w:type="dxa"/>
            <w:shd w:val="clear" w:color="auto" w:fill="auto"/>
            <w:noWrap/>
            <w:vAlign w:val="center"/>
            <w:hideMark/>
          </w:tcPr>
          <w:p w:rsidR="009F08C8" w:rsidRPr="009F08C8" w:rsidRDefault="009F08C8" w:rsidP="009F08C8">
            <w:pPr>
              <w:spacing w:after="0" w:line="240" w:lineRule="auto"/>
              <w:jc w:val="center"/>
              <w:rPr>
                <w:rFonts w:ascii="Calibri" w:eastAsia="Times New Roman" w:hAnsi="Calibri" w:cs="Calibri"/>
                <w:color w:val="000000"/>
              </w:rPr>
            </w:pPr>
            <w:r w:rsidRPr="009F08C8">
              <w:rPr>
                <w:rFonts w:ascii="Calibri" w:eastAsia="Times New Roman" w:hAnsi="Calibri" w:cs="Calibri"/>
                <w:color w:val="000000"/>
              </w:rPr>
              <w:t>31.925</w:t>
            </w:r>
          </w:p>
        </w:tc>
      </w:tr>
      <w:tr w:rsidR="009F08C8" w:rsidRPr="009F08C8" w:rsidTr="009F08C8">
        <w:trPr>
          <w:trHeight w:val="300"/>
        </w:trPr>
        <w:tc>
          <w:tcPr>
            <w:tcW w:w="2900" w:type="dxa"/>
            <w:shd w:val="clear" w:color="auto" w:fill="auto"/>
            <w:noWrap/>
            <w:vAlign w:val="center"/>
            <w:hideMark/>
          </w:tcPr>
          <w:p w:rsidR="009F08C8" w:rsidRPr="009F08C8" w:rsidRDefault="009F08C8" w:rsidP="009F08C8">
            <w:pPr>
              <w:spacing w:after="0" w:line="240" w:lineRule="auto"/>
              <w:jc w:val="center"/>
              <w:rPr>
                <w:rFonts w:ascii="Calibri" w:eastAsia="Times New Roman" w:hAnsi="Calibri" w:cs="Calibri"/>
                <w:color w:val="000000"/>
              </w:rPr>
            </w:pPr>
            <w:r w:rsidRPr="009F08C8">
              <w:rPr>
                <w:rFonts w:ascii="Calibri" w:eastAsia="Times New Roman" w:hAnsi="Calibri" w:cs="Calibri"/>
                <w:color w:val="000000"/>
              </w:rPr>
              <w:t>Pressure mode</w:t>
            </w:r>
          </w:p>
        </w:tc>
        <w:tc>
          <w:tcPr>
            <w:tcW w:w="6860" w:type="dxa"/>
            <w:shd w:val="clear" w:color="auto" w:fill="auto"/>
            <w:noWrap/>
            <w:vAlign w:val="center"/>
            <w:hideMark/>
          </w:tcPr>
          <w:p w:rsidR="009F08C8" w:rsidRPr="009F08C8" w:rsidRDefault="009F08C8" w:rsidP="009F08C8">
            <w:pPr>
              <w:spacing w:after="0" w:line="240" w:lineRule="auto"/>
              <w:jc w:val="center"/>
              <w:rPr>
                <w:rFonts w:ascii="Calibri" w:eastAsia="Times New Roman" w:hAnsi="Calibri" w:cs="Calibri"/>
                <w:color w:val="000000"/>
              </w:rPr>
            </w:pPr>
            <w:r w:rsidRPr="009F08C8">
              <w:rPr>
                <w:rFonts w:ascii="Calibri" w:eastAsia="Times New Roman" w:hAnsi="Calibri" w:cs="Calibri"/>
                <w:color w:val="000000"/>
              </w:rPr>
              <w:t>Constant flow</w:t>
            </w:r>
          </w:p>
        </w:tc>
      </w:tr>
      <w:tr w:rsidR="009F08C8" w:rsidRPr="002E375B" w:rsidTr="009F08C8">
        <w:trPr>
          <w:trHeight w:val="300"/>
        </w:trPr>
        <w:tc>
          <w:tcPr>
            <w:tcW w:w="2900" w:type="dxa"/>
            <w:shd w:val="clear" w:color="auto" w:fill="auto"/>
            <w:noWrap/>
            <w:vAlign w:val="center"/>
            <w:hideMark/>
          </w:tcPr>
          <w:p w:rsidR="009F08C8" w:rsidRPr="009F08C8" w:rsidRDefault="009F08C8" w:rsidP="009F08C8">
            <w:pPr>
              <w:spacing w:after="0" w:line="240" w:lineRule="auto"/>
              <w:jc w:val="center"/>
              <w:rPr>
                <w:rFonts w:ascii="Calibri" w:eastAsia="Times New Roman" w:hAnsi="Calibri" w:cs="Calibri"/>
                <w:color w:val="000000"/>
              </w:rPr>
            </w:pPr>
            <w:r w:rsidRPr="009F08C8">
              <w:rPr>
                <w:rFonts w:ascii="Calibri" w:eastAsia="Times New Roman" w:hAnsi="Calibri" w:cs="Calibri"/>
                <w:color w:val="000000"/>
              </w:rPr>
              <w:t>Column</w:t>
            </w:r>
          </w:p>
        </w:tc>
        <w:tc>
          <w:tcPr>
            <w:tcW w:w="6860" w:type="dxa"/>
            <w:shd w:val="clear" w:color="auto" w:fill="auto"/>
            <w:noWrap/>
            <w:vAlign w:val="center"/>
            <w:hideMark/>
          </w:tcPr>
          <w:p w:rsidR="009F08C8" w:rsidRPr="009F08C8" w:rsidRDefault="009F08C8" w:rsidP="009F08C8">
            <w:pPr>
              <w:spacing w:after="0" w:line="240" w:lineRule="auto"/>
              <w:jc w:val="center"/>
              <w:rPr>
                <w:rFonts w:ascii="Calibri" w:eastAsia="Times New Roman" w:hAnsi="Calibri" w:cs="Calibri"/>
                <w:color w:val="000000"/>
                <w:lang w:val="de-DE"/>
              </w:rPr>
            </w:pPr>
            <w:r w:rsidRPr="009F08C8">
              <w:rPr>
                <w:rFonts w:ascii="Calibri" w:eastAsia="Times New Roman" w:hAnsi="Calibri" w:cs="Calibri"/>
                <w:color w:val="000000"/>
                <w:lang w:val="de-DE"/>
              </w:rPr>
              <w:t>DB-35ms UI 15 m x 0.25 mm x 0.25 um</w:t>
            </w:r>
          </w:p>
        </w:tc>
      </w:tr>
      <w:tr w:rsidR="009F08C8" w:rsidRPr="009F08C8" w:rsidTr="009F08C8">
        <w:trPr>
          <w:trHeight w:val="300"/>
        </w:trPr>
        <w:tc>
          <w:tcPr>
            <w:tcW w:w="2900" w:type="dxa"/>
            <w:shd w:val="clear" w:color="auto" w:fill="auto"/>
            <w:noWrap/>
            <w:vAlign w:val="center"/>
            <w:hideMark/>
          </w:tcPr>
          <w:p w:rsidR="009F08C8" w:rsidRPr="009F08C8" w:rsidRDefault="009F08C8" w:rsidP="009F08C8">
            <w:pPr>
              <w:spacing w:after="0" w:line="240" w:lineRule="auto"/>
              <w:jc w:val="center"/>
              <w:rPr>
                <w:rFonts w:ascii="Calibri" w:eastAsia="Times New Roman" w:hAnsi="Calibri" w:cs="Calibri"/>
                <w:color w:val="000000"/>
              </w:rPr>
            </w:pPr>
            <w:r w:rsidRPr="009F08C8">
              <w:rPr>
                <w:rFonts w:ascii="Calibri" w:eastAsia="Times New Roman" w:hAnsi="Calibri" w:cs="Calibri"/>
                <w:color w:val="000000"/>
              </w:rPr>
              <w:t>Transfer column</w:t>
            </w:r>
          </w:p>
        </w:tc>
        <w:tc>
          <w:tcPr>
            <w:tcW w:w="6860" w:type="dxa"/>
            <w:shd w:val="clear" w:color="auto" w:fill="auto"/>
            <w:noWrap/>
            <w:vAlign w:val="center"/>
            <w:hideMark/>
          </w:tcPr>
          <w:p w:rsidR="009F08C8" w:rsidRPr="009F08C8" w:rsidRDefault="009F08C8" w:rsidP="009F08C8">
            <w:pPr>
              <w:spacing w:after="0" w:line="240" w:lineRule="auto"/>
              <w:jc w:val="center"/>
              <w:rPr>
                <w:rFonts w:ascii="Calibri" w:eastAsia="Times New Roman" w:hAnsi="Calibri" w:cs="Calibri"/>
                <w:color w:val="000000"/>
              </w:rPr>
            </w:pPr>
            <w:r w:rsidRPr="009F08C8">
              <w:rPr>
                <w:rFonts w:ascii="Calibri" w:eastAsia="Times New Roman" w:hAnsi="Calibri" w:cs="Calibri"/>
                <w:color w:val="000000"/>
              </w:rPr>
              <w:t>1.3 m 0.15 mm x 0 µm</w:t>
            </w:r>
          </w:p>
        </w:tc>
      </w:tr>
      <w:tr w:rsidR="009F08C8" w:rsidRPr="002E375B" w:rsidTr="009F08C8">
        <w:trPr>
          <w:trHeight w:val="300"/>
        </w:trPr>
        <w:tc>
          <w:tcPr>
            <w:tcW w:w="2900" w:type="dxa"/>
            <w:shd w:val="clear" w:color="auto" w:fill="auto"/>
            <w:noWrap/>
            <w:vAlign w:val="center"/>
            <w:hideMark/>
          </w:tcPr>
          <w:p w:rsidR="009F08C8" w:rsidRPr="009F08C8" w:rsidRDefault="009F08C8" w:rsidP="009F08C8">
            <w:pPr>
              <w:spacing w:after="0" w:line="240" w:lineRule="auto"/>
              <w:jc w:val="center"/>
              <w:rPr>
                <w:rFonts w:ascii="Calibri" w:eastAsia="Times New Roman" w:hAnsi="Calibri" w:cs="Calibri"/>
                <w:color w:val="000000"/>
              </w:rPr>
            </w:pPr>
            <w:r w:rsidRPr="009F08C8">
              <w:rPr>
                <w:rFonts w:ascii="Calibri" w:eastAsia="Times New Roman" w:hAnsi="Calibri" w:cs="Calibri"/>
                <w:color w:val="000000"/>
              </w:rPr>
              <w:t>Oven temperature program</w:t>
            </w:r>
          </w:p>
        </w:tc>
        <w:tc>
          <w:tcPr>
            <w:tcW w:w="6860" w:type="dxa"/>
            <w:shd w:val="clear" w:color="auto" w:fill="auto"/>
            <w:noWrap/>
            <w:vAlign w:val="center"/>
            <w:hideMark/>
          </w:tcPr>
          <w:p w:rsidR="009F08C8" w:rsidRPr="009F08C8" w:rsidRDefault="009F08C8" w:rsidP="009F08C8">
            <w:pPr>
              <w:spacing w:after="0" w:line="240" w:lineRule="auto"/>
              <w:jc w:val="center"/>
              <w:rPr>
                <w:rFonts w:ascii="Calibri" w:eastAsia="Times New Roman" w:hAnsi="Calibri" w:cs="Calibri"/>
                <w:color w:val="000000"/>
                <w:lang w:val="fi-FI"/>
              </w:rPr>
            </w:pPr>
            <w:r w:rsidRPr="009F08C8">
              <w:rPr>
                <w:rFonts w:ascii="Calibri" w:eastAsia="Times New Roman" w:hAnsi="Calibri" w:cs="Calibri"/>
                <w:color w:val="000000"/>
                <w:lang w:val="fi-FI"/>
              </w:rPr>
              <w:t>100 °C (4min), 120 °C/min --&gt; 200 °C(10min), 50 °C/min --&gt; 320 °C (</w:t>
            </w:r>
            <w:r w:rsidR="006575D9">
              <w:rPr>
                <w:rFonts w:ascii="Calibri" w:eastAsia="Times New Roman" w:hAnsi="Calibri" w:cs="Calibri"/>
                <w:color w:val="000000"/>
                <w:lang w:val="fi-FI"/>
              </w:rPr>
              <w:t>2</w:t>
            </w:r>
            <w:r w:rsidRPr="009F08C8">
              <w:rPr>
                <w:rFonts w:ascii="Calibri" w:eastAsia="Times New Roman" w:hAnsi="Calibri" w:cs="Calibri"/>
                <w:color w:val="000000"/>
                <w:lang w:val="fi-FI"/>
              </w:rPr>
              <w:t>0min)</w:t>
            </w:r>
          </w:p>
        </w:tc>
      </w:tr>
      <w:tr w:rsidR="009F08C8" w:rsidRPr="009F08C8" w:rsidTr="009F08C8">
        <w:trPr>
          <w:trHeight w:val="300"/>
        </w:trPr>
        <w:tc>
          <w:tcPr>
            <w:tcW w:w="2900" w:type="dxa"/>
            <w:shd w:val="clear" w:color="auto" w:fill="auto"/>
            <w:noWrap/>
            <w:vAlign w:val="center"/>
            <w:hideMark/>
          </w:tcPr>
          <w:p w:rsidR="009F08C8" w:rsidRPr="009F08C8" w:rsidRDefault="009F08C8" w:rsidP="009F08C8">
            <w:pPr>
              <w:spacing w:after="0" w:line="240" w:lineRule="auto"/>
              <w:jc w:val="center"/>
              <w:rPr>
                <w:rFonts w:ascii="Calibri" w:eastAsia="Times New Roman" w:hAnsi="Calibri" w:cs="Calibri"/>
                <w:color w:val="000000"/>
              </w:rPr>
            </w:pPr>
            <w:r w:rsidRPr="009F08C8">
              <w:rPr>
                <w:rFonts w:ascii="Calibri" w:eastAsia="Times New Roman" w:hAnsi="Calibri" w:cs="Calibri"/>
                <w:color w:val="000000"/>
              </w:rPr>
              <w:t>Transfer line temperature (°C)</w:t>
            </w:r>
          </w:p>
        </w:tc>
        <w:tc>
          <w:tcPr>
            <w:tcW w:w="6860" w:type="dxa"/>
            <w:shd w:val="clear" w:color="auto" w:fill="auto"/>
            <w:noWrap/>
            <w:vAlign w:val="center"/>
            <w:hideMark/>
          </w:tcPr>
          <w:p w:rsidR="009F08C8" w:rsidRPr="009F08C8" w:rsidRDefault="009F08C8" w:rsidP="009F08C8">
            <w:pPr>
              <w:spacing w:after="0" w:line="240" w:lineRule="auto"/>
              <w:jc w:val="center"/>
              <w:rPr>
                <w:rFonts w:ascii="Calibri" w:eastAsia="Times New Roman" w:hAnsi="Calibri" w:cs="Calibri"/>
                <w:color w:val="000000"/>
              </w:rPr>
            </w:pPr>
            <w:r w:rsidRPr="009F08C8">
              <w:rPr>
                <w:rFonts w:ascii="Calibri" w:eastAsia="Times New Roman" w:hAnsi="Calibri" w:cs="Calibri"/>
                <w:color w:val="000000"/>
              </w:rPr>
              <w:t>280</w:t>
            </w:r>
          </w:p>
        </w:tc>
      </w:tr>
      <w:tr w:rsidR="009F08C8" w:rsidRPr="009F08C8" w:rsidTr="009F08C8">
        <w:trPr>
          <w:trHeight w:val="300"/>
        </w:trPr>
        <w:tc>
          <w:tcPr>
            <w:tcW w:w="2900" w:type="dxa"/>
            <w:shd w:val="clear" w:color="auto" w:fill="auto"/>
            <w:noWrap/>
            <w:vAlign w:val="center"/>
            <w:hideMark/>
          </w:tcPr>
          <w:p w:rsidR="009F08C8" w:rsidRPr="009F08C8" w:rsidRDefault="009F08C8" w:rsidP="009F08C8">
            <w:pPr>
              <w:spacing w:after="0" w:line="240" w:lineRule="auto"/>
              <w:jc w:val="center"/>
              <w:rPr>
                <w:rFonts w:ascii="Calibri" w:eastAsia="Times New Roman" w:hAnsi="Calibri" w:cs="Calibri"/>
                <w:color w:val="000000"/>
              </w:rPr>
            </w:pPr>
            <w:r w:rsidRPr="009F08C8">
              <w:rPr>
                <w:rFonts w:ascii="Calibri" w:eastAsia="Times New Roman" w:hAnsi="Calibri" w:cs="Calibri"/>
                <w:color w:val="000000"/>
              </w:rPr>
              <w:t>Source temperature (°C)</w:t>
            </w:r>
          </w:p>
        </w:tc>
        <w:tc>
          <w:tcPr>
            <w:tcW w:w="6860" w:type="dxa"/>
            <w:shd w:val="clear" w:color="auto" w:fill="auto"/>
            <w:noWrap/>
            <w:vAlign w:val="center"/>
            <w:hideMark/>
          </w:tcPr>
          <w:p w:rsidR="009F08C8" w:rsidRPr="009F08C8" w:rsidRDefault="009F08C8" w:rsidP="009F08C8">
            <w:pPr>
              <w:spacing w:after="0" w:line="240" w:lineRule="auto"/>
              <w:jc w:val="center"/>
              <w:rPr>
                <w:rFonts w:ascii="Calibri" w:eastAsia="Times New Roman" w:hAnsi="Calibri" w:cs="Calibri"/>
                <w:color w:val="000000"/>
              </w:rPr>
            </w:pPr>
            <w:r w:rsidRPr="009F08C8">
              <w:rPr>
                <w:rFonts w:ascii="Calibri" w:eastAsia="Times New Roman" w:hAnsi="Calibri" w:cs="Calibri"/>
                <w:color w:val="000000"/>
              </w:rPr>
              <w:t>230</w:t>
            </w:r>
          </w:p>
        </w:tc>
      </w:tr>
      <w:tr w:rsidR="009F08C8" w:rsidRPr="009F08C8" w:rsidTr="009F08C8">
        <w:trPr>
          <w:trHeight w:val="300"/>
        </w:trPr>
        <w:tc>
          <w:tcPr>
            <w:tcW w:w="2900" w:type="dxa"/>
            <w:tcBorders>
              <w:bottom w:val="single" w:sz="4" w:space="0" w:color="auto"/>
            </w:tcBorders>
            <w:shd w:val="clear" w:color="auto" w:fill="auto"/>
            <w:noWrap/>
            <w:vAlign w:val="center"/>
            <w:hideMark/>
          </w:tcPr>
          <w:p w:rsidR="009F08C8" w:rsidRPr="009F08C8" w:rsidRDefault="009F08C8" w:rsidP="009F08C8">
            <w:pPr>
              <w:spacing w:after="0" w:line="240" w:lineRule="auto"/>
              <w:jc w:val="center"/>
              <w:rPr>
                <w:rFonts w:ascii="Calibri" w:eastAsia="Times New Roman" w:hAnsi="Calibri" w:cs="Calibri"/>
                <w:color w:val="000000"/>
              </w:rPr>
            </w:pPr>
            <w:r w:rsidRPr="009F08C8">
              <w:rPr>
                <w:rFonts w:ascii="Calibri" w:eastAsia="Times New Roman" w:hAnsi="Calibri" w:cs="Calibri"/>
                <w:color w:val="000000"/>
              </w:rPr>
              <w:t>Electron energy (eV)</w:t>
            </w:r>
          </w:p>
        </w:tc>
        <w:tc>
          <w:tcPr>
            <w:tcW w:w="6860" w:type="dxa"/>
            <w:tcBorders>
              <w:bottom w:val="single" w:sz="4" w:space="0" w:color="auto"/>
            </w:tcBorders>
            <w:shd w:val="clear" w:color="auto" w:fill="auto"/>
            <w:noWrap/>
            <w:vAlign w:val="center"/>
            <w:hideMark/>
          </w:tcPr>
          <w:p w:rsidR="009F08C8" w:rsidRPr="009F08C8" w:rsidRDefault="009F08C8" w:rsidP="009F08C8">
            <w:pPr>
              <w:spacing w:after="0" w:line="240" w:lineRule="auto"/>
              <w:jc w:val="center"/>
              <w:rPr>
                <w:rFonts w:ascii="Calibri" w:eastAsia="Times New Roman" w:hAnsi="Calibri" w:cs="Calibri"/>
                <w:color w:val="000000"/>
              </w:rPr>
            </w:pPr>
            <w:r w:rsidRPr="009F08C8">
              <w:rPr>
                <w:rFonts w:ascii="Calibri" w:eastAsia="Times New Roman" w:hAnsi="Calibri" w:cs="Calibri"/>
                <w:color w:val="000000"/>
              </w:rPr>
              <w:t>70</w:t>
            </w:r>
          </w:p>
        </w:tc>
      </w:tr>
      <w:tr w:rsidR="009F08C8" w:rsidRPr="009F08C8" w:rsidTr="009F08C8">
        <w:trPr>
          <w:trHeight w:val="300"/>
        </w:trPr>
        <w:tc>
          <w:tcPr>
            <w:tcW w:w="2900" w:type="dxa"/>
            <w:tcBorders>
              <w:bottom w:val="single" w:sz="4" w:space="0" w:color="auto"/>
            </w:tcBorders>
            <w:shd w:val="clear" w:color="auto" w:fill="auto"/>
            <w:noWrap/>
            <w:vAlign w:val="center"/>
            <w:hideMark/>
          </w:tcPr>
          <w:p w:rsidR="009F08C8" w:rsidRPr="009F08C8" w:rsidRDefault="009F08C8" w:rsidP="009F08C8">
            <w:pPr>
              <w:spacing w:after="0" w:line="240" w:lineRule="auto"/>
              <w:jc w:val="center"/>
              <w:rPr>
                <w:rFonts w:ascii="Calibri" w:eastAsia="Times New Roman" w:hAnsi="Calibri" w:cs="Calibri"/>
                <w:color w:val="000000"/>
              </w:rPr>
            </w:pPr>
            <w:r w:rsidRPr="009F08C8">
              <w:rPr>
                <w:rFonts w:ascii="Calibri" w:eastAsia="Times New Roman" w:hAnsi="Calibri" w:cs="Calibri"/>
                <w:color w:val="000000"/>
              </w:rPr>
              <w:t>Scan (m/z)</w:t>
            </w:r>
          </w:p>
        </w:tc>
        <w:tc>
          <w:tcPr>
            <w:tcW w:w="6860" w:type="dxa"/>
            <w:tcBorders>
              <w:bottom w:val="single" w:sz="4" w:space="0" w:color="auto"/>
            </w:tcBorders>
            <w:shd w:val="clear" w:color="auto" w:fill="auto"/>
            <w:noWrap/>
            <w:vAlign w:val="center"/>
            <w:hideMark/>
          </w:tcPr>
          <w:p w:rsidR="009F08C8" w:rsidRPr="009F08C8" w:rsidRDefault="009F08C8" w:rsidP="009F08C8">
            <w:pPr>
              <w:spacing w:after="0" w:line="240" w:lineRule="auto"/>
              <w:jc w:val="center"/>
              <w:rPr>
                <w:rFonts w:ascii="Calibri" w:eastAsia="Times New Roman" w:hAnsi="Calibri" w:cs="Calibri"/>
                <w:color w:val="000000"/>
              </w:rPr>
            </w:pPr>
            <w:r w:rsidRPr="009F08C8">
              <w:rPr>
                <w:rFonts w:ascii="Calibri" w:eastAsia="Times New Roman" w:hAnsi="Calibri" w:cs="Calibri"/>
                <w:color w:val="000000"/>
              </w:rPr>
              <w:t>35-500</w:t>
            </w:r>
          </w:p>
        </w:tc>
      </w:tr>
    </w:tbl>
    <w:p w:rsidR="009F08C8" w:rsidRDefault="00331176">
      <w:r>
        <w:lastRenderedPageBreak/>
        <w:t xml:space="preserve">Appendix 15. Instrument parameter information for Intuvo 9000 GC method for the chemical composition of CBD oil. </w:t>
      </w:r>
    </w:p>
    <w:p w:rsidR="00E90319" w:rsidRDefault="00E90319" w:rsidP="00E90319">
      <w:pPr>
        <w:pStyle w:val="Caption"/>
      </w:pPr>
      <w:r>
        <w:t xml:space="preserve">Table </w:t>
      </w:r>
      <w:r w:rsidR="002E375B">
        <w:fldChar w:fldCharType="begin"/>
      </w:r>
      <w:r w:rsidR="002E375B">
        <w:instrText xml:space="preserve"> SEQ Table \* ARABIC </w:instrText>
      </w:r>
      <w:r w:rsidR="002E375B">
        <w:fldChar w:fldCharType="separate"/>
      </w:r>
      <w:r w:rsidR="00715BEF">
        <w:rPr>
          <w:noProof/>
        </w:rPr>
        <w:t>10</w:t>
      </w:r>
      <w:r w:rsidR="002E375B">
        <w:rPr>
          <w:noProof/>
        </w:rPr>
        <w:fldChar w:fldCharType="end"/>
      </w:r>
      <w:r>
        <w:t xml:space="preserve"> Intuvo 9000 instrument parameters for separation of CBD oil chemical constituents. </w:t>
      </w:r>
    </w:p>
    <w:tbl>
      <w:tblPr>
        <w:tblW w:w="9500" w:type="dxa"/>
        <w:tblBorders>
          <w:top w:val="single" w:sz="4" w:space="0" w:color="auto"/>
          <w:bottom w:val="single" w:sz="4" w:space="0" w:color="auto"/>
          <w:insideH w:val="single" w:sz="4" w:space="0" w:color="auto"/>
        </w:tblBorders>
        <w:tblLook w:val="04A0" w:firstRow="1" w:lastRow="0" w:firstColumn="1" w:lastColumn="0" w:noHBand="0" w:noVBand="1"/>
      </w:tblPr>
      <w:tblGrid>
        <w:gridCol w:w="3000"/>
        <w:gridCol w:w="6500"/>
      </w:tblGrid>
      <w:tr w:rsidR="007D2C7D" w:rsidRPr="007D2C7D" w:rsidTr="00637E31">
        <w:trPr>
          <w:trHeight w:val="300"/>
        </w:trPr>
        <w:tc>
          <w:tcPr>
            <w:tcW w:w="3000" w:type="dxa"/>
            <w:tcBorders>
              <w:bottom w:val="thinThickThinSmallGap" w:sz="24" w:space="0" w:color="auto"/>
            </w:tcBorders>
            <w:shd w:val="clear" w:color="auto" w:fill="DBE5F1" w:themeFill="accent1" w:themeFillTint="33"/>
            <w:noWrap/>
            <w:vAlign w:val="center"/>
            <w:hideMark/>
          </w:tcPr>
          <w:p w:rsidR="007D2C7D" w:rsidRPr="007D2C7D" w:rsidRDefault="007D2C7D" w:rsidP="007D2C7D">
            <w:pPr>
              <w:spacing w:after="0" w:line="240" w:lineRule="auto"/>
              <w:jc w:val="center"/>
              <w:rPr>
                <w:rFonts w:ascii="Calibri" w:eastAsia="Times New Roman" w:hAnsi="Calibri" w:cs="Calibri"/>
                <w:b/>
                <w:bCs/>
                <w:color w:val="000000"/>
              </w:rPr>
            </w:pPr>
            <w:r w:rsidRPr="007D2C7D">
              <w:rPr>
                <w:rFonts w:ascii="Calibri" w:eastAsia="Times New Roman" w:hAnsi="Calibri" w:cs="Calibri"/>
                <w:b/>
                <w:bCs/>
                <w:color w:val="000000"/>
              </w:rPr>
              <w:t>Parameter</w:t>
            </w:r>
          </w:p>
        </w:tc>
        <w:tc>
          <w:tcPr>
            <w:tcW w:w="6500" w:type="dxa"/>
            <w:tcBorders>
              <w:bottom w:val="thinThickThinSmallGap" w:sz="24" w:space="0" w:color="auto"/>
            </w:tcBorders>
            <w:shd w:val="clear" w:color="auto" w:fill="DBE5F1" w:themeFill="accent1" w:themeFillTint="33"/>
            <w:noWrap/>
            <w:vAlign w:val="center"/>
            <w:hideMark/>
          </w:tcPr>
          <w:p w:rsidR="007D2C7D" w:rsidRPr="007D2C7D" w:rsidRDefault="007D2C7D" w:rsidP="007D2C7D">
            <w:pPr>
              <w:spacing w:after="0" w:line="240" w:lineRule="auto"/>
              <w:jc w:val="center"/>
              <w:rPr>
                <w:rFonts w:ascii="Calibri" w:eastAsia="Times New Roman" w:hAnsi="Calibri" w:cs="Calibri"/>
                <w:b/>
                <w:bCs/>
                <w:color w:val="000000"/>
              </w:rPr>
            </w:pPr>
            <w:r w:rsidRPr="007D2C7D">
              <w:rPr>
                <w:rFonts w:ascii="Calibri" w:eastAsia="Times New Roman" w:hAnsi="Calibri" w:cs="Calibri"/>
                <w:b/>
                <w:bCs/>
                <w:color w:val="000000"/>
              </w:rPr>
              <w:t>Value</w:t>
            </w:r>
          </w:p>
        </w:tc>
      </w:tr>
      <w:tr w:rsidR="007D2C7D" w:rsidRPr="007D2C7D" w:rsidTr="007D2C7D">
        <w:trPr>
          <w:trHeight w:val="300"/>
        </w:trPr>
        <w:tc>
          <w:tcPr>
            <w:tcW w:w="3000" w:type="dxa"/>
            <w:tcBorders>
              <w:top w:val="thinThickThinSmallGap" w:sz="24" w:space="0" w:color="auto"/>
            </w:tcBorders>
            <w:shd w:val="clear" w:color="auto" w:fill="auto"/>
            <w:noWrap/>
            <w:vAlign w:val="center"/>
            <w:hideMark/>
          </w:tcPr>
          <w:p w:rsidR="007D2C7D" w:rsidRPr="007D2C7D" w:rsidRDefault="007D2C7D" w:rsidP="007D2C7D">
            <w:pPr>
              <w:spacing w:after="0" w:line="240" w:lineRule="auto"/>
              <w:jc w:val="center"/>
              <w:rPr>
                <w:rFonts w:ascii="Calibri" w:eastAsia="Times New Roman" w:hAnsi="Calibri" w:cs="Calibri"/>
                <w:color w:val="000000"/>
              </w:rPr>
            </w:pPr>
            <w:r w:rsidRPr="007D2C7D">
              <w:rPr>
                <w:rFonts w:ascii="Calibri" w:eastAsia="Times New Roman" w:hAnsi="Calibri" w:cs="Calibri"/>
                <w:color w:val="000000"/>
              </w:rPr>
              <w:t>Guard chip</w:t>
            </w:r>
          </w:p>
        </w:tc>
        <w:tc>
          <w:tcPr>
            <w:tcW w:w="6500" w:type="dxa"/>
            <w:tcBorders>
              <w:top w:val="thinThickThinSmallGap" w:sz="24" w:space="0" w:color="auto"/>
            </w:tcBorders>
            <w:shd w:val="clear" w:color="auto" w:fill="auto"/>
            <w:noWrap/>
            <w:vAlign w:val="center"/>
            <w:hideMark/>
          </w:tcPr>
          <w:p w:rsidR="007D2C7D" w:rsidRPr="007D2C7D" w:rsidRDefault="007D2C7D" w:rsidP="007D2C7D">
            <w:pPr>
              <w:spacing w:after="0" w:line="240" w:lineRule="auto"/>
              <w:jc w:val="center"/>
              <w:rPr>
                <w:rFonts w:ascii="Calibri" w:eastAsia="Times New Roman" w:hAnsi="Calibri" w:cs="Calibri"/>
                <w:color w:val="000000"/>
              </w:rPr>
            </w:pPr>
            <w:r w:rsidRPr="007D2C7D">
              <w:rPr>
                <w:rFonts w:ascii="Calibri" w:eastAsia="Times New Roman" w:hAnsi="Calibri" w:cs="Calibri"/>
                <w:color w:val="000000"/>
              </w:rPr>
              <w:t>Track oven</w:t>
            </w:r>
          </w:p>
        </w:tc>
      </w:tr>
      <w:tr w:rsidR="007D2C7D" w:rsidRPr="007D2C7D" w:rsidTr="007D2C7D">
        <w:trPr>
          <w:trHeight w:val="300"/>
        </w:trPr>
        <w:tc>
          <w:tcPr>
            <w:tcW w:w="3000" w:type="dxa"/>
            <w:shd w:val="clear" w:color="auto" w:fill="auto"/>
            <w:noWrap/>
            <w:vAlign w:val="center"/>
            <w:hideMark/>
          </w:tcPr>
          <w:p w:rsidR="007D2C7D" w:rsidRPr="007D2C7D" w:rsidRDefault="007D2C7D" w:rsidP="007D2C7D">
            <w:pPr>
              <w:spacing w:after="0" w:line="240" w:lineRule="auto"/>
              <w:jc w:val="center"/>
              <w:rPr>
                <w:rFonts w:ascii="Calibri" w:eastAsia="Times New Roman" w:hAnsi="Calibri" w:cs="Calibri"/>
                <w:color w:val="000000"/>
              </w:rPr>
            </w:pPr>
            <w:r w:rsidRPr="007D2C7D">
              <w:rPr>
                <w:rFonts w:ascii="Calibri" w:eastAsia="Times New Roman" w:hAnsi="Calibri" w:cs="Calibri"/>
                <w:color w:val="000000"/>
              </w:rPr>
              <w:t xml:space="preserve">Bus temperature </w:t>
            </w:r>
          </w:p>
        </w:tc>
        <w:tc>
          <w:tcPr>
            <w:tcW w:w="6500" w:type="dxa"/>
            <w:shd w:val="clear" w:color="auto" w:fill="auto"/>
            <w:noWrap/>
            <w:vAlign w:val="center"/>
            <w:hideMark/>
          </w:tcPr>
          <w:p w:rsidR="007D2C7D" w:rsidRPr="007D2C7D" w:rsidRDefault="007D2C7D" w:rsidP="007D2C7D">
            <w:pPr>
              <w:spacing w:after="0" w:line="240" w:lineRule="auto"/>
              <w:jc w:val="center"/>
              <w:rPr>
                <w:rFonts w:ascii="Calibri" w:eastAsia="Times New Roman" w:hAnsi="Calibri" w:cs="Calibri"/>
                <w:color w:val="000000"/>
              </w:rPr>
            </w:pPr>
            <w:r w:rsidRPr="007D2C7D">
              <w:rPr>
                <w:rFonts w:ascii="Calibri" w:eastAsia="Times New Roman" w:hAnsi="Calibri" w:cs="Calibri"/>
                <w:color w:val="000000"/>
              </w:rPr>
              <w:t>Default</w:t>
            </w:r>
          </w:p>
        </w:tc>
      </w:tr>
      <w:tr w:rsidR="007D2C7D" w:rsidRPr="007D2C7D" w:rsidTr="007D2C7D">
        <w:trPr>
          <w:trHeight w:val="300"/>
        </w:trPr>
        <w:tc>
          <w:tcPr>
            <w:tcW w:w="3000" w:type="dxa"/>
            <w:shd w:val="clear" w:color="auto" w:fill="auto"/>
            <w:noWrap/>
            <w:vAlign w:val="center"/>
            <w:hideMark/>
          </w:tcPr>
          <w:p w:rsidR="007D2C7D" w:rsidRPr="007D2C7D" w:rsidRDefault="007D2C7D" w:rsidP="007D2C7D">
            <w:pPr>
              <w:spacing w:after="0" w:line="240" w:lineRule="auto"/>
              <w:jc w:val="center"/>
              <w:rPr>
                <w:rFonts w:ascii="Calibri" w:eastAsia="Times New Roman" w:hAnsi="Calibri" w:cs="Calibri"/>
                <w:color w:val="000000"/>
              </w:rPr>
            </w:pPr>
            <w:r w:rsidRPr="007D2C7D">
              <w:rPr>
                <w:rFonts w:ascii="Calibri" w:eastAsia="Times New Roman" w:hAnsi="Calibri" w:cs="Calibri"/>
                <w:color w:val="000000"/>
              </w:rPr>
              <w:t>Injection volume (µl)</w:t>
            </w:r>
          </w:p>
        </w:tc>
        <w:tc>
          <w:tcPr>
            <w:tcW w:w="6500" w:type="dxa"/>
            <w:shd w:val="clear" w:color="auto" w:fill="auto"/>
            <w:noWrap/>
            <w:vAlign w:val="center"/>
            <w:hideMark/>
          </w:tcPr>
          <w:p w:rsidR="007D2C7D" w:rsidRPr="007D2C7D" w:rsidRDefault="007D2C7D" w:rsidP="007D2C7D">
            <w:pPr>
              <w:spacing w:after="0" w:line="240" w:lineRule="auto"/>
              <w:jc w:val="center"/>
              <w:rPr>
                <w:rFonts w:ascii="Calibri" w:eastAsia="Times New Roman" w:hAnsi="Calibri" w:cs="Calibri"/>
                <w:color w:val="000000"/>
              </w:rPr>
            </w:pPr>
            <w:r w:rsidRPr="007D2C7D">
              <w:rPr>
                <w:rFonts w:ascii="Calibri" w:eastAsia="Times New Roman" w:hAnsi="Calibri" w:cs="Calibri"/>
                <w:color w:val="000000"/>
              </w:rPr>
              <w:t>1</w:t>
            </w:r>
          </w:p>
        </w:tc>
      </w:tr>
      <w:tr w:rsidR="007D2C7D" w:rsidRPr="007D2C7D" w:rsidTr="007D2C7D">
        <w:trPr>
          <w:trHeight w:val="300"/>
        </w:trPr>
        <w:tc>
          <w:tcPr>
            <w:tcW w:w="3000" w:type="dxa"/>
            <w:shd w:val="clear" w:color="auto" w:fill="auto"/>
            <w:noWrap/>
            <w:vAlign w:val="center"/>
            <w:hideMark/>
          </w:tcPr>
          <w:p w:rsidR="007D2C7D" w:rsidRPr="007D2C7D" w:rsidRDefault="007D2C7D" w:rsidP="007D2C7D">
            <w:pPr>
              <w:spacing w:after="0" w:line="240" w:lineRule="auto"/>
              <w:jc w:val="center"/>
              <w:rPr>
                <w:rFonts w:ascii="Calibri" w:eastAsia="Times New Roman" w:hAnsi="Calibri" w:cs="Calibri"/>
                <w:color w:val="000000"/>
              </w:rPr>
            </w:pPr>
            <w:r w:rsidRPr="007D2C7D">
              <w:rPr>
                <w:rFonts w:ascii="Calibri" w:eastAsia="Times New Roman" w:hAnsi="Calibri" w:cs="Calibri"/>
                <w:color w:val="000000"/>
              </w:rPr>
              <w:t>Inlet temperature (°C)</w:t>
            </w:r>
          </w:p>
        </w:tc>
        <w:tc>
          <w:tcPr>
            <w:tcW w:w="6500" w:type="dxa"/>
            <w:shd w:val="clear" w:color="auto" w:fill="auto"/>
            <w:noWrap/>
            <w:vAlign w:val="center"/>
            <w:hideMark/>
          </w:tcPr>
          <w:p w:rsidR="007D2C7D" w:rsidRPr="007D2C7D" w:rsidRDefault="007D2C7D" w:rsidP="007D2C7D">
            <w:pPr>
              <w:spacing w:after="0" w:line="240" w:lineRule="auto"/>
              <w:jc w:val="center"/>
              <w:rPr>
                <w:rFonts w:ascii="Calibri" w:eastAsia="Times New Roman" w:hAnsi="Calibri" w:cs="Calibri"/>
                <w:color w:val="000000"/>
              </w:rPr>
            </w:pPr>
            <w:r w:rsidRPr="007D2C7D">
              <w:rPr>
                <w:rFonts w:ascii="Calibri" w:eastAsia="Times New Roman" w:hAnsi="Calibri" w:cs="Calibri"/>
                <w:color w:val="000000"/>
              </w:rPr>
              <w:t>250</w:t>
            </w:r>
          </w:p>
        </w:tc>
      </w:tr>
      <w:tr w:rsidR="007D2C7D" w:rsidRPr="007D2C7D" w:rsidTr="007D2C7D">
        <w:trPr>
          <w:trHeight w:val="300"/>
        </w:trPr>
        <w:tc>
          <w:tcPr>
            <w:tcW w:w="3000" w:type="dxa"/>
            <w:shd w:val="clear" w:color="auto" w:fill="auto"/>
            <w:noWrap/>
            <w:vAlign w:val="center"/>
            <w:hideMark/>
          </w:tcPr>
          <w:p w:rsidR="007D2C7D" w:rsidRPr="007D2C7D" w:rsidRDefault="007D2C7D" w:rsidP="007D2C7D">
            <w:pPr>
              <w:spacing w:after="0" w:line="240" w:lineRule="auto"/>
              <w:jc w:val="center"/>
              <w:rPr>
                <w:rFonts w:ascii="Calibri" w:eastAsia="Times New Roman" w:hAnsi="Calibri" w:cs="Calibri"/>
                <w:color w:val="000000"/>
              </w:rPr>
            </w:pPr>
            <w:r w:rsidRPr="007D2C7D">
              <w:rPr>
                <w:rFonts w:ascii="Calibri" w:eastAsia="Times New Roman" w:hAnsi="Calibri" w:cs="Calibri"/>
                <w:color w:val="000000"/>
              </w:rPr>
              <w:t>Split ratio</w:t>
            </w:r>
          </w:p>
        </w:tc>
        <w:tc>
          <w:tcPr>
            <w:tcW w:w="6500" w:type="dxa"/>
            <w:shd w:val="clear" w:color="auto" w:fill="auto"/>
            <w:noWrap/>
            <w:vAlign w:val="center"/>
            <w:hideMark/>
          </w:tcPr>
          <w:p w:rsidR="007D2C7D" w:rsidRPr="007D2C7D" w:rsidRDefault="007D2C7D" w:rsidP="007D2C7D">
            <w:pPr>
              <w:spacing w:after="0" w:line="240" w:lineRule="auto"/>
              <w:jc w:val="center"/>
              <w:rPr>
                <w:rFonts w:ascii="Calibri" w:eastAsia="Times New Roman" w:hAnsi="Calibri" w:cs="Calibri"/>
                <w:color w:val="000000"/>
              </w:rPr>
            </w:pPr>
            <w:r w:rsidRPr="007D2C7D">
              <w:rPr>
                <w:rFonts w:ascii="Calibri" w:eastAsia="Times New Roman" w:hAnsi="Calibri" w:cs="Calibri"/>
                <w:color w:val="000000"/>
              </w:rPr>
              <w:t>1.20</w:t>
            </w:r>
          </w:p>
        </w:tc>
      </w:tr>
      <w:tr w:rsidR="007D2C7D" w:rsidRPr="007D2C7D" w:rsidTr="007D2C7D">
        <w:trPr>
          <w:trHeight w:val="300"/>
        </w:trPr>
        <w:tc>
          <w:tcPr>
            <w:tcW w:w="3000" w:type="dxa"/>
            <w:shd w:val="clear" w:color="auto" w:fill="auto"/>
            <w:noWrap/>
            <w:vAlign w:val="center"/>
            <w:hideMark/>
          </w:tcPr>
          <w:p w:rsidR="007D2C7D" w:rsidRPr="007D2C7D" w:rsidRDefault="003E711F" w:rsidP="007D2C7D">
            <w:pPr>
              <w:spacing w:after="0" w:line="240" w:lineRule="auto"/>
              <w:jc w:val="center"/>
              <w:rPr>
                <w:rFonts w:ascii="Calibri" w:eastAsia="Times New Roman" w:hAnsi="Calibri" w:cs="Calibri"/>
                <w:color w:val="000000"/>
              </w:rPr>
            </w:pPr>
            <w:r>
              <w:rPr>
                <w:rFonts w:ascii="Calibri" w:eastAsia="Times New Roman" w:hAnsi="Calibri" w:cs="Calibri"/>
                <w:color w:val="000000"/>
              </w:rPr>
              <w:t>Split flow (mL</w:t>
            </w:r>
            <w:r w:rsidR="007D2C7D" w:rsidRPr="007D2C7D">
              <w:rPr>
                <w:rFonts w:ascii="Calibri" w:eastAsia="Times New Roman" w:hAnsi="Calibri" w:cs="Calibri"/>
                <w:color w:val="000000"/>
              </w:rPr>
              <w:t>/min)</w:t>
            </w:r>
          </w:p>
        </w:tc>
        <w:tc>
          <w:tcPr>
            <w:tcW w:w="6500" w:type="dxa"/>
            <w:shd w:val="clear" w:color="auto" w:fill="auto"/>
            <w:noWrap/>
            <w:vAlign w:val="center"/>
            <w:hideMark/>
          </w:tcPr>
          <w:p w:rsidR="007D2C7D" w:rsidRPr="007D2C7D" w:rsidRDefault="007D2C7D" w:rsidP="007D2C7D">
            <w:pPr>
              <w:spacing w:after="0" w:line="240" w:lineRule="auto"/>
              <w:jc w:val="center"/>
              <w:rPr>
                <w:rFonts w:ascii="Calibri" w:eastAsia="Times New Roman" w:hAnsi="Calibri" w:cs="Calibri"/>
                <w:color w:val="000000"/>
              </w:rPr>
            </w:pPr>
            <w:r w:rsidRPr="007D2C7D">
              <w:rPr>
                <w:rFonts w:ascii="Calibri" w:eastAsia="Times New Roman" w:hAnsi="Calibri" w:cs="Calibri"/>
                <w:color w:val="000000"/>
              </w:rPr>
              <w:t>30.885</w:t>
            </w:r>
          </w:p>
        </w:tc>
      </w:tr>
      <w:tr w:rsidR="007D2C7D" w:rsidRPr="007D2C7D" w:rsidTr="007D2C7D">
        <w:trPr>
          <w:trHeight w:val="300"/>
        </w:trPr>
        <w:tc>
          <w:tcPr>
            <w:tcW w:w="3000" w:type="dxa"/>
            <w:shd w:val="clear" w:color="auto" w:fill="auto"/>
            <w:noWrap/>
            <w:vAlign w:val="center"/>
            <w:hideMark/>
          </w:tcPr>
          <w:p w:rsidR="007D2C7D" w:rsidRPr="007D2C7D" w:rsidRDefault="007D2C7D" w:rsidP="007D2C7D">
            <w:pPr>
              <w:spacing w:after="0" w:line="240" w:lineRule="auto"/>
              <w:jc w:val="center"/>
              <w:rPr>
                <w:rFonts w:ascii="Calibri" w:eastAsia="Times New Roman" w:hAnsi="Calibri" w:cs="Calibri"/>
                <w:color w:val="000000"/>
              </w:rPr>
            </w:pPr>
            <w:r w:rsidRPr="007D2C7D">
              <w:rPr>
                <w:rFonts w:ascii="Calibri" w:eastAsia="Times New Roman" w:hAnsi="Calibri" w:cs="Calibri"/>
                <w:color w:val="000000"/>
              </w:rPr>
              <w:t xml:space="preserve">Carrier gas </w:t>
            </w:r>
          </w:p>
        </w:tc>
        <w:tc>
          <w:tcPr>
            <w:tcW w:w="6500" w:type="dxa"/>
            <w:shd w:val="clear" w:color="auto" w:fill="auto"/>
            <w:noWrap/>
            <w:vAlign w:val="center"/>
            <w:hideMark/>
          </w:tcPr>
          <w:p w:rsidR="007D2C7D" w:rsidRPr="007D2C7D" w:rsidRDefault="007D2C7D" w:rsidP="007D2C7D">
            <w:pPr>
              <w:spacing w:after="0" w:line="240" w:lineRule="auto"/>
              <w:jc w:val="center"/>
              <w:rPr>
                <w:rFonts w:ascii="Calibri" w:eastAsia="Times New Roman" w:hAnsi="Calibri" w:cs="Calibri"/>
                <w:color w:val="000000"/>
              </w:rPr>
            </w:pPr>
            <w:r w:rsidRPr="007D2C7D">
              <w:rPr>
                <w:rFonts w:ascii="Calibri" w:eastAsia="Times New Roman" w:hAnsi="Calibri" w:cs="Calibri"/>
                <w:color w:val="000000"/>
              </w:rPr>
              <w:t>Helium</w:t>
            </w:r>
          </w:p>
        </w:tc>
      </w:tr>
      <w:tr w:rsidR="007D2C7D" w:rsidRPr="007D2C7D" w:rsidTr="007D2C7D">
        <w:trPr>
          <w:trHeight w:val="300"/>
        </w:trPr>
        <w:tc>
          <w:tcPr>
            <w:tcW w:w="3000" w:type="dxa"/>
            <w:shd w:val="clear" w:color="auto" w:fill="auto"/>
            <w:noWrap/>
            <w:vAlign w:val="center"/>
            <w:hideMark/>
          </w:tcPr>
          <w:p w:rsidR="007D2C7D" w:rsidRPr="007D2C7D" w:rsidRDefault="007D2C7D" w:rsidP="007D2C7D">
            <w:pPr>
              <w:spacing w:after="0" w:line="240" w:lineRule="auto"/>
              <w:jc w:val="center"/>
              <w:rPr>
                <w:rFonts w:ascii="Calibri" w:eastAsia="Times New Roman" w:hAnsi="Calibri" w:cs="Calibri"/>
                <w:color w:val="000000"/>
              </w:rPr>
            </w:pPr>
            <w:r w:rsidRPr="007D2C7D">
              <w:rPr>
                <w:rFonts w:ascii="Calibri" w:eastAsia="Times New Roman" w:hAnsi="Calibri" w:cs="Calibri"/>
                <w:color w:val="000000"/>
              </w:rPr>
              <w:t>Gas saver on after (min)</w:t>
            </w:r>
          </w:p>
        </w:tc>
        <w:tc>
          <w:tcPr>
            <w:tcW w:w="6500" w:type="dxa"/>
            <w:shd w:val="clear" w:color="auto" w:fill="auto"/>
            <w:noWrap/>
            <w:vAlign w:val="center"/>
            <w:hideMark/>
          </w:tcPr>
          <w:p w:rsidR="007D2C7D" w:rsidRPr="007D2C7D" w:rsidRDefault="007D2C7D" w:rsidP="007D2C7D">
            <w:pPr>
              <w:spacing w:after="0" w:line="240" w:lineRule="auto"/>
              <w:jc w:val="center"/>
              <w:rPr>
                <w:rFonts w:ascii="Calibri" w:eastAsia="Times New Roman" w:hAnsi="Calibri" w:cs="Calibri"/>
                <w:color w:val="000000"/>
              </w:rPr>
            </w:pPr>
            <w:r w:rsidRPr="007D2C7D">
              <w:rPr>
                <w:rFonts w:ascii="Calibri" w:eastAsia="Times New Roman" w:hAnsi="Calibri" w:cs="Calibri"/>
                <w:color w:val="000000"/>
              </w:rPr>
              <w:t>3.00</w:t>
            </w:r>
          </w:p>
        </w:tc>
      </w:tr>
      <w:tr w:rsidR="007D2C7D" w:rsidRPr="007D2C7D" w:rsidTr="007D2C7D">
        <w:trPr>
          <w:trHeight w:val="300"/>
        </w:trPr>
        <w:tc>
          <w:tcPr>
            <w:tcW w:w="3000" w:type="dxa"/>
            <w:shd w:val="clear" w:color="auto" w:fill="auto"/>
            <w:noWrap/>
            <w:vAlign w:val="center"/>
            <w:hideMark/>
          </w:tcPr>
          <w:p w:rsidR="007D2C7D" w:rsidRPr="007D2C7D" w:rsidRDefault="003E711F" w:rsidP="007D2C7D">
            <w:pPr>
              <w:spacing w:after="0" w:line="240" w:lineRule="auto"/>
              <w:jc w:val="center"/>
              <w:rPr>
                <w:rFonts w:ascii="Calibri" w:eastAsia="Times New Roman" w:hAnsi="Calibri" w:cs="Calibri"/>
                <w:color w:val="000000"/>
              </w:rPr>
            </w:pPr>
            <w:r>
              <w:rPr>
                <w:rFonts w:ascii="Calibri" w:eastAsia="Times New Roman" w:hAnsi="Calibri" w:cs="Calibri"/>
                <w:color w:val="000000"/>
              </w:rPr>
              <w:t>Septum purge (mL</w:t>
            </w:r>
            <w:r w:rsidR="007D2C7D" w:rsidRPr="007D2C7D">
              <w:rPr>
                <w:rFonts w:ascii="Calibri" w:eastAsia="Times New Roman" w:hAnsi="Calibri" w:cs="Calibri"/>
                <w:color w:val="000000"/>
              </w:rPr>
              <w:t>/min)</w:t>
            </w:r>
          </w:p>
        </w:tc>
        <w:tc>
          <w:tcPr>
            <w:tcW w:w="6500" w:type="dxa"/>
            <w:shd w:val="clear" w:color="auto" w:fill="auto"/>
            <w:noWrap/>
            <w:vAlign w:val="center"/>
            <w:hideMark/>
          </w:tcPr>
          <w:p w:rsidR="007D2C7D" w:rsidRPr="007D2C7D" w:rsidRDefault="007D2C7D" w:rsidP="007D2C7D">
            <w:pPr>
              <w:spacing w:after="0" w:line="240" w:lineRule="auto"/>
              <w:jc w:val="center"/>
              <w:rPr>
                <w:rFonts w:ascii="Calibri" w:eastAsia="Times New Roman" w:hAnsi="Calibri" w:cs="Calibri"/>
                <w:color w:val="000000"/>
              </w:rPr>
            </w:pPr>
            <w:r w:rsidRPr="007D2C7D">
              <w:rPr>
                <w:rFonts w:ascii="Calibri" w:eastAsia="Times New Roman" w:hAnsi="Calibri" w:cs="Calibri"/>
                <w:color w:val="000000"/>
              </w:rPr>
              <w:t>3.00</w:t>
            </w:r>
          </w:p>
        </w:tc>
      </w:tr>
      <w:tr w:rsidR="007D2C7D" w:rsidRPr="007D2C7D" w:rsidTr="007D2C7D">
        <w:trPr>
          <w:trHeight w:val="300"/>
        </w:trPr>
        <w:tc>
          <w:tcPr>
            <w:tcW w:w="3000" w:type="dxa"/>
            <w:shd w:val="clear" w:color="auto" w:fill="auto"/>
            <w:noWrap/>
            <w:vAlign w:val="center"/>
            <w:hideMark/>
          </w:tcPr>
          <w:p w:rsidR="007D2C7D" w:rsidRPr="007D2C7D" w:rsidRDefault="003E711F" w:rsidP="007D2C7D">
            <w:pPr>
              <w:spacing w:after="0" w:line="240" w:lineRule="auto"/>
              <w:jc w:val="center"/>
              <w:rPr>
                <w:rFonts w:ascii="Calibri" w:eastAsia="Times New Roman" w:hAnsi="Calibri" w:cs="Calibri"/>
                <w:color w:val="000000"/>
              </w:rPr>
            </w:pPr>
            <w:r>
              <w:rPr>
                <w:rFonts w:ascii="Calibri" w:eastAsia="Times New Roman" w:hAnsi="Calibri" w:cs="Calibri"/>
                <w:color w:val="000000"/>
              </w:rPr>
              <w:t>Flow (mL</w:t>
            </w:r>
            <w:r w:rsidR="007D2C7D" w:rsidRPr="007D2C7D">
              <w:rPr>
                <w:rFonts w:ascii="Calibri" w:eastAsia="Times New Roman" w:hAnsi="Calibri" w:cs="Calibri"/>
                <w:color w:val="000000"/>
              </w:rPr>
              <w:t>/min) @100°C</w:t>
            </w:r>
          </w:p>
        </w:tc>
        <w:tc>
          <w:tcPr>
            <w:tcW w:w="6500" w:type="dxa"/>
            <w:shd w:val="clear" w:color="auto" w:fill="auto"/>
            <w:noWrap/>
            <w:vAlign w:val="center"/>
            <w:hideMark/>
          </w:tcPr>
          <w:p w:rsidR="007D2C7D" w:rsidRPr="007D2C7D" w:rsidRDefault="007D2C7D" w:rsidP="007D2C7D">
            <w:pPr>
              <w:spacing w:after="0" w:line="240" w:lineRule="auto"/>
              <w:jc w:val="center"/>
              <w:rPr>
                <w:rFonts w:ascii="Calibri" w:eastAsia="Times New Roman" w:hAnsi="Calibri" w:cs="Calibri"/>
                <w:color w:val="000000"/>
              </w:rPr>
            </w:pPr>
            <w:r w:rsidRPr="007D2C7D">
              <w:rPr>
                <w:rFonts w:ascii="Calibri" w:eastAsia="Times New Roman" w:hAnsi="Calibri" w:cs="Calibri"/>
                <w:color w:val="000000"/>
              </w:rPr>
              <w:t>1.595</w:t>
            </w:r>
          </w:p>
        </w:tc>
      </w:tr>
      <w:tr w:rsidR="00ED3C18" w:rsidRPr="007D2C7D" w:rsidTr="007D2C7D">
        <w:trPr>
          <w:trHeight w:val="300"/>
        </w:trPr>
        <w:tc>
          <w:tcPr>
            <w:tcW w:w="3000" w:type="dxa"/>
            <w:shd w:val="clear" w:color="auto" w:fill="auto"/>
            <w:noWrap/>
            <w:vAlign w:val="center"/>
          </w:tcPr>
          <w:p w:rsidR="00ED3C18" w:rsidRPr="007D2C7D" w:rsidRDefault="00ED3C18" w:rsidP="007D2C7D">
            <w:pPr>
              <w:spacing w:after="0" w:line="240" w:lineRule="auto"/>
              <w:jc w:val="center"/>
              <w:rPr>
                <w:rFonts w:ascii="Calibri" w:eastAsia="Times New Roman" w:hAnsi="Calibri" w:cs="Calibri"/>
                <w:color w:val="000000"/>
              </w:rPr>
            </w:pPr>
            <w:r>
              <w:rPr>
                <w:rFonts w:ascii="Calibri" w:eastAsia="Times New Roman" w:hAnsi="Calibri" w:cs="Calibri"/>
                <w:color w:val="000000"/>
              </w:rPr>
              <w:t>Pressure (bar)</w:t>
            </w:r>
          </w:p>
        </w:tc>
        <w:tc>
          <w:tcPr>
            <w:tcW w:w="6500" w:type="dxa"/>
            <w:shd w:val="clear" w:color="auto" w:fill="auto"/>
            <w:noWrap/>
            <w:vAlign w:val="center"/>
          </w:tcPr>
          <w:p w:rsidR="00ED3C18" w:rsidRPr="007D2C7D" w:rsidRDefault="00ED3C18" w:rsidP="007D2C7D">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r>
      <w:tr w:rsidR="007D2C7D" w:rsidRPr="007D2C7D" w:rsidTr="007D2C7D">
        <w:trPr>
          <w:trHeight w:val="300"/>
        </w:trPr>
        <w:tc>
          <w:tcPr>
            <w:tcW w:w="3000" w:type="dxa"/>
            <w:shd w:val="clear" w:color="auto" w:fill="auto"/>
            <w:noWrap/>
            <w:vAlign w:val="center"/>
            <w:hideMark/>
          </w:tcPr>
          <w:p w:rsidR="007D2C7D" w:rsidRPr="007D2C7D" w:rsidRDefault="007D2C7D" w:rsidP="007D2C7D">
            <w:pPr>
              <w:spacing w:after="0" w:line="240" w:lineRule="auto"/>
              <w:jc w:val="center"/>
              <w:rPr>
                <w:rFonts w:ascii="Calibri" w:eastAsia="Times New Roman" w:hAnsi="Calibri" w:cs="Calibri"/>
                <w:color w:val="000000"/>
              </w:rPr>
            </w:pPr>
            <w:r w:rsidRPr="007D2C7D">
              <w:rPr>
                <w:rFonts w:ascii="Calibri" w:eastAsia="Times New Roman" w:hAnsi="Calibri" w:cs="Calibri"/>
                <w:color w:val="000000"/>
              </w:rPr>
              <w:t>Average velocity (cm/sec)</w:t>
            </w:r>
          </w:p>
        </w:tc>
        <w:tc>
          <w:tcPr>
            <w:tcW w:w="6500" w:type="dxa"/>
            <w:shd w:val="clear" w:color="auto" w:fill="auto"/>
            <w:noWrap/>
            <w:vAlign w:val="center"/>
            <w:hideMark/>
          </w:tcPr>
          <w:p w:rsidR="007D2C7D" w:rsidRPr="007D2C7D" w:rsidRDefault="007D2C7D" w:rsidP="007D2C7D">
            <w:pPr>
              <w:spacing w:after="0" w:line="240" w:lineRule="auto"/>
              <w:jc w:val="center"/>
              <w:rPr>
                <w:rFonts w:ascii="Calibri" w:eastAsia="Times New Roman" w:hAnsi="Calibri" w:cs="Calibri"/>
                <w:color w:val="000000"/>
              </w:rPr>
            </w:pPr>
            <w:r w:rsidRPr="007D2C7D">
              <w:rPr>
                <w:rFonts w:ascii="Calibri" w:eastAsia="Times New Roman" w:hAnsi="Calibri" w:cs="Calibri"/>
                <w:color w:val="000000"/>
              </w:rPr>
              <w:t>41.96</w:t>
            </w:r>
          </w:p>
        </w:tc>
      </w:tr>
      <w:tr w:rsidR="007D2C7D" w:rsidRPr="007D2C7D" w:rsidTr="007D2C7D">
        <w:trPr>
          <w:trHeight w:val="300"/>
        </w:trPr>
        <w:tc>
          <w:tcPr>
            <w:tcW w:w="3000" w:type="dxa"/>
            <w:shd w:val="clear" w:color="auto" w:fill="auto"/>
            <w:noWrap/>
            <w:vAlign w:val="center"/>
            <w:hideMark/>
          </w:tcPr>
          <w:p w:rsidR="007D2C7D" w:rsidRPr="007D2C7D" w:rsidRDefault="007D2C7D" w:rsidP="007D2C7D">
            <w:pPr>
              <w:spacing w:after="0" w:line="240" w:lineRule="auto"/>
              <w:jc w:val="center"/>
              <w:rPr>
                <w:rFonts w:ascii="Calibri" w:eastAsia="Times New Roman" w:hAnsi="Calibri" w:cs="Calibri"/>
                <w:color w:val="000000"/>
              </w:rPr>
            </w:pPr>
            <w:r w:rsidRPr="007D2C7D">
              <w:rPr>
                <w:rFonts w:ascii="Calibri" w:eastAsia="Times New Roman" w:hAnsi="Calibri" w:cs="Calibri"/>
                <w:color w:val="000000"/>
              </w:rPr>
              <w:t>Pressure mode</w:t>
            </w:r>
          </w:p>
        </w:tc>
        <w:tc>
          <w:tcPr>
            <w:tcW w:w="6500" w:type="dxa"/>
            <w:shd w:val="clear" w:color="auto" w:fill="auto"/>
            <w:noWrap/>
            <w:vAlign w:val="center"/>
            <w:hideMark/>
          </w:tcPr>
          <w:p w:rsidR="007D2C7D" w:rsidRPr="007D2C7D" w:rsidRDefault="007D2C7D" w:rsidP="007D2C7D">
            <w:pPr>
              <w:spacing w:after="0" w:line="240" w:lineRule="auto"/>
              <w:jc w:val="center"/>
              <w:rPr>
                <w:rFonts w:ascii="Calibri" w:eastAsia="Times New Roman" w:hAnsi="Calibri" w:cs="Calibri"/>
                <w:color w:val="000000"/>
              </w:rPr>
            </w:pPr>
            <w:r w:rsidRPr="007D2C7D">
              <w:rPr>
                <w:rFonts w:ascii="Calibri" w:eastAsia="Times New Roman" w:hAnsi="Calibri" w:cs="Calibri"/>
                <w:color w:val="000000"/>
              </w:rPr>
              <w:t xml:space="preserve">Constant pressure </w:t>
            </w:r>
          </w:p>
        </w:tc>
      </w:tr>
      <w:tr w:rsidR="007D2C7D" w:rsidRPr="002E375B" w:rsidTr="007D2C7D">
        <w:trPr>
          <w:trHeight w:val="300"/>
        </w:trPr>
        <w:tc>
          <w:tcPr>
            <w:tcW w:w="3000" w:type="dxa"/>
            <w:shd w:val="clear" w:color="auto" w:fill="auto"/>
            <w:noWrap/>
            <w:vAlign w:val="center"/>
            <w:hideMark/>
          </w:tcPr>
          <w:p w:rsidR="007D2C7D" w:rsidRPr="007D2C7D" w:rsidRDefault="007D2C7D" w:rsidP="007D2C7D">
            <w:pPr>
              <w:spacing w:after="0" w:line="240" w:lineRule="auto"/>
              <w:jc w:val="center"/>
              <w:rPr>
                <w:rFonts w:ascii="Calibri" w:eastAsia="Times New Roman" w:hAnsi="Calibri" w:cs="Calibri"/>
                <w:color w:val="000000"/>
              </w:rPr>
            </w:pPr>
            <w:r w:rsidRPr="007D2C7D">
              <w:rPr>
                <w:rFonts w:ascii="Calibri" w:eastAsia="Times New Roman" w:hAnsi="Calibri" w:cs="Calibri"/>
                <w:color w:val="000000"/>
              </w:rPr>
              <w:t>Column</w:t>
            </w:r>
          </w:p>
        </w:tc>
        <w:tc>
          <w:tcPr>
            <w:tcW w:w="6500" w:type="dxa"/>
            <w:shd w:val="clear" w:color="auto" w:fill="auto"/>
            <w:noWrap/>
            <w:vAlign w:val="center"/>
            <w:hideMark/>
          </w:tcPr>
          <w:p w:rsidR="007D2C7D" w:rsidRPr="007D2C7D" w:rsidRDefault="007D2C7D" w:rsidP="007D2C7D">
            <w:pPr>
              <w:spacing w:after="0" w:line="240" w:lineRule="auto"/>
              <w:jc w:val="center"/>
              <w:rPr>
                <w:rFonts w:ascii="Calibri" w:eastAsia="Times New Roman" w:hAnsi="Calibri" w:cs="Calibri"/>
                <w:color w:val="000000"/>
                <w:lang w:val="de-DE"/>
              </w:rPr>
            </w:pPr>
            <w:r w:rsidRPr="007D2C7D">
              <w:rPr>
                <w:rFonts w:ascii="Calibri" w:eastAsia="Times New Roman" w:hAnsi="Calibri" w:cs="Calibri"/>
                <w:color w:val="000000"/>
                <w:lang w:val="de-DE"/>
              </w:rPr>
              <w:t>DB-35ms UI 15 m x 0.25 mm x 0.25 um</w:t>
            </w:r>
          </w:p>
        </w:tc>
      </w:tr>
      <w:tr w:rsidR="007D2C7D" w:rsidRPr="002E375B" w:rsidTr="007D2C7D">
        <w:trPr>
          <w:trHeight w:val="300"/>
        </w:trPr>
        <w:tc>
          <w:tcPr>
            <w:tcW w:w="3000" w:type="dxa"/>
            <w:shd w:val="clear" w:color="auto" w:fill="auto"/>
            <w:noWrap/>
            <w:vAlign w:val="center"/>
            <w:hideMark/>
          </w:tcPr>
          <w:p w:rsidR="007D2C7D" w:rsidRPr="007D2C7D" w:rsidRDefault="007D2C7D" w:rsidP="007D2C7D">
            <w:pPr>
              <w:spacing w:after="0" w:line="240" w:lineRule="auto"/>
              <w:jc w:val="center"/>
              <w:rPr>
                <w:rFonts w:ascii="Calibri" w:eastAsia="Times New Roman" w:hAnsi="Calibri" w:cs="Calibri"/>
                <w:color w:val="000000"/>
              </w:rPr>
            </w:pPr>
            <w:r w:rsidRPr="007D2C7D">
              <w:rPr>
                <w:rFonts w:ascii="Calibri" w:eastAsia="Times New Roman" w:hAnsi="Calibri" w:cs="Calibri"/>
                <w:color w:val="000000"/>
              </w:rPr>
              <w:t>Oven temperature program</w:t>
            </w:r>
          </w:p>
        </w:tc>
        <w:tc>
          <w:tcPr>
            <w:tcW w:w="6500" w:type="dxa"/>
            <w:shd w:val="clear" w:color="auto" w:fill="auto"/>
            <w:noWrap/>
            <w:vAlign w:val="center"/>
            <w:hideMark/>
          </w:tcPr>
          <w:p w:rsidR="007D2C7D" w:rsidRPr="007D2C7D" w:rsidRDefault="007D2C7D" w:rsidP="007D2C7D">
            <w:pPr>
              <w:spacing w:after="0" w:line="240" w:lineRule="auto"/>
              <w:jc w:val="center"/>
              <w:rPr>
                <w:rFonts w:ascii="Calibri" w:eastAsia="Times New Roman" w:hAnsi="Calibri" w:cs="Calibri"/>
                <w:color w:val="000000"/>
                <w:lang w:val="fi-FI"/>
              </w:rPr>
            </w:pPr>
            <w:r w:rsidRPr="007D2C7D">
              <w:rPr>
                <w:rFonts w:ascii="Calibri" w:eastAsia="Times New Roman" w:hAnsi="Calibri" w:cs="Calibri"/>
                <w:color w:val="000000"/>
                <w:lang w:val="fi-FI"/>
              </w:rPr>
              <w:t xml:space="preserve">100 °C (4min), 250 °C/min --&gt; 200 °C(10min), 50 °C/min --&gt; 320 </w:t>
            </w:r>
            <w:r w:rsidR="009D482E" w:rsidRPr="009D482E">
              <w:rPr>
                <w:rFonts w:ascii="Calibri" w:eastAsia="Times New Roman" w:hAnsi="Calibri" w:cs="Calibri"/>
                <w:color w:val="000000"/>
                <w:lang w:val="fi-FI"/>
              </w:rPr>
              <w:t xml:space="preserve">°C </w:t>
            </w:r>
            <w:r w:rsidRPr="007D2C7D">
              <w:rPr>
                <w:rFonts w:ascii="Calibri" w:eastAsia="Times New Roman" w:hAnsi="Calibri" w:cs="Calibri"/>
                <w:color w:val="000000"/>
                <w:lang w:val="fi-FI"/>
              </w:rPr>
              <w:t>(</w:t>
            </w:r>
            <w:r w:rsidR="006575D9">
              <w:rPr>
                <w:rFonts w:ascii="Calibri" w:eastAsia="Times New Roman" w:hAnsi="Calibri" w:cs="Calibri"/>
                <w:color w:val="000000"/>
                <w:lang w:val="fi-FI"/>
              </w:rPr>
              <w:t>2</w:t>
            </w:r>
            <w:r w:rsidRPr="007D2C7D">
              <w:rPr>
                <w:rFonts w:ascii="Calibri" w:eastAsia="Times New Roman" w:hAnsi="Calibri" w:cs="Calibri"/>
                <w:color w:val="000000"/>
                <w:lang w:val="fi-FI"/>
              </w:rPr>
              <w:t>0min)</w:t>
            </w:r>
          </w:p>
        </w:tc>
      </w:tr>
      <w:tr w:rsidR="007D2C7D" w:rsidRPr="007D2C7D" w:rsidTr="007D2C7D">
        <w:trPr>
          <w:trHeight w:val="300"/>
        </w:trPr>
        <w:tc>
          <w:tcPr>
            <w:tcW w:w="3000" w:type="dxa"/>
            <w:shd w:val="clear" w:color="auto" w:fill="auto"/>
            <w:noWrap/>
            <w:vAlign w:val="center"/>
            <w:hideMark/>
          </w:tcPr>
          <w:p w:rsidR="007D2C7D" w:rsidRPr="007D2C7D" w:rsidRDefault="007D2C7D" w:rsidP="007D2C7D">
            <w:pPr>
              <w:spacing w:after="0" w:line="240" w:lineRule="auto"/>
              <w:jc w:val="center"/>
              <w:rPr>
                <w:rFonts w:ascii="Calibri" w:eastAsia="Times New Roman" w:hAnsi="Calibri" w:cs="Calibri"/>
                <w:color w:val="000000"/>
              </w:rPr>
            </w:pPr>
            <w:r w:rsidRPr="007D2C7D">
              <w:rPr>
                <w:rFonts w:ascii="Calibri" w:eastAsia="Times New Roman" w:hAnsi="Calibri" w:cs="Calibri"/>
                <w:color w:val="000000"/>
              </w:rPr>
              <w:t>FID Temperature (°C)</w:t>
            </w:r>
          </w:p>
        </w:tc>
        <w:tc>
          <w:tcPr>
            <w:tcW w:w="6500" w:type="dxa"/>
            <w:shd w:val="clear" w:color="auto" w:fill="auto"/>
            <w:noWrap/>
            <w:vAlign w:val="center"/>
            <w:hideMark/>
          </w:tcPr>
          <w:p w:rsidR="007D2C7D" w:rsidRPr="007D2C7D" w:rsidRDefault="007D2C7D" w:rsidP="007D2C7D">
            <w:pPr>
              <w:spacing w:after="0" w:line="240" w:lineRule="auto"/>
              <w:jc w:val="center"/>
              <w:rPr>
                <w:rFonts w:ascii="Calibri" w:eastAsia="Times New Roman" w:hAnsi="Calibri" w:cs="Calibri"/>
                <w:color w:val="000000"/>
              </w:rPr>
            </w:pPr>
            <w:r w:rsidRPr="007D2C7D">
              <w:rPr>
                <w:rFonts w:ascii="Calibri" w:eastAsia="Times New Roman" w:hAnsi="Calibri" w:cs="Calibri"/>
                <w:color w:val="000000"/>
              </w:rPr>
              <w:t>300</w:t>
            </w:r>
          </w:p>
        </w:tc>
      </w:tr>
      <w:tr w:rsidR="007D2C7D" w:rsidRPr="007D2C7D" w:rsidTr="007D2C7D">
        <w:trPr>
          <w:trHeight w:val="300"/>
        </w:trPr>
        <w:tc>
          <w:tcPr>
            <w:tcW w:w="3000" w:type="dxa"/>
            <w:shd w:val="clear" w:color="auto" w:fill="auto"/>
            <w:noWrap/>
            <w:vAlign w:val="center"/>
            <w:hideMark/>
          </w:tcPr>
          <w:p w:rsidR="007D2C7D" w:rsidRPr="007D2C7D" w:rsidRDefault="003E711F" w:rsidP="007D2C7D">
            <w:pPr>
              <w:spacing w:after="0" w:line="240" w:lineRule="auto"/>
              <w:jc w:val="center"/>
              <w:rPr>
                <w:rFonts w:ascii="Calibri" w:eastAsia="Times New Roman" w:hAnsi="Calibri" w:cs="Calibri"/>
                <w:color w:val="000000"/>
              </w:rPr>
            </w:pPr>
            <w:r>
              <w:rPr>
                <w:rFonts w:ascii="Calibri" w:eastAsia="Times New Roman" w:hAnsi="Calibri" w:cs="Calibri"/>
                <w:color w:val="000000"/>
              </w:rPr>
              <w:t>Air flow (mL</w:t>
            </w:r>
            <w:r w:rsidR="007D2C7D" w:rsidRPr="007D2C7D">
              <w:rPr>
                <w:rFonts w:ascii="Calibri" w:eastAsia="Times New Roman" w:hAnsi="Calibri" w:cs="Calibri"/>
                <w:color w:val="000000"/>
              </w:rPr>
              <w:t>/min)</w:t>
            </w:r>
          </w:p>
        </w:tc>
        <w:tc>
          <w:tcPr>
            <w:tcW w:w="6500" w:type="dxa"/>
            <w:shd w:val="clear" w:color="auto" w:fill="auto"/>
            <w:noWrap/>
            <w:vAlign w:val="center"/>
            <w:hideMark/>
          </w:tcPr>
          <w:p w:rsidR="007D2C7D" w:rsidRPr="007D2C7D" w:rsidRDefault="007D2C7D" w:rsidP="007D2C7D">
            <w:pPr>
              <w:spacing w:after="0" w:line="240" w:lineRule="auto"/>
              <w:jc w:val="center"/>
              <w:rPr>
                <w:rFonts w:ascii="Calibri" w:eastAsia="Times New Roman" w:hAnsi="Calibri" w:cs="Calibri"/>
                <w:color w:val="000000"/>
              </w:rPr>
            </w:pPr>
            <w:r w:rsidRPr="007D2C7D">
              <w:rPr>
                <w:rFonts w:ascii="Calibri" w:eastAsia="Times New Roman" w:hAnsi="Calibri" w:cs="Calibri"/>
                <w:color w:val="000000"/>
              </w:rPr>
              <w:t>400</w:t>
            </w:r>
          </w:p>
        </w:tc>
      </w:tr>
      <w:tr w:rsidR="007D2C7D" w:rsidRPr="007D2C7D" w:rsidTr="007D2C7D">
        <w:trPr>
          <w:trHeight w:val="300"/>
        </w:trPr>
        <w:tc>
          <w:tcPr>
            <w:tcW w:w="3000" w:type="dxa"/>
            <w:shd w:val="clear" w:color="auto" w:fill="auto"/>
            <w:noWrap/>
            <w:vAlign w:val="center"/>
            <w:hideMark/>
          </w:tcPr>
          <w:p w:rsidR="007D2C7D" w:rsidRPr="007D2C7D" w:rsidRDefault="003E711F" w:rsidP="007D2C7D">
            <w:pPr>
              <w:spacing w:after="0" w:line="240" w:lineRule="auto"/>
              <w:jc w:val="center"/>
              <w:rPr>
                <w:rFonts w:ascii="Calibri" w:eastAsia="Times New Roman" w:hAnsi="Calibri" w:cs="Calibri"/>
                <w:color w:val="000000"/>
              </w:rPr>
            </w:pPr>
            <w:r>
              <w:rPr>
                <w:rFonts w:ascii="Calibri" w:eastAsia="Times New Roman" w:hAnsi="Calibri" w:cs="Calibri"/>
                <w:color w:val="000000"/>
              </w:rPr>
              <w:t>H2 Fuel flow (mL</w:t>
            </w:r>
            <w:r w:rsidR="007D2C7D" w:rsidRPr="007D2C7D">
              <w:rPr>
                <w:rFonts w:ascii="Calibri" w:eastAsia="Times New Roman" w:hAnsi="Calibri" w:cs="Calibri"/>
                <w:color w:val="000000"/>
              </w:rPr>
              <w:t>/min)</w:t>
            </w:r>
          </w:p>
        </w:tc>
        <w:tc>
          <w:tcPr>
            <w:tcW w:w="6500" w:type="dxa"/>
            <w:shd w:val="clear" w:color="auto" w:fill="auto"/>
            <w:noWrap/>
            <w:vAlign w:val="center"/>
            <w:hideMark/>
          </w:tcPr>
          <w:p w:rsidR="007D2C7D" w:rsidRPr="007D2C7D" w:rsidRDefault="007D2C7D" w:rsidP="007D2C7D">
            <w:pPr>
              <w:spacing w:after="0" w:line="240" w:lineRule="auto"/>
              <w:jc w:val="center"/>
              <w:rPr>
                <w:rFonts w:ascii="Calibri" w:eastAsia="Times New Roman" w:hAnsi="Calibri" w:cs="Calibri"/>
                <w:color w:val="000000"/>
              </w:rPr>
            </w:pPr>
            <w:r w:rsidRPr="007D2C7D">
              <w:rPr>
                <w:rFonts w:ascii="Calibri" w:eastAsia="Times New Roman" w:hAnsi="Calibri" w:cs="Calibri"/>
                <w:color w:val="000000"/>
              </w:rPr>
              <w:t>30</w:t>
            </w:r>
          </w:p>
        </w:tc>
      </w:tr>
      <w:tr w:rsidR="007D2C7D" w:rsidRPr="007D2C7D" w:rsidTr="007D2C7D">
        <w:trPr>
          <w:trHeight w:val="300"/>
        </w:trPr>
        <w:tc>
          <w:tcPr>
            <w:tcW w:w="3000" w:type="dxa"/>
            <w:shd w:val="clear" w:color="auto" w:fill="auto"/>
            <w:noWrap/>
            <w:vAlign w:val="center"/>
            <w:hideMark/>
          </w:tcPr>
          <w:p w:rsidR="007D2C7D" w:rsidRPr="007D2C7D" w:rsidRDefault="007D2C7D" w:rsidP="007D2C7D">
            <w:pPr>
              <w:spacing w:after="0" w:line="240" w:lineRule="auto"/>
              <w:jc w:val="center"/>
              <w:rPr>
                <w:rFonts w:ascii="Calibri" w:eastAsia="Times New Roman" w:hAnsi="Calibri" w:cs="Calibri"/>
                <w:color w:val="000000"/>
              </w:rPr>
            </w:pPr>
            <w:r w:rsidRPr="007D2C7D">
              <w:rPr>
                <w:rFonts w:ascii="Calibri" w:eastAsia="Times New Roman" w:hAnsi="Calibri" w:cs="Calibri"/>
                <w:color w:val="000000"/>
              </w:rPr>
              <w:t>Make up flow (</w:t>
            </w:r>
            <w:r w:rsidR="003E711F">
              <w:rPr>
                <w:rFonts w:ascii="Calibri" w:eastAsia="Times New Roman" w:hAnsi="Calibri" w:cs="Calibri"/>
                <w:color w:val="000000"/>
              </w:rPr>
              <w:t>N2) (mL</w:t>
            </w:r>
            <w:r w:rsidRPr="007D2C7D">
              <w:rPr>
                <w:rFonts w:ascii="Calibri" w:eastAsia="Times New Roman" w:hAnsi="Calibri" w:cs="Calibri"/>
                <w:color w:val="000000"/>
              </w:rPr>
              <w:t>/min)</w:t>
            </w:r>
          </w:p>
        </w:tc>
        <w:tc>
          <w:tcPr>
            <w:tcW w:w="6500" w:type="dxa"/>
            <w:shd w:val="clear" w:color="auto" w:fill="auto"/>
            <w:noWrap/>
            <w:vAlign w:val="center"/>
            <w:hideMark/>
          </w:tcPr>
          <w:p w:rsidR="007D2C7D" w:rsidRPr="007D2C7D" w:rsidRDefault="007D2C7D" w:rsidP="007D2C7D">
            <w:pPr>
              <w:spacing w:after="0" w:line="240" w:lineRule="auto"/>
              <w:jc w:val="center"/>
              <w:rPr>
                <w:rFonts w:ascii="Calibri" w:eastAsia="Times New Roman" w:hAnsi="Calibri" w:cs="Calibri"/>
                <w:color w:val="000000"/>
              </w:rPr>
            </w:pPr>
            <w:r w:rsidRPr="007D2C7D">
              <w:rPr>
                <w:rFonts w:ascii="Calibri" w:eastAsia="Times New Roman" w:hAnsi="Calibri" w:cs="Calibri"/>
                <w:color w:val="000000"/>
              </w:rPr>
              <w:t>20</w:t>
            </w:r>
          </w:p>
        </w:tc>
      </w:tr>
    </w:tbl>
    <w:p w:rsidR="001524B7" w:rsidRDefault="001524B7"/>
    <w:p w:rsidR="00AB3054" w:rsidRDefault="00AB3054"/>
    <w:p w:rsidR="00AB3054" w:rsidRDefault="00AB3054"/>
    <w:p w:rsidR="00AB3054" w:rsidRDefault="00AB3054"/>
    <w:p w:rsidR="00AB3054" w:rsidRDefault="00AB3054"/>
    <w:p w:rsidR="00AB3054" w:rsidRDefault="00AB3054"/>
    <w:p w:rsidR="00AB3054" w:rsidRDefault="00AB3054"/>
    <w:p w:rsidR="00AB3054" w:rsidRDefault="00AB3054"/>
    <w:p w:rsidR="00AB3054" w:rsidRDefault="00AB3054"/>
    <w:p w:rsidR="00AB3054" w:rsidRDefault="00AB3054"/>
    <w:p w:rsidR="0090060D" w:rsidRDefault="0090060D"/>
    <w:p w:rsidR="0090060D" w:rsidRDefault="0090060D"/>
    <w:p w:rsidR="00AB3054" w:rsidRDefault="004F47CA">
      <w:r>
        <w:lastRenderedPageBreak/>
        <w:t>Appendix 16. Comparison of CBD peaks between different sample preparati</w:t>
      </w:r>
      <w:r w:rsidR="00AB3054">
        <w:t>on methods on the GC/MS system.</w:t>
      </w:r>
    </w:p>
    <w:p w:rsidR="005E4C0C" w:rsidRDefault="003F7801" w:rsidP="00AB3054">
      <w:r w:rsidRPr="003F7801">
        <w:rPr>
          <w:noProof/>
        </w:rPr>
        <w:drawing>
          <wp:inline distT="0" distB="0" distL="0" distR="0">
            <wp:extent cx="2016167" cy="6267450"/>
            <wp:effectExtent l="0" t="0" r="3175" b="0"/>
            <wp:docPr id="9" name="Picture 9" descr="E:\SEMESTER 2\Cannabinoids in CBD oil\DATA\CBD oil on GC\Pictures\captivacbdpeak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EMESTER 2\Cannabinoids in CBD oil\DATA\CBD oil on GC\Pictures\captivacbdpeak222.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26023" cy="6298089"/>
                    </a:xfrm>
                    <a:prstGeom prst="rect">
                      <a:avLst/>
                    </a:prstGeom>
                    <a:noFill/>
                    <a:ln>
                      <a:noFill/>
                    </a:ln>
                  </pic:spPr>
                </pic:pic>
              </a:graphicData>
            </a:graphic>
          </wp:inline>
        </w:drawing>
      </w:r>
      <w:r w:rsidR="00AB3054">
        <w:rPr>
          <w:noProof/>
        </w:rPr>
        <w:t xml:space="preserve">                                                     </w:t>
      </w:r>
      <w:r w:rsidR="00AB3054" w:rsidRPr="00AB3054">
        <w:rPr>
          <w:noProof/>
        </w:rPr>
        <w:drawing>
          <wp:inline distT="0" distB="0" distL="0" distR="0">
            <wp:extent cx="1991360" cy="6343101"/>
            <wp:effectExtent l="0" t="0" r="8890" b="635"/>
            <wp:docPr id="11" name="Picture 11" descr="E:\SEMESTER 2\Cannabinoids in CBD oil\DATA\CBD oil on GC\Pictures\EMRcbdpea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SEMESTER 2\Cannabinoids in CBD oil\DATA\CBD oil on GC\Pictures\EMRcbdpeak.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94507" cy="6353125"/>
                    </a:xfrm>
                    <a:prstGeom prst="rect">
                      <a:avLst/>
                    </a:prstGeom>
                    <a:noFill/>
                    <a:ln>
                      <a:noFill/>
                    </a:ln>
                  </pic:spPr>
                </pic:pic>
              </a:graphicData>
            </a:graphic>
          </wp:inline>
        </w:drawing>
      </w:r>
    </w:p>
    <w:p w:rsidR="00E17128" w:rsidRDefault="00E17128"/>
    <w:p w:rsidR="00E90319" w:rsidRDefault="00E90319" w:rsidP="00E90319">
      <w:pPr>
        <w:pStyle w:val="Caption"/>
        <w:sectPr w:rsidR="00E90319" w:rsidSect="002E44B5">
          <w:pgSz w:w="11906" w:h="16838" w:code="9"/>
          <w:pgMar w:top="1440" w:right="1440" w:bottom="1440" w:left="1440" w:header="720" w:footer="720" w:gutter="0"/>
          <w:cols w:space="720"/>
          <w:titlePg/>
          <w:docGrid w:linePitch="360"/>
        </w:sectPr>
      </w:pPr>
      <w:r>
        <w:t xml:space="preserve">Figure </w:t>
      </w:r>
      <w:r w:rsidR="002E375B">
        <w:fldChar w:fldCharType="begin"/>
      </w:r>
      <w:r w:rsidR="002E375B">
        <w:instrText xml:space="preserve"> SEQ Figure \* ARABIC </w:instrText>
      </w:r>
      <w:r w:rsidR="002E375B">
        <w:fldChar w:fldCharType="separate"/>
      </w:r>
      <w:r w:rsidR="00D538BE">
        <w:rPr>
          <w:noProof/>
        </w:rPr>
        <w:t>17</w:t>
      </w:r>
      <w:r w:rsidR="002E375B">
        <w:rPr>
          <w:noProof/>
        </w:rPr>
        <w:fldChar w:fldCharType="end"/>
      </w:r>
      <w:r w:rsidR="00002E04">
        <w:t xml:space="preserve"> CBD oil peaks on GC/MS. Sample which was prepared with Captiva-is on the left and the sample which was prepared with the EMR-method is on the right. CBD is the tallest peak seen in the images.</w:t>
      </w:r>
    </w:p>
    <w:p w:rsidR="00E17128" w:rsidRDefault="00E17128">
      <w:r>
        <w:lastRenderedPageBreak/>
        <w:t>Appendix. 17. CBD oil sample prepared with Captiva-method. Run on Intuvo 9000 GC system. Instrument conditions can be found in appendix 15.</w:t>
      </w:r>
      <w:r w:rsidR="00A95901">
        <w:rPr>
          <w:noProof/>
        </w:rPr>
        <w:drawing>
          <wp:inline distT="0" distB="0" distL="0" distR="0" wp14:anchorId="525F077D">
            <wp:extent cx="8468360" cy="4737100"/>
            <wp:effectExtent l="0" t="0" r="889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468360" cy="4737100"/>
                    </a:xfrm>
                    <a:prstGeom prst="rect">
                      <a:avLst/>
                    </a:prstGeom>
                    <a:noFill/>
                  </pic:spPr>
                </pic:pic>
              </a:graphicData>
            </a:graphic>
          </wp:inline>
        </w:drawing>
      </w:r>
    </w:p>
    <w:p w:rsidR="00E17128" w:rsidRDefault="00002E04" w:rsidP="00002E04">
      <w:pPr>
        <w:pStyle w:val="Caption"/>
      </w:pPr>
      <w:r>
        <w:t xml:space="preserve">Figure </w:t>
      </w:r>
      <w:r w:rsidR="002E375B">
        <w:fldChar w:fldCharType="begin"/>
      </w:r>
      <w:r w:rsidR="002E375B">
        <w:instrText xml:space="preserve"> SEQ Figure \* ARABIC </w:instrText>
      </w:r>
      <w:r w:rsidR="002E375B">
        <w:fldChar w:fldCharType="separate"/>
      </w:r>
      <w:r w:rsidR="00D538BE">
        <w:rPr>
          <w:noProof/>
        </w:rPr>
        <w:t>18</w:t>
      </w:r>
      <w:r w:rsidR="002E375B">
        <w:rPr>
          <w:noProof/>
        </w:rPr>
        <w:fldChar w:fldCharType="end"/>
      </w:r>
      <w:r>
        <w:t xml:space="preserve"> Chromatogram of CBD oil sample prepared with Captiva-method and run on the Intuvo 9000 GC system. Instrument conditions can be found in appendix 15.</w:t>
      </w:r>
    </w:p>
    <w:p w:rsidR="00002E04" w:rsidRPr="00002E04" w:rsidRDefault="00002E04" w:rsidP="00002E04"/>
    <w:p w:rsidR="00E17128" w:rsidRDefault="00E17128">
      <w:r>
        <w:lastRenderedPageBreak/>
        <w:t xml:space="preserve">Appendix 18. </w:t>
      </w:r>
      <w:r w:rsidRPr="00E17128">
        <w:t xml:space="preserve">CBD </w:t>
      </w:r>
      <w:r>
        <w:t>oil sample prepared with EMR-</w:t>
      </w:r>
      <w:r w:rsidRPr="00E17128">
        <w:t>method. Run on Intuvo 9000 GC system. Instrument conditions can be found in appendix 15.</w:t>
      </w:r>
    </w:p>
    <w:p w:rsidR="00E17128" w:rsidRDefault="00A95901">
      <w:r>
        <w:rPr>
          <w:noProof/>
        </w:rPr>
        <w:drawing>
          <wp:inline distT="0" distB="0" distL="0" distR="0" wp14:anchorId="54F94A18">
            <wp:extent cx="8651240" cy="49720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651240" cy="4972050"/>
                    </a:xfrm>
                    <a:prstGeom prst="rect">
                      <a:avLst/>
                    </a:prstGeom>
                    <a:noFill/>
                  </pic:spPr>
                </pic:pic>
              </a:graphicData>
            </a:graphic>
          </wp:inline>
        </w:drawing>
      </w:r>
    </w:p>
    <w:p w:rsidR="00002E04" w:rsidRDefault="00002E04" w:rsidP="00002E04">
      <w:pPr>
        <w:pStyle w:val="Caption"/>
      </w:pPr>
      <w:r>
        <w:t xml:space="preserve">Figure </w:t>
      </w:r>
      <w:r w:rsidR="002E375B">
        <w:fldChar w:fldCharType="begin"/>
      </w:r>
      <w:r w:rsidR="002E375B">
        <w:instrText xml:space="preserve"> SEQ Figure \* ARABIC </w:instrText>
      </w:r>
      <w:r w:rsidR="002E375B">
        <w:fldChar w:fldCharType="separate"/>
      </w:r>
      <w:r w:rsidR="00D538BE">
        <w:rPr>
          <w:noProof/>
        </w:rPr>
        <w:t>19</w:t>
      </w:r>
      <w:r w:rsidR="002E375B">
        <w:rPr>
          <w:noProof/>
        </w:rPr>
        <w:fldChar w:fldCharType="end"/>
      </w:r>
      <w:r>
        <w:t xml:space="preserve"> Chromatogram of CBD oil sample prepared with EMR-method and run on the Intuvo 9000 GC system. Instrument conditions can be found in appendix 15. </w:t>
      </w:r>
    </w:p>
    <w:p w:rsidR="00E17128" w:rsidRDefault="008A7032">
      <w:r>
        <w:lastRenderedPageBreak/>
        <w:t xml:space="preserve">Appendix 19. Toluene chromatogram, </w:t>
      </w:r>
      <w:r w:rsidRPr="008A7032">
        <w:t>sample heated at 70 °C for 30 minutes.</w:t>
      </w:r>
      <w:r>
        <w:t xml:space="preserve"> Analysis on Intuvo 9000 GC. Instrument conditions can be found in appendix 15. </w:t>
      </w:r>
    </w:p>
    <w:p w:rsidR="00002E04" w:rsidRDefault="00A95901">
      <w:r>
        <w:rPr>
          <w:noProof/>
        </w:rPr>
        <w:drawing>
          <wp:inline distT="0" distB="0" distL="0" distR="0" wp14:anchorId="387DF54B">
            <wp:extent cx="8413115" cy="4810125"/>
            <wp:effectExtent l="0" t="0" r="698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413115" cy="4810125"/>
                    </a:xfrm>
                    <a:prstGeom prst="rect">
                      <a:avLst/>
                    </a:prstGeom>
                    <a:noFill/>
                  </pic:spPr>
                </pic:pic>
              </a:graphicData>
            </a:graphic>
          </wp:inline>
        </w:drawing>
      </w:r>
    </w:p>
    <w:p w:rsidR="00002E04" w:rsidRDefault="00002E04" w:rsidP="00002E04">
      <w:pPr>
        <w:pStyle w:val="Caption"/>
      </w:pPr>
      <w:r>
        <w:t xml:space="preserve">Figure </w:t>
      </w:r>
      <w:r w:rsidR="002E375B">
        <w:fldChar w:fldCharType="begin"/>
      </w:r>
      <w:r w:rsidR="002E375B">
        <w:instrText xml:space="preserve"> SEQ Figure \* ARABIC</w:instrText>
      </w:r>
      <w:r w:rsidR="002E375B">
        <w:instrText xml:space="preserve"> </w:instrText>
      </w:r>
      <w:r w:rsidR="002E375B">
        <w:fldChar w:fldCharType="separate"/>
      </w:r>
      <w:r w:rsidR="00D538BE">
        <w:rPr>
          <w:noProof/>
        </w:rPr>
        <w:t>20</w:t>
      </w:r>
      <w:r w:rsidR="002E375B">
        <w:rPr>
          <w:noProof/>
        </w:rPr>
        <w:fldChar w:fldCharType="end"/>
      </w:r>
      <w:r>
        <w:t xml:space="preserve"> Chromatogram of toluene</w:t>
      </w:r>
      <w:r w:rsidR="006B5914">
        <w:t xml:space="preserve"> which was heated as the samples for derivatization,</w:t>
      </w:r>
      <w:r>
        <w:t xml:space="preserve"> run on Intuvo 9000 GC system. Instrument condi</w:t>
      </w:r>
      <w:r w:rsidR="006B5914">
        <w:t>tions can be found in appendix 1</w:t>
      </w:r>
      <w:r>
        <w:t xml:space="preserve">5. </w:t>
      </w:r>
    </w:p>
    <w:p w:rsidR="00E17128" w:rsidRDefault="008A7032">
      <w:r>
        <w:lastRenderedPageBreak/>
        <w:t xml:space="preserve">Appendix 20. Toluene and BSTFA chromatogram, sample heated at 70 </w:t>
      </w:r>
      <w:r>
        <w:rPr>
          <w:rFonts w:cstheme="minorHAnsi"/>
        </w:rPr>
        <w:t>°</w:t>
      </w:r>
      <w:r>
        <w:t xml:space="preserve">C for 30 minutes. Analysis done on Intuvo 9000 GC. Instrument conditions can be found in appendix 15. </w:t>
      </w:r>
    </w:p>
    <w:p w:rsidR="008A7032" w:rsidRDefault="00A95901">
      <w:r>
        <w:rPr>
          <w:noProof/>
        </w:rPr>
        <w:drawing>
          <wp:inline distT="0" distB="0" distL="0" distR="0" wp14:anchorId="3AF5AA92">
            <wp:extent cx="8431530" cy="4438650"/>
            <wp:effectExtent l="0" t="0" r="762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431530" cy="4438650"/>
                    </a:xfrm>
                    <a:prstGeom prst="rect">
                      <a:avLst/>
                    </a:prstGeom>
                    <a:noFill/>
                  </pic:spPr>
                </pic:pic>
              </a:graphicData>
            </a:graphic>
          </wp:inline>
        </w:drawing>
      </w:r>
    </w:p>
    <w:p w:rsidR="006B5914" w:rsidRDefault="006B5914"/>
    <w:p w:rsidR="006B5914" w:rsidRDefault="006B5914" w:rsidP="006B5914">
      <w:pPr>
        <w:pStyle w:val="Caption"/>
        <w:sectPr w:rsidR="006B5914" w:rsidSect="002E44B5">
          <w:pgSz w:w="16838" w:h="11906" w:orient="landscape" w:code="9"/>
          <w:pgMar w:top="1440" w:right="1440" w:bottom="1440" w:left="1440" w:header="720" w:footer="720" w:gutter="0"/>
          <w:cols w:space="720"/>
          <w:titlePg/>
          <w:docGrid w:linePitch="360"/>
        </w:sectPr>
      </w:pPr>
      <w:r>
        <w:t xml:space="preserve">Figure </w:t>
      </w:r>
      <w:r w:rsidR="002E375B">
        <w:fldChar w:fldCharType="begin"/>
      </w:r>
      <w:r w:rsidR="002E375B">
        <w:instrText xml:space="preserve"> SEQ Figure \* ARABIC </w:instrText>
      </w:r>
      <w:r w:rsidR="002E375B">
        <w:fldChar w:fldCharType="separate"/>
      </w:r>
      <w:r w:rsidR="00D538BE">
        <w:rPr>
          <w:noProof/>
        </w:rPr>
        <w:t>21</w:t>
      </w:r>
      <w:r w:rsidR="002E375B">
        <w:rPr>
          <w:noProof/>
        </w:rPr>
        <w:fldChar w:fldCharType="end"/>
      </w:r>
      <w:r>
        <w:t xml:space="preserve"> Chromatogram of toluene and BSTFA </w:t>
      </w:r>
      <w:r w:rsidRPr="006B5914">
        <w:t>which was heated as the samples for derivatization, run on Intuvo 9000 GC system. Instrument conditions can be found in appendix 15.</w:t>
      </w:r>
    </w:p>
    <w:p w:rsidR="008A7032" w:rsidRDefault="001A1D91">
      <w:r>
        <w:lastRenderedPageBreak/>
        <w:t xml:space="preserve">Appendix 21. List of used equipment and materials. </w:t>
      </w:r>
    </w:p>
    <w:p w:rsidR="000257F6" w:rsidRDefault="000257F6" w:rsidP="000257F6">
      <w:pPr>
        <w:pStyle w:val="Caption"/>
      </w:pPr>
      <w:r>
        <w:t xml:space="preserve">Table </w:t>
      </w:r>
      <w:r w:rsidR="002E375B">
        <w:fldChar w:fldCharType="begin"/>
      </w:r>
      <w:r w:rsidR="002E375B">
        <w:instrText xml:space="preserve"> SEQ Table \* ARABIC </w:instrText>
      </w:r>
      <w:r w:rsidR="002E375B">
        <w:fldChar w:fldCharType="separate"/>
      </w:r>
      <w:r w:rsidR="00715BEF">
        <w:rPr>
          <w:noProof/>
        </w:rPr>
        <w:t>11</w:t>
      </w:r>
      <w:r w:rsidR="002E375B">
        <w:rPr>
          <w:noProof/>
        </w:rPr>
        <w:fldChar w:fldCharType="end"/>
      </w:r>
      <w:r>
        <w:t xml:space="preserve"> List of materials utilized during the project.</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5305"/>
        <w:gridCol w:w="3721"/>
      </w:tblGrid>
      <w:tr w:rsidR="000257F6" w:rsidRPr="000257F6" w:rsidTr="00637E31">
        <w:trPr>
          <w:trHeight w:val="300"/>
        </w:trPr>
        <w:tc>
          <w:tcPr>
            <w:tcW w:w="8380" w:type="dxa"/>
            <w:tcBorders>
              <w:bottom w:val="thinThickThinSmallGap" w:sz="24" w:space="0" w:color="auto"/>
            </w:tcBorders>
            <w:shd w:val="clear" w:color="auto" w:fill="DBE5F1" w:themeFill="accent1" w:themeFillTint="33"/>
            <w:noWrap/>
            <w:hideMark/>
          </w:tcPr>
          <w:p w:rsidR="000257F6" w:rsidRPr="000257F6" w:rsidRDefault="000257F6" w:rsidP="000257F6">
            <w:pPr>
              <w:jc w:val="center"/>
              <w:rPr>
                <w:b/>
              </w:rPr>
            </w:pPr>
            <w:r w:rsidRPr="000257F6">
              <w:rPr>
                <w:b/>
              </w:rPr>
              <w:t>Materials</w:t>
            </w:r>
          </w:p>
        </w:tc>
        <w:tc>
          <w:tcPr>
            <w:tcW w:w="5840" w:type="dxa"/>
            <w:tcBorders>
              <w:bottom w:val="thinThickThinSmallGap" w:sz="24" w:space="0" w:color="auto"/>
            </w:tcBorders>
            <w:shd w:val="clear" w:color="auto" w:fill="DBE5F1" w:themeFill="accent1" w:themeFillTint="33"/>
            <w:noWrap/>
            <w:hideMark/>
          </w:tcPr>
          <w:p w:rsidR="000257F6" w:rsidRPr="000257F6" w:rsidRDefault="000257F6" w:rsidP="000257F6">
            <w:pPr>
              <w:jc w:val="center"/>
              <w:rPr>
                <w:b/>
              </w:rPr>
            </w:pPr>
            <w:r w:rsidRPr="000257F6">
              <w:rPr>
                <w:b/>
              </w:rPr>
              <w:t>Part number</w:t>
            </w:r>
          </w:p>
        </w:tc>
      </w:tr>
      <w:tr w:rsidR="000257F6" w:rsidRPr="000257F6" w:rsidTr="000257F6">
        <w:trPr>
          <w:trHeight w:val="300"/>
        </w:trPr>
        <w:tc>
          <w:tcPr>
            <w:tcW w:w="8380" w:type="dxa"/>
            <w:tcBorders>
              <w:top w:val="thinThickThinSmallGap" w:sz="24" w:space="0" w:color="auto"/>
            </w:tcBorders>
            <w:noWrap/>
            <w:hideMark/>
          </w:tcPr>
          <w:p w:rsidR="000257F6" w:rsidRPr="000257F6" w:rsidRDefault="000257F6">
            <w:r w:rsidRPr="000257F6">
              <w:t xml:space="preserve">1260 Infinity Automatic Liquid Sampler </w:t>
            </w:r>
          </w:p>
        </w:tc>
        <w:tc>
          <w:tcPr>
            <w:tcW w:w="5840" w:type="dxa"/>
            <w:tcBorders>
              <w:top w:val="thinThickThinSmallGap" w:sz="24" w:space="0" w:color="auto"/>
            </w:tcBorders>
            <w:noWrap/>
            <w:hideMark/>
          </w:tcPr>
          <w:p w:rsidR="000257F6" w:rsidRPr="000257F6" w:rsidRDefault="000257F6" w:rsidP="000257F6">
            <w:pPr>
              <w:jc w:val="center"/>
            </w:pPr>
            <w:r w:rsidRPr="000257F6">
              <w:t>G1329B</w:t>
            </w:r>
          </w:p>
        </w:tc>
      </w:tr>
      <w:tr w:rsidR="000257F6" w:rsidRPr="000257F6" w:rsidTr="000257F6">
        <w:trPr>
          <w:trHeight w:val="300"/>
        </w:trPr>
        <w:tc>
          <w:tcPr>
            <w:tcW w:w="8380" w:type="dxa"/>
            <w:noWrap/>
            <w:hideMark/>
          </w:tcPr>
          <w:p w:rsidR="000257F6" w:rsidRPr="000257F6" w:rsidRDefault="000257F6">
            <w:r w:rsidRPr="000257F6">
              <w:t xml:space="preserve">1260 Infinity Quaternary Pump with a degasser </w:t>
            </w:r>
          </w:p>
        </w:tc>
        <w:tc>
          <w:tcPr>
            <w:tcW w:w="5840" w:type="dxa"/>
            <w:noWrap/>
            <w:hideMark/>
          </w:tcPr>
          <w:p w:rsidR="000257F6" w:rsidRPr="000257F6" w:rsidRDefault="000257F6" w:rsidP="000257F6">
            <w:pPr>
              <w:jc w:val="center"/>
            </w:pPr>
            <w:r w:rsidRPr="000257F6">
              <w:t>G1311B</w:t>
            </w:r>
          </w:p>
        </w:tc>
      </w:tr>
      <w:tr w:rsidR="000257F6" w:rsidRPr="000257F6" w:rsidTr="000257F6">
        <w:trPr>
          <w:trHeight w:val="300"/>
        </w:trPr>
        <w:tc>
          <w:tcPr>
            <w:tcW w:w="8380" w:type="dxa"/>
            <w:noWrap/>
            <w:hideMark/>
          </w:tcPr>
          <w:p w:rsidR="000257F6" w:rsidRPr="000257F6" w:rsidRDefault="000257F6">
            <w:r w:rsidRPr="000257F6">
              <w:t xml:space="preserve">1260 Infinity Thermostatted Column Compartment </w:t>
            </w:r>
          </w:p>
        </w:tc>
        <w:tc>
          <w:tcPr>
            <w:tcW w:w="5840" w:type="dxa"/>
            <w:noWrap/>
            <w:hideMark/>
          </w:tcPr>
          <w:p w:rsidR="000257F6" w:rsidRPr="000257F6" w:rsidRDefault="000257F6" w:rsidP="000257F6">
            <w:pPr>
              <w:jc w:val="center"/>
            </w:pPr>
            <w:r w:rsidRPr="000257F6">
              <w:t>G1316A</w:t>
            </w:r>
          </w:p>
        </w:tc>
      </w:tr>
      <w:tr w:rsidR="000257F6" w:rsidRPr="000257F6" w:rsidTr="000257F6">
        <w:trPr>
          <w:trHeight w:val="300"/>
        </w:trPr>
        <w:tc>
          <w:tcPr>
            <w:tcW w:w="8380" w:type="dxa"/>
            <w:noWrap/>
            <w:hideMark/>
          </w:tcPr>
          <w:p w:rsidR="000257F6" w:rsidRPr="000257F6" w:rsidRDefault="000257F6">
            <w:r w:rsidRPr="000257F6">
              <w:t>1260 Infinity Variable Wavelength Detector</w:t>
            </w:r>
          </w:p>
        </w:tc>
        <w:tc>
          <w:tcPr>
            <w:tcW w:w="5840" w:type="dxa"/>
            <w:noWrap/>
            <w:hideMark/>
          </w:tcPr>
          <w:p w:rsidR="000257F6" w:rsidRPr="000257F6" w:rsidRDefault="000257F6" w:rsidP="000257F6">
            <w:pPr>
              <w:jc w:val="center"/>
            </w:pPr>
            <w:r w:rsidRPr="000257F6">
              <w:t>G1314F</w:t>
            </w:r>
          </w:p>
        </w:tc>
      </w:tr>
      <w:tr w:rsidR="000257F6" w:rsidRPr="000257F6" w:rsidTr="000257F6">
        <w:trPr>
          <w:trHeight w:val="300"/>
        </w:trPr>
        <w:tc>
          <w:tcPr>
            <w:tcW w:w="8380" w:type="dxa"/>
            <w:noWrap/>
            <w:hideMark/>
          </w:tcPr>
          <w:p w:rsidR="000257F6" w:rsidRPr="000257F6" w:rsidRDefault="000257F6">
            <w:r w:rsidRPr="000257F6">
              <w:t>1-Propanol ≥99.5</w:t>
            </w:r>
            <w:r w:rsidR="00ED6949">
              <w:t xml:space="preserve"> </w:t>
            </w:r>
            <w:r w:rsidR="00783735">
              <w:t>% (Merck</w:t>
            </w:r>
            <w:r w:rsidRPr="000257F6">
              <w:t>, Germany, 71-23-8)</w:t>
            </w:r>
          </w:p>
        </w:tc>
        <w:tc>
          <w:tcPr>
            <w:tcW w:w="5840" w:type="dxa"/>
            <w:noWrap/>
            <w:hideMark/>
          </w:tcPr>
          <w:p w:rsidR="000257F6" w:rsidRPr="000257F6" w:rsidRDefault="000257F6" w:rsidP="000257F6">
            <w:pPr>
              <w:jc w:val="center"/>
            </w:pPr>
            <w:r w:rsidRPr="000257F6">
              <w:t>402893-M</w:t>
            </w:r>
          </w:p>
        </w:tc>
      </w:tr>
      <w:tr w:rsidR="000257F6" w:rsidRPr="000257F6" w:rsidTr="000257F6">
        <w:trPr>
          <w:trHeight w:val="300"/>
        </w:trPr>
        <w:tc>
          <w:tcPr>
            <w:tcW w:w="8380" w:type="dxa"/>
            <w:noWrap/>
            <w:hideMark/>
          </w:tcPr>
          <w:p w:rsidR="000257F6" w:rsidRPr="000257F6" w:rsidRDefault="000257F6">
            <w:r w:rsidRPr="000257F6">
              <w:t>2-Propanol ≥99.5</w:t>
            </w:r>
            <w:r w:rsidR="00ED6949">
              <w:t xml:space="preserve"> </w:t>
            </w:r>
            <w:r w:rsidRPr="000257F6">
              <w:t>% (Merck, Germany, 67-63-0)</w:t>
            </w:r>
          </w:p>
        </w:tc>
        <w:tc>
          <w:tcPr>
            <w:tcW w:w="5840" w:type="dxa"/>
            <w:noWrap/>
            <w:hideMark/>
          </w:tcPr>
          <w:p w:rsidR="000257F6" w:rsidRPr="000257F6" w:rsidRDefault="000257F6" w:rsidP="000257F6">
            <w:pPr>
              <w:jc w:val="center"/>
            </w:pPr>
            <w:r w:rsidRPr="000257F6">
              <w:t>1070222511</w:t>
            </w:r>
          </w:p>
        </w:tc>
      </w:tr>
      <w:tr w:rsidR="000257F6" w:rsidRPr="000257F6" w:rsidTr="000257F6">
        <w:trPr>
          <w:trHeight w:val="300"/>
        </w:trPr>
        <w:tc>
          <w:tcPr>
            <w:tcW w:w="8380" w:type="dxa"/>
            <w:noWrap/>
            <w:hideMark/>
          </w:tcPr>
          <w:p w:rsidR="000257F6" w:rsidRPr="000257F6" w:rsidRDefault="000257F6">
            <w:r w:rsidRPr="000257F6">
              <w:t>7890A GC System</w:t>
            </w:r>
          </w:p>
        </w:tc>
        <w:tc>
          <w:tcPr>
            <w:tcW w:w="5840" w:type="dxa"/>
            <w:noWrap/>
            <w:hideMark/>
          </w:tcPr>
          <w:p w:rsidR="000257F6" w:rsidRPr="000257F6" w:rsidRDefault="000257F6" w:rsidP="000257F6">
            <w:pPr>
              <w:jc w:val="center"/>
            </w:pPr>
            <w:r w:rsidRPr="000257F6">
              <w:t>G3440A</w:t>
            </w:r>
          </w:p>
        </w:tc>
      </w:tr>
      <w:tr w:rsidR="000257F6" w:rsidRPr="000257F6" w:rsidTr="000257F6">
        <w:trPr>
          <w:trHeight w:val="300"/>
        </w:trPr>
        <w:tc>
          <w:tcPr>
            <w:tcW w:w="8380" w:type="dxa"/>
            <w:noWrap/>
            <w:hideMark/>
          </w:tcPr>
          <w:p w:rsidR="000257F6" w:rsidRPr="000257F6" w:rsidRDefault="000257F6">
            <w:r w:rsidRPr="000257F6">
              <w:t>Acetonitrile ≥99.8</w:t>
            </w:r>
            <w:r w:rsidR="00ED6949">
              <w:t xml:space="preserve"> </w:t>
            </w:r>
            <w:r w:rsidR="00783735">
              <w:t>% (Merck</w:t>
            </w:r>
            <w:r w:rsidRPr="000257F6">
              <w:t>, Germany, 75-05-8)</w:t>
            </w:r>
          </w:p>
        </w:tc>
        <w:tc>
          <w:tcPr>
            <w:tcW w:w="5840" w:type="dxa"/>
            <w:noWrap/>
            <w:hideMark/>
          </w:tcPr>
          <w:p w:rsidR="000257F6" w:rsidRPr="000257F6" w:rsidRDefault="000257F6" w:rsidP="000257F6">
            <w:pPr>
              <w:jc w:val="center"/>
            </w:pPr>
            <w:r w:rsidRPr="000257F6">
              <w:t>271004</w:t>
            </w:r>
          </w:p>
        </w:tc>
      </w:tr>
      <w:tr w:rsidR="000257F6" w:rsidRPr="000257F6" w:rsidTr="000257F6">
        <w:trPr>
          <w:trHeight w:val="300"/>
        </w:trPr>
        <w:tc>
          <w:tcPr>
            <w:tcW w:w="8380" w:type="dxa"/>
            <w:noWrap/>
            <w:hideMark/>
          </w:tcPr>
          <w:p w:rsidR="000257F6" w:rsidRPr="000257F6" w:rsidRDefault="000257F6">
            <w:r w:rsidRPr="000257F6">
              <w:t xml:space="preserve">Agilent Technologies GC Sampler 80 </w:t>
            </w:r>
          </w:p>
        </w:tc>
        <w:tc>
          <w:tcPr>
            <w:tcW w:w="5840" w:type="dxa"/>
            <w:noWrap/>
            <w:hideMark/>
          </w:tcPr>
          <w:p w:rsidR="000257F6" w:rsidRPr="000257F6" w:rsidRDefault="000257F6" w:rsidP="000257F6">
            <w:pPr>
              <w:jc w:val="center"/>
            </w:pPr>
            <w:r w:rsidRPr="000257F6">
              <w:t>G6501B</w:t>
            </w:r>
          </w:p>
        </w:tc>
      </w:tr>
      <w:tr w:rsidR="000257F6" w:rsidRPr="000257F6" w:rsidTr="000257F6">
        <w:trPr>
          <w:trHeight w:val="300"/>
        </w:trPr>
        <w:tc>
          <w:tcPr>
            <w:tcW w:w="8380" w:type="dxa"/>
            <w:noWrap/>
            <w:hideMark/>
          </w:tcPr>
          <w:p w:rsidR="000257F6" w:rsidRPr="000257F6" w:rsidRDefault="000257F6">
            <w:r w:rsidRPr="000257F6">
              <w:t xml:space="preserve">ALS syringe, Blue Line, 10 µL </w:t>
            </w:r>
          </w:p>
        </w:tc>
        <w:tc>
          <w:tcPr>
            <w:tcW w:w="5840" w:type="dxa"/>
            <w:noWrap/>
            <w:hideMark/>
          </w:tcPr>
          <w:p w:rsidR="000257F6" w:rsidRPr="000257F6" w:rsidRDefault="000257F6" w:rsidP="000257F6">
            <w:pPr>
              <w:jc w:val="center"/>
            </w:pPr>
            <w:r w:rsidRPr="000257F6">
              <w:t>G4513-80209</w:t>
            </w:r>
          </w:p>
        </w:tc>
      </w:tr>
      <w:tr w:rsidR="000257F6" w:rsidRPr="000257F6" w:rsidTr="000257F6">
        <w:trPr>
          <w:trHeight w:val="300"/>
        </w:trPr>
        <w:tc>
          <w:tcPr>
            <w:tcW w:w="8380" w:type="dxa"/>
            <w:noWrap/>
            <w:hideMark/>
          </w:tcPr>
          <w:p w:rsidR="000257F6" w:rsidRPr="000257F6" w:rsidRDefault="000257F6">
            <w:r w:rsidRPr="000257F6">
              <w:t>Autoinjector</w:t>
            </w:r>
          </w:p>
        </w:tc>
        <w:tc>
          <w:tcPr>
            <w:tcW w:w="5840" w:type="dxa"/>
            <w:noWrap/>
            <w:hideMark/>
          </w:tcPr>
          <w:p w:rsidR="000257F6" w:rsidRPr="000257F6" w:rsidRDefault="000257F6" w:rsidP="000257F6">
            <w:pPr>
              <w:jc w:val="center"/>
            </w:pPr>
            <w:r w:rsidRPr="000257F6">
              <w:t>G4513A</w:t>
            </w:r>
          </w:p>
        </w:tc>
      </w:tr>
      <w:tr w:rsidR="000257F6" w:rsidRPr="000257F6" w:rsidTr="000257F6">
        <w:trPr>
          <w:trHeight w:val="300"/>
        </w:trPr>
        <w:tc>
          <w:tcPr>
            <w:tcW w:w="8380" w:type="dxa"/>
            <w:noWrap/>
            <w:hideMark/>
          </w:tcPr>
          <w:p w:rsidR="000257F6" w:rsidRPr="000257F6" w:rsidRDefault="000257F6">
            <w:r w:rsidRPr="000257F6">
              <w:t>Beakers</w:t>
            </w:r>
          </w:p>
        </w:tc>
        <w:tc>
          <w:tcPr>
            <w:tcW w:w="5840" w:type="dxa"/>
            <w:noWrap/>
            <w:hideMark/>
          </w:tcPr>
          <w:p w:rsidR="000257F6" w:rsidRPr="000257F6" w:rsidRDefault="000257F6" w:rsidP="000257F6">
            <w:pPr>
              <w:jc w:val="center"/>
            </w:pPr>
          </w:p>
        </w:tc>
      </w:tr>
      <w:tr w:rsidR="000257F6" w:rsidRPr="000257F6" w:rsidTr="000257F6">
        <w:trPr>
          <w:trHeight w:val="300"/>
        </w:trPr>
        <w:tc>
          <w:tcPr>
            <w:tcW w:w="8380" w:type="dxa"/>
            <w:noWrap/>
            <w:hideMark/>
          </w:tcPr>
          <w:p w:rsidR="000257F6" w:rsidRPr="000257F6" w:rsidRDefault="000257F6">
            <w:r w:rsidRPr="000257F6">
              <w:t>Bleed/Temp Optimized Non-Stick 11 mm Septa</w:t>
            </w:r>
          </w:p>
        </w:tc>
        <w:tc>
          <w:tcPr>
            <w:tcW w:w="5840" w:type="dxa"/>
            <w:noWrap/>
            <w:hideMark/>
          </w:tcPr>
          <w:p w:rsidR="000257F6" w:rsidRPr="000257F6" w:rsidRDefault="000257F6" w:rsidP="000257F6">
            <w:pPr>
              <w:jc w:val="center"/>
            </w:pPr>
            <w:r w:rsidRPr="000257F6">
              <w:t>5183-4757</w:t>
            </w:r>
          </w:p>
        </w:tc>
      </w:tr>
      <w:tr w:rsidR="000257F6" w:rsidRPr="000257F6" w:rsidTr="000257F6">
        <w:trPr>
          <w:trHeight w:val="300"/>
        </w:trPr>
        <w:tc>
          <w:tcPr>
            <w:tcW w:w="8380" w:type="dxa"/>
            <w:noWrap/>
            <w:hideMark/>
          </w:tcPr>
          <w:p w:rsidR="000257F6" w:rsidRPr="00783735" w:rsidRDefault="003E711F">
            <w:r w:rsidRPr="00783735">
              <w:t>Cannabidiol 1 mg/mL</w:t>
            </w:r>
            <w:r w:rsidR="00783735" w:rsidRPr="00783735">
              <w:t xml:space="preserve"> (Merck</w:t>
            </w:r>
            <w:r w:rsidR="000257F6" w:rsidRPr="00783735">
              <w:t>, USA, 13956-29-1)</w:t>
            </w:r>
          </w:p>
        </w:tc>
        <w:tc>
          <w:tcPr>
            <w:tcW w:w="5840" w:type="dxa"/>
            <w:noWrap/>
            <w:hideMark/>
          </w:tcPr>
          <w:p w:rsidR="000257F6" w:rsidRPr="000257F6" w:rsidRDefault="000257F6" w:rsidP="000257F6">
            <w:pPr>
              <w:jc w:val="center"/>
            </w:pPr>
            <w:r w:rsidRPr="000257F6">
              <w:t>C-045</w:t>
            </w:r>
          </w:p>
        </w:tc>
      </w:tr>
      <w:tr w:rsidR="000257F6" w:rsidRPr="000257F6" w:rsidTr="000257F6">
        <w:trPr>
          <w:trHeight w:val="300"/>
        </w:trPr>
        <w:tc>
          <w:tcPr>
            <w:tcW w:w="8380" w:type="dxa"/>
            <w:noWrap/>
            <w:hideMark/>
          </w:tcPr>
          <w:p w:rsidR="000257F6" w:rsidRPr="00783735" w:rsidRDefault="003E711F">
            <w:r w:rsidRPr="00783735">
              <w:t>Cannabinol 1 mg/mL</w:t>
            </w:r>
            <w:r w:rsidR="00783735" w:rsidRPr="00783735">
              <w:t xml:space="preserve"> (Merck</w:t>
            </w:r>
            <w:r w:rsidR="000257F6" w:rsidRPr="00783735">
              <w:t>, USA, 521-35-7)</w:t>
            </w:r>
          </w:p>
        </w:tc>
        <w:tc>
          <w:tcPr>
            <w:tcW w:w="5840" w:type="dxa"/>
            <w:noWrap/>
            <w:hideMark/>
          </w:tcPr>
          <w:p w:rsidR="000257F6" w:rsidRPr="000257F6" w:rsidRDefault="000257F6" w:rsidP="000257F6">
            <w:pPr>
              <w:jc w:val="center"/>
            </w:pPr>
            <w:r w:rsidRPr="000257F6">
              <w:t>C-046</w:t>
            </w:r>
          </w:p>
        </w:tc>
      </w:tr>
      <w:tr w:rsidR="000257F6" w:rsidRPr="000257F6" w:rsidTr="000257F6">
        <w:trPr>
          <w:trHeight w:val="300"/>
        </w:trPr>
        <w:tc>
          <w:tcPr>
            <w:tcW w:w="8380" w:type="dxa"/>
            <w:noWrap/>
            <w:hideMark/>
          </w:tcPr>
          <w:p w:rsidR="000257F6" w:rsidRPr="000257F6" w:rsidRDefault="000257F6">
            <w:r w:rsidRPr="000257F6">
              <w:t>Captiva EMR-Lipid,</w:t>
            </w:r>
            <w:r w:rsidR="003E711F">
              <w:t xml:space="preserve"> 3 mL</w:t>
            </w:r>
            <w:r w:rsidRPr="000257F6">
              <w:t xml:space="preserve"> 300 mg</w:t>
            </w:r>
          </w:p>
        </w:tc>
        <w:tc>
          <w:tcPr>
            <w:tcW w:w="5840" w:type="dxa"/>
            <w:noWrap/>
            <w:hideMark/>
          </w:tcPr>
          <w:p w:rsidR="000257F6" w:rsidRPr="000257F6" w:rsidRDefault="000257F6" w:rsidP="000257F6">
            <w:pPr>
              <w:jc w:val="center"/>
            </w:pPr>
            <w:r w:rsidRPr="000257F6">
              <w:t>5190-1003</w:t>
            </w:r>
          </w:p>
        </w:tc>
      </w:tr>
      <w:tr w:rsidR="000257F6" w:rsidRPr="000257F6" w:rsidTr="000257F6">
        <w:trPr>
          <w:trHeight w:val="300"/>
        </w:trPr>
        <w:tc>
          <w:tcPr>
            <w:tcW w:w="8380" w:type="dxa"/>
            <w:noWrap/>
            <w:hideMark/>
          </w:tcPr>
          <w:p w:rsidR="000257F6" w:rsidRPr="000257F6" w:rsidRDefault="000257F6">
            <w:r w:rsidRPr="000257F6">
              <w:t xml:space="preserve">Ceramic scribe column cutter </w:t>
            </w:r>
          </w:p>
        </w:tc>
        <w:tc>
          <w:tcPr>
            <w:tcW w:w="5840" w:type="dxa"/>
            <w:noWrap/>
            <w:hideMark/>
          </w:tcPr>
          <w:p w:rsidR="000257F6" w:rsidRPr="000257F6" w:rsidRDefault="000257F6" w:rsidP="000257F6">
            <w:pPr>
              <w:jc w:val="center"/>
            </w:pPr>
            <w:r w:rsidRPr="000257F6">
              <w:t>5181-8836</w:t>
            </w:r>
          </w:p>
        </w:tc>
      </w:tr>
      <w:tr w:rsidR="000257F6" w:rsidRPr="000257F6" w:rsidTr="000257F6">
        <w:trPr>
          <w:trHeight w:val="300"/>
        </w:trPr>
        <w:tc>
          <w:tcPr>
            <w:tcW w:w="8380" w:type="dxa"/>
            <w:noWrap/>
            <w:hideMark/>
          </w:tcPr>
          <w:p w:rsidR="000257F6" w:rsidRPr="000257F6" w:rsidRDefault="000257F6">
            <w:r w:rsidRPr="000257F6">
              <w:t>Chem Station 04.03.016 (Software)</w:t>
            </w:r>
          </w:p>
        </w:tc>
        <w:tc>
          <w:tcPr>
            <w:tcW w:w="5840" w:type="dxa"/>
            <w:noWrap/>
            <w:hideMark/>
          </w:tcPr>
          <w:p w:rsidR="000257F6" w:rsidRPr="000257F6" w:rsidRDefault="000257F6" w:rsidP="000257F6">
            <w:pPr>
              <w:jc w:val="center"/>
            </w:pPr>
          </w:p>
        </w:tc>
      </w:tr>
      <w:tr w:rsidR="000257F6" w:rsidRPr="000257F6" w:rsidTr="000257F6">
        <w:trPr>
          <w:trHeight w:val="300"/>
        </w:trPr>
        <w:tc>
          <w:tcPr>
            <w:tcW w:w="8380" w:type="dxa"/>
            <w:noWrap/>
            <w:hideMark/>
          </w:tcPr>
          <w:p w:rsidR="000257F6" w:rsidRPr="000257F6" w:rsidRDefault="000257F6">
            <w:pPr>
              <w:rPr>
                <w:lang w:val="nl-NL"/>
              </w:rPr>
            </w:pPr>
            <w:r w:rsidRPr="000257F6">
              <w:rPr>
                <w:lang w:val="nl-NL"/>
              </w:rPr>
              <w:t>DB-35ms UI 15 m x 0.25 mm 0.25 µm</w:t>
            </w:r>
          </w:p>
        </w:tc>
        <w:tc>
          <w:tcPr>
            <w:tcW w:w="5840" w:type="dxa"/>
            <w:noWrap/>
            <w:hideMark/>
          </w:tcPr>
          <w:p w:rsidR="000257F6" w:rsidRPr="000257F6" w:rsidRDefault="000257F6" w:rsidP="000257F6">
            <w:pPr>
              <w:jc w:val="center"/>
            </w:pPr>
            <w:r w:rsidRPr="000257F6">
              <w:t>122-3812UI</w:t>
            </w:r>
          </w:p>
        </w:tc>
      </w:tr>
      <w:tr w:rsidR="000257F6" w:rsidRPr="000257F6" w:rsidTr="000257F6">
        <w:trPr>
          <w:trHeight w:val="300"/>
        </w:trPr>
        <w:tc>
          <w:tcPr>
            <w:tcW w:w="8380" w:type="dxa"/>
            <w:noWrap/>
            <w:hideMark/>
          </w:tcPr>
          <w:p w:rsidR="000257F6" w:rsidRPr="000257F6" w:rsidRDefault="000257F6">
            <w:r w:rsidRPr="000257F6">
              <w:t>DB-35ms UI 15 m x 0.25 mm 0.25 µm, Intuvo</w:t>
            </w:r>
          </w:p>
        </w:tc>
        <w:tc>
          <w:tcPr>
            <w:tcW w:w="5840" w:type="dxa"/>
            <w:noWrap/>
            <w:hideMark/>
          </w:tcPr>
          <w:p w:rsidR="000257F6" w:rsidRPr="000257F6" w:rsidRDefault="000257F6" w:rsidP="000257F6">
            <w:pPr>
              <w:jc w:val="center"/>
            </w:pPr>
            <w:r w:rsidRPr="000257F6">
              <w:t>122-3812UI-INT</w:t>
            </w:r>
          </w:p>
        </w:tc>
      </w:tr>
      <w:tr w:rsidR="000257F6" w:rsidRPr="000257F6" w:rsidTr="000257F6">
        <w:trPr>
          <w:trHeight w:val="300"/>
        </w:trPr>
        <w:tc>
          <w:tcPr>
            <w:tcW w:w="8380" w:type="dxa"/>
            <w:noWrap/>
            <w:hideMark/>
          </w:tcPr>
          <w:p w:rsidR="000257F6" w:rsidRPr="000257F6" w:rsidRDefault="000257F6">
            <w:r w:rsidRPr="000257F6">
              <w:t>Disposable Glass Pasteur Pipettes VWR</w:t>
            </w:r>
          </w:p>
        </w:tc>
        <w:tc>
          <w:tcPr>
            <w:tcW w:w="5840" w:type="dxa"/>
            <w:noWrap/>
            <w:hideMark/>
          </w:tcPr>
          <w:p w:rsidR="000257F6" w:rsidRPr="000257F6" w:rsidRDefault="000257F6" w:rsidP="000257F6">
            <w:pPr>
              <w:jc w:val="center"/>
            </w:pPr>
          </w:p>
        </w:tc>
      </w:tr>
      <w:tr w:rsidR="000257F6" w:rsidRPr="000257F6" w:rsidTr="000257F6">
        <w:trPr>
          <w:trHeight w:val="300"/>
        </w:trPr>
        <w:tc>
          <w:tcPr>
            <w:tcW w:w="8380" w:type="dxa"/>
            <w:noWrap/>
            <w:hideMark/>
          </w:tcPr>
          <w:p w:rsidR="000257F6" w:rsidRPr="000257F6" w:rsidRDefault="000257F6">
            <w:r w:rsidRPr="000257F6">
              <w:t>EC-C18 Guard column 4.6 x 5 mm i.d. 2.7 µm</w:t>
            </w:r>
          </w:p>
        </w:tc>
        <w:tc>
          <w:tcPr>
            <w:tcW w:w="5840" w:type="dxa"/>
            <w:noWrap/>
            <w:hideMark/>
          </w:tcPr>
          <w:p w:rsidR="000257F6" w:rsidRPr="000257F6" w:rsidRDefault="000257F6" w:rsidP="000257F6">
            <w:pPr>
              <w:jc w:val="center"/>
            </w:pPr>
            <w:r w:rsidRPr="000257F6">
              <w:t>820750-911</w:t>
            </w:r>
          </w:p>
        </w:tc>
      </w:tr>
      <w:tr w:rsidR="000257F6" w:rsidRPr="000257F6" w:rsidTr="000257F6">
        <w:trPr>
          <w:trHeight w:val="300"/>
        </w:trPr>
        <w:tc>
          <w:tcPr>
            <w:tcW w:w="8380" w:type="dxa"/>
            <w:noWrap/>
            <w:hideMark/>
          </w:tcPr>
          <w:p w:rsidR="000257F6" w:rsidRPr="000257F6" w:rsidRDefault="000257F6">
            <w:r w:rsidRPr="000257F6">
              <w:t>Eppendorf® Research® pipettes &amp; pipette tips</w:t>
            </w:r>
          </w:p>
        </w:tc>
        <w:tc>
          <w:tcPr>
            <w:tcW w:w="5840" w:type="dxa"/>
            <w:noWrap/>
            <w:hideMark/>
          </w:tcPr>
          <w:p w:rsidR="000257F6" w:rsidRPr="000257F6" w:rsidRDefault="000257F6" w:rsidP="000257F6">
            <w:pPr>
              <w:jc w:val="center"/>
            </w:pPr>
          </w:p>
        </w:tc>
      </w:tr>
      <w:tr w:rsidR="000257F6" w:rsidRPr="000257F6" w:rsidTr="000257F6">
        <w:trPr>
          <w:trHeight w:val="300"/>
        </w:trPr>
        <w:tc>
          <w:tcPr>
            <w:tcW w:w="8380" w:type="dxa"/>
            <w:noWrap/>
            <w:hideMark/>
          </w:tcPr>
          <w:p w:rsidR="000257F6" w:rsidRPr="000257F6" w:rsidRDefault="000257F6">
            <w:r w:rsidRPr="000257F6">
              <w:t xml:space="preserve">Ferrule, 0.25-0.1, Graphite </w:t>
            </w:r>
          </w:p>
        </w:tc>
        <w:tc>
          <w:tcPr>
            <w:tcW w:w="5840" w:type="dxa"/>
            <w:noWrap/>
            <w:hideMark/>
          </w:tcPr>
          <w:p w:rsidR="000257F6" w:rsidRPr="000257F6" w:rsidRDefault="000257F6" w:rsidP="000257F6">
            <w:pPr>
              <w:jc w:val="center"/>
            </w:pPr>
            <w:r w:rsidRPr="000257F6">
              <w:t>500-2114</w:t>
            </w:r>
          </w:p>
        </w:tc>
      </w:tr>
      <w:tr w:rsidR="000257F6" w:rsidRPr="000257F6" w:rsidTr="000257F6">
        <w:trPr>
          <w:trHeight w:val="300"/>
        </w:trPr>
        <w:tc>
          <w:tcPr>
            <w:tcW w:w="8380" w:type="dxa"/>
            <w:noWrap/>
            <w:hideMark/>
          </w:tcPr>
          <w:p w:rsidR="000257F6" w:rsidRPr="000257F6" w:rsidRDefault="000257F6">
            <w:r w:rsidRPr="000257F6">
              <w:t>Final Drying Pouches-MgSO4 Only</w:t>
            </w:r>
          </w:p>
        </w:tc>
        <w:tc>
          <w:tcPr>
            <w:tcW w:w="5840" w:type="dxa"/>
            <w:noWrap/>
            <w:hideMark/>
          </w:tcPr>
          <w:p w:rsidR="000257F6" w:rsidRPr="000257F6" w:rsidRDefault="000257F6" w:rsidP="000257F6">
            <w:pPr>
              <w:jc w:val="center"/>
            </w:pPr>
            <w:r w:rsidRPr="000257F6">
              <w:t>5982-0102</w:t>
            </w:r>
          </w:p>
        </w:tc>
      </w:tr>
      <w:tr w:rsidR="000257F6" w:rsidRPr="000257F6" w:rsidTr="000257F6">
        <w:trPr>
          <w:trHeight w:val="300"/>
        </w:trPr>
        <w:tc>
          <w:tcPr>
            <w:tcW w:w="8380" w:type="dxa"/>
            <w:noWrap/>
            <w:hideMark/>
          </w:tcPr>
          <w:p w:rsidR="000257F6" w:rsidRPr="000257F6" w:rsidRDefault="000257F6">
            <w:r w:rsidRPr="000257F6">
              <w:t xml:space="preserve">Flow Chip, Intuvo, D1 </w:t>
            </w:r>
          </w:p>
        </w:tc>
        <w:tc>
          <w:tcPr>
            <w:tcW w:w="5840" w:type="dxa"/>
            <w:noWrap/>
            <w:hideMark/>
          </w:tcPr>
          <w:p w:rsidR="000257F6" w:rsidRPr="000257F6" w:rsidRDefault="000257F6" w:rsidP="000257F6">
            <w:pPr>
              <w:jc w:val="center"/>
            </w:pPr>
            <w:r w:rsidRPr="000257F6">
              <w:t>G4581-60032</w:t>
            </w:r>
          </w:p>
        </w:tc>
      </w:tr>
      <w:tr w:rsidR="000257F6" w:rsidRPr="000257F6" w:rsidTr="000257F6">
        <w:trPr>
          <w:trHeight w:val="300"/>
        </w:trPr>
        <w:tc>
          <w:tcPr>
            <w:tcW w:w="8380" w:type="dxa"/>
            <w:noWrap/>
            <w:hideMark/>
          </w:tcPr>
          <w:p w:rsidR="000257F6" w:rsidRPr="000257F6" w:rsidRDefault="000257F6">
            <w:r w:rsidRPr="000257F6">
              <w:t xml:space="preserve">Flow Chip, Intuvo, FID-TCD tail </w:t>
            </w:r>
          </w:p>
        </w:tc>
        <w:tc>
          <w:tcPr>
            <w:tcW w:w="5840" w:type="dxa"/>
            <w:noWrap/>
            <w:hideMark/>
          </w:tcPr>
          <w:p w:rsidR="000257F6" w:rsidRPr="000257F6" w:rsidRDefault="000257F6" w:rsidP="000257F6">
            <w:pPr>
              <w:jc w:val="center"/>
            </w:pPr>
            <w:r w:rsidRPr="000257F6">
              <w:t>G4583-60331</w:t>
            </w:r>
          </w:p>
        </w:tc>
      </w:tr>
      <w:tr w:rsidR="000257F6" w:rsidRPr="000257F6" w:rsidTr="000257F6">
        <w:trPr>
          <w:trHeight w:val="300"/>
        </w:trPr>
        <w:tc>
          <w:tcPr>
            <w:tcW w:w="8380" w:type="dxa"/>
            <w:noWrap/>
            <w:hideMark/>
          </w:tcPr>
          <w:p w:rsidR="000257F6" w:rsidRPr="000257F6" w:rsidRDefault="000257F6">
            <w:r w:rsidRPr="000257F6">
              <w:t xml:space="preserve">Flow Chip, Intuvo, inlet </w:t>
            </w:r>
          </w:p>
        </w:tc>
        <w:tc>
          <w:tcPr>
            <w:tcW w:w="5840" w:type="dxa"/>
            <w:noWrap/>
            <w:hideMark/>
          </w:tcPr>
          <w:p w:rsidR="000257F6" w:rsidRPr="000257F6" w:rsidRDefault="000257F6" w:rsidP="000257F6">
            <w:pPr>
              <w:jc w:val="center"/>
            </w:pPr>
            <w:r w:rsidRPr="000257F6">
              <w:t>G4581-60031</w:t>
            </w:r>
          </w:p>
        </w:tc>
      </w:tr>
      <w:tr w:rsidR="000257F6" w:rsidRPr="000257F6" w:rsidTr="000257F6">
        <w:trPr>
          <w:trHeight w:val="300"/>
        </w:trPr>
        <w:tc>
          <w:tcPr>
            <w:tcW w:w="8380" w:type="dxa"/>
            <w:noWrap/>
            <w:hideMark/>
          </w:tcPr>
          <w:p w:rsidR="000257F6" w:rsidRPr="000257F6" w:rsidRDefault="000257F6">
            <w:r w:rsidRPr="000257F6">
              <w:t xml:space="preserve">Gasket, Intuvo, polyimide </w:t>
            </w:r>
          </w:p>
        </w:tc>
        <w:tc>
          <w:tcPr>
            <w:tcW w:w="5840" w:type="dxa"/>
            <w:noWrap/>
            <w:hideMark/>
          </w:tcPr>
          <w:p w:rsidR="000257F6" w:rsidRPr="000257F6" w:rsidRDefault="000257F6" w:rsidP="000257F6">
            <w:pPr>
              <w:jc w:val="center"/>
            </w:pPr>
            <w:r w:rsidRPr="000257F6">
              <w:t>5190-9072</w:t>
            </w:r>
          </w:p>
        </w:tc>
      </w:tr>
      <w:tr w:rsidR="000257F6" w:rsidRPr="000257F6" w:rsidTr="000257F6">
        <w:trPr>
          <w:trHeight w:val="300"/>
        </w:trPr>
        <w:tc>
          <w:tcPr>
            <w:tcW w:w="8380" w:type="dxa"/>
            <w:noWrap/>
            <w:hideMark/>
          </w:tcPr>
          <w:p w:rsidR="000257F6" w:rsidRPr="000257F6" w:rsidRDefault="000257F6">
            <w:r w:rsidRPr="000257F6">
              <w:t xml:space="preserve">GC column installation pre-swaging tool, for graphite ferrules </w:t>
            </w:r>
          </w:p>
        </w:tc>
        <w:tc>
          <w:tcPr>
            <w:tcW w:w="5840" w:type="dxa"/>
            <w:noWrap/>
            <w:hideMark/>
          </w:tcPr>
          <w:p w:rsidR="000257F6" w:rsidRPr="000257F6" w:rsidRDefault="000257F6" w:rsidP="000257F6">
            <w:pPr>
              <w:jc w:val="center"/>
            </w:pPr>
            <w:r w:rsidRPr="000257F6">
              <w:t>G3440-80217</w:t>
            </w:r>
          </w:p>
        </w:tc>
      </w:tr>
      <w:tr w:rsidR="000257F6" w:rsidRPr="000257F6" w:rsidTr="000257F6">
        <w:trPr>
          <w:trHeight w:val="300"/>
        </w:trPr>
        <w:tc>
          <w:tcPr>
            <w:tcW w:w="8380" w:type="dxa"/>
            <w:noWrap/>
            <w:hideMark/>
          </w:tcPr>
          <w:p w:rsidR="000257F6" w:rsidRPr="000257F6" w:rsidRDefault="000257F6">
            <w:r w:rsidRPr="000257F6">
              <w:t>GC/MSD with Triple-Axis Detector</w:t>
            </w:r>
          </w:p>
        </w:tc>
        <w:tc>
          <w:tcPr>
            <w:tcW w:w="5840" w:type="dxa"/>
            <w:noWrap/>
            <w:hideMark/>
          </w:tcPr>
          <w:p w:rsidR="000257F6" w:rsidRPr="000257F6" w:rsidRDefault="000257F6" w:rsidP="000257F6">
            <w:pPr>
              <w:jc w:val="center"/>
            </w:pPr>
            <w:r w:rsidRPr="000257F6">
              <w:t>G3440A/G3171A</w:t>
            </w:r>
          </w:p>
        </w:tc>
      </w:tr>
      <w:tr w:rsidR="000257F6" w:rsidRPr="000257F6" w:rsidTr="000257F6">
        <w:trPr>
          <w:trHeight w:val="300"/>
        </w:trPr>
        <w:tc>
          <w:tcPr>
            <w:tcW w:w="8380" w:type="dxa"/>
            <w:noWrap/>
            <w:hideMark/>
          </w:tcPr>
          <w:p w:rsidR="000257F6" w:rsidRPr="000257F6" w:rsidRDefault="000257F6">
            <w:r w:rsidRPr="000257F6">
              <w:t xml:space="preserve">Guard Chip, Intuvo, split/splitless inlet </w:t>
            </w:r>
          </w:p>
        </w:tc>
        <w:tc>
          <w:tcPr>
            <w:tcW w:w="5840" w:type="dxa"/>
            <w:noWrap/>
            <w:hideMark/>
          </w:tcPr>
          <w:p w:rsidR="000257F6" w:rsidRPr="000257F6" w:rsidRDefault="000257F6" w:rsidP="000257F6">
            <w:pPr>
              <w:jc w:val="center"/>
            </w:pPr>
            <w:r w:rsidRPr="000257F6">
              <w:t>G4587-60565</w:t>
            </w:r>
          </w:p>
        </w:tc>
      </w:tr>
      <w:tr w:rsidR="000257F6" w:rsidRPr="000257F6" w:rsidTr="000257F6">
        <w:trPr>
          <w:trHeight w:val="300"/>
        </w:trPr>
        <w:tc>
          <w:tcPr>
            <w:tcW w:w="8380" w:type="dxa"/>
            <w:noWrap/>
            <w:hideMark/>
          </w:tcPr>
          <w:p w:rsidR="000257F6" w:rsidRPr="000257F6" w:rsidRDefault="000257F6">
            <w:r w:rsidRPr="000257F6">
              <w:t>Hdsp cap, 18 mm, magnetic PTFE/Sil</w:t>
            </w:r>
          </w:p>
        </w:tc>
        <w:tc>
          <w:tcPr>
            <w:tcW w:w="5840" w:type="dxa"/>
            <w:noWrap/>
            <w:hideMark/>
          </w:tcPr>
          <w:p w:rsidR="000257F6" w:rsidRPr="000257F6" w:rsidRDefault="000257F6" w:rsidP="000257F6">
            <w:pPr>
              <w:jc w:val="center"/>
            </w:pPr>
            <w:r w:rsidRPr="000257F6">
              <w:t>5188-2759</w:t>
            </w:r>
          </w:p>
        </w:tc>
      </w:tr>
      <w:tr w:rsidR="000257F6" w:rsidRPr="000257F6" w:rsidTr="000257F6">
        <w:trPr>
          <w:trHeight w:val="300"/>
        </w:trPr>
        <w:tc>
          <w:tcPr>
            <w:tcW w:w="8380" w:type="dxa"/>
            <w:noWrap/>
            <w:hideMark/>
          </w:tcPr>
          <w:p w:rsidR="000257F6" w:rsidRPr="000257F6" w:rsidRDefault="000257F6">
            <w:r w:rsidRPr="000257F6">
              <w:t>Heads</w:t>
            </w:r>
            <w:r w:rsidR="003E711F">
              <w:t>pace Syringe Holder Kit, 2.5 mL</w:t>
            </w:r>
          </w:p>
        </w:tc>
        <w:tc>
          <w:tcPr>
            <w:tcW w:w="5840" w:type="dxa"/>
            <w:noWrap/>
            <w:hideMark/>
          </w:tcPr>
          <w:p w:rsidR="000257F6" w:rsidRPr="000257F6" w:rsidRDefault="000257F6" w:rsidP="000257F6">
            <w:pPr>
              <w:jc w:val="center"/>
            </w:pPr>
            <w:r w:rsidRPr="000257F6">
              <w:t>G6500-60018</w:t>
            </w:r>
          </w:p>
        </w:tc>
      </w:tr>
      <w:tr w:rsidR="000257F6" w:rsidRPr="000257F6" w:rsidTr="000257F6">
        <w:trPr>
          <w:trHeight w:val="300"/>
        </w:trPr>
        <w:tc>
          <w:tcPr>
            <w:tcW w:w="8380" w:type="dxa"/>
            <w:noWrap/>
            <w:hideMark/>
          </w:tcPr>
          <w:p w:rsidR="000257F6" w:rsidRPr="000257F6" w:rsidRDefault="000257F6">
            <w:r w:rsidRPr="000257F6">
              <w:t>Intuvo 9000 GC System</w:t>
            </w:r>
          </w:p>
        </w:tc>
        <w:tc>
          <w:tcPr>
            <w:tcW w:w="5840" w:type="dxa"/>
            <w:noWrap/>
            <w:hideMark/>
          </w:tcPr>
          <w:p w:rsidR="000257F6" w:rsidRPr="000257F6" w:rsidRDefault="000257F6" w:rsidP="000257F6">
            <w:pPr>
              <w:jc w:val="center"/>
            </w:pPr>
            <w:r w:rsidRPr="000257F6">
              <w:t>G3950A</w:t>
            </w:r>
          </w:p>
        </w:tc>
      </w:tr>
      <w:tr w:rsidR="000257F6" w:rsidRPr="000257F6" w:rsidTr="000257F6">
        <w:trPr>
          <w:trHeight w:val="300"/>
        </w:trPr>
        <w:tc>
          <w:tcPr>
            <w:tcW w:w="8380" w:type="dxa"/>
            <w:noWrap/>
            <w:hideMark/>
          </w:tcPr>
          <w:p w:rsidR="000257F6" w:rsidRPr="000257F6" w:rsidRDefault="000257F6">
            <w:r w:rsidRPr="000257F6">
              <w:t xml:space="preserve">Intuvo compression bolt </w:t>
            </w:r>
          </w:p>
        </w:tc>
        <w:tc>
          <w:tcPr>
            <w:tcW w:w="5840" w:type="dxa"/>
            <w:noWrap/>
            <w:hideMark/>
          </w:tcPr>
          <w:p w:rsidR="000257F6" w:rsidRPr="000257F6" w:rsidRDefault="000257F6" w:rsidP="000257F6">
            <w:pPr>
              <w:jc w:val="center"/>
            </w:pPr>
            <w:r w:rsidRPr="000257F6">
              <w:t>64581-60260</w:t>
            </w:r>
          </w:p>
        </w:tc>
      </w:tr>
      <w:tr w:rsidR="000257F6" w:rsidRPr="000257F6" w:rsidTr="000257F6">
        <w:trPr>
          <w:trHeight w:val="300"/>
        </w:trPr>
        <w:tc>
          <w:tcPr>
            <w:tcW w:w="8380" w:type="dxa"/>
            <w:noWrap/>
            <w:hideMark/>
          </w:tcPr>
          <w:p w:rsidR="000257F6" w:rsidRPr="000257F6" w:rsidRDefault="000257F6">
            <w:r w:rsidRPr="000257F6">
              <w:t>Methanol ≥99.9</w:t>
            </w:r>
            <w:r w:rsidR="00ED6949">
              <w:t xml:space="preserve"> </w:t>
            </w:r>
            <w:r w:rsidRPr="000257F6">
              <w:t>% (Merck, Germany, 67-56-1)</w:t>
            </w:r>
          </w:p>
        </w:tc>
        <w:tc>
          <w:tcPr>
            <w:tcW w:w="5840" w:type="dxa"/>
            <w:noWrap/>
            <w:hideMark/>
          </w:tcPr>
          <w:p w:rsidR="000257F6" w:rsidRPr="000257F6" w:rsidRDefault="000257F6" w:rsidP="000257F6">
            <w:pPr>
              <w:jc w:val="center"/>
            </w:pPr>
            <w:r w:rsidRPr="000257F6">
              <w:t>34860-M</w:t>
            </w:r>
          </w:p>
        </w:tc>
      </w:tr>
      <w:tr w:rsidR="000257F6" w:rsidRPr="000257F6" w:rsidTr="000257F6">
        <w:trPr>
          <w:trHeight w:val="300"/>
        </w:trPr>
        <w:tc>
          <w:tcPr>
            <w:tcW w:w="8380" w:type="dxa"/>
            <w:noWrap/>
            <w:hideMark/>
          </w:tcPr>
          <w:p w:rsidR="000257F6" w:rsidRPr="000257F6" w:rsidRDefault="000257F6">
            <w:pPr>
              <w:rPr>
                <w:lang w:val="de-DE"/>
              </w:rPr>
            </w:pPr>
            <w:r w:rsidRPr="000257F6">
              <w:rPr>
                <w:lang w:val="de-DE"/>
              </w:rPr>
              <w:t>Methyl oleate 99</w:t>
            </w:r>
            <w:r w:rsidR="00ED6949">
              <w:rPr>
                <w:lang w:val="de-DE"/>
              </w:rPr>
              <w:t xml:space="preserve"> </w:t>
            </w:r>
            <w:r w:rsidR="00783735">
              <w:rPr>
                <w:lang w:val="de-DE"/>
              </w:rPr>
              <w:t>% (Merck</w:t>
            </w:r>
            <w:r w:rsidRPr="000257F6">
              <w:rPr>
                <w:lang w:val="de-DE"/>
              </w:rPr>
              <w:t>, USA, 122-62-9)</w:t>
            </w:r>
          </w:p>
        </w:tc>
        <w:tc>
          <w:tcPr>
            <w:tcW w:w="5840" w:type="dxa"/>
            <w:noWrap/>
            <w:hideMark/>
          </w:tcPr>
          <w:p w:rsidR="000257F6" w:rsidRPr="000257F6" w:rsidRDefault="000257F6" w:rsidP="000257F6">
            <w:pPr>
              <w:jc w:val="center"/>
            </w:pPr>
            <w:r w:rsidRPr="000257F6">
              <w:t>311111</w:t>
            </w:r>
          </w:p>
        </w:tc>
      </w:tr>
      <w:tr w:rsidR="000257F6" w:rsidRPr="000257F6" w:rsidTr="000257F6">
        <w:trPr>
          <w:trHeight w:val="300"/>
        </w:trPr>
        <w:tc>
          <w:tcPr>
            <w:tcW w:w="8380" w:type="dxa"/>
            <w:noWrap/>
            <w:hideMark/>
          </w:tcPr>
          <w:p w:rsidR="000257F6" w:rsidRPr="000257F6" w:rsidRDefault="000257F6">
            <w:r w:rsidRPr="000257F6">
              <w:t xml:space="preserve">MilliQ water </w:t>
            </w:r>
          </w:p>
        </w:tc>
        <w:tc>
          <w:tcPr>
            <w:tcW w:w="5840" w:type="dxa"/>
            <w:noWrap/>
            <w:hideMark/>
          </w:tcPr>
          <w:p w:rsidR="000257F6" w:rsidRPr="000257F6" w:rsidRDefault="000257F6" w:rsidP="000257F6">
            <w:pPr>
              <w:jc w:val="center"/>
            </w:pPr>
          </w:p>
        </w:tc>
      </w:tr>
      <w:tr w:rsidR="000257F6" w:rsidRPr="000257F6" w:rsidTr="000257F6">
        <w:trPr>
          <w:trHeight w:val="300"/>
        </w:trPr>
        <w:tc>
          <w:tcPr>
            <w:tcW w:w="8380" w:type="dxa"/>
            <w:noWrap/>
            <w:hideMark/>
          </w:tcPr>
          <w:p w:rsidR="000257F6" w:rsidRPr="000257F6" w:rsidRDefault="000257F6">
            <w:r w:rsidRPr="000257F6">
              <w:lastRenderedPageBreak/>
              <w:t>N,O-Bis(trimethylsilyl)trifluoroacetamide ≥99.9</w:t>
            </w:r>
            <w:r w:rsidR="00ED6949">
              <w:t xml:space="preserve"> </w:t>
            </w:r>
            <w:r w:rsidR="00783735">
              <w:t>% (Merck</w:t>
            </w:r>
            <w:r w:rsidRPr="000257F6">
              <w:t>, 25561-30-2)</w:t>
            </w:r>
          </w:p>
        </w:tc>
        <w:tc>
          <w:tcPr>
            <w:tcW w:w="5840" w:type="dxa"/>
            <w:noWrap/>
            <w:hideMark/>
          </w:tcPr>
          <w:p w:rsidR="000257F6" w:rsidRPr="000257F6" w:rsidRDefault="000257F6" w:rsidP="000257F6">
            <w:pPr>
              <w:jc w:val="center"/>
            </w:pPr>
            <w:r w:rsidRPr="000257F6">
              <w:t>15222</w:t>
            </w:r>
          </w:p>
        </w:tc>
      </w:tr>
      <w:tr w:rsidR="000257F6" w:rsidRPr="000257F6" w:rsidTr="000257F6">
        <w:trPr>
          <w:trHeight w:val="300"/>
        </w:trPr>
        <w:tc>
          <w:tcPr>
            <w:tcW w:w="8380" w:type="dxa"/>
            <w:noWrap/>
            <w:hideMark/>
          </w:tcPr>
          <w:p w:rsidR="000257F6" w:rsidRPr="000257F6" w:rsidRDefault="000257F6">
            <w:r w:rsidRPr="000257F6">
              <w:t>OpenLABS CDS 2.2 (software)</w:t>
            </w:r>
          </w:p>
        </w:tc>
        <w:tc>
          <w:tcPr>
            <w:tcW w:w="5840" w:type="dxa"/>
            <w:noWrap/>
            <w:hideMark/>
          </w:tcPr>
          <w:p w:rsidR="000257F6" w:rsidRPr="000257F6" w:rsidRDefault="000257F6" w:rsidP="000257F6">
            <w:pPr>
              <w:jc w:val="center"/>
            </w:pPr>
          </w:p>
        </w:tc>
      </w:tr>
      <w:tr w:rsidR="000257F6" w:rsidRPr="000257F6" w:rsidTr="000257F6">
        <w:trPr>
          <w:trHeight w:val="300"/>
        </w:trPr>
        <w:tc>
          <w:tcPr>
            <w:tcW w:w="8380" w:type="dxa"/>
            <w:noWrap/>
            <w:hideMark/>
          </w:tcPr>
          <w:p w:rsidR="000257F6" w:rsidRPr="000257F6" w:rsidRDefault="000257F6">
            <w:r w:rsidRPr="000257F6">
              <w:t>Poroshell 120 EC-C18 50 x 2.1 mm i.d. 2.7 µm</w:t>
            </w:r>
          </w:p>
        </w:tc>
        <w:tc>
          <w:tcPr>
            <w:tcW w:w="5840" w:type="dxa"/>
            <w:noWrap/>
            <w:hideMark/>
          </w:tcPr>
          <w:p w:rsidR="000257F6" w:rsidRPr="000257F6" w:rsidRDefault="000257F6" w:rsidP="000257F6">
            <w:pPr>
              <w:jc w:val="center"/>
            </w:pPr>
            <w:r w:rsidRPr="000257F6">
              <w:t>699775-902</w:t>
            </w:r>
          </w:p>
        </w:tc>
      </w:tr>
      <w:tr w:rsidR="000257F6" w:rsidRPr="000257F6" w:rsidTr="000257F6">
        <w:trPr>
          <w:trHeight w:val="300"/>
        </w:trPr>
        <w:tc>
          <w:tcPr>
            <w:tcW w:w="8380" w:type="dxa"/>
            <w:noWrap/>
            <w:hideMark/>
          </w:tcPr>
          <w:p w:rsidR="000257F6" w:rsidRPr="000257F6" w:rsidRDefault="000257F6">
            <w:r w:rsidRPr="000257F6">
              <w:t>QuEchERS dSPE EMR-Lipid</w:t>
            </w:r>
          </w:p>
        </w:tc>
        <w:tc>
          <w:tcPr>
            <w:tcW w:w="5840" w:type="dxa"/>
            <w:noWrap/>
            <w:hideMark/>
          </w:tcPr>
          <w:p w:rsidR="000257F6" w:rsidRPr="000257F6" w:rsidRDefault="000257F6" w:rsidP="000257F6">
            <w:pPr>
              <w:jc w:val="center"/>
            </w:pPr>
            <w:r w:rsidRPr="000257F6">
              <w:t>5982-1010</w:t>
            </w:r>
          </w:p>
        </w:tc>
      </w:tr>
      <w:tr w:rsidR="000257F6" w:rsidRPr="000257F6" w:rsidTr="000257F6">
        <w:trPr>
          <w:trHeight w:val="300"/>
        </w:trPr>
        <w:tc>
          <w:tcPr>
            <w:tcW w:w="8380" w:type="dxa"/>
            <w:noWrap/>
            <w:hideMark/>
          </w:tcPr>
          <w:p w:rsidR="000257F6" w:rsidRPr="000257F6" w:rsidRDefault="000257F6">
            <w:r w:rsidRPr="000257F6">
              <w:t>QuEChERS Extract tubes, EN method</w:t>
            </w:r>
          </w:p>
        </w:tc>
        <w:tc>
          <w:tcPr>
            <w:tcW w:w="5840" w:type="dxa"/>
            <w:noWrap/>
            <w:hideMark/>
          </w:tcPr>
          <w:p w:rsidR="000257F6" w:rsidRPr="000257F6" w:rsidRDefault="000257F6" w:rsidP="000257F6">
            <w:pPr>
              <w:jc w:val="center"/>
            </w:pPr>
            <w:r w:rsidRPr="000257F6">
              <w:t>5982-5650</w:t>
            </w:r>
          </w:p>
        </w:tc>
      </w:tr>
      <w:tr w:rsidR="000257F6" w:rsidRPr="000257F6" w:rsidTr="000257F6">
        <w:trPr>
          <w:trHeight w:val="300"/>
        </w:trPr>
        <w:tc>
          <w:tcPr>
            <w:tcW w:w="8380" w:type="dxa"/>
            <w:noWrap/>
            <w:hideMark/>
          </w:tcPr>
          <w:p w:rsidR="000257F6" w:rsidRPr="000257F6" w:rsidRDefault="000257F6">
            <w:r w:rsidRPr="000257F6">
              <w:t>Toluene ≥99.3</w:t>
            </w:r>
            <w:r w:rsidR="00ED6949">
              <w:t xml:space="preserve"> </w:t>
            </w:r>
            <w:r w:rsidRPr="000257F6">
              <w:t>% (Honeywell, Germany, 108-88-3)</w:t>
            </w:r>
          </w:p>
        </w:tc>
        <w:tc>
          <w:tcPr>
            <w:tcW w:w="5840" w:type="dxa"/>
            <w:noWrap/>
            <w:hideMark/>
          </w:tcPr>
          <w:p w:rsidR="000257F6" w:rsidRPr="000257F6" w:rsidRDefault="000257F6" w:rsidP="000257F6">
            <w:pPr>
              <w:jc w:val="center"/>
            </w:pPr>
            <w:r w:rsidRPr="000257F6">
              <w:t>179965-2.5L</w:t>
            </w:r>
          </w:p>
        </w:tc>
      </w:tr>
      <w:tr w:rsidR="000257F6" w:rsidRPr="000257F6" w:rsidTr="000257F6">
        <w:trPr>
          <w:trHeight w:val="300"/>
        </w:trPr>
        <w:tc>
          <w:tcPr>
            <w:tcW w:w="8380" w:type="dxa"/>
            <w:noWrap/>
            <w:hideMark/>
          </w:tcPr>
          <w:p w:rsidR="000257F6" w:rsidRPr="000257F6" w:rsidRDefault="000257F6">
            <w:r w:rsidRPr="000257F6">
              <w:t xml:space="preserve">Torque driver, preset to 1,2 NM </w:t>
            </w:r>
          </w:p>
        </w:tc>
        <w:tc>
          <w:tcPr>
            <w:tcW w:w="5840" w:type="dxa"/>
            <w:noWrap/>
            <w:hideMark/>
          </w:tcPr>
          <w:p w:rsidR="000257F6" w:rsidRPr="000257F6" w:rsidRDefault="000257F6" w:rsidP="000257F6">
            <w:pPr>
              <w:jc w:val="center"/>
            </w:pPr>
            <w:r w:rsidRPr="000257F6">
              <w:t>8710-2790</w:t>
            </w:r>
          </w:p>
        </w:tc>
      </w:tr>
      <w:tr w:rsidR="000257F6" w:rsidRPr="000257F6" w:rsidTr="000257F6">
        <w:trPr>
          <w:trHeight w:val="300"/>
        </w:trPr>
        <w:tc>
          <w:tcPr>
            <w:tcW w:w="8380" w:type="dxa"/>
            <w:noWrap/>
            <w:hideMark/>
          </w:tcPr>
          <w:p w:rsidR="000257F6" w:rsidRPr="000257F6" w:rsidRDefault="000257F6">
            <w:r w:rsidRPr="000257F6">
              <w:t xml:space="preserve">Ultra Inert Gold Inlet Seal w/washer </w:t>
            </w:r>
          </w:p>
        </w:tc>
        <w:tc>
          <w:tcPr>
            <w:tcW w:w="5840" w:type="dxa"/>
            <w:noWrap/>
            <w:hideMark/>
          </w:tcPr>
          <w:p w:rsidR="000257F6" w:rsidRPr="000257F6" w:rsidRDefault="000257F6" w:rsidP="000257F6">
            <w:pPr>
              <w:jc w:val="center"/>
            </w:pPr>
            <w:r w:rsidRPr="000257F6">
              <w:t>5190-6145</w:t>
            </w:r>
          </w:p>
        </w:tc>
      </w:tr>
      <w:tr w:rsidR="000257F6" w:rsidRPr="000257F6" w:rsidTr="000257F6">
        <w:trPr>
          <w:trHeight w:val="300"/>
        </w:trPr>
        <w:tc>
          <w:tcPr>
            <w:tcW w:w="8380" w:type="dxa"/>
            <w:noWrap/>
            <w:hideMark/>
          </w:tcPr>
          <w:p w:rsidR="000257F6" w:rsidRPr="000257F6" w:rsidRDefault="000257F6">
            <w:r w:rsidRPr="000257F6">
              <w:t xml:space="preserve">Ultra Inert Liner Split, Straight, Wool </w:t>
            </w:r>
          </w:p>
        </w:tc>
        <w:tc>
          <w:tcPr>
            <w:tcW w:w="5840" w:type="dxa"/>
            <w:noWrap/>
            <w:hideMark/>
          </w:tcPr>
          <w:p w:rsidR="000257F6" w:rsidRPr="000257F6" w:rsidRDefault="000257F6" w:rsidP="000257F6">
            <w:pPr>
              <w:jc w:val="center"/>
            </w:pPr>
            <w:r w:rsidRPr="000257F6">
              <w:t>5190-2294</w:t>
            </w:r>
          </w:p>
        </w:tc>
      </w:tr>
      <w:tr w:rsidR="000257F6" w:rsidRPr="000257F6" w:rsidTr="000257F6">
        <w:trPr>
          <w:trHeight w:val="300"/>
        </w:trPr>
        <w:tc>
          <w:tcPr>
            <w:tcW w:w="8380" w:type="dxa"/>
            <w:noWrap/>
            <w:hideMark/>
          </w:tcPr>
          <w:p w:rsidR="000257F6" w:rsidRPr="000257F6" w:rsidRDefault="000257F6">
            <w:r w:rsidRPr="000257F6">
              <w:t>VF WAXms 30 m x 0.25 mm x 0.25 µm</w:t>
            </w:r>
          </w:p>
        </w:tc>
        <w:tc>
          <w:tcPr>
            <w:tcW w:w="5840" w:type="dxa"/>
            <w:noWrap/>
            <w:hideMark/>
          </w:tcPr>
          <w:p w:rsidR="000257F6" w:rsidRPr="000257F6" w:rsidRDefault="000257F6" w:rsidP="000257F6">
            <w:pPr>
              <w:jc w:val="center"/>
            </w:pPr>
            <w:r w:rsidRPr="000257F6">
              <w:t>CP9205</w:t>
            </w:r>
          </w:p>
        </w:tc>
      </w:tr>
      <w:tr w:rsidR="000257F6" w:rsidRPr="000257F6" w:rsidTr="000257F6">
        <w:trPr>
          <w:trHeight w:val="300"/>
        </w:trPr>
        <w:tc>
          <w:tcPr>
            <w:tcW w:w="8380" w:type="dxa"/>
            <w:noWrap/>
            <w:hideMark/>
          </w:tcPr>
          <w:p w:rsidR="000257F6" w:rsidRPr="000257F6" w:rsidRDefault="000257F6">
            <w:r>
              <w:t>Vial</w:t>
            </w:r>
            <w:r w:rsidR="003E711F">
              <w:t>, screw, 2 mL</w:t>
            </w:r>
            <w:r w:rsidRPr="000257F6">
              <w:t>, clr, cert</w:t>
            </w:r>
          </w:p>
        </w:tc>
        <w:tc>
          <w:tcPr>
            <w:tcW w:w="5840" w:type="dxa"/>
            <w:noWrap/>
            <w:hideMark/>
          </w:tcPr>
          <w:p w:rsidR="000257F6" w:rsidRPr="000257F6" w:rsidRDefault="000257F6" w:rsidP="000257F6">
            <w:pPr>
              <w:jc w:val="center"/>
            </w:pPr>
            <w:r w:rsidRPr="000257F6">
              <w:t>5182-0714</w:t>
            </w:r>
          </w:p>
        </w:tc>
      </w:tr>
      <w:tr w:rsidR="000257F6" w:rsidRPr="000257F6" w:rsidTr="000257F6">
        <w:trPr>
          <w:trHeight w:val="300"/>
        </w:trPr>
        <w:tc>
          <w:tcPr>
            <w:tcW w:w="8380" w:type="dxa"/>
            <w:noWrap/>
            <w:hideMark/>
          </w:tcPr>
          <w:p w:rsidR="000257F6" w:rsidRPr="000257F6" w:rsidRDefault="000257F6">
            <w:r w:rsidRPr="000257F6">
              <w:t xml:space="preserve">Vial insert, 250 µl pulled point glass </w:t>
            </w:r>
          </w:p>
        </w:tc>
        <w:tc>
          <w:tcPr>
            <w:tcW w:w="5840" w:type="dxa"/>
            <w:noWrap/>
            <w:hideMark/>
          </w:tcPr>
          <w:p w:rsidR="000257F6" w:rsidRPr="000257F6" w:rsidRDefault="000257F6" w:rsidP="000257F6">
            <w:pPr>
              <w:jc w:val="center"/>
            </w:pPr>
            <w:r w:rsidRPr="000257F6">
              <w:t>5183-2085</w:t>
            </w:r>
          </w:p>
        </w:tc>
      </w:tr>
      <w:tr w:rsidR="000257F6" w:rsidRPr="000257F6" w:rsidTr="000257F6">
        <w:trPr>
          <w:trHeight w:val="300"/>
        </w:trPr>
        <w:tc>
          <w:tcPr>
            <w:tcW w:w="8380" w:type="dxa"/>
            <w:noWrap/>
            <w:hideMark/>
          </w:tcPr>
          <w:p w:rsidR="000257F6" w:rsidRPr="000257F6" w:rsidRDefault="000257F6">
            <w:r w:rsidRPr="000257F6">
              <w:t>Vial, screw top, headspace, clear, 20 mL, 23 x 75 mm</w:t>
            </w:r>
          </w:p>
        </w:tc>
        <w:tc>
          <w:tcPr>
            <w:tcW w:w="5840" w:type="dxa"/>
            <w:noWrap/>
            <w:hideMark/>
          </w:tcPr>
          <w:p w:rsidR="000257F6" w:rsidRPr="000257F6" w:rsidRDefault="000257F6" w:rsidP="000257F6">
            <w:pPr>
              <w:jc w:val="center"/>
            </w:pPr>
            <w:r w:rsidRPr="000257F6">
              <w:t>5188-2753</w:t>
            </w:r>
          </w:p>
        </w:tc>
      </w:tr>
      <w:tr w:rsidR="000257F6" w:rsidRPr="000257F6" w:rsidTr="000257F6">
        <w:trPr>
          <w:trHeight w:val="300"/>
        </w:trPr>
        <w:tc>
          <w:tcPr>
            <w:tcW w:w="8380" w:type="dxa"/>
            <w:noWrap/>
            <w:hideMark/>
          </w:tcPr>
          <w:p w:rsidR="000257F6" w:rsidRPr="000257F6" w:rsidRDefault="000257F6">
            <w:r w:rsidRPr="000257F6">
              <w:t>Vials, screw cap</w:t>
            </w:r>
          </w:p>
        </w:tc>
        <w:tc>
          <w:tcPr>
            <w:tcW w:w="5840" w:type="dxa"/>
            <w:noWrap/>
            <w:hideMark/>
          </w:tcPr>
          <w:p w:rsidR="000257F6" w:rsidRPr="000257F6" w:rsidRDefault="000257F6" w:rsidP="000257F6">
            <w:pPr>
              <w:jc w:val="center"/>
            </w:pPr>
            <w:r w:rsidRPr="000257F6">
              <w:t>5182-0716</w:t>
            </w:r>
          </w:p>
        </w:tc>
      </w:tr>
      <w:tr w:rsidR="000257F6" w:rsidRPr="000257F6" w:rsidTr="000257F6">
        <w:trPr>
          <w:trHeight w:val="300"/>
        </w:trPr>
        <w:tc>
          <w:tcPr>
            <w:tcW w:w="8380" w:type="dxa"/>
            <w:noWrap/>
            <w:hideMark/>
          </w:tcPr>
          <w:p w:rsidR="000257F6" w:rsidRPr="000257F6" w:rsidRDefault="000257F6">
            <w:r w:rsidRPr="000257F6">
              <w:t>Volume</w:t>
            </w:r>
            <w:r w:rsidR="003E711F">
              <w:t>tric flasks Duran® 5, 10, 100 mL</w:t>
            </w:r>
          </w:p>
        </w:tc>
        <w:tc>
          <w:tcPr>
            <w:tcW w:w="5840" w:type="dxa"/>
            <w:noWrap/>
            <w:hideMark/>
          </w:tcPr>
          <w:p w:rsidR="000257F6" w:rsidRPr="000257F6" w:rsidRDefault="000257F6" w:rsidP="000257F6">
            <w:pPr>
              <w:jc w:val="center"/>
            </w:pPr>
          </w:p>
        </w:tc>
      </w:tr>
    </w:tbl>
    <w:p w:rsidR="001A1D91" w:rsidRDefault="001A1D91"/>
    <w:p w:rsidR="000257F6" w:rsidRDefault="000257F6"/>
    <w:p w:rsidR="000257F6" w:rsidRDefault="000257F6"/>
    <w:p w:rsidR="000257F6" w:rsidRDefault="000257F6"/>
    <w:p w:rsidR="000257F6" w:rsidRDefault="000257F6"/>
    <w:p w:rsidR="000257F6" w:rsidRDefault="000257F6"/>
    <w:p w:rsidR="000257F6" w:rsidRDefault="000257F6"/>
    <w:p w:rsidR="000257F6" w:rsidRDefault="000257F6"/>
    <w:p w:rsidR="000257F6" w:rsidRDefault="000257F6"/>
    <w:p w:rsidR="000257F6" w:rsidRDefault="000257F6"/>
    <w:p w:rsidR="000257F6" w:rsidRDefault="000257F6"/>
    <w:p w:rsidR="000257F6" w:rsidRDefault="000257F6"/>
    <w:p w:rsidR="000257F6" w:rsidRDefault="000257F6"/>
    <w:p w:rsidR="000257F6" w:rsidRDefault="000257F6"/>
    <w:p w:rsidR="000257F6" w:rsidRDefault="000257F6"/>
    <w:p w:rsidR="000257F6" w:rsidRDefault="000257F6"/>
    <w:p w:rsidR="000257F6" w:rsidRDefault="000257F6"/>
    <w:bookmarkStart w:id="54" w:name="_Toc515617219" w:displacedByCustomXml="next"/>
    <w:sdt>
      <w:sdtPr>
        <w:rPr>
          <w:rFonts w:asciiTheme="minorHAnsi" w:eastAsiaTheme="minorEastAsia" w:hAnsiTheme="minorHAnsi" w:cstheme="minorBidi"/>
          <w:color w:val="auto"/>
          <w:sz w:val="22"/>
          <w:szCs w:val="22"/>
          <w:lang w:eastAsia="zh-TW"/>
        </w:rPr>
        <w:id w:val="-1436509520"/>
        <w:docPartObj>
          <w:docPartGallery w:val="Bibliographies"/>
          <w:docPartUnique/>
        </w:docPartObj>
      </w:sdtPr>
      <w:sdtEndPr/>
      <w:sdtContent>
        <w:p w:rsidR="001524B7" w:rsidRDefault="001524B7" w:rsidP="00783735">
          <w:pPr>
            <w:pStyle w:val="Heading1"/>
            <w:numPr>
              <w:ilvl w:val="0"/>
              <w:numId w:val="0"/>
            </w:numPr>
            <w:ind w:left="426" w:hanging="426"/>
          </w:pPr>
          <w:r>
            <w:t>Bibliography</w:t>
          </w:r>
          <w:bookmarkEnd w:id="54"/>
        </w:p>
        <w:sdt>
          <w:sdtPr>
            <w:id w:val="111145805"/>
            <w:bibliography/>
          </w:sdtPr>
          <w:sdtEndPr/>
          <w:sdtContent>
            <w:p w:rsidR="00F1475E" w:rsidRDefault="001524B7" w:rsidP="00F1475E">
              <w:pPr>
                <w:pStyle w:val="Bibliography"/>
                <w:ind w:left="720" w:hanging="720"/>
                <w:rPr>
                  <w:noProof/>
                  <w:sz w:val="24"/>
                  <w:szCs w:val="24"/>
                </w:rPr>
              </w:pPr>
              <w:r>
                <w:fldChar w:fldCharType="begin"/>
              </w:r>
              <w:r>
                <w:instrText xml:space="preserve"> BIBLIOGRAPHY </w:instrText>
              </w:r>
              <w:r>
                <w:fldChar w:fldCharType="separate"/>
              </w:r>
              <w:r w:rsidR="00F1475E">
                <w:rPr>
                  <w:noProof/>
                </w:rPr>
                <w:t xml:space="preserve">Aszyk, J., Woźniak, M. K., Kubica, P., Kot-Wasik, A., Namieśnik, J., &amp; Wasik, A. (2017). </w:t>
              </w:r>
              <w:r w:rsidR="00F1475E">
                <w:rPr>
                  <w:i/>
                  <w:iCs/>
                  <w:noProof/>
                </w:rPr>
                <w:t>Comprehensive determination of flavouring addititives and nicotine in e-cigarette refill solutions. Part 2: Gas chromatorgaphy-mass spectrometry analysis.</w:t>
              </w:r>
              <w:r w:rsidR="00F1475E">
                <w:rPr>
                  <w:noProof/>
                </w:rPr>
                <w:t xml:space="preserve"> Gdańsk: Elsevier .</w:t>
              </w:r>
            </w:p>
            <w:p w:rsidR="00F1475E" w:rsidRDefault="00F1475E" w:rsidP="00F1475E">
              <w:pPr>
                <w:pStyle w:val="Bibliography"/>
                <w:ind w:left="720" w:hanging="720"/>
                <w:rPr>
                  <w:noProof/>
                </w:rPr>
              </w:pPr>
              <w:r>
                <w:rPr>
                  <w:noProof/>
                </w:rPr>
                <w:t xml:space="preserve">Belastingdienst. (n.d.). </w:t>
              </w:r>
              <w:r>
                <w:rPr>
                  <w:i/>
                  <w:iCs/>
                  <w:noProof/>
                </w:rPr>
                <w:t>Opium act (drugs)</w:t>
              </w:r>
              <w:r>
                <w:rPr>
                  <w:noProof/>
                </w:rPr>
                <w:t>. Retrieved from Belastingdienst: https://belastingdienst.nl/wps/wcm/connect/bldcontenten/belastingdienst/customs/safety_health_economy_and_environment/safety/opium_act_drugs/</w:t>
              </w:r>
            </w:p>
            <w:p w:rsidR="00F1475E" w:rsidRDefault="00F1475E" w:rsidP="00F1475E">
              <w:pPr>
                <w:pStyle w:val="Bibliography"/>
                <w:ind w:left="720" w:hanging="720"/>
                <w:rPr>
                  <w:noProof/>
                </w:rPr>
              </w:pPr>
              <w:r w:rsidRPr="00F1475E">
                <w:rPr>
                  <w:noProof/>
                  <w:lang w:val="fi-FI"/>
                </w:rPr>
                <w:t xml:space="preserve">Calvi, L., Pentimalli, D., Panseri, S., Giupponi, L., Gelmini, F., Beretta, G., . . . </w:t>
              </w:r>
              <w:r>
                <w:rPr>
                  <w:noProof/>
                </w:rPr>
                <w:t xml:space="preserve">Giorgi, A. (2018). </w:t>
              </w:r>
              <w:r>
                <w:rPr>
                  <w:i/>
                  <w:iCs/>
                  <w:noProof/>
                </w:rPr>
                <w:t>Comprehensive quality evaluation of medical Cannabis sativa L. inflorescence and macerated oils based on HS-SPME coupled to GC–MS and LC-HRMS (q-exactive orbitrap®) approach.</w:t>
              </w:r>
              <w:r>
                <w:rPr>
                  <w:noProof/>
                </w:rPr>
                <w:t xml:space="preserve"> Milan: Elsevier.</w:t>
              </w:r>
            </w:p>
            <w:p w:rsidR="00F1475E" w:rsidRDefault="00F1475E" w:rsidP="00F1475E">
              <w:pPr>
                <w:pStyle w:val="Bibliography"/>
                <w:ind w:left="720" w:hanging="720"/>
                <w:rPr>
                  <w:noProof/>
                </w:rPr>
              </w:pPr>
              <w:r>
                <w:rPr>
                  <w:noProof/>
                </w:rPr>
                <w:t xml:space="preserve">Cancer Research UK. (2017, September 22nd). </w:t>
              </w:r>
              <w:r>
                <w:rPr>
                  <w:i/>
                  <w:iCs/>
                  <w:noProof/>
                </w:rPr>
                <w:t>E-cigarette statement</w:t>
              </w:r>
              <w:r>
                <w:rPr>
                  <w:noProof/>
                </w:rPr>
                <w:t>. Retrieved from Cancer Research UK: http://www.cancerresearchuk.org/health-professional/learning-and-ways-we-can-support-you/cruk-rcgp-partnership/e-cigarette-statement</w:t>
              </w:r>
            </w:p>
            <w:p w:rsidR="00F1475E" w:rsidRDefault="00F1475E" w:rsidP="00F1475E">
              <w:pPr>
                <w:pStyle w:val="Bibliography"/>
                <w:ind w:left="720" w:hanging="720"/>
                <w:rPr>
                  <w:noProof/>
                </w:rPr>
              </w:pPr>
              <w:r>
                <w:rPr>
                  <w:noProof/>
                </w:rPr>
                <w:t xml:space="preserve">Cayman Chemical . (n.d.). </w:t>
              </w:r>
              <w:r>
                <w:rPr>
                  <w:i/>
                  <w:iCs/>
                  <w:noProof/>
                </w:rPr>
                <w:t>(−)-Caryophyllene oxide</w:t>
              </w:r>
              <w:r>
                <w:rPr>
                  <w:noProof/>
                </w:rPr>
                <w:t>. Retrieved from Cayman Chemical : https://www.caymanchem.com/product/21573</w:t>
              </w:r>
            </w:p>
            <w:p w:rsidR="00F1475E" w:rsidRDefault="00F1475E" w:rsidP="00F1475E">
              <w:pPr>
                <w:pStyle w:val="Bibliography"/>
                <w:ind w:left="720" w:hanging="720"/>
                <w:rPr>
                  <w:noProof/>
                </w:rPr>
              </w:pPr>
              <w:r>
                <w:rPr>
                  <w:noProof/>
                </w:rPr>
                <w:t xml:space="preserve">Chandra, S., Lata, H., &amp; ElSohly, M. A. (2017). </w:t>
              </w:r>
              <w:r>
                <w:rPr>
                  <w:i/>
                  <w:iCs/>
                  <w:noProof/>
                </w:rPr>
                <w:t>Cannabis sativa L. - Botany and Biotechnology.</w:t>
              </w:r>
              <w:r>
                <w:rPr>
                  <w:noProof/>
                </w:rPr>
                <w:t xml:space="preserve"> Springer.</w:t>
              </w:r>
            </w:p>
            <w:p w:rsidR="00F1475E" w:rsidRDefault="00F1475E" w:rsidP="00F1475E">
              <w:pPr>
                <w:pStyle w:val="Bibliography"/>
                <w:ind w:left="720" w:hanging="720"/>
                <w:rPr>
                  <w:noProof/>
                </w:rPr>
              </w:pPr>
              <w:r>
                <w:rPr>
                  <w:noProof/>
                </w:rPr>
                <w:t xml:space="preserve">Citti , C., Pacchetti, B., Vandelli, M. A., Forni, F., &amp; Cannazza, G. (2018). </w:t>
              </w:r>
              <w:r>
                <w:rPr>
                  <w:i/>
                  <w:iCs/>
                  <w:noProof/>
                </w:rPr>
                <w:t>Analysis of cannabinoids in commercial hemp seed oil and decarboxylation kinetics studies of cannabidiolic acid (CBDA).</w:t>
              </w:r>
              <w:r>
                <w:rPr>
                  <w:noProof/>
                </w:rPr>
                <w:t xml:space="preserve"> Elsevier.</w:t>
              </w:r>
            </w:p>
            <w:p w:rsidR="00F1475E" w:rsidRDefault="00F1475E" w:rsidP="00F1475E">
              <w:pPr>
                <w:pStyle w:val="Bibliography"/>
                <w:ind w:left="720" w:hanging="720"/>
                <w:rPr>
                  <w:noProof/>
                </w:rPr>
              </w:pPr>
              <w:r>
                <w:rPr>
                  <w:noProof/>
                </w:rPr>
                <w:t xml:space="preserve">Cohen, J. (2018, January 31st). </w:t>
              </w:r>
              <w:r>
                <w:rPr>
                  <w:i/>
                  <w:iCs/>
                  <w:noProof/>
                </w:rPr>
                <w:t>Top 24 Health Benefits + Effects of CBD Oil (Cannabidiol)</w:t>
              </w:r>
              <w:r>
                <w:rPr>
                  <w:noProof/>
                </w:rPr>
                <w:t>. Retrieved from Self hacked: https://www.selfhacked.com/blog/cannabidiol-cbd/</w:t>
              </w:r>
            </w:p>
            <w:p w:rsidR="00F1475E" w:rsidRDefault="00F1475E" w:rsidP="00F1475E">
              <w:pPr>
                <w:pStyle w:val="Bibliography"/>
                <w:ind w:left="720" w:hanging="720"/>
                <w:rPr>
                  <w:noProof/>
                </w:rPr>
              </w:pPr>
              <w:r>
                <w:rPr>
                  <w:noProof/>
                </w:rPr>
                <w:t xml:space="preserve">David, F., D'Haenens, B., &amp; Devos, C. (2018). </w:t>
              </w:r>
              <w:r>
                <w:rPr>
                  <w:i/>
                  <w:iCs/>
                  <w:noProof/>
                </w:rPr>
                <w:t>Determination of nicotine, propylene glycol and glycerol in e-liquids according to ISO/CD 20714 using Agilent Intuvo 9000 GC.</w:t>
              </w:r>
              <w:r>
                <w:rPr>
                  <w:noProof/>
                </w:rPr>
                <w:t xml:space="preserve"> Agilent Technologies. Retrieved from https://www.agilent.com/cs/library/applications/5991-8990EN_Vape_AppNote.pdf</w:t>
              </w:r>
            </w:p>
            <w:p w:rsidR="00F1475E" w:rsidRDefault="00F1475E" w:rsidP="00F1475E">
              <w:pPr>
                <w:pStyle w:val="Bibliography"/>
                <w:ind w:left="720" w:hanging="720"/>
                <w:rPr>
                  <w:noProof/>
                </w:rPr>
              </w:pPr>
              <w:r>
                <w:rPr>
                  <w:noProof/>
                </w:rPr>
                <w:t xml:space="preserve">Di Marzo, V. (2004). </w:t>
              </w:r>
              <w:r>
                <w:rPr>
                  <w:i/>
                  <w:iCs/>
                  <w:noProof/>
                </w:rPr>
                <w:t>Cannabinoids.</w:t>
              </w:r>
              <w:r>
                <w:rPr>
                  <w:noProof/>
                </w:rPr>
                <w:t xml:space="preserve"> New York: Kluwer Academic.</w:t>
              </w:r>
            </w:p>
            <w:p w:rsidR="00F1475E" w:rsidRDefault="00F1475E" w:rsidP="00F1475E">
              <w:pPr>
                <w:pStyle w:val="Bibliography"/>
                <w:ind w:left="720" w:hanging="720"/>
                <w:rPr>
                  <w:noProof/>
                </w:rPr>
              </w:pPr>
              <w:r>
                <w:rPr>
                  <w:noProof/>
                </w:rPr>
                <w:t xml:space="preserve">Etter , J.-F., &amp; Bugey, A. (2016). </w:t>
              </w:r>
              <w:r>
                <w:rPr>
                  <w:i/>
                  <w:iCs/>
                  <w:noProof/>
                </w:rPr>
                <w:t>E-cigarette liquids: Constancy of content across batches and accuracy of labeling .</w:t>
              </w:r>
              <w:r>
                <w:rPr>
                  <w:noProof/>
                </w:rPr>
                <w:t xml:space="preserve"> Geneva: Elsevier.</w:t>
              </w:r>
            </w:p>
            <w:p w:rsidR="00F1475E" w:rsidRDefault="00F1475E" w:rsidP="00F1475E">
              <w:pPr>
                <w:pStyle w:val="Bibliography"/>
                <w:ind w:left="720" w:hanging="720"/>
                <w:rPr>
                  <w:noProof/>
                </w:rPr>
              </w:pPr>
              <w:r>
                <w:rPr>
                  <w:noProof/>
                </w:rPr>
                <w:t xml:space="preserve">European Comission. (2016). </w:t>
              </w:r>
              <w:r>
                <w:rPr>
                  <w:i/>
                  <w:iCs/>
                  <w:noProof/>
                </w:rPr>
                <w:t>Study on the identification of potential risks to public health associated with the use of refillable electronic cigarettes and development of technical specifications for refill mechanisms.</w:t>
              </w:r>
              <w:r>
                <w:rPr>
                  <w:noProof/>
                </w:rPr>
                <w:t xml:space="preserve"> Health and Food Safety . European Comission . Retrieved from https://ec.europa.eu/health//sites/health/files/tobacco/docs/potentialrisks_specs_refillableecigarettes.pdf</w:t>
              </w:r>
            </w:p>
            <w:p w:rsidR="00F1475E" w:rsidRDefault="00F1475E" w:rsidP="00F1475E">
              <w:pPr>
                <w:pStyle w:val="Bibliography"/>
                <w:ind w:left="720" w:hanging="720"/>
                <w:rPr>
                  <w:noProof/>
                </w:rPr>
              </w:pPr>
              <w:r>
                <w:rPr>
                  <w:noProof/>
                </w:rPr>
                <w:lastRenderedPageBreak/>
                <w:t xml:space="preserve">European Commission. (2014, February 26th). </w:t>
              </w:r>
              <w:r>
                <w:rPr>
                  <w:i/>
                  <w:iCs/>
                  <w:noProof/>
                </w:rPr>
                <w:t>Questions &amp; Answers: New rules for tobacco products</w:t>
              </w:r>
              <w:r>
                <w:rPr>
                  <w:noProof/>
                </w:rPr>
                <w:t>. Retrieved from European Comission Press Release Database: http://europa.eu/rapid/press-release_MEMO-14-134_en.htm</w:t>
              </w:r>
            </w:p>
            <w:p w:rsidR="00F1475E" w:rsidRDefault="00F1475E" w:rsidP="00F1475E">
              <w:pPr>
                <w:pStyle w:val="Bibliography"/>
                <w:ind w:left="720" w:hanging="720"/>
                <w:rPr>
                  <w:noProof/>
                </w:rPr>
              </w:pPr>
              <w:r>
                <w:rPr>
                  <w:noProof/>
                </w:rPr>
                <w:t xml:space="preserve">Farsalinos, K. E., Spyrou, A., Tsimopoulou, K., Stefopoulos, C., Romanga, G., &amp; Voudris, V. (2014). </w:t>
              </w:r>
              <w:r>
                <w:rPr>
                  <w:i/>
                  <w:iCs/>
                  <w:noProof/>
                </w:rPr>
                <w:t>Nicotine absorption from electronic cigarette use: comparison between first and new-generation devices.</w:t>
              </w:r>
              <w:r>
                <w:rPr>
                  <w:noProof/>
                </w:rPr>
                <w:t xml:space="preserve"> PMC. doi:10.1038/srep04133</w:t>
              </w:r>
            </w:p>
            <w:p w:rsidR="00F1475E" w:rsidRDefault="00F1475E" w:rsidP="00F1475E">
              <w:pPr>
                <w:pStyle w:val="Bibliography"/>
                <w:ind w:left="720" w:hanging="720"/>
                <w:rPr>
                  <w:noProof/>
                </w:rPr>
              </w:pPr>
              <w:r>
                <w:rPr>
                  <w:noProof/>
                </w:rPr>
                <w:t xml:space="preserve">FDA. (2016, May 10th). </w:t>
              </w:r>
              <w:r>
                <w:rPr>
                  <w:i/>
                  <w:iCs/>
                  <w:noProof/>
                </w:rPr>
                <w:t>Deeming Tobacco Products To Be Subject to the Federal Food, Drug, and Cosmetic Act, as Amended by the Family Smoking Prevention and Tobacco Control Act; Restrictions on the Sale and Distribution of Tobacco Products and Required Warning Statements for Toba</w:t>
              </w:r>
              <w:r>
                <w:rPr>
                  <w:noProof/>
                </w:rPr>
                <w:t>. Retrieved from Federal Register The Daily Journal of the United States Government : https://www.federalregister.gov/documents/2016/05/10/2016-10685/deeming-tobacco-products-to-be-subject-to-the-federal-food-drug-and-cosmetic-act-as-amended-by-the</w:t>
              </w:r>
            </w:p>
            <w:p w:rsidR="00F1475E" w:rsidRDefault="00F1475E" w:rsidP="00F1475E">
              <w:pPr>
                <w:pStyle w:val="Bibliography"/>
                <w:ind w:left="720" w:hanging="720"/>
                <w:rPr>
                  <w:noProof/>
                </w:rPr>
              </w:pPr>
              <w:r>
                <w:rPr>
                  <w:noProof/>
                </w:rPr>
                <w:t xml:space="preserve">FDA. (2017, December 27th). </w:t>
              </w:r>
              <w:r>
                <w:rPr>
                  <w:i/>
                  <w:iCs/>
                  <w:noProof/>
                </w:rPr>
                <w:t>FDA's New Regulations for E-Cigarettes, Cigars, and All Other Tobacco Products</w:t>
              </w:r>
              <w:r>
                <w:rPr>
                  <w:noProof/>
                </w:rPr>
                <w:t>. Retrieved from U.S. Food &amp; Drug Administration : https://www.fda.gov/tobaccoproducts/labeling/rulesregulationsguidance/ucm394909.htm</w:t>
              </w:r>
            </w:p>
            <w:p w:rsidR="00F1475E" w:rsidRDefault="00F1475E" w:rsidP="00F1475E">
              <w:pPr>
                <w:pStyle w:val="Bibliography"/>
                <w:ind w:left="720" w:hanging="720"/>
                <w:rPr>
                  <w:noProof/>
                </w:rPr>
              </w:pPr>
              <w:r>
                <w:rPr>
                  <w:noProof/>
                </w:rPr>
                <w:t xml:space="preserve">Franciosi, A. (2017, February 27th). </w:t>
              </w:r>
              <w:r>
                <w:rPr>
                  <w:i/>
                  <w:iCs/>
                  <w:noProof/>
                </w:rPr>
                <w:t>Top 11 Cannabinoids And What They Do</w:t>
              </w:r>
              <w:r>
                <w:rPr>
                  <w:noProof/>
                </w:rPr>
                <w:t>. Retrieved from Honest Marijuana: https://honestmarijuana.com/cannabinoids/</w:t>
              </w:r>
            </w:p>
            <w:p w:rsidR="00F1475E" w:rsidRDefault="00F1475E" w:rsidP="00F1475E">
              <w:pPr>
                <w:pStyle w:val="Bibliography"/>
                <w:ind w:left="720" w:hanging="720"/>
                <w:rPr>
                  <w:noProof/>
                </w:rPr>
              </w:pPr>
              <w:r>
                <w:rPr>
                  <w:noProof/>
                </w:rPr>
                <w:t xml:space="preserve">Giroud, C., de Cesare, M., Berthet, A., Varlet, V., Concha-Lozano, N., &amp; Favrat, B. (2015). </w:t>
              </w:r>
              <w:r>
                <w:rPr>
                  <w:i/>
                  <w:iCs/>
                  <w:noProof/>
                </w:rPr>
                <w:t>E-Cigarettes: A Review of New Trends in Cannabis Use.</w:t>
              </w:r>
              <w:r>
                <w:rPr>
                  <w:noProof/>
                </w:rPr>
                <w:t xml:space="preserve"> International Journal of Environmental Research and Public Health. doi:10.3390/ijerph120809988 </w:t>
              </w:r>
            </w:p>
            <w:p w:rsidR="00F1475E" w:rsidRDefault="00F1475E" w:rsidP="00F1475E">
              <w:pPr>
                <w:pStyle w:val="Bibliography"/>
                <w:ind w:left="720" w:hanging="720"/>
                <w:rPr>
                  <w:noProof/>
                </w:rPr>
              </w:pPr>
              <w:r>
                <w:rPr>
                  <w:noProof/>
                </w:rPr>
                <w:t xml:space="preserve">Herrington, J. S., Myers, C., &amp; Rigdon, A. (n.d.). </w:t>
              </w:r>
              <w:r>
                <w:rPr>
                  <w:i/>
                  <w:iCs/>
                  <w:noProof/>
                </w:rPr>
                <w:t>Analysis of Nicotine and Impurities in Electronic Cigarette Solutions and Vapor.</w:t>
              </w:r>
              <w:r>
                <w:rPr>
                  <w:noProof/>
                </w:rPr>
                <w:t xml:space="preserve"> Restek .</w:t>
              </w:r>
            </w:p>
            <w:p w:rsidR="00F1475E" w:rsidRDefault="00F1475E" w:rsidP="00F1475E">
              <w:pPr>
                <w:pStyle w:val="Bibliography"/>
                <w:ind w:left="720" w:hanging="720"/>
                <w:rPr>
                  <w:noProof/>
                </w:rPr>
              </w:pPr>
              <w:r>
                <w:rPr>
                  <w:noProof/>
                </w:rPr>
                <w:t xml:space="preserve">ISO. (n.d.). </w:t>
              </w:r>
              <w:r>
                <w:rPr>
                  <w:i/>
                  <w:iCs/>
                  <w:noProof/>
                </w:rPr>
                <w:t>E-liquid -- Determination of nicotine, propylene glycol and glycerol in liquids used in electronic nicotine delivery devices -- Gas chromatographic method</w:t>
              </w:r>
              <w:r>
                <w:rPr>
                  <w:noProof/>
                </w:rPr>
                <w:t>. Retrieved from International Organization for Standardization : https://www.iso.org/standard/68905.html</w:t>
              </w:r>
            </w:p>
            <w:p w:rsidR="00F1475E" w:rsidRDefault="00F1475E" w:rsidP="00F1475E">
              <w:pPr>
                <w:pStyle w:val="Bibliography"/>
                <w:ind w:left="720" w:hanging="720"/>
                <w:rPr>
                  <w:noProof/>
                </w:rPr>
              </w:pPr>
              <w:r>
                <w:rPr>
                  <w:noProof/>
                </w:rPr>
                <w:t xml:space="preserve">Izzo, A. A., Borrelli, F., Capasso, R., Di Marzo, V., &amp; Mechoulam, R. (2009). </w:t>
              </w:r>
              <w:r>
                <w:rPr>
                  <w:i/>
                  <w:iCs/>
                  <w:noProof/>
                </w:rPr>
                <w:t>Non-psychotropic plant cannabinoids: new therapeutic opportunities from an ancient herb.</w:t>
              </w:r>
              <w:r>
                <w:rPr>
                  <w:noProof/>
                </w:rPr>
                <w:t xml:space="preserve"> Elsevier Ltd. .</w:t>
              </w:r>
            </w:p>
            <w:p w:rsidR="00F1475E" w:rsidRDefault="00F1475E" w:rsidP="00F1475E">
              <w:pPr>
                <w:pStyle w:val="Bibliography"/>
                <w:ind w:left="720" w:hanging="720"/>
                <w:rPr>
                  <w:noProof/>
                </w:rPr>
              </w:pPr>
              <w:r>
                <w:rPr>
                  <w:noProof/>
                </w:rPr>
                <w:t xml:space="preserve">Janatová, A., Fraňková, A., Tlustoš, P., Hamouz, K., Božik, M., &amp; Klouček, P. (2017). </w:t>
              </w:r>
              <w:r>
                <w:rPr>
                  <w:i/>
                  <w:iCs/>
                  <w:noProof/>
                </w:rPr>
                <w:t>Yield and cannabinoids contents in different cannabis (Cannabis sativa L.) genotypes for medical use.</w:t>
              </w:r>
              <w:r>
                <w:rPr>
                  <w:noProof/>
                </w:rPr>
                <w:t xml:space="preserve"> Prague: Elsevier .</w:t>
              </w:r>
            </w:p>
            <w:p w:rsidR="00F1475E" w:rsidRDefault="00F1475E" w:rsidP="00F1475E">
              <w:pPr>
                <w:pStyle w:val="Bibliography"/>
                <w:ind w:left="720" w:hanging="720"/>
                <w:rPr>
                  <w:noProof/>
                </w:rPr>
              </w:pPr>
              <w:r>
                <w:rPr>
                  <w:noProof/>
                </w:rPr>
                <w:t xml:space="preserve">Kulomaa, V. M. (2018). </w:t>
              </w:r>
              <w:r>
                <w:rPr>
                  <w:i/>
                  <w:iCs/>
                  <w:noProof/>
                </w:rPr>
                <w:t>Transfer and optimization of USP 467 residual solvents method from 7890A GC to Intuvo 9000 GC.</w:t>
              </w:r>
              <w:r>
                <w:rPr>
                  <w:noProof/>
                </w:rPr>
                <w:t xml:space="preserve"> Vlissingen .</w:t>
              </w:r>
            </w:p>
            <w:p w:rsidR="00F1475E" w:rsidRDefault="00F1475E" w:rsidP="00F1475E">
              <w:pPr>
                <w:pStyle w:val="Bibliography"/>
                <w:ind w:left="720" w:hanging="720"/>
                <w:rPr>
                  <w:noProof/>
                </w:rPr>
              </w:pPr>
              <w:r>
                <w:rPr>
                  <w:noProof/>
                </w:rPr>
                <w:t xml:space="preserve">Lakhani, N., Sarkar, M., Venitz, J., &amp; Figg, W. (2003). </w:t>
              </w:r>
              <w:r>
                <w:rPr>
                  <w:i/>
                  <w:iCs/>
                  <w:noProof/>
                </w:rPr>
                <w:t>2-Methoxyestradiol, a promising anticancer agent.</w:t>
              </w:r>
              <w:r>
                <w:rPr>
                  <w:noProof/>
                </w:rPr>
                <w:t xml:space="preserve"> Maryland : PubMed.</w:t>
              </w:r>
            </w:p>
            <w:p w:rsidR="00F1475E" w:rsidRDefault="00F1475E" w:rsidP="00F1475E">
              <w:pPr>
                <w:pStyle w:val="Bibliography"/>
                <w:ind w:left="720" w:hanging="720"/>
                <w:rPr>
                  <w:noProof/>
                </w:rPr>
              </w:pPr>
              <w:r>
                <w:rPr>
                  <w:noProof/>
                </w:rPr>
                <w:lastRenderedPageBreak/>
                <w:t xml:space="preserve">Lefever,, T. W., Lee, Y. O., Kovach, A. L., Silinski, M. A., Marusich, J. A., Thomas, B. F., &amp; Wiley, J. L. (2016). </w:t>
              </w:r>
              <w:r>
                <w:rPr>
                  <w:i/>
                  <w:iCs/>
                  <w:noProof/>
                </w:rPr>
                <w:t>Delivery of nicotine aerosol to mice via a modified electronic cigarette.</w:t>
              </w:r>
              <w:r>
                <w:rPr>
                  <w:noProof/>
                </w:rPr>
                <w:t xml:space="preserve"> Durham: Elsevier.</w:t>
              </w:r>
            </w:p>
            <w:p w:rsidR="00F1475E" w:rsidRDefault="00F1475E" w:rsidP="00F1475E">
              <w:pPr>
                <w:pStyle w:val="Bibliography"/>
                <w:ind w:left="720" w:hanging="720"/>
                <w:rPr>
                  <w:noProof/>
                </w:rPr>
              </w:pPr>
              <w:r>
                <w:rPr>
                  <w:noProof/>
                </w:rPr>
                <w:t xml:space="preserve">Lukasz, G., Jakub, K., Michal, G., Leon, K., Andrzej, S., Jolanta, K., . . . Neal, B. (2018). </w:t>
              </w:r>
              <w:r>
                <w:rPr>
                  <w:i/>
                  <w:iCs/>
                  <w:noProof/>
                </w:rPr>
                <w:t>Levels of selected carcinogens and toxicants in vapor from electronic cigarettes.</w:t>
              </w:r>
              <w:r>
                <w:rPr>
                  <w:noProof/>
                </w:rPr>
                <w:t xml:space="preserve"> PMC.</w:t>
              </w:r>
            </w:p>
            <w:p w:rsidR="00F1475E" w:rsidRDefault="00F1475E" w:rsidP="00F1475E">
              <w:pPr>
                <w:pStyle w:val="Bibliography"/>
                <w:ind w:left="720" w:hanging="720"/>
                <w:rPr>
                  <w:noProof/>
                </w:rPr>
              </w:pPr>
              <w:r>
                <w:rPr>
                  <w:noProof/>
                </w:rPr>
                <w:t xml:space="preserve">McRobbie, H. (2014). Briefing. </w:t>
              </w:r>
              <w:r>
                <w:rPr>
                  <w:i/>
                  <w:iCs/>
                  <w:noProof/>
                </w:rPr>
                <w:t>Electonic Cigarettes</w:t>
              </w:r>
              <w:r>
                <w:rPr>
                  <w:noProof/>
                </w:rPr>
                <w:t>. England: National Centre for Smoking Cessation and Training .</w:t>
              </w:r>
            </w:p>
            <w:p w:rsidR="00F1475E" w:rsidRDefault="00F1475E" w:rsidP="00F1475E">
              <w:pPr>
                <w:pStyle w:val="Bibliography"/>
                <w:ind w:left="720" w:hanging="720"/>
                <w:rPr>
                  <w:noProof/>
                </w:rPr>
              </w:pPr>
              <w:r>
                <w:rPr>
                  <w:noProof/>
                </w:rPr>
                <w:t xml:space="preserve">Montserrat-de la Paz, S., Marín-Aguilar, F., García-Giménez, M., &amp; Fernández-Arche, M. (2014). </w:t>
              </w:r>
              <w:r>
                <w:rPr>
                  <w:i/>
                  <w:iCs/>
                  <w:noProof/>
                </w:rPr>
                <w:t>Hemp ( Cannabis sativa L.) seed oil: analytical and phytochemical characterization of the unsaponifiable fraction.</w:t>
              </w:r>
              <w:r>
                <w:rPr>
                  <w:noProof/>
                </w:rPr>
                <w:t xml:space="preserve"> Seville: J Agric Food Chem. doi:10.1021/jf404278q</w:t>
              </w:r>
            </w:p>
            <w:p w:rsidR="00F1475E" w:rsidRDefault="00F1475E" w:rsidP="00F1475E">
              <w:pPr>
                <w:pStyle w:val="Bibliography"/>
                <w:ind w:left="720" w:hanging="720"/>
                <w:rPr>
                  <w:noProof/>
                </w:rPr>
              </w:pPr>
              <w:r>
                <w:rPr>
                  <w:noProof/>
                </w:rPr>
                <w:t xml:space="preserve">Nguyen, J. D., Aarde, S. M., Vandewater, S. A., Grant, Y., Stouffer, D. G., Parsons, L. H., . . . Taffe, M. A. (2016). </w:t>
              </w:r>
              <w:r>
                <w:rPr>
                  <w:i/>
                  <w:iCs/>
                  <w:noProof/>
                </w:rPr>
                <w:t>Inhaled delivery of D9-tetrahydrocannabinol (THC) to rats by ecigarette.</w:t>
              </w:r>
              <w:r>
                <w:rPr>
                  <w:noProof/>
                </w:rPr>
                <w:t xml:space="preserve"> La Jolla: Elsevier.</w:t>
              </w:r>
            </w:p>
            <w:p w:rsidR="00F1475E" w:rsidRDefault="00F1475E" w:rsidP="00F1475E">
              <w:pPr>
                <w:pStyle w:val="Bibliography"/>
                <w:ind w:left="720" w:hanging="720"/>
                <w:rPr>
                  <w:noProof/>
                </w:rPr>
              </w:pPr>
              <w:r>
                <w:rPr>
                  <w:noProof/>
                </w:rPr>
                <w:t xml:space="preserve">Pavlovic, R., Nenna, G., Calvi, L., Panseri, S., Borgonovo, G., Giupponi, L., . . . Giorgi, A. (2018). </w:t>
              </w:r>
              <w:r>
                <w:rPr>
                  <w:i/>
                  <w:iCs/>
                  <w:noProof/>
                </w:rPr>
                <w:t>Qualtiy traits of "Cannabidiol Oils": cannabinoids content, terpene fingerprinting and oxidation stability of European commercially available preparations.</w:t>
              </w:r>
              <w:r>
                <w:rPr>
                  <w:noProof/>
                </w:rPr>
                <w:t xml:space="preserve"> Milan: Molecules. doi:10.3390/molecules23051230</w:t>
              </w:r>
            </w:p>
            <w:p w:rsidR="00F1475E" w:rsidRDefault="00F1475E" w:rsidP="00F1475E">
              <w:pPr>
                <w:pStyle w:val="Bibliography"/>
                <w:ind w:left="720" w:hanging="720"/>
                <w:rPr>
                  <w:noProof/>
                </w:rPr>
              </w:pPr>
              <w:r>
                <w:rPr>
                  <w:noProof/>
                </w:rPr>
                <w:t xml:space="preserve">Peace, M. R., Krakowiak, R. I., Wolf, C. E., Poklis, A., &amp; Poklis, J. L. (2016). </w:t>
              </w:r>
              <w:r>
                <w:rPr>
                  <w:i/>
                  <w:iCs/>
                  <w:noProof/>
                </w:rPr>
                <w:t>Identification of MDMB-FUBINACA in commercially available e-liquid.</w:t>
              </w:r>
              <w:r>
                <w:rPr>
                  <w:noProof/>
                </w:rPr>
                <w:t xml:space="preserve"> Richmond: Elsevier.</w:t>
              </w:r>
            </w:p>
            <w:p w:rsidR="00F1475E" w:rsidRDefault="00F1475E" w:rsidP="00F1475E">
              <w:pPr>
                <w:pStyle w:val="Bibliography"/>
                <w:ind w:left="720" w:hanging="720"/>
                <w:rPr>
                  <w:noProof/>
                </w:rPr>
              </w:pPr>
              <w:r>
                <w:rPr>
                  <w:noProof/>
                </w:rPr>
                <w:t xml:space="preserve">Proctor, D. N. (2011). </w:t>
              </w:r>
              <w:r>
                <w:rPr>
                  <w:i/>
                  <w:iCs/>
                  <w:noProof/>
                </w:rPr>
                <w:t>The history of the discovery of the cigarettee-lung cancer link: evidentiary traditions, corporate denial, global toll.</w:t>
              </w:r>
              <w:r>
                <w:rPr>
                  <w:noProof/>
                </w:rPr>
                <w:t xml:space="preserve"> Stanford: BMJ Publishing Group Limited.</w:t>
              </w:r>
            </w:p>
            <w:p w:rsidR="00F1475E" w:rsidRDefault="00F1475E" w:rsidP="00F1475E">
              <w:pPr>
                <w:pStyle w:val="Bibliography"/>
                <w:ind w:left="720" w:hanging="720"/>
                <w:rPr>
                  <w:noProof/>
                </w:rPr>
              </w:pPr>
              <w:r>
                <w:rPr>
                  <w:noProof/>
                </w:rPr>
                <w:t xml:space="preserve">Sharma, P., Murthy, P., &amp; Bharath, M. (2012). </w:t>
              </w:r>
              <w:r>
                <w:rPr>
                  <w:i/>
                  <w:iCs/>
                  <w:noProof/>
                </w:rPr>
                <w:t>Chemistry, Metabolism, and Toxicology of Cannabis: Clinical Implications.</w:t>
              </w:r>
              <w:r>
                <w:rPr>
                  <w:noProof/>
                </w:rPr>
                <w:t xml:space="preserve"> Bangalore : Iran Journal of Physchiatry .</w:t>
              </w:r>
            </w:p>
            <w:p w:rsidR="00F1475E" w:rsidRDefault="00F1475E" w:rsidP="00F1475E">
              <w:pPr>
                <w:pStyle w:val="Bibliography"/>
                <w:ind w:left="720" w:hanging="720"/>
                <w:rPr>
                  <w:noProof/>
                </w:rPr>
              </w:pPr>
              <w:r>
                <w:rPr>
                  <w:noProof/>
                </w:rPr>
                <w:t xml:space="preserve">St.Helen, G., Dempsey, D. A., Havel, C. M., Jacob, P., &amp; Benowitz, N. L. (2017). </w:t>
              </w:r>
              <w:r>
                <w:rPr>
                  <w:i/>
                  <w:iCs/>
                  <w:noProof/>
                </w:rPr>
                <w:t>Impact of e-liquid flavors on nicotine intake and pharmacology of e-cigarettes .</w:t>
              </w:r>
              <w:r>
                <w:rPr>
                  <w:noProof/>
                </w:rPr>
                <w:t xml:space="preserve"> San Francisco : Elsevier .</w:t>
              </w:r>
            </w:p>
            <w:p w:rsidR="00F1475E" w:rsidRDefault="00F1475E" w:rsidP="00F1475E">
              <w:pPr>
                <w:pStyle w:val="Bibliography"/>
                <w:ind w:left="720" w:hanging="720"/>
                <w:rPr>
                  <w:noProof/>
                </w:rPr>
              </w:pPr>
              <w:r>
                <w:rPr>
                  <w:noProof/>
                </w:rPr>
                <w:t xml:space="preserve">Suurkuusk, G. (2010). </w:t>
              </w:r>
              <w:r>
                <w:rPr>
                  <w:i/>
                  <w:iCs/>
                  <w:noProof/>
                </w:rPr>
                <w:t>VALIDATION OF THE GAS CHROMATOGRAPHIC METHOD.</w:t>
              </w:r>
              <w:r>
                <w:rPr>
                  <w:noProof/>
                </w:rPr>
                <w:t xml:space="preserve"> Tartu.</w:t>
              </w:r>
            </w:p>
            <w:p w:rsidR="00F1475E" w:rsidRDefault="00F1475E" w:rsidP="00F1475E">
              <w:pPr>
                <w:pStyle w:val="Bibliography"/>
                <w:ind w:left="720" w:hanging="720"/>
                <w:rPr>
                  <w:noProof/>
                </w:rPr>
              </w:pPr>
              <w:r>
                <w:rPr>
                  <w:noProof/>
                </w:rPr>
                <w:t xml:space="preserve">Valentine, G. W., Jatlow, P. I., Coffman, M., Nadim, H., Gueorguieva, R., &amp; Sofouglu, M. (2015). </w:t>
              </w:r>
              <w:r>
                <w:rPr>
                  <w:i/>
                  <w:iCs/>
                  <w:noProof/>
                </w:rPr>
                <w:t>The effects of alcohol-containing e-cigarettes on young adults.</w:t>
              </w:r>
              <w:r>
                <w:rPr>
                  <w:noProof/>
                </w:rPr>
                <w:t xml:space="preserve"> New Haven : Elsevier.</w:t>
              </w:r>
            </w:p>
            <w:p w:rsidR="00F1475E" w:rsidRDefault="00F1475E" w:rsidP="00F1475E">
              <w:pPr>
                <w:pStyle w:val="Bibliography"/>
                <w:ind w:left="720" w:hanging="720"/>
                <w:rPr>
                  <w:noProof/>
                </w:rPr>
              </w:pPr>
              <w:r>
                <w:rPr>
                  <w:noProof/>
                </w:rPr>
                <w:t xml:space="preserve">Vaping Daily Blog. (n.d.). </w:t>
              </w:r>
              <w:r>
                <w:rPr>
                  <w:i/>
                  <w:iCs/>
                  <w:noProof/>
                </w:rPr>
                <w:t>PG vs. VG: What Ratio Should You Choose?</w:t>
              </w:r>
              <w:r>
                <w:rPr>
                  <w:noProof/>
                </w:rPr>
                <w:t xml:space="preserve"> Retrieved 2018, from Vaping Daily The voice of vaping: https://vapingdaily.com/best-vape-juices-and-e-liquids/pg-vs-vg/</w:t>
              </w:r>
            </w:p>
            <w:p w:rsidR="00F1475E" w:rsidRDefault="00F1475E" w:rsidP="00F1475E">
              <w:pPr>
                <w:pStyle w:val="Bibliography"/>
                <w:ind w:left="720" w:hanging="720"/>
                <w:rPr>
                  <w:noProof/>
                </w:rPr>
              </w:pPr>
              <w:r>
                <w:rPr>
                  <w:noProof/>
                </w:rPr>
                <w:t xml:space="preserve">WHO. (2017). </w:t>
              </w:r>
              <w:r>
                <w:rPr>
                  <w:i/>
                  <w:iCs/>
                  <w:noProof/>
                </w:rPr>
                <w:t>Cannabidiol (CBD) Pre-Review Report Agenda Items 5.2.</w:t>
              </w:r>
              <w:r>
                <w:rPr>
                  <w:noProof/>
                </w:rPr>
                <w:t xml:space="preserve"> Expert Committee on Drug Dependence. Geneva: World Health Organization .</w:t>
              </w:r>
            </w:p>
            <w:p w:rsidR="00F1475E" w:rsidRDefault="00F1475E" w:rsidP="00F1475E">
              <w:pPr>
                <w:pStyle w:val="Bibliography"/>
                <w:ind w:left="720" w:hanging="720"/>
                <w:rPr>
                  <w:noProof/>
                </w:rPr>
              </w:pPr>
              <w:r>
                <w:rPr>
                  <w:noProof/>
                </w:rPr>
                <w:t xml:space="preserve">Wishart , D., Feunang, Y., Guo, A., Lo, E., Marcu, A., Grant, J., . . . Wilson , M. (n.d.). </w:t>
              </w:r>
              <w:r>
                <w:rPr>
                  <w:i/>
                  <w:iCs/>
                  <w:noProof/>
                </w:rPr>
                <w:t>2-Methoxyestradiol</w:t>
              </w:r>
              <w:r>
                <w:rPr>
                  <w:noProof/>
                </w:rPr>
                <w:t>. Retrieved from Drugbank: https://www.drugbank.ca/drugs/DB02342</w:t>
              </w:r>
            </w:p>
            <w:p w:rsidR="00F1475E" w:rsidRDefault="00F1475E" w:rsidP="00F1475E">
              <w:pPr>
                <w:pStyle w:val="Bibliography"/>
                <w:ind w:left="720" w:hanging="720"/>
                <w:rPr>
                  <w:noProof/>
                </w:rPr>
              </w:pPr>
              <w:r>
                <w:rPr>
                  <w:noProof/>
                </w:rPr>
                <w:lastRenderedPageBreak/>
                <w:t xml:space="preserve">Wishart, D., Feunang, Y., Guo, A., Lo, E., MArcu, A., Grant, J., . . . Wilson, M. (n.d.). </w:t>
              </w:r>
              <w:r>
                <w:rPr>
                  <w:i/>
                  <w:iCs/>
                  <w:noProof/>
                </w:rPr>
                <w:t>Doconexent</w:t>
              </w:r>
              <w:r>
                <w:rPr>
                  <w:noProof/>
                </w:rPr>
                <w:t>. doi:10.1093/nar/gkx1037</w:t>
              </w:r>
            </w:p>
            <w:p w:rsidR="00F1475E" w:rsidRDefault="00F1475E" w:rsidP="00F1475E">
              <w:pPr>
                <w:pStyle w:val="Bibliography"/>
                <w:ind w:left="720" w:hanging="720"/>
                <w:rPr>
                  <w:noProof/>
                </w:rPr>
              </w:pPr>
              <w:r>
                <w:rPr>
                  <w:noProof/>
                </w:rPr>
                <w:t xml:space="preserve">Woods, J. (2014, May 30th). </w:t>
              </w:r>
              <w:r>
                <w:rPr>
                  <w:i/>
                  <w:iCs/>
                  <w:noProof/>
                </w:rPr>
                <w:t>‘Miracle cures’ such as hemp oil can hurt more than help</w:t>
              </w:r>
              <w:r>
                <w:rPr>
                  <w:noProof/>
                </w:rPr>
                <w:t>. Retrieved from The Globe and Mail: https://www.theglobeandmail.com/life/health-and-fitness/health/miracle-cures-such-as-hemp-oil-can-hurt-more-than-help/article20946140/</w:t>
              </w:r>
            </w:p>
            <w:p w:rsidR="00F1475E" w:rsidRDefault="00F1475E" w:rsidP="00F1475E">
              <w:pPr>
                <w:pStyle w:val="Bibliography"/>
                <w:ind w:left="720" w:hanging="720"/>
                <w:rPr>
                  <w:noProof/>
                </w:rPr>
              </w:pPr>
              <w:r>
                <w:rPr>
                  <w:noProof/>
                </w:rPr>
                <w:t xml:space="preserve">Zhou, Y., Wang, S., Lou, H., &amp; Fan, P. (2018). </w:t>
              </w:r>
              <w:r>
                <w:rPr>
                  <w:i/>
                  <w:iCs/>
                  <w:noProof/>
                </w:rPr>
                <w:t>Chemical constituents of hemp (Cannabis sativa L.) seed with potential anti-neuroinflammatory activity.</w:t>
              </w:r>
              <w:r>
                <w:rPr>
                  <w:noProof/>
                </w:rPr>
                <w:t xml:space="preserve"> Jinan: Elsevier.</w:t>
              </w:r>
            </w:p>
            <w:p w:rsidR="001524B7" w:rsidRDefault="001524B7" w:rsidP="00F1475E">
              <w:r>
                <w:rPr>
                  <w:b/>
                  <w:bCs/>
                  <w:noProof/>
                </w:rPr>
                <w:fldChar w:fldCharType="end"/>
              </w:r>
            </w:p>
          </w:sdtContent>
        </w:sdt>
      </w:sdtContent>
    </w:sdt>
    <w:p w:rsidR="001524B7" w:rsidRDefault="001524B7"/>
    <w:sectPr w:rsidR="001524B7" w:rsidSect="002E44B5">
      <w:pgSz w:w="11906" w:h="16838" w:code="9"/>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5102E" w:rsidRDefault="00E5102E" w:rsidP="001D4B36">
      <w:pPr>
        <w:spacing w:after="0" w:line="240" w:lineRule="auto"/>
      </w:pPr>
      <w:r>
        <w:separator/>
      </w:r>
    </w:p>
  </w:endnote>
  <w:endnote w:type="continuationSeparator" w:id="0">
    <w:p w:rsidR="00E5102E" w:rsidRDefault="00E5102E" w:rsidP="001D4B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99090062"/>
      <w:docPartObj>
        <w:docPartGallery w:val="Page Numbers (Bottom of Page)"/>
        <w:docPartUnique/>
      </w:docPartObj>
    </w:sdtPr>
    <w:sdtEndPr>
      <w:rPr>
        <w:noProof/>
      </w:rPr>
    </w:sdtEndPr>
    <w:sdtContent>
      <w:p w:rsidR="00E5102E" w:rsidRDefault="002E375B">
        <w:pPr>
          <w:pStyle w:val="Footer"/>
          <w:jc w:val="center"/>
        </w:pPr>
      </w:p>
    </w:sdtContent>
  </w:sdt>
  <w:p w:rsidR="00E5102E" w:rsidRDefault="00E5102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09305905"/>
      <w:docPartObj>
        <w:docPartGallery w:val="Page Numbers (Bottom of Page)"/>
        <w:docPartUnique/>
      </w:docPartObj>
    </w:sdtPr>
    <w:sdtEndPr>
      <w:rPr>
        <w:noProof/>
      </w:rPr>
    </w:sdtEndPr>
    <w:sdtContent>
      <w:p w:rsidR="00E5102E" w:rsidRDefault="00E5102E">
        <w:pPr>
          <w:pStyle w:val="Footer"/>
          <w:jc w:val="center"/>
        </w:pPr>
        <w:r>
          <w:fldChar w:fldCharType="begin"/>
        </w:r>
        <w:r>
          <w:instrText xml:space="preserve"> PAGE   \* MERGEFORMAT </w:instrText>
        </w:r>
        <w:r>
          <w:fldChar w:fldCharType="separate"/>
        </w:r>
        <w:r w:rsidR="002E375B">
          <w:rPr>
            <w:noProof/>
          </w:rPr>
          <w:t>16</w:t>
        </w:r>
        <w:r>
          <w:rPr>
            <w:noProof/>
          </w:rPr>
          <w:fldChar w:fldCharType="end"/>
        </w:r>
      </w:p>
    </w:sdtContent>
  </w:sdt>
  <w:p w:rsidR="00E5102E" w:rsidRDefault="00E5102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5278110"/>
      <w:docPartObj>
        <w:docPartGallery w:val="Page Numbers (Bottom of Page)"/>
        <w:docPartUnique/>
      </w:docPartObj>
    </w:sdtPr>
    <w:sdtEndPr>
      <w:rPr>
        <w:noProof/>
      </w:rPr>
    </w:sdtEndPr>
    <w:sdtContent>
      <w:p w:rsidR="00E5102E" w:rsidRDefault="00E5102E">
        <w:pPr>
          <w:pStyle w:val="Footer"/>
          <w:jc w:val="center"/>
        </w:pPr>
        <w:r>
          <w:fldChar w:fldCharType="begin"/>
        </w:r>
        <w:r>
          <w:instrText xml:space="preserve"> PAGE   \* MERGEFORMAT </w:instrText>
        </w:r>
        <w:r>
          <w:fldChar w:fldCharType="separate"/>
        </w:r>
        <w:r w:rsidR="002E375B">
          <w:rPr>
            <w:noProof/>
          </w:rPr>
          <w:t>1</w:t>
        </w:r>
        <w:r>
          <w:rPr>
            <w:noProof/>
          </w:rPr>
          <w:fldChar w:fldCharType="end"/>
        </w:r>
      </w:p>
    </w:sdtContent>
  </w:sdt>
  <w:p w:rsidR="00E5102E" w:rsidRDefault="00E5102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04555386"/>
      <w:docPartObj>
        <w:docPartGallery w:val="Page Numbers (Bottom of Page)"/>
        <w:docPartUnique/>
      </w:docPartObj>
    </w:sdtPr>
    <w:sdtEndPr>
      <w:rPr>
        <w:noProof/>
      </w:rPr>
    </w:sdtEndPr>
    <w:sdtContent>
      <w:p w:rsidR="00E5102E" w:rsidRDefault="00E5102E">
        <w:pPr>
          <w:pStyle w:val="Footer"/>
          <w:jc w:val="center"/>
        </w:pPr>
        <w:r>
          <w:fldChar w:fldCharType="begin"/>
        </w:r>
        <w:r>
          <w:instrText xml:space="preserve"> PAGE   \* MERGEFORMAT </w:instrText>
        </w:r>
        <w:r>
          <w:fldChar w:fldCharType="separate"/>
        </w:r>
        <w:r w:rsidR="002E375B">
          <w:rPr>
            <w:noProof/>
          </w:rPr>
          <w:t>15</w:t>
        </w:r>
        <w:r>
          <w:rPr>
            <w:noProof/>
          </w:rPr>
          <w:fldChar w:fldCharType="end"/>
        </w:r>
      </w:p>
    </w:sdtContent>
  </w:sdt>
  <w:p w:rsidR="00E5102E" w:rsidRDefault="00E5102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5102E" w:rsidRDefault="00E5102E" w:rsidP="001D4B36">
      <w:pPr>
        <w:spacing w:after="0" w:line="240" w:lineRule="auto"/>
      </w:pPr>
      <w:r>
        <w:separator/>
      </w:r>
    </w:p>
  </w:footnote>
  <w:footnote w:type="continuationSeparator" w:id="0">
    <w:p w:rsidR="00E5102E" w:rsidRDefault="00E5102E" w:rsidP="001D4B36">
      <w:pPr>
        <w:spacing w:after="0" w:line="240" w:lineRule="auto"/>
      </w:pPr>
      <w:r>
        <w:continuationSeparator/>
      </w:r>
    </w:p>
  </w:footnote>
  <w:footnote w:id="1">
    <w:p w:rsidR="00E5102E" w:rsidRDefault="00E5102E" w:rsidP="001D4B36">
      <w:pPr>
        <w:pStyle w:val="FootnoteText"/>
      </w:pPr>
      <w:r>
        <w:rPr>
          <w:rStyle w:val="FootnoteReference"/>
        </w:rPr>
        <w:footnoteRef/>
      </w:r>
      <w:r>
        <w:t xml:space="preserve"> Vaping is the act of inhaling and exhaling the vapor produced by an electronic cigarette.  </w:t>
      </w:r>
    </w:p>
  </w:footnote>
  <w:footnote w:id="2">
    <w:p w:rsidR="00E5102E" w:rsidRDefault="00E5102E">
      <w:pPr>
        <w:pStyle w:val="FootnoteText"/>
      </w:pPr>
      <w:r>
        <w:rPr>
          <w:rStyle w:val="FootnoteReference"/>
        </w:rPr>
        <w:footnoteRef/>
      </w:r>
      <w:r>
        <w:t xml:space="preserve"> Origination of conscious mental activity</w:t>
      </w:r>
    </w:p>
  </w:footnote>
  <w:footnote w:id="3">
    <w:p w:rsidR="00E5102E" w:rsidRDefault="00E5102E" w:rsidP="003B13C9">
      <w:pPr>
        <w:pStyle w:val="FootnoteText"/>
      </w:pPr>
      <w:r>
        <w:rPr>
          <w:rStyle w:val="FootnoteReference"/>
        </w:rPr>
        <w:footnoteRef/>
      </w:r>
      <w:r>
        <w:t xml:space="preserve"> Methyl (S)-2-(1-(4-fluorobenzyl)-1H-indazole-3-carboxamido)-3,3-dimethylbutanoate</w:t>
      </w:r>
    </w:p>
  </w:footnote>
  <w:footnote w:id="4">
    <w:p w:rsidR="00E5102E" w:rsidRDefault="00E5102E">
      <w:pPr>
        <w:pStyle w:val="FootnoteText"/>
      </w:pPr>
      <w:r>
        <w:rPr>
          <w:rStyle w:val="FootnoteReference"/>
        </w:rPr>
        <w:footnoteRef/>
      </w:r>
      <w:r>
        <w:t xml:space="preserve"> Corresponding samples can be found in appendix 2. </w:t>
      </w:r>
    </w:p>
  </w:footnote>
  <w:footnote w:id="5">
    <w:p w:rsidR="00E5102E" w:rsidRDefault="00E5102E">
      <w:pPr>
        <w:pStyle w:val="FootnoteText"/>
      </w:pPr>
      <w:r>
        <w:rPr>
          <w:rStyle w:val="FootnoteReference"/>
        </w:rPr>
        <w:footnoteRef/>
      </w:r>
      <w:r>
        <w:t xml:space="preserve"> Flavor categories were assigned referring to the information from The Good Scents Company. </w:t>
      </w:r>
    </w:p>
  </w:footnote>
  <w:footnote w:id="6">
    <w:p w:rsidR="00E5102E" w:rsidRPr="003D3A66" w:rsidRDefault="00E5102E">
      <w:pPr>
        <w:pStyle w:val="FootnoteText"/>
      </w:pPr>
      <w:r w:rsidRPr="003D3A66">
        <w:rPr>
          <w:rStyle w:val="FootnoteReference"/>
        </w:rPr>
        <w:footnoteRef/>
      </w:r>
      <w:r w:rsidRPr="003D3A66">
        <w:t xml:space="preserve"> Please note that </w:t>
      </w:r>
      <w:r>
        <w:t xml:space="preserve">terpenoid is used to refer to both terpenes and terpenoids. </w:t>
      </w:r>
    </w:p>
  </w:footnote>
  <w:footnote w:id="7">
    <w:p w:rsidR="00E5102E" w:rsidRPr="00A732B2" w:rsidRDefault="00E5102E">
      <w:pPr>
        <w:pStyle w:val="FootnoteText"/>
        <w:rPr>
          <w:lang w:val="en-GB"/>
        </w:rPr>
      </w:pPr>
      <w:r>
        <w:rPr>
          <w:rStyle w:val="FootnoteReference"/>
        </w:rPr>
        <w:footnoteRef/>
      </w:r>
      <w:r>
        <w:t xml:space="preserve"> </w:t>
      </w:r>
      <w:r w:rsidRPr="00A732B2">
        <w:rPr>
          <w:lang w:val="en-GB"/>
        </w:rPr>
        <w:t>MDMB-FUBINACA is a synthetic d</w:t>
      </w:r>
      <w:r>
        <w:rPr>
          <w:lang w:val="en-GB"/>
        </w:rPr>
        <w:t xml:space="preserve">esigner drug.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0A62F6D"/>
    <w:multiLevelType w:val="hybridMultilevel"/>
    <w:tmpl w:val="EAB2696E"/>
    <w:lvl w:ilvl="0" w:tplc="258CE2E2">
      <w:start w:val="1"/>
      <w:numFmt w:val="decimal"/>
      <w:pStyle w:val="Heading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7105BAD"/>
    <w:multiLevelType w:val="hybridMultilevel"/>
    <w:tmpl w:val="55DC63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8FF5835"/>
    <w:multiLevelType w:val="hybridMultilevel"/>
    <w:tmpl w:val="E858F8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A0048BC"/>
    <w:multiLevelType w:val="hybridMultilevel"/>
    <w:tmpl w:val="2976D8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80F4482"/>
    <w:multiLevelType w:val="hybridMultilevel"/>
    <w:tmpl w:val="B9C8A0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9FC4827"/>
    <w:multiLevelType w:val="hybridMultilevel"/>
    <w:tmpl w:val="D22C99F0"/>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num w:numId="1">
    <w:abstractNumId w:val="4"/>
  </w:num>
  <w:num w:numId="2">
    <w:abstractNumId w:val="5"/>
  </w:num>
  <w:num w:numId="3">
    <w:abstractNumId w:val="3"/>
  </w:num>
  <w:num w:numId="4">
    <w:abstractNumId w:val="1"/>
  </w:num>
  <w:num w:numId="5">
    <w:abstractNumId w:val="2"/>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22CD"/>
    <w:rsid w:val="00001060"/>
    <w:rsid w:val="00002E04"/>
    <w:rsid w:val="000257F6"/>
    <w:rsid w:val="00034A1D"/>
    <w:rsid w:val="000354E1"/>
    <w:rsid w:val="0003674B"/>
    <w:rsid w:val="000377DB"/>
    <w:rsid w:val="0004183C"/>
    <w:rsid w:val="00043A44"/>
    <w:rsid w:val="00057313"/>
    <w:rsid w:val="000573D5"/>
    <w:rsid w:val="000604F0"/>
    <w:rsid w:val="0006261E"/>
    <w:rsid w:val="000652DE"/>
    <w:rsid w:val="00067A1A"/>
    <w:rsid w:val="00070D5A"/>
    <w:rsid w:val="00071AA8"/>
    <w:rsid w:val="00074309"/>
    <w:rsid w:val="00080B5E"/>
    <w:rsid w:val="00086F4D"/>
    <w:rsid w:val="00090818"/>
    <w:rsid w:val="00091191"/>
    <w:rsid w:val="00096BB2"/>
    <w:rsid w:val="000B790A"/>
    <w:rsid w:val="000C3181"/>
    <w:rsid w:val="000C4FE9"/>
    <w:rsid w:val="000C5498"/>
    <w:rsid w:val="000D0EBD"/>
    <w:rsid w:val="000D25F3"/>
    <w:rsid w:val="000D33CC"/>
    <w:rsid w:val="000D41DA"/>
    <w:rsid w:val="000D6959"/>
    <w:rsid w:val="000E1C32"/>
    <w:rsid w:val="000E3381"/>
    <w:rsid w:val="000E3521"/>
    <w:rsid w:val="000F6AC5"/>
    <w:rsid w:val="00107AF6"/>
    <w:rsid w:val="00114D81"/>
    <w:rsid w:val="00115998"/>
    <w:rsid w:val="00116EE8"/>
    <w:rsid w:val="001218FA"/>
    <w:rsid w:val="00134770"/>
    <w:rsid w:val="00134ADE"/>
    <w:rsid w:val="001524B7"/>
    <w:rsid w:val="00155CB2"/>
    <w:rsid w:val="0015754D"/>
    <w:rsid w:val="00157555"/>
    <w:rsid w:val="001707FA"/>
    <w:rsid w:val="001753F7"/>
    <w:rsid w:val="00177B8D"/>
    <w:rsid w:val="0018551B"/>
    <w:rsid w:val="00194A71"/>
    <w:rsid w:val="001A1D91"/>
    <w:rsid w:val="001A5989"/>
    <w:rsid w:val="001A775B"/>
    <w:rsid w:val="001B29F8"/>
    <w:rsid w:val="001B4A04"/>
    <w:rsid w:val="001C3243"/>
    <w:rsid w:val="001C4391"/>
    <w:rsid w:val="001C5F61"/>
    <w:rsid w:val="001D225C"/>
    <w:rsid w:val="001D367B"/>
    <w:rsid w:val="001D4B36"/>
    <w:rsid w:val="001D7339"/>
    <w:rsid w:val="001E006B"/>
    <w:rsid w:val="001E7B46"/>
    <w:rsid w:val="00200BEB"/>
    <w:rsid w:val="00204427"/>
    <w:rsid w:val="002175FD"/>
    <w:rsid w:val="002261FB"/>
    <w:rsid w:val="00233D7C"/>
    <w:rsid w:val="0023429D"/>
    <w:rsid w:val="0024065B"/>
    <w:rsid w:val="00246EB7"/>
    <w:rsid w:val="002621C8"/>
    <w:rsid w:val="0026307A"/>
    <w:rsid w:val="00264D26"/>
    <w:rsid w:val="00272B8D"/>
    <w:rsid w:val="002746B3"/>
    <w:rsid w:val="0027559B"/>
    <w:rsid w:val="002912FC"/>
    <w:rsid w:val="00291D93"/>
    <w:rsid w:val="00294469"/>
    <w:rsid w:val="00295122"/>
    <w:rsid w:val="00296123"/>
    <w:rsid w:val="002A2284"/>
    <w:rsid w:val="002A647E"/>
    <w:rsid w:val="002B214D"/>
    <w:rsid w:val="002C2252"/>
    <w:rsid w:val="002C6902"/>
    <w:rsid w:val="002C722D"/>
    <w:rsid w:val="002C7D41"/>
    <w:rsid w:val="002E1B58"/>
    <w:rsid w:val="002E375B"/>
    <w:rsid w:val="002E44B5"/>
    <w:rsid w:val="002F6361"/>
    <w:rsid w:val="00302BC8"/>
    <w:rsid w:val="00314652"/>
    <w:rsid w:val="00315873"/>
    <w:rsid w:val="00317AC6"/>
    <w:rsid w:val="0032483A"/>
    <w:rsid w:val="00331176"/>
    <w:rsid w:val="003374F3"/>
    <w:rsid w:val="003376DE"/>
    <w:rsid w:val="003408D6"/>
    <w:rsid w:val="00340AF9"/>
    <w:rsid w:val="0034495F"/>
    <w:rsid w:val="00344C11"/>
    <w:rsid w:val="0035669E"/>
    <w:rsid w:val="00373E18"/>
    <w:rsid w:val="00383FE0"/>
    <w:rsid w:val="0038477B"/>
    <w:rsid w:val="003905E5"/>
    <w:rsid w:val="003B13C9"/>
    <w:rsid w:val="003C0253"/>
    <w:rsid w:val="003C49EB"/>
    <w:rsid w:val="003D3349"/>
    <w:rsid w:val="003D3A66"/>
    <w:rsid w:val="003D3DF3"/>
    <w:rsid w:val="003D7F68"/>
    <w:rsid w:val="003D7F7C"/>
    <w:rsid w:val="003E1FBE"/>
    <w:rsid w:val="003E711F"/>
    <w:rsid w:val="003F2851"/>
    <w:rsid w:val="003F5B73"/>
    <w:rsid w:val="003F65A0"/>
    <w:rsid w:val="003F7801"/>
    <w:rsid w:val="00403E4A"/>
    <w:rsid w:val="00424DE3"/>
    <w:rsid w:val="004253CB"/>
    <w:rsid w:val="00425606"/>
    <w:rsid w:val="00430B86"/>
    <w:rsid w:val="00441DB0"/>
    <w:rsid w:val="00450E27"/>
    <w:rsid w:val="0045540F"/>
    <w:rsid w:val="00461920"/>
    <w:rsid w:val="0047173F"/>
    <w:rsid w:val="00471CFD"/>
    <w:rsid w:val="00476F48"/>
    <w:rsid w:val="00485FF6"/>
    <w:rsid w:val="00493776"/>
    <w:rsid w:val="004B53BB"/>
    <w:rsid w:val="004B6B37"/>
    <w:rsid w:val="004C7B3C"/>
    <w:rsid w:val="004D43B6"/>
    <w:rsid w:val="004D44A3"/>
    <w:rsid w:val="004E2CB5"/>
    <w:rsid w:val="004E31FF"/>
    <w:rsid w:val="004E58AE"/>
    <w:rsid w:val="004F0728"/>
    <w:rsid w:val="004F3AB2"/>
    <w:rsid w:val="004F47CA"/>
    <w:rsid w:val="004F4F20"/>
    <w:rsid w:val="0050541E"/>
    <w:rsid w:val="005111D9"/>
    <w:rsid w:val="005142C6"/>
    <w:rsid w:val="005338BE"/>
    <w:rsid w:val="00544AF4"/>
    <w:rsid w:val="00553E96"/>
    <w:rsid w:val="00572015"/>
    <w:rsid w:val="005728F0"/>
    <w:rsid w:val="0057773B"/>
    <w:rsid w:val="0058368E"/>
    <w:rsid w:val="00585650"/>
    <w:rsid w:val="00591807"/>
    <w:rsid w:val="005A027C"/>
    <w:rsid w:val="005A409E"/>
    <w:rsid w:val="005B0C58"/>
    <w:rsid w:val="005B59C2"/>
    <w:rsid w:val="005C040B"/>
    <w:rsid w:val="005C4433"/>
    <w:rsid w:val="005C5F68"/>
    <w:rsid w:val="005C7E88"/>
    <w:rsid w:val="005E4C0C"/>
    <w:rsid w:val="005E6199"/>
    <w:rsid w:val="005F05D1"/>
    <w:rsid w:val="005F31A5"/>
    <w:rsid w:val="005F3932"/>
    <w:rsid w:val="005F6B32"/>
    <w:rsid w:val="00606942"/>
    <w:rsid w:val="00611C07"/>
    <w:rsid w:val="00612B29"/>
    <w:rsid w:val="00617071"/>
    <w:rsid w:val="00617591"/>
    <w:rsid w:val="006244C6"/>
    <w:rsid w:val="00637E31"/>
    <w:rsid w:val="00644B52"/>
    <w:rsid w:val="00650EB0"/>
    <w:rsid w:val="00653A54"/>
    <w:rsid w:val="006575D9"/>
    <w:rsid w:val="00666831"/>
    <w:rsid w:val="00671B17"/>
    <w:rsid w:val="006723F3"/>
    <w:rsid w:val="006804A8"/>
    <w:rsid w:val="00690B51"/>
    <w:rsid w:val="00690FDA"/>
    <w:rsid w:val="00693749"/>
    <w:rsid w:val="006A0B3B"/>
    <w:rsid w:val="006B47C9"/>
    <w:rsid w:val="006B5914"/>
    <w:rsid w:val="006B76C3"/>
    <w:rsid w:val="006C103E"/>
    <w:rsid w:val="006C5343"/>
    <w:rsid w:val="006D03C0"/>
    <w:rsid w:val="006D1489"/>
    <w:rsid w:val="006E4E37"/>
    <w:rsid w:val="006E7D1F"/>
    <w:rsid w:val="006F0AF7"/>
    <w:rsid w:val="00705089"/>
    <w:rsid w:val="00706753"/>
    <w:rsid w:val="007142F1"/>
    <w:rsid w:val="00714F1B"/>
    <w:rsid w:val="00715BEF"/>
    <w:rsid w:val="0073065E"/>
    <w:rsid w:val="007311A8"/>
    <w:rsid w:val="00734392"/>
    <w:rsid w:val="00745641"/>
    <w:rsid w:val="00751089"/>
    <w:rsid w:val="007534F8"/>
    <w:rsid w:val="00753679"/>
    <w:rsid w:val="007635F3"/>
    <w:rsid w:val="00764050"/>
    <w:rsid w:val="00770B43"/>
    <w:rsid w:val="00770C5D"/>
    <w:rsid w:val="0077181B"/>
    <w:rsid w:val="007730C3"/>
    <w:rsid w:val="007801C6"/>
    <w:rsid w:val="00783735"/>
    <w:rsid w:val="007867EE"/>
    <w:rsid w:val="00796F99"/>
    <w:rsid w:val="007C4AAC"/>
    <w:rsid w:val="007C576D"/>
    <w:rsid w:val="007D278A"/>
    <w:rsid w:val="007D2C7D"/>
    <w:rsid w:val="007D47B5"/>
    <w:rsid w:val="007E552A"/>
    <w:rsid w:val="007F22D8"/>
    <w:rsid w:val="008224DC"/>
    <w:rsid w:val="008422CD"/>
    <w:rsid w:val="00847FFC"/>
    <w:rsid w:val="00852911"/>
    <w:rsid w:val="00852F30"/>
    <w:rsid w:val="00855A76"/>
    <w:rsid w:val="00857E04"/>
    <w:rsid w:val="008640A2"/>
    <w:rsid w:val="00864A9E"/>
    <w:rsid w:val="0086606C"/>
    <w:rsid w:val="008813D4"/>
    <w:rsid w:val="008823AE"/>
    <w:rsid w:val="008830AB"/>
    <w:rsid w:val="00883FCF"/>
    <w:rsid w:val="008868B4"/>
    <w:rsid w:val="008903B2"/>
    <w:rsid w:val="0089375F"/>
    <w:rsid w:val="00897D1B"/>
    <w:rsid w:val="008A4E79"/>
    <w:rsid w:val="008A7032"/>
    <w:rsid w:val="008B62F0"/>
    <w:rsid w:val="008C3004"/>
    <w:rsid w:val="008C4214"/>
    <w:rsid w:val="008D0391"/>
    <w:rsid w:val="008D7EBE"/>
    <w:rsid w:val="008E62A5"/>
    <w:rsid w:val="008F1734"/>
    <w:rsid w:val="0090060D"/>
    <w:rsid w:val="00901426"/>
    <w:rsid w:val="009031D2"/>
    <w:rsid w:val="00903CD8"/>
    <w:rsid w:val="00904CC3"/>
    <w:rsid w:val="00907834"/>
    <w:rsid w:val="0091074E"/>
    <w:rsid w:val="0091359F"/>
    <w:rsid w:val="00916E56"/>
    <w:rsid w:val="009417F4"/>
    <w:rsid w:val="00945232"/>
    <w:rsid w:val="00951E85"/>
    <w:rsid w:val="00955F01"/>
    <w:rsid w:val="00957EDF"/>
    <w:rsid w:val="0096161E"/>
    <w:rsid w:val="00980BDE"/>
    <w:rsid w:val="0098226F"/>
    <w:rsid w:val="009828A6"/>
    <w:rsid w:val="00987B09"/>
    <w:rsid w:val="00990C5C"/>
    <w:rsid w:val="00992B53"/>
    <w:rsid w:val="00995B9E"/>
    <w:rsid w:val="009A0077"/>
    <w:rsid w:val="009A1484"/>
    <w:rsid w:val="009A3A56"/>
    <w:rsid w:val="009B2EE3"/>
    <w:rsid w:val="009C1372"/>
    <w:rsid w:val="009C1585"/>
    <w:rsid w:val="009C468C"/>
    <w:rsid w:val="009C54BE"/>
    <w:rsid w:val="009C5B66"/>
    <w:rsid w:val="009C7AC3"/>
    <w:rsid w:val="009D1F84"/>
    <w:rsid w:val="009D482E"/>
    <w:rsid w:val="009D5179"/>
    <w:rsid w:val="009D5CAD"/>
    <w:rsid w:val="009E3B17"/>
    <w:rsid w:val="009E4181"/>
    <w:rsid w:val="009E72F7"/>
    <w:rsid w:val="009F0018"/>
    <w:rsid w:val="009F08C8"/>
    <w:rsid w:val="009F10D1"/>
    <w:rsid w:val="009F4135"/>
    <w:rsid w:val="009F5BCE"/>
    <w:rsid w:val="00A028DB"/>
    <w:rsid w:val="00A031F7"/>
    <w:rsid w:val="00A061F2"/>
    <w:rsid w:val="00A14A1B"/>
    <w:rsid w:val="00A25C16"/>
    <w:rsid w:val="00A2626F"/>
    <w:rsid w:val="00A30139"/>
    <w:rsid w:val="00A34243"/>
    <w:rsid w:val="00A464A5"/>
    <w:rsid w:val="00A5253F"/>
    <w:rsid w:val="00A618FA"/>
    <w:rsid w:val="00A61B98"/>
    <w:rsid w:val="00A7166B"/>
    <w:rsid w:val="00A732B2"/>
    <w:rsid w:val="00A74656"/>
    <w:rsid w:val="00A74759"/>
    <w:rsid w:val="00A81293"/>
    <w:rsid w:val="00A92D4B"/>
    <w:rsid w:val="00A95901"/>
    <w:rsid w:val="00A96F5B"/>
    <w:rsid w:val="00AA75EE"/>
    <w:rsid w:val="00AB28C8"/>
    <w:rsid w:val="00AB3054"/>
    <w:rsid w:val="00AC3607"/>
    <w:rsid w:val="00AD1DDB"/>
    <w:rsid w:val="00AD2C91"/>
    <w:rsid w:val="00AD497F"/>
    <w:rsid w:val="00AD4C6F"/>
    <w:rsid w:val="00AD6B2C"/>
    <w:rsid w:val="00AE49F5"/>
    <w:rsid w:val="00AE7B5E"/>
    <w:rsid w:val="00AF235A"/>
    <w:rsid w:val="00AF2674"/>
    <w:rsid w:val="00AF3C9B"/>
    <w:rsid w:val="00B04546"/>
    <w:rsid w:val="00B07E3E"/>
    <w:rsid w:val="00B25F55"/>
    <w:rsid w:val="00B3070F"/>
    <w:rsid w:val="00B33F70"/>
    <w:rsid w:val="00B4159B"/>
    <w:rsid w:val="00B4168E"/>
    <w:rsid w:val="00B47E56"/>
    <w:rsid w:val="00B558C5"/>
    <w:rsid w:val="00B565D2"/>
    <w:rsid w:val="00B56CB7"/>
    <w:rsid w:val="00B56F86"/>
    <w:rsid w:val="00B63FE0"/>
    <w:rsid w:val="00B65300"/>
    <w:rsid w:val="00B81A71"/>
    <w:rsid w:val="00B81E04"/>
    <w:rsid w:val="00B91B55"/>
    <w:rsid w:val="00B9220B"/>
    <w:rsid w:val="00B93240"/>
    <w:rsid w:val="00B96803"/>
    <w:rsid w:val="00BA3C8F"/>
    <w:rsid w:val="00BA531A"/>
    <w:rsid w:val="00BB1BFF"/>
    <w:rsid w:val="00BB5319"/>
    <w:rsid w:val="00BD4F58"/>
    <w:rsid w:val="00BE09E9"/>
    <w:rsid w:val="00BE4A9F"/>
    <w:rsid w:val="00BF1023"/>
    <w:rsid w:val="00BF4DF5"/>
    <w:rsid w:val="00BF5D6F"/>
    <w:rsid w:val="00BF798C"/>
    <w:rsid w:val="00C02A84"/>
    <w:rsid w:val="00C06B6A"/>
    <w:rsid w:val="00C10C5B"/>
    <w:rsid w:val="00C14CB6"/>
    <w:rsid w:val="00C170D1"/>
    <w:rsid w:val="00C372B3"/>
    <w:rsid w:val="00C416BB"/>
    <w:rsid w:val="00C45C0B"/>
    <w:rsid w:val="00C461B0"/>
    <w:rsid w:val="00C70008"/>
    <w:rsid w:val="00C72F5E"/>
    <w:rsid w:val="00C81E5E"/>
    <w:rsid w:val="00C96355"/>
    <w:rsid w:val="00C97BA4"/>
    <w:rsid w:val="00CA1472"/>
    <w:rsid w:val="00CA2AE3"/>
    <w:rsid w:val="00CB3073"/>
    <w:rsid w:val="00CC0C6A"/>
    <w:rsid w:val="00CC60DE"/>
    <w:rsid w:val="00CC706E"/>
    <w:rsid w:val="00CC7D5E"/>
    <w:rsid w:val="00CD6769"/>
    <w:rsid w:val="00CD68C3"/>
    <w:rsid w:val="00CF4EC8"/>
    <w:rsid w:val="00CF628A"/>
    <w:rsid w:val="00D10396"/>
    <w:rsid w:val="00D10CAB"/>
    <w:rsid w:val="00D13583"/>
    <w:rsid w:val="00D21242"/>
    <w:rsid w:val="00D501E5"/>
    <w:rsid w:val="00D50F1E"/>
    <w:rsid w:val="00D538BE"/>
    <w:rsid w:val="00D545FD"/>
    <w:rsid w:val="00D60A48"/>
    <w:rsid w:val="00D60B08"/>
    <w:rsid w:val="00D65BDA"/>
    <w:rsid w:val="00D71986"/>
    <w:rsid w:val="00D803E1"/>
    <w:rsid w:val="00D821B2"/>
    <w:rsid w:val="00D825DE"/>
    <w:rsid w:val="00DB479D"/>
    <w:rsid w:val="00DD19F0"/>
    <w:rsid w:val="00DD60EA"/>
    <w:rsid w:val="00DF7832"/>
    <w:rsid w:val="00DF7840"/>
    <w:rsid w:val="00E0023C"/>
    <w:rsid w:val="00E059EC"/>
    <w:rsid w:val="00E13075"/>
    <w:rsid w:val="00E146BE"/>
    <w:rsid w:val="00E170F9"/>
    <w:rsid w:val="00E17128"/>
    <w:rsid w:val="00E21188"/>
    <w:rsid w:val="00E220B2"/>
    <w:rsid w:val="00E31AB3"/>
    <w:rsid w:val="00E32EAC"/>
    <w:rsid w:val="00E5102E"/>
    <w:rsid w:val="00E5408D"/>
    <w:rsid w:val="00E61B02"/>
    <w:rsid w:val="00E64600"/>
    <w:rsid w:val="00E81217"/>
    <w:rsid w:val="00E83A4B"/>
    <w:rsid w:val="00E90319"/>
    <w:rsid w:val="00EB7871"/>
    <w:rsid w:val="00EC6E4B"/>
    <w:rsid w:val="00ED3C18"/>
    <w:rsid w:val="00ED44A4"/>
    <w:rsid w:val="00ED6949"/>
    <w:rsid w:val="00EE69CB"/>
    <w:rsid w:val="00EF4C54"/>
    <w:rsid w:val="00F02671"/>
    <w:rsid w:val="00F04CF2"/>
    <w:rsid w:val="00F076DA"/>
    <w:rsid w:val="00F1475E"/>
    <w:rsid w:val="00F15019"/>
    <w:rsid w:val="00F24E79"/>
    <w:rsid w:val="00F300A2"/>
    <w:rsid w:val="00F3231C"/>
    <w:rsid w:val="00F33B85"/>
    <w:rsid w:val="00F368F9"/>
    <w:rsid w:val="00F36C4A"/>
    <w:rsid w:val="00F47245"/>
    <w:rsid w:val="00F5327F"/>
    <w:rsid w:val="00F607DC"/>
    <w:rsid w:val="00F65F20"/>
    <w:rsid w:val="00F71A12"/>
    <w:rsid w:val="00F73BFC"/>
    <w:rsid w:val="00F91B7D"/>
    <w:rsid w:val="00F93230"/>
    <w:rsid w:val="00F973DD"/>
    <w:rsid w:val="00FB04E0"/>
    <w:rsid w:val="00FB0BA4"/>
    <w:rsid w:val="00FC3713"/>
    <w:rsid w:val="00FC4025"/>
    <w:rsid w:val="00FD2AC5"/>
    <w:rsid w:val="00FD608F"/>
    <w:rsid w:val="00FE0033"/>
    <w:rsid w:val="00FE25B2"/>
    <w:rsid w:val="00FE529B"/>
    <w:rsid w:val="00FF678A"/>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A24D9C"/>
  <w15:chartTrackingRefBased/>
  <w15:docId w15:val="{61835717-5CD6-4183-9ACF-E21C9ADE9C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zh-TW"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07E3E"/>
  </w:style>
  <w:style w:type="paragraph" w:styleId="Heading1">
    <w:name w:val="heading 1"/>
    <w:basedOn w:val="Normal"/>
    <w:next w:val="Normal"/>
    <w:link w:val="Heading1Char"/>
    <w:uiPriority w:val="9"/>
    <w:qFormat/>
    <w:rsid w:val="009E4181"/>
    <w:pPr>
      <w:keepNext/>
      <w:keepLines/>
      <w:numPr>
        <w:numId w:val="6"/>
      </w:numPr>
      <w:spacing w:before="240" w:after="240" w:line="259" w:lineRule="auto"/>
      <w:ind w:left="426" w:hanging="426"/>
      <w:outlineLvl w:val="0"/>
    </w:pPr>
    <w:rPr>
      <w:rFonts w:asciiTheme="majorHAnsi" w:eastAsiaTheme="majorEastAsia" w:hAnsiTheme="majorHAnsi" w:cstheme="majorBidi"/>
      <w:color w:val="365F91" w:themeColor="accent1" w:themeShade="BF"/>
      <w:sz w:val="32"/>
      <w:szCs w:val="32"/>
      <w:lang w:eastAsia="en-US"/>
    </w:rPr>
  </w:style>
  <w:style w:type="paragraph" w:styleId="Heading2">
    <w:name w:val="heading 2"/>
    <w:basedOn w:val="Normal"/>
    <w:next w:val="Normal"/>
    <w:link w:val="Heading2Char"/>
    <w:uiPriority w:val="9"/>
    <w:unhideWhenUsed/>
    <w:qFormat/>
    <w:rsid w:val="009E4181"/>
    <w:pPr>
      <w:keepNext/>
      <w:keepLines/>
      <w:spacing w:before="40" w:after="12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BE4A9F"/>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8422CD"/>
    <w:pPr>
      <w:spacing w:after="0" w:line="240" w:lineRule="auto"/>
    </w:pPr>
    <w:rPr>
      <w:lang w:eastAsia="en-US"/>
    </w:rPr>
  </w:style>
  <w:style w:type="character" w:customStyle="1" w:styleId="NoSpacingChar">
    <w:name w:val="No Spacing Char"/>
    <w:basedOn w:val="DefaultParagraphFont"/>
    <w:link w:val="NoSpacing"/>
    <w:uiPriority w:val="1"/>
    <w:rsid w:val="008422CD"/>
    <w:rPr>
      <w:lang w:eastAsia="en-US"/>
    </w:rPr>
  </w:style>
  <w:style w:type="paragraph" w:styleId="FootnoteText">
    <w:name w:val="footnote text"/>
    <w:basedOn w:val="Normal"/>
    <w:link w:val="FootnoteTextChar"/>
    <w:uiPriority w:val="99"/>
    <w:semiHidden/>
    <w:unhideWhenUsed/>
    <w:rsid w:val="001D4B36"/>
    <w:pPr>
      <w:spacing w:after="0" w:line="240" w:lineRule="auto"/>
    </w:pPr>
    <w:rPr>
      <w:rFonts w:eastAsia="PMingLiU"/>
      <w:sz w:val="20"/>
      <w:szCs w:val="20"/>
    </w:rPr>
  </w:style>
  <w:style w:type="character" w:customStyle="1" w:styleId="FootnoteTextChar">
    <w:name w:val="Footnote Text Char"/>
    <w:basedOn w:val="DefaultParagraphFont"/>
    <w:link w:val="FootnoteText"/>
    <w:uiPriority w:val="99"/>
    <w:semiHidden/>
    <w:rsid w:val="001D4B36"/>
    <w:rPr>
      <w:rFonts w:eastAsia="PMingLiU"/>
      <w:sz w:val="20"/>
      <w:szCs w:val="20"/>
    </w:rPr>
  </w:style>
  <w:style w:type="character" w:styleId="FootnoteReference">
    <w:name w:val="footnote reference"/>
    <w:basedOn w:val="DefaultParagraphFont"/>
    <w:uiPriority w:val="99"/>
    <w:semiHidden/>
    <w:unhideWhenUsed/>
    <w:rsid w:val="001D4B36"/>
    <w:rPr>
      <w:vertAlign w:val="superscript"/>
    </w:rPr>
  </w:style>
  <w:style w:type="character" w:customStyle="1" w:styleId="Heading2Char">
    <w:name w:val="Heading 2 Char"/>
    <w:basedOn w:val="DefaultParagraphFont"/>
    <w:link w:val="Heading2"/>
    <w:uiPriority w:val="9"/>
    <w:rsid w:val="009E4181"/>
    <w:rPr>
      <w:rFonts w:asciiTheme="majorHAnsi" w:eastAsiaTheme="majorEastAsia" w:hAnsiTheme="majorHAnsi" w:cstheme="majorBidi"/>
      <w:color w:val="365F91" w:themeColor="accent1" w:themeShade="BF"/>
      <w:sz w:val="26"/>
      <w:szCs w:val="26"/>
    </w:rPr>
  </w:style>
  <w:style w:type="character" w:customStyle="1" w:styleId="Heading1Char">
    <w:name w:val="Heading 1 Char"/>
    <w:basedOn w:val="DefaultParagraphFont"/>
    <w:link w:val="Heading1"/>
    <w:uiPriority w:val="9"/>
    <w:rsid w:val="009E4181"/>
    <w:rPr>
      <w:rFonts w:asciiTheme="majorHAnsi" w:eastAsiaTheme="majorEastAsia" w:hAnsiTheme="majorHAnsi" w:cstheme="majorBidi"/>
      <w:color w:val="365F91" w:themeColor="accent1" w:themeShade="BF"/>
      <w:sz w:val="32"/>
      <w:szCs w:val="32"/>
      <w:lang w:eastAsia="en-US"/>
    </w:rPr>
  </w:style>
  <w:style w:type="paragraph" w:styleId="Bibliography">
    <w:name w:val="Bibliography"/>
    <w:basedOn w:val="Normal"/>
    <w:next w:val="Normal"/>
    <w:uiPriority w:val="37"/>
    <w:unhideWhenUsed/>
    <w:rsid w:val="001524B7"/>
  </w:style>
  <w:style w:type="character" w:customStyle="1" w:styleId="Heading3Char">
    <w:name w:val="Heading 3 Char"/>
    <w:basedOn w:val="DefaultParagraphFont"/>
    <w:link w:val="Heading3"/>
    <w:uiPriority w:val="9"/>
    <w:rsid w:val="00BE4A9F"/>
    <w:rPr>
      <w:rFonts w:asciiTheme="majorHAnsi" w:eastAsiaTheme="majorEastAsia" w:hAnsiTheme="majorHAnsi" w:cstheme="majorBidi"/>
      <w:color w:val="243F60" w:themeColor="accent1" w:themeShade="7F"/>
      <w:sz w:val="24"/>
      <w:szCs w:val="24"/>
    </w:rPr>
  </w:style>
  <w:style w:type="table" w:styleId="TableGrid">
    <w:name w:val="Table Grid"/>
    <w:basedOn w:val="TableNormal"/>
    <w:uiPriority w:val="39"/>
    <w:rsid w:val="00F93230"/>
    <w:pPr>
      <w:spacing w:after="0" w:line="240" w:lineRule="auto"/>
    </w:pPr>
    <w:rPr>
      <w:rFonts w:eastAsiaTheme="minorHAnsi"/>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CA2AE3"/>
    <w:pPr>
      <w:outlineLvl w:val="9"/>
    </w:pPr>
  </w:style>
  <w:style w:type="paragraph" w:styleId="TOC1">
    <w:name w:val="toc 1"/>
    <w:basedOn w:val="Normal"/>
    <w:next w:val="Normal"/>
    <w:autoRedefine/>
    <w:uiPriority w:val="39"/>
    <w:unhideWhenUsed/>
    <w:rsid w:val="00CA2AE3"/>
    <w:pPr>
      <w:spacing w:after="100"/>
    </w:pPr>
  </w:style>
  <w:style w:type="paragraph" w:styleId="TOC2">
    <w:name w:val="toc 2"/>
    <w:basedOn w:val="Normal"/>
    <w:next w:val="Normal"/>
    <w:autoRedefine/>
    <w:uiPriority w:val="39"/>
    <w:unhideWhenUsed/>
    <w:rsid w:val="00CA2AE3"/>
    <w:pPr>
      <w:spacing w:after="100"/>
      <w:ind w:left="220"/>
    </w:pPr>
  </w:style>
  <w:style w:type="paragraph" w:styleId="TOC3">
    <w:name w:val="toc 3"/>
    <w:basedOn w:val="Normal"/>
    <w:next w:val="Normal"/>
    <w:autoRedefine/>
    <w:uiPriority w:val="39"/>
    <w:unhideWhenUsed/>
    <w:rsid w:val="00CA2AE3"/>
    <w:pPr>
      <w:spacing w:after="100"/>
      <w:ind w:left="440"/>
    </w:pPr>
  </w:style>
  <w:style w:type="character" w:styleId="Hyperlink">
    <w:name w:val="Hyperlink"/>
    <w:basedOn w:val="DefaultParagraphFont"/>
    <w:uiPriority w:val="99"/>
    <w:unhideWhenUsed/>
    <w:rsid w:val="00CA2AE3"/>
    <w:rPr>
      <w:color w:val="0000FF" w:themeColor="hyperlink"/>
      <w:u w:val="single"/>
    </w:rPr>
  </w:style>
  <w:style w:type="paragraph" w:styleId="ListParagraph">
    <w:name w:val="List Paragraph"/>
    <w:basedOn w:val="Normal"/>
    <w:uiPriority w:val="34"/>
    <w:qFormat/>
    <w:rsid w:val="00864A9E"/>
    <w:pPr>
      <w:ind w:left="720"/>
      <w:contextualSpacing/>
    </w:pPr>
  </w:style>
  <w:style w:type="character" w:styleId="PlaceholderText">
    <w:name w:val="Placeholder Text"/>
    <w:basedOn w:val="DefaultParagraphFont"/>
    <w:uiPriority w:val="99"/>
    <w:semiHidden/>
    <w:rsid w:val="005728F0"/>
    <w:rPr>
      <w:color w:val="808080"/>
    </w:rPr>
  </w:style>
  <w:style w:type="paragraph" w:styleId="Header">
    <w:name w:val="header"/>
    <w:basedOn w:val="Normal"/>
    <w:link w:val="HeaderChar"/>
    <w:uiPriority w:val="99"/>
    <w:unhideWhenUsed/>
    <w:rsid w:val="00990C5C"/>
    <w:pPr>
      <w:tabs>
        <w:tab w:val="center" w:pos="4819"/>
        <w:tab w:val="right" w:pos="9638"/>
      </w:tabs>
      <w:spacing w:after="0" w:line="240" w:lineRule="auto"/>
    </w:pPr>
  </w:style>
  <w:style w:type="character" w:customStyle="1" w:styleId="HeaderChar">
    <w:name w:val="Header Char"/>
    <w:basedOn w:val="DefaultParagraphFont"/>
    <w:link w:val="Header"/>
    <w:uiPriority w:val="99"/>
    <w:rsid w:val="00990C5C"/>
  </w:style>
  <w:style w:type="paragraph" w:styleId="Footer">
    <w:name w:val="footer"/>
    <w:basedOn w:val="Normal"/>
    <w:link w:val="FooterChar"/>
    <w:uiPriority w:val="99"/>
    <w:unhideWhenUsed/>
    <w:rsid w:val="00990C5C"/>
    <w:pPr>
      <w:tabs>
        <w:tab w:val="center" w:pos="4819"/>
        <w:tab w:val="right" w:pos="9638"/>
      </w:tabs>
      <w:spacing w:after="0" w:line="240" w:lineRule="auto"/>
    </w:pPr>
  </w:style>
  <w:style w:type="character" w:customStyle="1" w:styleId="FooterChar">
    <w:name w:val="Footer Char"/>
    <w:basedOn w:val="DefaultParagraphFont"/>
    <w:link w:val="Footer"/>
    <w:uiPriority w:val="99"/>
    <w:rsid w:val="00990C5C"/>
  </w:style>
  <w:style w:type="paragraph" w:styleId="BalloonText">
    <w:name w:val="Balloon Text"/>
    <w:basedOn w:val="Normal"/>
    <w:link w:val="BalloonTextChar"/>
    <w:uiPriority w:val="99"/>
    <w:semiHidden/>
    <w:unhideWhenUsed/>
    <w:rsid w:val="008F173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F1734"/>
    <w:rPr>
      <w:rFonts w:ascii="Segoe UI" w:hAnsi="Segoe UI" w:cs="Segoe UI"/>
      <w:sz w:val="18"/>
      <w:szCs w:val="18"/>
    </w:rPr>
  </w:style>
  <w:style w:type="paragraph" w:styleId="Caption">
    <w:name w:val="caption"/>
    <w:basedOn w:val="Normal"/>
    <w:next w:val="Normal"/>
    <w:uiPriority w:val="35"/>
    <w:unhideWhenUsed/>
    <w:qFormat/>
    <w:rsid w:val="003E1FBE"/>
    <w:pPr>
      <w:spacing w:line="240" w:lineRule="auto"/>
    </w:pPr>
    <w:rPr>
      <w:i/>
      <w:iCs/>
      <w:color w:val="1F497D" w:themeColor="text2"/>
      <w:sz w:val="18"/>
      <w:szCs w:val="18"/>
    </w:rPr>
  </w:style>
  <w:style w:type="paragraph" w:styleId="Title">
    <w:name w:val="Title"/>
    <w:basedOn w:val="Normal"/>
    <w:next w:val="Normal"/>
    <w:link w:val="TitleChar"/>
    <w:uiPriority w:val="10"/>
    <w:qFormat/>
    <w:rsid w:val="00770B4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70B43"/>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18143">
      <w:bodyDiv w:val="1"/>
      <w:marLeft w:val="0"/>
      <w:marRight w:val="0"/>
      <w:marTop w:val="0"/>
      <w:marBottom w:val="0"/>
      <w:divBdr>
        <w:top w:val="none" w:sz="0" w:space="0" w:color="auto"/>
        <w:left w:val="none" w:sz="0" w:space="0" w:color="auto"/>
        <w:bottom w:val="none" w:sz="0" w:space="0" w:color="auto"/>
        <w:right w:val="none" w:sz="0" w:space="0" w:color="auto"/>
      </w:divBdr>
    </w:div>
    <w:div w:id="4788898">
      <w:bodyDiv w:val="1"/>
      <w:marLeft w:val="0"/>
      <w:marRight w:val="0"/>
      <w:marTop w:val="0"/>
      <w:marBottom w:val="0"/>
      <w:divBdr>
        <w:top w:val="none" w:sz="0" w:space="0" w:color="auto"/>
        <w:left w:val="none" w:sz="0" w:space="0" w:color="auto"/>
        <w:bottom w:val="none" w:sz="0" w:space="0" w:color="auto"/>
        <w:right w:val="none" w:sz="0" w:space="0" w:color="auto"/>
      </w:divBdr>
    </w:div>
    <w:div w:id="5720248">
      <w:bodyDiv w:val="1"/>
      <w:marLeft w:val="0"/>
      <w:marRight w:val="0"/>
      <w:marTop w:val="0"/>
      <w:marBottom w:val="0"/>
      <w:divBdr>
        <w:top w:val="none" w:sz="0" w:space="0" w:color="auto"/>
        <w:left w:val="none" w:sz="0" w:space="0" w:color="auto"/>
        <w:bottom w:val="none" w:sz="0" w:space="0" w:color="auto"/>
        <w:right w:val="none" w:sz="0" w:space="0" w:color="auto"/>
      </w:divBdr>
    </w:div>
    <w:div w:id="9993578">
      <w:bodyDiv w:val="1"/>
      <w:marLeft w:val="0"/>
      <w:marRight w:val="0"/>
      <w:marTop w:val="0"/>
      <w:marBottom w:val="0"/>
      <w:divBdr>
        <w:top w:val="none" w:sz="0" w:space="0" w:color="auto"/>
        <w:left w:val="none" w:sz="0" w:space="0" w:color="auto"/>
        <w:bottom w:val="none" w:sz="0" w:space="0" w:color="auto"/>
        <w:right w:val="none" w:sz="0" w:space="0" w:color="auto"/>
      </w:divBdr>
    </w:div>
    <w:div w:id="21636997">
      <w:bodyDiv w:val="1"/>
      <w:marLeft w:val="0"/>
      <w:marRight w:val="0"/>
      <w:marTop w:val="0"/>
      <w:marBottom w:val="0"/>
      <w:divBdr>
        <w:top w:val="none" w:sz="0" w:space="0" w:color="auto"/>
        <w:left w:val="none" w:sz="0" w:space="0" w:color="auto"/>
        <w:bottom w:val="none" w:sz="0" w:space="0" w:color="auto"/>
        <w:right w:val="none" w:sz="0" w:space="0" w:color="auto"/>
      </w:divBdr>
    </w:div>
    <w:div w:id="24185357">
      <w:bodyDiv w:val="1"/>
      <w:marLeft w:val="0"/>
      <w:marRight w:val="0"/>
      <w:marTop w:val="0"/>
      <w:marBottom w:val="0"/>
      <w:divBdr>
        <w:top w:val="none" w:sz="0" w:space="0" w:color="auto"/>
        <w:left w:val="none" w:sz="0" w:space="0" w:color="auto"/>
        <w:bottom w:val="none" w:sz="0" w:space="0" w:color="auto"/>
        <w:right w:val="none" w:sz="0" w:space="0" w:color="auto"/>
      </w:divBdr>
    </w:div>
    <w:div w:id="25059945">
      <w:bodyDiv w:val="1"/>
      <w:marLeft w:val="0"/>
      <w:marRight w:val="0"/>
      <w:marTop w:val="0"/>
      <w:marBottom w:val="0"/>
      <w:divBdr>
        <w:top w:val="none" w:sz="0" w:space="0" w:color="auto"/>
        <w:left w:val="none" w:sz="0" w:space="0" w:color="auto"/>
        <w:bottom w:val="none" w:sz="0" w:space="0" w:color="auto"/>
        <w:right w:val="none" w:sz="0" w:space="0" w:color="auto"/>
      </w:divBdr>
    </w:div>
    <w:div w:id="26029892">
      <w:bodyDiv w:val="1"/>
      <w:marLeft w:val="0"/>
      <w:marRight w:val="0"/>
      <w:marTop w:val="0"/>
      <w:marBottom w:val="0"/>
      <w:divBdr>
        <w:top w:val="none" w:sz="0" w:space="0" w:color="auto"/>
        <w:left w:val="none" w:sz="0" w:space="0" w:color="auto"/>
        <w:bottom w:val="none" w:sz="0" w:space="0" w:color="auto"/>
        <w:right w:val="none" w:sz="0" w:space="0" w:color="auto"/>
      </w:divBdr>
    </w:div>
    <w:div w:id="26567353">
      <w:bodyDiv w:val="1"/>
      <w:marLeft w:val="0"/>
      <w:marRight w:val="0"/>
      <w:marTop w:val="0"/>
      <w:marBottom w:val="0"/>
      <w:divBdr>
        <w:top w:val="none" w:sz="0" w:space="0" w:color="auto"/>
        <w:left w:val="none" w:sz="0" w:space="0" w:color="auto"/>
        <w:bottom w:val="none" w:sz="0" w:space="0" w:color="auto"/>
        <w:right w:val="none" w:sz="0" w:space="0" w:color="auto"/>
      </w:divBdr>
    </w:div>
    <w:div w:id="30689392">
      <w:bodyDiv w:val="1"/>
      <w:marLeft w:val="0"/>
      <w:marRight w:val="0"/>
      <w:marTop w:val="0"/>
      <w:marBottom w:val="0"/>
      <w:divBdr>
        <w:top w:val="none" w:sz="0" w:space="0" w:color="auto"/>
        <w:left w:val="none" w:sz="0" w:space="0" w:color="auto"/>
        <w:bottom w:val="none" w:sz="0" w:space="0" w:color="auto"/>
        <w:right w:val="none" w:sz="0" w:space="0" w:color="auto"/>
      </w:divBdr>
    </w:div>
    <w:div w:id="35786196">
      <w:bodyDiv w:val="1"/>
      <w:marLeft w:val="0"/>
      <w:marRight w:val="0"/>
      <w:marTop w:val="0"/>
      <w:marBottom w:val="0"/>
      <w:divBdr>
        <w:top w:val="none" w:sz="0" w:space="0" w:color="auto"/>
        <w:left w:val="none" w:sz="0" w:space="0" w:color="auto"/>
        <w:bottom w:val="none" w:sz="0" w:space="0" w:color="auto"/>
        <w:right w:val="none" w:sz="0" w:space="0" w:color="auto"/>
      </w:divBdr>
    </w:div>
    <w:div w:id="42947002">
      <w:bodyDiv w:val="1"/>
      <w:marLeft w:val="0"/>
      <w:marRight w:val="0"/>
      <w:marTop w:val="0"/>
      <w:marBottom w:val="0"/>
      <w:divBdr>
        <w:top w:val="none" w:sz="0" w:space="0" w:color="auto"/>
        <w:left w:val="none" w:sz="0" w:space="0" w:color="auto"/>
        <w:bottom w:val="none" w:sz="0" w:space="0" w:color="auto"/>
        <w:right w:val="none" w:sz="0" w:space="0" w:color="auto"/>
      </w:divBdr>
    </w:div>
    <w:div w:id="45641538">
      <w:bodyDiv w:val="1"/>
      <w:marLeft w:val="0"/>
      <w:marRight w:val="0"/>
      <w:marTop w:val="0"/>
      <w:marBottom w:val="0"/>
      <w:divBdr>
        <w:top w:val="none" w:sz="0" w:space="0" w:color="auto"/>
        <w:left w:val="none" w:sz="0" w:space="0" w:color="auto"/>
        <w:bottom w:val="none" w:sz="0" w:space="0" w:color="auto"/>
        <w:right w:val="none" w:sz="0" w:space="0" w:color="auto"/>
      </w:divBdr>
    </w:div>
    <w:div w:id="51778695">
      <w:bodyDiv w:val="1"/>
      <w:marLeft w:val="0"/>
      <w:marRight w:val="0"/>
      <w:marTop w:val="0"/>
      <w:marBottom w:val="0"/>
      <w:divBdr>
        <w:top w:val="none" w:sz="0" w:space="0" w:color="auto"/>
        <w:left w:val="none" w:sz="0" w:space="0" w:color="auto"/>
        <w:bottom w:val="none" w:sz="0" w:space="0" w:color="auto"/>
        <w:right w:val="none" w:sz="0" w:space="0" w:color="auto"/>
      </w:divBdr>
    </w:div>
    <w:div w:id="59406664">
      <w:bodyDiv w:val="1"/>
      <w:marLeft w:val="0"/>
      <w:marRight w:val="0"/>
      <w:marTop w:val="0"/>
      <w:marBottom w:val="0"/>
      <w:divBdr>
        <w:top w:val="none" w:sz="0" w:space="0" w:color="auto"/>
        <w:left w:val="none" w:sz="0" w:space="0" w:color="auto"/>
        <w:bottom w:val="none" w:sz="0" w:space="0" w:color="auto"/>
        <w:right w:val="none" w:sz="0" w:space="0" w:color="auto"/>
      </w:divBdr>
    </w:div>
    <w:div w:id="59988844">
      <w:bodyDiv w:val="1"/>
      <w:marLeft w:val="0"/>
      <w:marRight w:val="0"/>
      <w:marTop w:val="0"/>
      <w:marBottom w:val="0"/>
      <w:divBdr>
        <w:top w:val="none" w:sz="0" w:space="0" w:color="auto"/>
        <w:left w:val="none" w:sz="0" w:space="0" w:color="auto"/>
        <w:bottom w:val="none" w:sz="0" w:space="0" w:color="auto"/>
        <w:right w:val="none" w:sz="0" w:space="0" w:color="auto"/>
      </w:divBdr>
    </w:div>
    <w:div w:id="66653335">
      <w:bodyDiv w:val="1"/>
      <w:marLeft w:val="0"/>
      <w:marRight w:val="0"/>
      <w:marTop w:val="0"/>
      <w:marBottom w:val="0"/>
      <w:divBdr>
        <w:top w:val="none" w:sz="0" w:space="0" w:color="auto"/>
        <w:left w:val="none" w:sz="0" w:space="0" w:color="auto"/>
        <w:bottom w:val="none" w:sz="0" w:space="0" w:color="auto"/>
        <w:right w:val="none" w:sz="0" w:space="0" w:color="auto"/>
      </w:divBdr>
    </w:div>
    <w:div w:id="69036794">
      <w:bodyDiv w:val="1"/>
      <w:marLeft w:val="0"/>
      <w:marRight w:val="0"/>
      <w:marTop w:val="0"/>
      <w:marBottom w:val="0"/>
      <w:divBdr>
        <w:top w:val="none" w:sz="0" w:space="0" w:color="auto"/>
        <w:left w:val="none" w:sz="0" w:space="0" w:color="auto"/>
        <w:bottom w:val="none" w:sz="0" w:space="0" w:color="auto"/>
        <w:right w:val="none" w:sz="0" w:space="0" w:color="auto"/>
      </w:divBdr>
    </w:div>
    <w:div w:id="78840136">
      <w:bodyDiv w:val="1"/>
      <w:marLeft w:val="0"/>
      <w:marRight w:val="0"/>
      <w:marTop w:val="0"/>
      <w:marBottom w:val="0"/>
      <w:divBdr>
        <w:top w:val="none" w:sz="0" w:space="0" w:color="auto"/>
        <w:left w:val="none" w:sz="0" w:space="0" w:color="auto"/>
        <w:bottom w:val="none" w:sz="0" w:space="0" w:color="auto"/>
        <w:right w:val="none" w:sz="0" w:space="0" w:color="auto"/>
      </w:divBdr>
    </w:div>
    <w:div w:id="84882167">
      <w:bodyDiv w:val="1"/>
      <w:marLeft w:val="0"/>
      <w:marRight w:val="0"/>
      <w:marTop w:val="0"/>
      <w:marBottom w:val="0"/>
      <w:divBdr>
        <w:top w:val="none" w:sz="0" w:space="0" w:color="auto"/>
        <w:left w:val="none" w:sz="0" w:space="0" w:color="auto"/>
        <w:bottom w:val="none" w:sz="0" w:space="0" w:color="auto"/>
        <w:right w:val="none" w:sz="0" w:space="0" w:color="auto"/>
      </w:divBdr>
    </w:div>
    <w:div w:id="86735746">
      <w:bodyDiv w:val="1"/>
      <w:marLeft w:val="0"/>
      <w:marRight w:val="0"/>
      <w:marTop w:val="0"/>
      <w:marBottom w:val="0"/>
      <w:divBdr>
        <w:top w:val="none" w:sz="0" w:space="0" w:color="auto"/>
        <w:left w:val="none" w:sz="0" w:space="0" w:color="auto"/>
        <w:bottom w:val="none" w:sz="0" w:space="0" w:color="auto"/>
        <w:right w:val="none" w:sz="0" w:space="0" w:color="auto"/>
      </w:divBdr>
    </w:div>
    <w:div w:id="88233584">
      <w:bodyDiv w:val="1"/>
      <w:marLeft w:val="0"/>
      <w:marRight w:val="0"/>
      <w:marTop w:val="0"/>
      <w:marBottom w:val="0"/>
      <w:divBdr>
        <w:top w:val="none" w:sz="0" w:space="0" w:color="auto"/>
        <w:left w:val="none" w:sz="0" w:space="0" w:color="auto"/>
        <w:bottom w:val="none" w:sz="0" w:space="0" w:color="auto"/>
        <w:right w:val="none" w:sz="0" w:space="0" w:color="auto"/>
      </w:divBdr>
    </w:div>
    <w:div w:id="91249794">
      <w:bodyDiv w:val="1"/>
      <w:marLeft w:val="0"/>
      <w:marRight w:val="0"/>
      <w:marTop w:val="0"/>
      <w:marBottom w:val="0"/>
      <w:divBdr>
        <w:top w:val="none" w:sz="0" w:space="0" w:color="auto"/>
        <w:left w:val="none" w:sz="0" w:space="0" w:color="auto"/>
        <w:bottom w:val="none" w:sz="0" w:space="0" w:color="auto"/>
        <w:right w:val="none" w:sz="0" w:space="0" w:color="auto"/>
      </w:divBdr>
    </w:div>
    <w:div w:id="91441142">
      <w:bodyDiv w:val="1"/>
      <w:marLeft w:val="0"/>
      <w:marRight w:val="0"/>
      <w:marTop w:val="0"/>
      <w:marBottom w:val="0"/>
      <w:divBdr>
        <w:top w:val="none" w:sz="0" w:space="0" w:color="auto"/>
        <w:left w:val="none" w:sz="0" w:space="0" w:color="auto"/>
        <w:bottom w:val="none" w:sz="0" w:space="0" w:color="auto"/>
        <w:right w:val="none" w:sz="0" w:space="0" w:color="auto"/>
      </w:divBdr>
    </w:div>
    <w:div w:id="93945565">
      <w:bodyDiv w:val="1"/>
      <w:marLeft w:val="0"/>
      <w:marRight w:val="0"/>
      <w:marTop w:val="0"/>
      <w:marBottom w:val="0"/>
      <w:divBdr>
        <w:top w:val="none" w:sz="0" w:space="0" w:color="auto"/>
        <w:left w:val="none" w:sz="0" w:space="0" w:color="auto"/>
        <w:bottom w:val="none" w:sz="0" w:space="0" w:color="auto"/>
        <w:right w:val="none" w:sz="0" w:space="0" w:color="auto"/>
      </w:divBdr>
    </w:div>
    <w:div w:id="94400435">
      <w:bodyDiv w:val="1"/>
      <w:marLeft w:val="0"/>
      <w:marRight w:val="0"/>
      <w:marTop w:val="0"/>
      <w:marBottom w:val="0"/>
      <w:divBdr>
        <w:top w:val="none" w:sz="0" w:space="0" w:color="auto"/>
        <w:left w:val="none" w:sz="0" w:space="0" w:color="auto"/>
        <w:bottom w:val="none" w:sz="0" w:space="0" w:color="auto"/>
        <w:right w:val="none" w:sz="0" w:space="0" w:color="auto"/>
      </w:divBdr>
    </w:div>
    <w:div w:id="103771462">
      <w:bodyDiv w:val="1"/>
      <w:marLeft w:val="0"/>
      <w:marRight w:val="0"/>
      <w:marTop w:val="0"/>
      <w:marBottom w:val="0"/>
      <w:divBdr>
        <w:top w:val="none" w:sz="0" w:space="0" w:color="auto"/>
        <w:left w:val="none" w:sz="0" w:space="0" w:color="auto"/>
        <w:bottom w:val="none" w:sz="0" w:space="0" w:color="auto"/>
        <w:right w:val="none" w:sz="0" w:space="0" w:color="auto"/>
      </w:divBdr>
    </w:div>
    <w:div w:id="110712787">
      <w:bodyDiv w:val="1"/>
      <w:marLeft w:val="0"/>
      <w:marRight w:val="0"/>
      <w:marTop w:val="0"/>
      <w:marBottom w:val="0"/>
      <w:divBdr>
        <w:top w:val="none" w:sz="0" w:space="0" w:color="auto"/>
        <w:left w:val="none" w:sz="0" w:space="0" w:color="auto"/>
        <w:bottom w:val="none" w:sz="0" w:space="0" w:color="auto"/>
        <w:right w:val="none" w:sz="0" w:space="0" w:color="auto"/>
      </w:divBdr>
    </w:div>
    <w:div w:id="113409720">
      <w:bodyDiv w:val="1"/>
      <w:marLeft w:val="0"/>
      <w:marRight w:val="0"/>
      <w:marTop w:val="0"/>
      <w:marBottom w:val="0"/>
      <w:divBdr>
        <w:top w:val="none" w:sz="0" w:space="0" w:color="auto"/>
        <w:left w:val="none" w:sz="0" w:space="0" w:color="auto"/>
        <w:bottom w:val="none" w:sz="0" w:space="0" w:color="auto"/>
        <w:right w:val="none" w:sz="0" w:space="0" w:color="auto"/>
      </w:divBdr>
    </w:div>
    <w:div w:id="119109816">
      <w:bodyDiv w:val="1"/>
      <w:marLeft w:val="0"/>
      <w:marRight w:val="0"/>
      <w:marTop w:val="0"/>
      <w:marBottom w:val="0"/>
      <w:divBdr>
        <w:top w:val="none" w:sz="0" w:space="0" w:color="auto"/>
        <w:left w:val="none" w:sz="0" w:space="0" w:color="auto"/>
        <w:bottom w:val="none" w:sz="0" w:space="0" w:color="auto"/>
        <w:right w:val="none" w:sz="0" w:space="0" w:color="auto"/>
      </w:divBdr>
    </w:div>
    <w:div w:id="119346457">
      <w:bodyDiv w:val="1"/>
      <w:marLeft w:val="0"/>
      <w:marRight w:val="0"/>
      <w:marTop w:val="0"/>
      <w:marBottom w:val="0"/>
      <w:divBdr>
        <w:top w:val="none" w:sz="0" w:space="0" w:color="auto"/>
        <w:left w:val="none" w:sz="0" w:space="0" w:color="auto"/>
        <w:bottom w:val="none" w:sz="0" w:space="0" w:color="auto"/>
        <w:right w:val="none" w:sz="0" w:space="0" w:color="auto"/>
      </w:divBdr>
    </w:div>
    <w:div w:id="120266121">
      <w:bodyDiv w:val="1"/>
      <w:marLeft w:val="0"/>
      <w:marRight w:val="0"/>
      <w:marTop w:val="0"/>
      <w:marBottom w:val="0"/>
      <w:divBdr>
        <w:top w:val="none" w:sz="0" w:space="0" w:color="auto"/>
        <w:left w:val="none" w:sz="0" w:space="0" w:color="auto"/>
        <w:bottom w:val="none" w:sz="0" w:space="0" w:color="auto"/>
        <w:right w:val="none" w:sz="0" w:space="0" w:color="auto"/>
      </w:divBdr>
    </w:div>
    <w:div w:id="120880848">
      <w:bodyDiv w:val="1"/>
      <w:marLeft w:val="0"/>
      <w:marRight w:val="0"/>
      <w:marTop w:val="0"/>
      <w:marBottom w:val="0"/>
      <w:divBdr>
        <w:top w:val="none" w:sz="0" w:space="0" w:color="auto"/>
        <w:left w:val="none" w:sz="0" w:space="0" w:color="auto"/>
        <w:bottom w:val="none" w:sz="0" w:space="0" w:color="auto"/>
        <w:right w:val="none" w:sz="0" w:space="0" w:color="auto"/>
      </w:divBdr>
    </w:div>
    <w:div w:id="122575894">
      <w:bodyDiv w:val="1"/>
      <w:marLeft w:val="0"/>
      <w:marRight w:val="0"/>
      <w:marTop w:val="0"/>
      <w:marBottom w:val="0"/>
      <w:divBdr>
        <w:top w:val="none" w:sz="0" w:space="0" w:color="auto"/>
        <w:left w:val="none" w:sz="0" w:space="0" w:color="auto"/>
        <w:bottom w:val="none" w:sz="0" w:space="0" w:color="auto"/>
        <w:right w:val="none" w:sz="0" w:space="0" w:color="auto"/>
      </w:divBdr>
    </w:div>
    <w:div w:id="123155423">
      <w:bodyDiv w:val="1"/>
      <w:marLeft w:val="0"/>
      <w:marRight w:val="0"/>
      <w:marTop w:val="0"/>
      <w:marBottom w:val="0"/>
      <w:divBdr>
        <w:top w:val="none" w:sz="0" w:space="0" w:color="auto"/>
        <w:left w:val="none" w:sz="0" w:space="0" w:color="auto"/>
        <w:bottom w:val="none" w:sz="0" w:space="0" w:color="auto"/>
        <w:right w:val="none" w:sz="0" w:space="0" w:color="auto"/>
      </w:divBdr>
    </w:div>
    <w:div w:id="124083462">
      <w:bodyDiv w:val="1"/>
      <w:marLeft w:val="0"/>
      <w:marRight w:val="0"/>
      <w:marTop w:val="0"/>
      <w:marBottom w:val="0"/>
      <w:divBdr>
        <w:top w:val="none" w:sz="0" w:space="0" w:color="auto"/>
        <w:left w:val="none" w:sz="0" w:space="0" w:color="auto"/>
        <w:bottom w:val="none" w:sz="0" w:space="0" w:color="auto"/>
        <w:right w:val="none" w:sz="0" w:space="0" w:color="auto"/>
      </w:divBdr>
    </w:div>
    <w:div w:id="134951641">
      <w:bodyDiv w:val="1"/>
      <w:marLeft w:val="0"/>
      <w:marRight w:val="0"/>
      <w:marTop w:val="0"/>
      <w:marBottom w:val="0"/>
      <w:divBdr>
        <w:top w:val="none" w:sz="0" w:space="0" w:color="auto"/>
        <w:left w:val="none" w:sz="0" w:space="0" w:color="auto"/>
        <w:bottom w:val="none" w:sz="0" w:space="0" w:color="auto"/>
        <w:right w:val="none" w:sz="0" w:space="0" w:color="auto"/>
      </w:divBdr>
    </w:div>
    <w:div w:id="140079790">
      <w:bodyDiv w:val="1"/>
      <w:marLeft w:val="0"/>
      <w:marRight w:val="0"/>
      <w:marTop w:val="0"/>
      <w:marBottom w:val="0"/>
      <w:divBdr>
        <w:top w:val="none" w:sz="0" w:space="0" w:color="auto"/>
        <w:left w:val="none" w:sz="0" w:space="0" w:color="auto"/>
        <w:bottom w:val="none" w:sz="0" w:space="0" w:color="auto"/>
        <w:right w:val="none" w:sz="0" w:space="0" w:color="auto"/>
      </w:divBdr>
    </w:div>
    <w:div w:id="158161872">
      <w:bodyDiv w:val="1"/>
      <w:marLeft w:val="0"/>
      <w:marRight w:val="0"/>
      <w:marTop w:val="0"/>
      <w:marBottom w:val="0"/>
      <w:divBdr>
        <w:top w:val="none" w:sz="0" w:space="0" w:color="auto"/>
        <w:left w:val="none" w:sz="0" w:space="0" w:color="auto"/>
        <w:bottom w:val="none" w:sz="0" w:space="0" w:color="auto"/>
        <w:right w:val="none" w:sz="0" w:space="0" w:color="auto"/>
      </w:divBdr>
    </w:div>
    <w:div w:id="158230463">
      <w:bodyDiv w:val="1"/>
      <w:marLeft w:val="0"/>
      <w:marRight w:val="0"/>
      <w:marTop w:val="0"/>
      <w:marBottom w:val="0"/>
      <w:divBdr>
        <w:top w:val="none" w:sz="0" w:space="0" w:color="auto"/>
        <w:left w:val="none" w:sz="0" w:space="0" w:color="auto"/>
        <w:bottom w:val="none" w:sz="0" w:space="0" w:color="auto"/>
        <w:right w:val="none" w:sz="0" w:space="0" w:color="auto"/>
      </w:divBdr>
    </w:div>
    <w:div w:id="159664607">
      <w:bodyDiv w:val="1"/>
      <w:marLeft w:val="0"/>
      <w:marRight w:val="0"/>
      <w:marTop w:val="0"/>
      <w:marBottom w:val="0"/>
      <w:divBdr>
        <w:top w:val="none" w:sz="0" w:space="0" w:color="auto"/>
        <w:left w:val="none" w:sz="0" w:space="0" w:color="auto"/>
        <w:bottom w:val="none" w:sz="0" w:space="0" w:color="auto"/>
        <w:right w:val="none" w:sz="0" w:space="0" w:color="auto"/>
      </w:divBdr>
    </w:div>
    <w:div w:id="177429215">
      <w:bodyDiv w:val="1"/>
      <w:marLeft w:val="0"/>
      <w:marRight w:val="0"/>
      <w:marTop w:val="0"/>
      <w:marBottom w:val="0"/>
      <w:divBdr>
        <w:top w:val="none" w:sz="0" w:space="0" w:color="auto"/>
        <w:left w:val="none" w:sz="0" w:space="0" w:color="auto"/>
        <w:bottom w:val="none" w:sz="0" w:space="0" w:color="auto"/>
        <w:right w:val="none" w:sz="0" w:space="0" w:color="auto"/>
      </w:divBdr>
    </w:div>
    <w:div w:id="177625539">
      <w:bodyDiv w:val="1"/>
      <w:marLeft w:val="0"/>
      <w:marRight w:val="0"/>
      <w:marTop w:val="0"/>
      <w:marBottom w:val="0"/>
      <w:divBdr>
        <w:top w:val="none" w:sz="0" w:space="0" w:color="auto"/>
        <w:left w:val="none" w:sz="0" w:space="0" w:color="auto"/>
        <w:bottom w:val="none" w:sz="0" w:space="0" w:color="auto"/>
        <w:right w:val="none" w:sz="0" w:space="0" w:color="auto"/>
      </w:divBdr>
    </w:div>
    <w:div w:id="186647352">
      <w:bodyDiv w:val="1"/>
      <w:marLeft w:val="0"/>
      <w:marRight w:val="0"/>
      <w:marTop w:val="0"/>
      <w:marBottom w:val="0"/>
      <w:divBdr>
        <w:top w:val="none" w:sz="0" w:space="0" w:color="auto"/>
        <w:left w:val="none" w:sz="0" w:space="0" w:color="auto"/>
        <w:bottom w:val="none" w:sz="0" w:space="0" w:color="auto"/>
        <w:right w:val="none" w:sz="0" w:space="0" w:color="auto"/>
      </w:divBdr>
    </w:div>
    <w:div w:id="189924254">
      <w:bodyDiv w:val="1"/>
      <w:marLeft w:val="0"/>
      <w:marRight w:val="0"/>
      <w:marTop w:val="0"/>
      <w:marBottom w:val="0"/>
      <w:divBdr>
        <w:top w:val="none" w:sz="0" w:space="0" w:color="auto"/>
        <w:left w:val="none" w:sz="0" w:space="0" w:color="auto"/>
        <w:bottom w:val="none" w:sz="0" w:space="0" w:color="auto"/>
        <w:right w:val="none" w:sz="0" w:space="0" w:color="auto"/>
      </w:divBdr>
    </w:div>
    <w:div w:id="190647645">
      <w:bodyDiv w:val="1"/>
      <w:marLeft w:val="0"/>
      <w:marRight w:val="0"/>
      <w:marTop w:val="0"/>
      <w:marBottom w:val="0"/>
      <w:divBdr>
        <w:top w:val="none" w:sz="0" w:space="0" w:color="auto"/>
        <w:left w:val="none" w:sz="0" w:space="0" w:color="auto"/>
        <w:bottom w:val="none" w:sz="0" w:space="0" w:color="auto"/>
        <w:right w:val="none" w:sz="0" w:space="0" w:color="auto"/>
      </w:divBdr>
    </w:div>
    <w:div w:id="195848789">
      <w:bodyDiv w:val="1"/>
      <w:marLeft w:val="0"/>
      <w:marRight w:val="0"/>
      <w:marTop w:val="0"/>
      <w:marBottom w:val="0"/>
      <w:divBdr>
        <w:top w:val="none" w:sz="0" w:space="0" w:color="auto"/>
        <w:left w:val="none" w:sz="0" w:space="0" w:color="auto"/>
        <w:bottom w:val="none" w:sz="0" w:space="0" w:color="auto"/>
        <w:right w:val="none" w:sz="0" w:space="0" w:color="auto"/>
      </w:divBdr>
    </w:div>
    <w:div w:id="196622295">
      <w:bodyDiv w:val="1"/>
      <w:marLeft w:val="0"/>
      <w:marRight w:val="0"/>
      <w:marTop w:val="0"/>
      <w:marBottom w:val="0"/>
      <w:divBdr>
        <w:top w:val="none" w:sz="0" w:space="0" w:color="auto"/>
        <w:left w:val="none" w:sz="0" w:space="0" w:color="auto"/>
        <w:bottom w:val="none" w:sz="0" w:space="0" w:color="auto"/>
        <w:right w:val="none" w:sz="0" w:space="0" w:color="auto"/>
      </w:divBdr>
    </w:div>
    <w:div w:id="197743551">
      <w:bodyDiv w:val="1"/>
      <w:marLeft w:val="0"/>
      <w:marRight w:val="0"/>
      <w:marTop w:val="0"/>
      <w:marBottom w:val="0"/>
      <w:divBdr>
        <w:top w:val="none" w:sz="0" w:space="0" w:color="auto"/>
        <w:left w:val="none" w:sz="0" w:space="0" w:color="auto"/>
        <w:bottom w:val="none" w:sz="0" w:space="0" w:color="auto"/>
        <w:right w:val="none" w:sz="0" w:space="0" w:color="auto"/>
      </w:divBdr>
    </w:div>
    <w:div w:id="205336649">
      <w:bodyDiv w:val="1"/>
      <w:marLeft w:val="0"/>
      <w:marRight w:val="0"/>
      <w:marTop w:val="0"/>
      <w:marBottom w:val="0"/>
      <w:divBdr>
        <w:top w:val="none" w:sz="0" w:space="0" w:color="auto"/>
        <w:left w:val="none" w:sz="0" w:space="0" w:color="auto"/>
        <w:bottom w:val="none" w:sz="0" w:space="0" w:color="auto"/>
        <w:right w:val="none" w:sz="0" w:space="0" w:color="auto"/>
      </w:divBdr>
    </w:div>
    <w:div w:id="212664580">
      <w:bodyDiv w:val="1"/>
      <w:marLeft w:val="0"/>
      <w:marRight w:val="0"/>
      <w:marTop w:val="0"/>
      <w:marBottom w:val="0"/>
      <w:divBdr>
        <w:top w:val="none" w:sz="0" w:space="0" w:color="auto"/>
        <w:left w:val="none" w:sz="0" w:space="0" w:color="auto"/>
        <w:bottom w:val="none" w:sz="0" w:space="0" w:color="auto"/>
        <w:right w:val="none" w:sz="0" w:space="0" w:color="auto"/>
      </w:divBdr>
    </w:div>
    <w:div w:id="216670015">
      <w:bodyDiv w:val="1"/>
      <w:marLeft w:val="0"/>
      <w:marRight w:val="0"/>
      <w:marTop w:val="0"/>
      <w:marBottom w:val="0"/>
      <w:divBdr>
        <w:top w:val="none" w:sz="0" w:space="0" w:color="auto"/>
        <w:left w:val="none" w:sz="0" w:space="0" w:color="auto"/>
        <w:bottom w:val="none" w:sz="0" w:space="0" w:color="auto"/>
        <w:right w:val="none" w:sz="0" w:space="0" w:color="auto"/>
      </w:divBdr>
    </w:div>
    <w:div w:id="217862175">
      <w:bodyDiv w:val="1"/>
      <w:marLeft w:val="0"/>
      <w:marRight w:val="0"/>
      <w:marTop w:val="0"/>
      <w:marBottom w:val="0"/>
      <w:divBdr>
        <w:top w:val="none" w:sz="0" w:space="0" w:color="auto"/>
        <w:left w:val="none" w:sz="0" w:space="0" w:color="auto"/>
        <w:bottom w:val="none" w:sz="0" w:space="0" w:color="auto"/>
        <w:right w:val="none" w:sz="0" w:space="0" w:color="auto"/>
      </w:divBdr>
    </w:div>
    <w:div w:id="218132167">
      <w:bodyDiv w:val="1"/>
      <w:marLeft w:val="0"/>
      <w:marRight w:val="0"/>
      <w:marTop w:val="0"/>
      <w:marBottom w:val="0"/>
      <w:divBdr>
        <w:top w:val="none" w:sz="0" w:space="0" w:color="auto"/>
        <w:left w:val="none" w:sz="0" w:space="0" w:color="auto"/>
        <w:bottom w:val="none" w:sz="0" w:space="0" w:color="auto"/>
        <w:right w:val="none" w:sz="0" w:space="0" w:color="auto"/>
      </w:divBdr>
    </w:div>
    <w:div w:id="218248699">
      <w:bodyDiv w:val="1"/>
      <w:marLeft w:val="0"/>
      <w:marRight w:val="0"/>
      <w:marTop w:val="0"/>
      <w:marBottom w:val="0"/>
      <w:divBdr>
        <w:top w:val="none" w:sz="0" w:space="0" w:color="auto"/>
        <w:left w:val="none" w:sz="0" w:space="0" w:color="auto"/>
        <w:bottom w:val="none" w:sz="0" w:space="0" w:color="auto"/>
        <w:right w:val="none" w:sz="0" w:space="0" w:color="auto"/>
      </w:divBdr>
    </w:div>
    <w:div w:id="218325559">
      <w:bodyDiv w:val="1"/>
      <w:marLeft w:val="0"/>
      <w:marRight w:val="0"/>
      <w:marTop w:val="0"/>
      <w:marBottom w:val="0"/>
      <w:divBdr>
        <w:top w:val="none" w:sz="0" w:space="0" w:color="auto"/>
        <w:left w:val="none" w:sz="0" w:space="0" w:color="auto"/>
        <w:bottom w:val="none" w:sz="0" w:space="0" w:color="auto"/>
        <w:right w:val="none" w:sz="0" w:space="0" w:color="auto"/>
      </w:divBdr>
    </w:div>
    <w:div w:id="231356567">
      <w:bodyDiv w:val="1"/>
      <w:marLeft w:val="0"/>
      <w:marRight w:val="0"/>
      <w:marTop w:val="0"/>
      <w:marBottom w:val="0"/>
      <w:divBdr>
        <w:top w:val="none" w:sz="0" w:space="0" w:color="auto"/>
        <w:left w:val="none" w:sz="0" w:space="0" w:color="auto"/>
        <w:bottom w:val="none" w:sz="0" w:space="0" w:color="auto"/>
        <w:right w:val="none" w:sz="0" w:space="0" w:color="auto"/>
      </w:divBdr>
    </w:div>
    <w:div w:id="233321626">
      <w:bodyDiv w:val="1"/>
      <w:marLeft w:val="0"/>
      <w:marRight w:val="0"/>
      <w:marTop w:val="0"/>
      <w:marBottom w:val="0"/>
      <w:divBdr>
        <w:top w:val="none" w:sz="0" w:space="0" w:color="auto"/>
        <w:left w:val="none" w:sz="0" w:space="0" w:color="auto"/>
        <w:bottom w:val="none" w:sz="0" w:space="0" w:color="auto"/>
        <w:right w:val="none" w:sz="0" w:space="0" w:color="auto"/>
      </w:divBdr>
    </w:div>
    <w:div w:id="233665957">
      <w:bodyDiv w:val="1"/>
      <w:marLeft w:val="0"/>
      <w:marRight w:val="0"/>
      <w:marTop w:val="0"/>
      <w:marBottom w:val="0"/>
      <w:divBdr>
        <w:top w:val="none" w:sz="0" w:space="0" w:color="auto"/>
        <w:left w:val="none" w:sz="0" w:space="0" w:color="auto"/>
        <w:bottom w:val="none" w:sz="0" w:space="0" w:color="auto"/>
        <w:right w:val="none" w:sz="0" w:space="0" w:color="auto"/>
      </w:divBdr>
    </w:div>
    <w:div w:id="236090991">
      <w:bodyDiv w:val="1"/>
      <w:marLeft w:val="0"/>
      <w:marRight w:val="0"/>
      <w:marTop w:val="0"/>
      <w:marBottom w:val="0"/>
      <w:divBdr>
        <w:top w:val="none" w:sz="0" w:space="0" w:color="auto"/>
        <w:left w:val="none" w:sz="0" w:space="0" w:color="auto"/>
        <w:bottom w:val="none" w:sz="0" w:space="0" w:color="auto"/>
        <w:right w:val="none" w:sz="0" w:space="0" w:color="auto"/>
      </w:divBdr>
    </w:div>
    <w:div w:id="236982878">
      <w:bodyDiv w:val="1"/>
      <w:marLeft w:val="0"/>
      <w:marRight w:val="0"/>
      <w:marTop w:val="0"/>
      <w:marBottom w:val="0"/>
      <w:divBdr>
        <w:top w:val="none" w:sz="0" w:space="0" w:color="auto"/>
        <w:left w:val="none" w:sz="0" w:space="0" w:color="auto"/>
        <w:bottom w:val="none" w:sz="0" w:space="0" w:color="auto"/>
        <w:right w:val="none" w:sz="0" w:space="0" w:color="auto"/>
      </w:divBdr>
    </w:div>
    <w:div w:id="240528747">
      <w:bodyDiv w:val="1"/>
      <w:marLeft w:val="0"/>
      <w:marRight w:val="0"/>
      <w:marTop w:val="0"/>
      <w:marBottom w:val="0"/>
      <w:divBdr>
        <w:top w:val="none" w:sz="0" w:space="0" w:color="auto"/>
        <w:left w:val="none" w:sz="0" w:space="0" w:color="auto"/>
        <w:bottom w:val="none" w:sz="0" w:space="0" w:color="auto"/>
        <w:right w:val="none" w:sz="0" w:space="0" w:color="auto"/>
      </w:divBdr>
    </w:div>
    <w:div w:id="241720916">
      <w:bodyDiv w:val="1"/>
      <w:marLeft w:val="0"/>
      <w:marRight w:val="0"/>
      <w:marTop w:val="0"/>
      <w:marBottom w:val="0"/>
      <w:divBdr>
        <w:top w:val="none" w:sz="0" w:space="0" w:color="auto"/>
        <w:left w:val="none" w:sz="0" w:space="0" w:color="auto"/>
        <w:bottom w:val="none" w:sz="0" w:space="0" w:color="auto"/>
        <w:right w:val="none" w:sz="0" w:space="0" w:color="auto"/>
      </w:divBdr>
    </w:div>
    <w:div w:id="244581241">
      <w:bodyDiv w:val="1"/>
      <w:marLeft w:val="0"/>
      <w:marRight w:val="0"/>
      <w:marTop w:val="0"/>
      <w:marBottom w:val="0"/>
      <w:divBdr>
        <w:top w:val="none" w:sz="0" w:space="0" w:color="auto"/>
        <w:left w:val="none" w:sz="0" w:space="0" w:color="auto"/>
        <w:bottom w:val="none" w:sz="0" w:space="0" w:color="auto"/>
        <w:right w:val="none" w:sz="0" w:space="0" w:color="auto"/>
      </w:divBdr>
    </w:div>
    <w:div w:id="250623552">
      <w:bodyDiv w:val="1"/>
      <w:marLeft w:val="0"/>
      <w:marRight w:val="0"/>
      <w:marTop w:val="0"/>
      <w:marBottom w:val="0"/>
      <w:divBdr>
        <w:top w:val="none" w:sz="0" w:space="0" w:color="auto"/>
        <w:left w:val="none" w:sz="0" w:space="0" w:color="auto"/>
        <w:bottom w:val="none" w:sz="0" w:space="0" w:color="auto"/>
        <w:right w:val="none" w:sz="0" w:space="0" w:color="auto"/>
      </w:divBdr>
    </w:div>
    <w:div w:id="258486367">
      <w:bodyDiv w:val="1"/>
      <w:marLeft w:val="0"/>
      <w:marRight w:val="0"/>
      <w:marTop w:val="0"/>
      <w:marBottom w:val="0"/>
      <w:divBdr>
        <w:top w:val="none" w:sz="0" w:space="0" w:color="auto"/>
        <w:left w:val="none" w:sz="0" w:space="0" w:color="auto"/>
        <w:bottom w:val="none" w:sz="0" w:space="0" w:color="auto"/>
        <w:right w:val="none" w:sz="0" w:space="0" w:color="auto"/>
      </w:divBdr>
    </w:div>
    <w:div w:id="259489197">
      <w:bodyDiv w:val="1"/>
      <w:marLeft w:val="0"/>
      <w:marRight w:val="0"/>
      <w:marTop w:val="0"/>
      <w:marBottom w:val="0"/>
      <w:divBdr>
        <w:top w:val="none" w:sz="0" w:space="0" w:color="auto"/>
        <w:left w:val="none" w:sz="0" w:space="0" w:color="auto"/>
        <w:bottom w:val="none" w:sz="0" w:space="0" w:color="auto"/>
        <w:right w:val="none" w:sz="0" w:space="0" w:color="auto"/>
      </w:divBdr>
    </w:div>
    <w:div w:id="263420423">
      <w:bodyDiv w:val="1"/>
      <w:marLeft w:val="0"/>
      <w:marRight w:val="0"/>
      <w:marTop w:val="0"/>
      <w:marBottom w:val="0"/>
      <w:divBdr>
        <w:top w:val="none" w:sz="0" w:space="0" w:color="auto"/>
        <w:left w:val="none" w:sz="0" w:space="0" w:color="auto"/>
        <w:bottom w:val="none" w:sz="0" w:space="0" w:color="auto"/>
        <w:right w:val="none" w:sz="0" w:space="0" w:color="auto"/>
      </w:divBdr>
    </w:div>
    <w:div w:id="267542841">
      <w:bodyDiv w:val="1"/>
      <w:marLeft w:val="0"/>
      <w:marRight w:val="0"/>
      <w:marTop w:val="0"/>
      <w:marBottom w:val="0"/>
      <w:divBdr>
        <w:top w:val="none" w:sz="0" w:space="0" w:color="auto"/>
        <w:left w:val="none" w:sz="0" w:space="0" w:color="auto"/>
        <w:bottom w:val="none" w:sz="0" w:space="0" w:color="auto"/>
        <w:right w:val="none" w:sz="0" w:space="0" w:color="auto"/>
      </w:divBdr>
    </w:div>
    <w:div w:id="267783106">
      <w:bodyDiv w:val="1"/>
      <w:marLeft w:val="0"/>
      <w:marRight w:val="0"/>
      <w:marTop w:val="0"/>
      <w:marBottom w:val="0"/>
      <w:divBdr>
        <w:top w:val="none" w:sz="0" w:space="0" w:color="auto"/>
        <w:left w:val="none" w:sz="0" w:space="0" w:color="auto"/>
        <w:bottom w:val="none" w:sz="0" w:space="0" w:color="auto"/>
        <w:right w:val="none" w:sz="0" w:space="0" w:color="auto"/>
      </w:divBdr>
    </w:div>
    <w:div w:id="271593474">
      <w:bodyDiv w:val="1"/>
      <w:marLeft w:val="0"/>
      <w:marRight w:val="0"/>
      <w:marTop w:val="0"/>
      <w:marBottom w:val="0"/>
      <w:divBdr>
        <w:top w:val="none" w:sz="0" w:space="0" w:color="auto"/>
        <w:left w:val="none" w:sz="0" w:space="0" w:color="auto"/>
        <w:bottom w:val="none" w:sz="0" w:space="0" w:color="auto"/>
        <w:right w:val="none" w:sz="0" w:space="0" w:color="auto"/>
      </w:divBdr>
    </w:div>
    <w:div w:id="272247263">
      <w:bodyDiv w:val="1"/>
      <w:marLeft w:val="0"/>
      <w:marRight w:val="0"/>
      <w:marTop w:val="0"/>
      <w:marBottom w:val="0"/>
      <w:divBdr>
        <w:top w:val="none" w:sz="0" w:space="0" w:color="auto"/>
        <w:left w:val="none" w:sz="0" w:space="0" w:color="auto"/>
        <w:bottom w:val="none" w:sz="0" w:space="0" w:color="auto"/>
        <w:right w:val="none" w:sz="0" w:space="0" w:color="auto"/>
      </w:divBdr>
    </w:div>
    <w:div w:id="273444625">
      <w:bodyDiv w:val="1"/>
      <w:marLeft w:val="0"/>
      <w:marRight w:val="0"/>
      <w:marTop w:val="0"/>
      <w:marBottom w:val="0"/>
      <w:divBdr>
        <w:top w:val="none" w:sz="0" w:space="0" w:color="auto"/>
        <w:left w:val="none" w:sz="0" w:space="0" w:color="auto"/>
        <w:bottom w:val="none" w:sz="0" w:space="0" w:color="auto"/>
        <w:right w:val="none" w:sz="0" w:space="0" w:color="auto"/>
      </w:divBdr>
    </w:div>
    <w:div w:id="278337784">
      <w:bodyDiv w:val="1"/>
      <w:marLeft w:val="0"/>
      <w:marRight w:val="0"/>
      <w:marTop w:val="0"/>
      <w:marBottom w:val="0"/>
      <w:divBdr>
        <w:top w:val="none" w:sz="0" w:space="0" w:color="auto"/>
        <w:left w:val="none" w:sz="0" w:space="0" w:color="auto"/>
        <w:bottom w:val="none" w:sz="0" w:space="0" w:color="auto"/>
        <w:right w:val="none" w:sz="0" w:space="0" w:color="auto"/>
      </w:divBdr>
    </w:div>
    <w:div w:id="281115325">
      <w:bodyDiv w:val="1"/>
      <w:marLeft w:val="0"/>
      <w:marRight w:val="0"/>
      <w:marTop w:val="0"/>
      <w:marBottom w:val="0"/>
      <w:divBdr>
        <w:top w:val="none" w:sz="0" w:space="0" w:color="auto"/>
        <w:left w:val="none" w:sz="0" w:space="0" w:color="auto"/>
        <w:bottom w:val="none" w:sz="0" w:space="0" w:color="auto"/>
        <w:right w:val="none" w:sz="0" w:space="0" w:color="auto"/>
      </w:divBdr>
    </w:div>
    <w:div w:id="289943105">
      <w:bodyDiv w:val="1"/>
      <w:marLeft w:val="0"/>
      <w:marRight w:val="0"/>
      <w:marTop w:val="0"/>
      <w:marBottom w:val="0"/>
      <w:divBdr>
        <w:top w:val="none" w:sz="0" w:space="0" w:color="auto"/>
        <w:left w:val="none" w:sz="0" w:space="0" w:color="auto"/>
        <w:bottom w:val="none" w:sz="0" w:space="0" w:color="auto"/>
        <w:right w:val="none" w:sz="0" w:space="0" w:color="auto"/>
      </w:divBdr>
    </w:div>
    <w:div w:id="291324467">
      <w:bodyDiv w:val="1"/>
      <w:marLeft w:val="0"/>
      <w:marRight w:val="0"/>
      <w:marTop w:val="0"/>
      <w:marBottom w:val="0"/>
      <w:divBdr>
        <w:top w:val="none" w:sz="0" w:space="0" w:color="auto"/>
        <w:left w:val="none" w:sz="0" w:space="0" w:color="auto"/>
        <w:bottom w:val="none" w:sz="0" w:space="0" w:color="auto"/>
        <w:right w:val="none" w:sz="0" w:space="0" w:color="auto"/>
      </w:divBdr>
    </w:div>
    <w:div w:id="295139132">
      <w:bodyDiv w:val="1"/>
      <w:marLeft w:val="0"/>
      <w:marRight w:val="0"/>
      <w:marTop w:val="0"/>
      <w:marBottom w:val="0"/>
      <w:divBdr>
        <w:top w:val="none" w:sz="0" w:space="0" w:color="auto"/>
        <w:left w:val="none" w:sz="0" w:space="0" w:color="auto"/>
        <w:bottom w:val="none" w:sz="0" w:space="0" w:color="auto"/>
        <w:right w:val="none" w:sz="0" w:space="0" w:color="auto"/>
      </w:divBdr>
    </w:div>
    <w:div w:id="325400058">
      <w:bodyDiv w:val="1"/>
      <w:marLeft w:val="0"/>
      <w:marRight w:val="0"/>
      <w:marTop w:val="0"/>
      <w:marBottom w:val="0"/>
      <w:divBdr>
        <w:top w:val="none" w:sz="0" w:space="0" w:color="auto"/>
        <w:left w:val="none" w:sz="0" w:space="0" w:color="auto"/>
        <w:bottom w:val="none" w:sz="0" w:space="0" w:color="auto"/>
        <w:right w:val="none" w:sz="0" w:space="0" w:color="auto"/>
      </w:divBdr>
    </w:div>
    <w:div w:id="326323344">
      <w:bodyDiv w:val="1"/>
      <w:marLeft w:val="0"/>
      <w:marRight w:val="0"/>
      <w:marTop w:val="0"/>
      <w:marBottom w:val="0"/>
      <w:divBdr>
        <w:top w:val="none" w:sz="0" w:space="0" w:color="auto"/>
        <w:left w:val="none" w:sz="0" w:space="0" w:color="auto"/>
        <w:bottom w:val="none" w:sz="0" w:space="0" w:color="auto"/>
        <w:right w:val="none" w:sz="0" w:space="0" w:color="auto"/>
      </w:divBdr>
    </w:div>
    <w:div w:id="331179177">
      <w:bodyDiv w:val="1"/>
      <w:marLeft w:val="0"/>
      <w:marRight w:val="0"/>
      <w:marTop w:val="0"/>
      <w:marBottom w:val="0"/>
      <w:divBdr>
        <w:top w:val="none" w:sz="0" w:space="0" w:color="auto"/>
        <w:left w:val="none" w:sz="0" w:space="0" w:color="auto"/>
        <w:bottom w:val="none" w:sz="0" w:space="0" w:color="auto"/>
        <w:right w:val="none" w:sz="0" w:space="0" w:color="auto"/>
      </w:divBdr>
    </w:div>
    <w:div w:id="331182037">
      <w:bodyDiv w:val="1"/>
      <w:marLeft w:val="0"/>
      <w:marRight w:val="0"/>
      <w:marTop w:val="0"/>
      <w:marBottom w:val="0"/>
      <w:divBdr>
        <w:top w:val="none" w:sz="0" w:space="0" w:color="auto"/>
        <w:left w:val="none" w:sz="0" w:space="0" w:color="auto"/>
        <w:bottom w:val="none" w:sz="0" w:space="0" w:color="auto"/>
        <w:right w:val="none" w:sz="0" w:space="0" w:color="auto"/>
      </w:divBdr>
    </w:div>
    <w:div w:id="331378621">
      <w:bodyDiv w:val="1"/>
      <w:marLeft w:val="0"/>
      <w:marRight w:val="0"/>
      <w:marTop w:val="0"/>
      <w:marBottom w:val="0"/>
      <w:divBdr>
        <w:top w:val="none" w:sz="0" w:space="0" w:color="auto"/>
        <w:left w:val="none" w:sz="0" w:space="0" w:color="auto"/>
        <w:bottom w:val="none" w:sz="0" w:space="0" w:color="auto"/>
        <w:right w:val="none" w:sz="0" w:space="0" w:color="auto"/>
      </w:divBdr>
    </w:div>
    <w:div w:id="332951753">
      <w:bodyDiv w:val="1"/>
      <w:marLeft w:val="0"/>
      <w:marRight w:val="0"/>
      <w:marTop w:val="0"/>
      <w:marBottom w:val="0"/>
      <w:divBdr>
        <w:top w:val="none" w:sz="0" w:space="0" w:color="auto"/>
        <w:left w:val="none" w:sz="0" w:space="0" w:color="auto"/>
        <w:bottom w:val="none" w:sz="0" w:space="0" w:color="auto"/>
        <w:right w:val="none" w:sz="0" w:space="0" w:color="auto"/>
      </w:divBdr>
    </w:div>
    <w:div w:id="345866229">
      <w:bodyDiv w:val="1"/>
      <w:marLeft w:val="0"/>
      <w:marRight w:val="0"/>
      <w:marTop w:val="0"/>
      <w:marBottom w:val="0"/>
      <w:divBdr>
        <w:top w:val="none" w:sz="0" w:space="0" w:color="auto"/>
        <w:left w:val="none" w:sz="0" w:space="0" w:color="auto"/>
        <w:bottom w:val="none" w:sz="0" w:space="0" w:color="auto"/>
        <w:right w:val="none" w:sz="0" w:space="0" w:color="auto"/>
      </w:divBdr>
    </w:div>
    <w:div w:id="349992950">
      <w:bodyDiv w:val="1"/>
      <w:marLeft w:val="0"/>
      <w:marRight w:val="0"/>
      <w:marTop w:val="0"/>
      <w:marBottom w:val="0"/>
      <w:divBdr>
        <w:top w:val="none" w:sz="0" w:space="0" w:color="auto"/>
        <w:left w:val="none" w:sz="0" w:space="0" w:color="auto"/>
        <w:bottom w:val="none" w:sz="0" w:space="0" w:color="auto"/>
        <w:right w:val="none" w:sz="0" w:space="0" w:color="auto"/>
      </w:divBdr>
    </w:div>
    <w:div w:id="351228506">
      <w:bodyDiv w:val="1"/>
      <w:marLeft w:val="0"/>
      <w:marRight w:val="0"/>
      <w:marTop w:val="0"/>
      <w:marBottom w:val="0"/>
      <w:divBdr>
        <w:top w:val="none" w:sz="0" w:space="0" w:color="auto"/>
        <w:left w:val="none" w:sz="0" w:space="0" w:color="auto"/>
        <w:bottom w:val="none" w:sz="0" w:space="0" w:color="auto"/>
        <w:right w:val="none" w:sz="0" w:space="0" w:color="auto"/>
      </w:divBdr>
    </w:div>
    <w:div w:id="353002022">
      <w:bodyDiv w:val="1"/>
      <w:marLeft w:val="0"/>
      <w:marRight w:val="0"/>
      <w:marTop w:val="0"/>
      <w:marBottom w:val="0"/>
      <w:divBdr>
        <w:top w:val="none" w:sz="0" w:space="0" w:color="auto"/>
        <w:left w:val="none" w:sz="0" w:space="0" w:color="auto"/>
        <w:bottom w:val="none" w:sz="0" w:space="0" w:color="auto"/>
        <w:right w:val="none" w:sz="0" w:space="0" w:color="auto"/>
      </w:divBdr>
    </w:div>
    <w:div w:id="358549359">
      <w:bodyDiv w:val="1"/>
      <w:marLeft w:val="0"/>
      <w:marRight w:val="0"/>
      <w:marTop w:val="0"/>
      <w:marBottom w:val="0"/>
      <w:divBdr>
        <w:top w:val="none" w:sz="0" w:space="0" w:color="auto"/>
        <w:left w:val="none" w:sz="0" w:space="0" w:color="auto"/>
        <w:bottom w:val="none" w:sz="0" w:space="0" w:color="auto"/>
        <w:right w:val="none" w:sz="0" w:space="0" w:color="auto"/>
      </w:divBdr>
    </w:div>
    <w:div w:id="360277155">
      <w:bodyDiv w:val="1"/>
      <w:marLeft w:val="0"/>
      <w:marRight w:val="0"/>
      <w:marTop w:val="0"/>
      <w:marBottom w:val="0"/>
      <w:divBdr>
        <w:top w:val="none" w:sz="0" w:space="0" w:color="auto"/>
        <w:left w:val="none" w:sz="0" w:space="0" w:color="auto"/>
        <w:bottom w:val="none" w:sz="0" w:space="0" w:color="auto"/>
        <w:right w:val="none" w:sz="0" w:space="0" w:color="auto"/>
      </w:divBdr>
    </w:div>
    <w:div w:id="366300529">
      <w:bodyDiv w:val="1"/>
      <w:marLeft w:val="0"/>
      <w:marRight w:val="0"/>
      <w:marTop w:val="0"/>
      <w:marBottom w:val="0"/>
      <w:divBdr>
        <w:top w:val="none" w:sz="0" w:space="0" w:color="auto"/>
        <w:left w:val="none" w:sz="0" w:space="0" w:color="auto"/>
        <w:bottom w:val="none" w:sz="0" w:space="0" w:color="auto"/>
        <w:right w:val="none" w:sz="0" w:space="0" w:color="auto"/>
      </w:divBdr>
    </w:div>
    <w:div w:id="367488879">
      <w:bodyDiv w:val="1"/>
      <w:marLeft w:val="0"/>
      <w:marRight w:val="0"/>
      <w:marTop w:val="0"/>
      <w:marBottom w:val="0"/>
      <w:divBdr>
        <w:top w:val="none" w:sz="0" w:space="0" w:color="auto"/>
        <w:left w:val="none" w:sz="0" w:space="0" w:color="auto"/>
        <w:bottom w:val="none" w:sz="0" w:space="0" w:color="auto"/>
        <w:right w:val="none" w:sz="0" w:space="0" w:color="auto"/>
      </w:divBdr>
    </w:div>
    <w:div w:id="373315220">
      <w:bodyDiv w:val="1"/>
      <w:marLeft w:val="0"/>
      <w:marRight w:val="0"/>
      <w:marTop w:val="0"/>
      <w:marBottom w:val="0"/>
      <w:divBdr>
        <w:top w:val="none" w:sz="0" w:space="0" w:color="auto"/>
        <w:left w:val="none" w:sz="0" w:space="0" w:color="auto"/>
        <w:bottom w:val="none" w:sz="0" w:space="0" w:color="auto"/>
        <w:right w:val="none" w:sz="0" w:space="0" w:color="auto"/>
      </w:divBdr>
    </w:div>
    <w:div w:id="377512164">
      <w:bodyDiv w:val="1"/>
      <w:marLeft w:val="0"/>
      <w:marRight w:val="0"/>
      <w:marTop w:val="0"/>
      <w:marBottom w:val="0"/>
      <w:divBdr>
        <w:top w:val="none" w:sz="0" w:space="0" w:color="auto"/>
        <w:left w:val="none" w:sz="0" w:space="0" w:color="auto"/>
        <w:bottom w:val="none" w:sz="0" w:space="0" w:color="auto"/>
        <w:right w:val="none" w:sz="0" w:space="0" w:color="auto"/>
      </w:divBdr>
    </w:div>
    <w:div w:id="378095029">
      <w:bodyDiv w:val="1"/>
      <w:marLeft w:val="0"/>
      <w:marRight w:val="0"/>
      <w:marTop w:val="0"/>
      <w:marBottom w:val="0"/>
      <w:divBdr>
        <w:top w:val="none" w:sz="0" w:space="0" w:color="auto"/>
        <w:left w:val="none" w:sz="0" w:space="0" w:color="auto"/>
        <w:bottom w:val="none" w:sz="0" w:space="0" w:color="auto"/>
        <w:right w:val="none" w:sz="0" w:space="0" w:color="auto"/>
      </w:divBdr>
    </w:div>
    <w:div w:id="383409314">
      <w:bodyDiv w:val="1"/>
      <w:marLeft w:val="0"/>
      <w:marRight w:val="0"/>
      <w:marTop w:val="0"/>
      <w:marBottom w:val="0"/>
      <w:divBdr>
        <w:top w:val="none" w:sz="0" w:space="0" w:color="auto"/>
        <w:left w:val="none" w:sz="0" w:space="0" w:color="auto"/>
        <w:bottom w:val="none" w:sz="0" w:space="0" w:color="auto"/>
        <w:right w:val="none" w:sz="0" w:space="0" w:color="auto"/>
      </w:divBdr>
    </w:div>
    <w:div w:id="385838000">
      <w:bodyDiv w:val="1"/>
      <w:marLeft w:val="0"/>
      <w:marRight w:val="0"/>
      <w:marTop w:val="0"/>
      <w:marBottom w:val="0"/>
      <w:divBdr>
        <w:top w:val="none" w:sz="0" w:space="0" w:color="auto"/>
        <w:left w:val="none" w:sz="0" w:space="0" w:color="auto"/>
        <w:bottom w:val="none" w:sz="0" w:space="0" w:color="auto"/>
        <w:right w:val="none" w:sz="0" w:space="0" w:color="auto"/>
      </w:divBdr>
    </w:div>
    <w:div w:id="386805488">
      <w:bodyDiv w:val="1"/>
      <w:marLeft w:val="0"/>
      <w:marRight w:val="0"/>
      <w:marTop w:val="0"/>
      <w:marBottom w:val="0"/>
      <w:divBdr>
        <w:top w:val="none" w:sz="0" w:space="0" w:color="auto"/>
        <w:left w:val="none" w:sz="0" w:space="0" w:color="auto"/>
        <w:bottom w:val="none" w:sz="0" w:space="0" w:color="auto"/>
        <w:right w:val="none" w:sz="0" w:space="0" w:color="auto"/>
      </w:divBdr>
    </w:div>
    <w:div w:id="393088045">
      <w:bodyDiv w:val="1"/>
      <w:marLeft w:val="0"/>
      <w:marRight w:val="0"/>
      <w:marTop w:val="0"/>
      <w:marBottom w:val="0"/>
      <w:divBdr>
        <w:top w:val="none" w:sz="0" w:space="0" w:color="auto"/>
        <w:left w:val="none" w:sz="0" w:space="0" w:color="auto"/>
        <w:bottom w:val="none" w:sz="0" w:space="0" w:color="auto"/>
        <w:right w:val="none" w:sz="0" w:space="0" w:color="auto"/>
      </w:divBdr>
    </w:div>
    <w:div w:id="402722647">
      <w:bodyDiv w:val="1"/>
      <w:marLeft w:val="0"/>
      <w:marRight w:val="0"/>
      <w:marTop w:val="0"/>
      <w:marBottom w:val="0"/>
      <w:divBdr>
        <w:top w:val="none" w:sz="0" w:space="0" w:color="auto"/>
        <w:left w:val="none" w:sz="0" w:space="0" w:color="auto"/>
        <w:bottom w:val="none" w:sz="0" w:space="0" w:color="auto"/>
        <w:right w:val="none" w:sz="0" w:space="0" w:color="auto"/>
      </w:divBdr>
    </w:div>
    <w:div w:id="411779446">
      <w:bodyDiv w:val="1"/>
      <w:marLeft w:val="0"/>
      <w:marRight w:val="0"/>
      <w:marTop w:val="0"/>
      <w:marBottom w:val="0"/>
      <w:divBdr>
        <w:top w:val="none" w:sz="0" w:space="0" w:color="auto"/>
        <w:left w:val="none" w:sz="0" w:space="0" w:color="auto"/>
        <w:bottom w:val="none" w:sz="0" w:space="0" w:color="auto"/>
        <w:right w:val="none" w:sz="0" w:space="0" w:color="auto"/>
      </w:divBdr>
    </w:div>
    <w:div w:id="415716026">
      <w:bodyDiv w:val="1"/>
      <w:marLeft w:val="0"/>
      <w:marRight w:val="0"/>
      <w:marTop w:val="0"/>
      <w:marBottom w:val="0"/>
      <w:divBdr>
        <w:top w:val="none" w:sz="0" w:space="0" w:color="auto"/>
        <w:left w:val="none" w:sz="0" w:space="0" w:color="auto"/>
        <w:bottom w:val="none" w:sz="0" w:space="0" w:color="auto"/>
        <w:right w:val="none" w:sz="0" w:space="0" w:color="auto"/>
      </w:divBdr>
    </w:div>
    <w:div w:id="417337438">
      <w:bodyDiv w:val="1"/>
      <w:marLeft w:val="0"/>
      <w:marRight w:val="0"/>
      <w:marTop w:val="0"/>
      <w:marBottom w:val="0"/>
      <w:divBdr>
        <w:top w:val="none" w:sz="0" w:space="0" w:color="auto"/>
        <w:left w:val="none" w:sz="0" w:space="0" w:color="auto"/>
        <w:bottom w:val="none" w:sz="0" w:space="0" w:color="auto"/>
        <w:right w:val="none" w:sz="0" w:space="0" w:color="auto"/>
      </w:divBdr>
    </w:div>
    <w:div w:id="438644541">
      <w:bodyDiv w:val="1"/>
      <w:marLeft w:val="0"/>
      <w:marRight w:val="0"/>
      <w:marTop w:val="0"/>
      <w:marBottom w:val="0"/>
      <w:divBdr>
        <w:top w:val="none" w:sz="0" w:space="0" w:color="auto"/>
        <w:left w:val="none" w:sz="0" w:space="0" w:color="auto"/>
        <w:bottom w:val="none" w:sz="0" w:space="0" w:color="auto"/>
        <w:right w:val="none" w:sz="0" w:space="0" w:color="auto"/>
      </w:divBdr>
    </w:div>
    <w:div w:id="441850725">
      <w:bodyDiv w:val="1"/>
      <w:marLeft w:val="0"/>
      <w:marRight w:val="0"/>
      <w:marTop w:val="0"/>
      <w:marBottom w:val="0"/>
      <w:divBdr>
        <w:top w:val="none" w:sz="0" w:space="0" w:color="auto"/>
        <w:left w:val="none" w:sz="0" w:space="0" w:color="auto"/>
        <w:bottom w:val="none" w:sz="0" w:space="0" w:color="auto"/>
        <w:right w:val="none" w:sz="0" w:space="0" w:color="auto"/>
      </w:divBdr>
    </w:div>
    <w:div w:id="442264180">
      <w:bodyDiv w:val="1"/>
      <w:marLeft w:val="0"/>
      <w:marRight w:val="0"/>
      <w:marTop w:val="0"/>
      <w:marBottom w:val="0"/>
      <w:divBdr>
        <w:top w:val="none" w:sz="0" w:space="0" w:color="auto"/>
        <w:left w:val="none" w:sz="0" w:space="0" w:color="auto"/>
        <w:bottom w:val="none" w:sz="0" w:space="0" w:color="auto"/>
        <w:right w:val="none" w:sz="0" w:space="0" w:color="auto"/>
      </w:divBdr>
    </w:div>
    <w:div w:id="452476736">
      <w:bodyDiv w:val="1"/>
      <w:marLeft w:val="0"/>
      <w:marRight w:val="0"/>
      <w:marTop w:val="0"/>
      <w:marBottom w:val="0"/>
      <w:divBdr>
        <w:top w:val="none" w:sz="0" w:space="0" w:color="auto"/>
        <w:left w:val="none" w:sz="0" w:space="0" w:color="auto"/>
        <w:bottom w:val="none" w:sz="0" w:space="0" w:color="auto"/>
        <w:right w:val="none" w:sz="0" w:space="0" w:color="auto"/>
      </w:divBdr>
    </w:div>
    <w:div w:id="452947953">
      <w:bodyDiv w:val="1"/>
      <w:marLeft w:val="0"/>
      <w:marRight w:val="0"/>
      <w:marTop w:val="0"/>
      <w:marBottom w:val="0"/>
      <w:divBdr>
        <w:top w:val="none" w:sz="0" w:space="0" w:color="auto"/>
        <w:left w:val="none" w:sz="0" w:space="0" w:color="auto"/>
        <w:bottom w:val="none" w:sz="0" w:space="0" w:color="auto"/>
        <w:right w:val="none" w:sz="0" w:space="0" w:color="auto"/>
      </w:divBdr>
    </w:div>
    <w:div w:id="453064476">
      <w:bodyDiv w:val="1"/>
      <w:marLeft w:val="0"/>
      <w:marRight w:val="0"/>
      <w:marTop w:val="0"/>
      <w:marBottom w:val="0"/>
      <w:divBdr>
        <w:top w:val="none" w:sz="0" w:space="0" w:color="auto"/>
        <w:left w:val="none" w:sz="0" w:space="0" w:color="auto"/>
        <w:bottom w:val="none" w:sz="0" w:space="0" w:color="auto"/>
        <w:right w:val="none" w:sz="0" w:space="0" w:color="auto"/>
      </w:divBdr>
    </w:div>
    <w:div w:id="455947727">
      <w:bodyDiv w:val="1"/>
      <w:marLeft w:val="0"/>
      <w:marRight w:val="0"/>
      <w:marTop w:val="0"/>
      <w:marBottom w:val="0"/>
      <w:divBdr>
        <w:top w:val="none" w:sz="0" w:space="0" w:color="auto"/>
        <w:left w:val="none" w:sz="0" w:space="0" w:color="auto"/>
        <w:bottom w:val="none" w:sz="0" w:space="0" w:color="auto"/>
        <w:right w:val="none" w:sz="0" w:space="0" w:color="auto"/>
      </w:divBdr>
    </w:div>
    <w:div w:id="457384177">
      <w:bodyDiv w:val="1"/>
      <w:marLeft w:val="0"/>
      <w:marRight w:val="0"/>
      <w:marTop w:val="0"/>
      <w:marBottom w:val="0"/>
      <w:divBdr>
        <w:top w:val="none" w:sz="0" w:space="0" w:color="auto"/>
        <w:left w:val="none" w:sz="0" w:space="0" w:color="auto"/>
        <w:bottom w:val="none" w:sz="0" w:space="0" w:color="auto"/>
        <w:right w:val="none" w:sz="0" w:space="0" w:color="auto"/>
      </w:divBdr>
    </w:div>
    <w:div w:id="462575301">
      <w:bodyDiv w:val="1"/>
      <w:marLeft w:val="0"/>
      <w:marRight w:val="0"/>
      <w:marTop w:val="0"/>
      <w:marBottom w:val="0"/>
      <w:divBdr>
        <w:top w:val="none" w:sz="0" w:space="0" w:color="auto"/>
        <w:left w:val="none" w:sz="0" w:space="0" w:color="auto"/>
        <w:bottom w:val="none" w:sz="0" w:space="0" w:color="auto"/>
        <w:right w:val="none" w:sz="0" w:space="0" w:color="auto"/>
      </w:divBdr>
    </w:div>
    <w:div w:id="465315757">
      <w:bodyDiv w:val="1"/>
      <w:marLeft w:val="0"/>
      <w:marRight w:val="0"/>
      <w:marTop w:val="0"/>
      <w:marBottom w:val="0"/>
      <w:divBdr>
        <w:top w:val="none" w:sz="0" w:space="0" w:color="auto"/>
        <w:left w:val="none" w:sz="0" w:space="0" w:color="auto"/>
        <w:bottom w:val="none" w:sz="0" w:space="0" w:color="auto"/>
        <w:right w:val="none" w:sz="0" w:space="0" w:color="auto"/>
      </w:divBdr>
    </w:div>
    <w:div w:id="467287453">
      <w:bodyDiv w:val="1"/>
      <w:marLeft w:val="0"/>
      <w:marRight w:val="0"/>
      <w:marTop w:val="0"/>
      <w:marBottom w:val="0"/>
      <w:divBdr>
        <w:top w:val="none" w:sz="0" w:space="0" w:color="auto"/>
        <w:left w:val="none" w:sz="0" w:space="0" w:color="auto"/>
        <w:bottom w:val="none" w:sz="0" w:space="0" w:color="auto"/>
        <w:right w:val="none" w:sz="0" w:space="0" w:color="auto"/>
      </w:divBdr>
    </w:div>
    <w:div w:id="468938322">
      <w:bodyDiv w:val="1"/>
      <w:marLeft w:val="0"/>
      <w:marRight w:val="0"/>
      <w:marTop w:val="0"/>
      <w:marBottom w:val="0"/>
      <w:divBdr>
        <w:top w:val="none" w:sz="0" w:space="0" w:color="auto"/>
        <w:left w:val="none" w:sz="0" w:space="0" w:color="auto"/>
        <w:bottom w:val="none" w:sz="0" w:space="0" w:color="auto"/>
        <w:right w:val="none" w:sz="0" w:space="0" w:color="auto"/>
      </w:divBdr>
    </w:div>
    <w:div w:id="471337310">
      <w:bodyDiv w:val="1"/>
      <w:marLeft w:val="0"/>
      <w:marRight w:val="0"/>
      <w:marTop w:val="0"/>
      <w:marBottom w:val="0"/>
      <w:divBdr>
        <w:top w:val="none" w:sz="0" w:space="0" w:color="auto"/>
        <w:left w:val="none" w:sz="0" w:space="0" w:color="auto"/>
        <w:bottom w:val="none" w:sz="0" w:space="0" w:color="auto"/>
        <w:right w:val="none" w:sz="0" w:space="0" w:color="auto"/>
      </w:divBdr>
    </w:div>
    <w:div w:id="472601093">
      <w:bodyDiv w:val="1"/>
      <w:marLeft w:val="0"/>
      <w:marRight w:val="0"/>
      <w:marTop w:val="0"/>
      <w:marBottom w:val="0"/>
      <w:divBdr>
        <w:top w:val="none" w:sz="0" w:space="0" w:color="auto"/>
        <w:left w:val="none" w:sz="0" w:space="0" w:color="auto"/>
        <w:bottom w:val="none" w:sz="0" w:space="0" w:color="auto"/>
        <w:right w:val="none" w:sz="0" w:space="0" w:color="auto"/>
      </w:divBdr>
    </w:div>
    <w:div w:id="473642641">
      <w:bodyDiv w:val="1"/>
      <w:marLeft w:val="0"/>
      <w:marRight w:val="0"/>
      <w:marTop w:val="0"/>
      <w:marBottom w:val="0"/>
      <w:divBdr>
        <w:top w:val="none" w:sz="0" w:space="0" w:color="auto"/>
        <w:left w:val="none" w:sz="0" w:space="0" w:color="auto"/>
        <w:bottom w:val="none" w:sz="0" w:space="0" w:color="auto"/>
        <w:right w:val="none" w:sz="0" w:space="0" w:color="auto"/>
      </w:divBdr>
    </w:div>
    <w:div w:id="474755904">
      <w:bodyDiv w:val="1"/>
      <w:marLeft w:val="0"/>
      <w:marRight w:val="0"/>
      <w:marTop w:val="0"/>
      <w:marBottom w:val="0"/>
      <w:divBdr>
        <w:top w:val="none" w:sz="0" w:space="0" w:color="auto"/>
        <w:left w:val="none" w:sz="0" w:space="0" w:color="auto"/>
        <w:bottom w:val="none" w:sz="0" w:space="0" w:color="auto"/>
        <w:right w:val="none" w:sz="0" w:space="0" w:color="auto"/>
      </w:divBdr>
    </w:div>
    <w:div w:id="477766483">
      <w:bodyDiv w:val="1"/>
      <w:marLeft w:val="0"/>
      <w:marRight w:val="0"/>
      <w:marTop w:val="0"/>
      <w:marBottom w:val="0"/>
      <w:divBdr>
        <w:top w:val="none" w:sz="0" w:space="0" w:color="auto"/>
        <w:left w:val="none" w:sz="0" w:space="0" w:color="auto"/>
        <w:bottom w:val="none" w:sz="0" w:space="0" w:color="auto"/>
        <w:right w:val="none" w:sz="0" w:space="0" w:color="auto"/>
      </w:divBdr>
    </w:div>
    <w:div w:id="478885850">
      <w:bodyDiv w:val="1"/>
      <w:marLeft w:val="0"/>
      <w:marRight w:val="0"/>
      <w:marTop w:val="0"/>
      <w:marBottom w:val="0"/>
      <w:divBdr>
        <w:top w:val="none" w:sz="0" w:space="0" w:color="auto"/>
        <w:left w:val="none" w:sz="0" w:space="0" w:color="auto"/>
        <w:bottom w:val="none" w:sz="0" w:space="0" w:color="auto"/>
        <w:right w:val="none" w:sz="0" w:space="0" w:color="auto"/>
      </w:divBdr>
    </w:div>
    <w:div w:id="485123827">
      <w:bodyDiv w:val="1"/>
      <w:marLeft w:val="0"/>
      <w:marRight w:val="0"/>
      <w:marTop w:val="0"/>
      <w:marBottom w:val="0"/>
      <w:divBdr>
        <w:top w:val="none" w:sz="0" w:space="0" w:color="auto"/>
        <w:left w:val="none" w:sz="0" w:space="0" w:color="auto"/>
        <w:bottom w:val="none" w:sz="0" w:space="0" w:color="auto"/>
        <w:right w:val="none" w:sz="0" w:space="0" w:color="auto"/>
      </w:divBdr>
    </w:div>
    <w:div w:id="489904692">
      <w:bodyDiv w:val="1"/>
      <w:marLeft w:val="0"/>
      <w:marRight w:val="0"/>
      <w:marTop w:val="0"/>
      <w:marBottom w:val="0"/>
      <w:divBdr>
        <w:top w:val="none" w:sz="0" w:space="0" w:color="auto"/>
        <w:left w:val="none" w:sz="0" w:space="0" w:color="auto"/>
        <w:bottom w:val="none" w:sz="0" w:space="0" w:color="auto"/>
        <w:right w:val="none" w:sz="0" w:space="0" w:color="auto"/>
      </w:divBdr>
    </w:div>
    <w:div w:id="492767360">
      <w:bodyDiv w:val="1"/>
      <w:marLeft w:val="0"/>
      <w:marRight w:val="0"/>
      <w:marTop w:val="0"/>
      <w:marBottom w:val="0"/>
      <w:divBdr>
        <w:top w:val="none" w:sz="0" w:space="0" w:color="auto"/>
        <w:left w:val="none" w:sz="0" w:space="0" w:color="auto"/>
        <w:bottom w:val="none" w:sz="0" w:space="0" w:color="auto"/>
        <w:right w:val="none" w:sz="0" w:space="0" w:color="auto"/>
      </w:divBdr>
    </w:div>
    <w:div w:id="494106611">
      <w:bodyDiv w:val="1"/>
      <w:marLeft w:val="0"/>
      <w:marRight w:val="0"/>
      <w:marTop w:val="0"/>
      <w:marBottom w:val="0"/>
      <w:divBdr>
        <w:top w:val="none" w:sz="0" w:space="0" w:color="auto"/>
        <w:left w:val="none" w:sz="0" w:space="0" w:color="auto"/>
        <w:bottom w:val="none" w:sz="0" w:space="0" w:color="auto"/>
        <w:right w:val="none" w:sz="0" w:space="0" w:color="auto"/>
      </w:divBdr>
    </w:div>
    <w:div w:id="496261966">
      <w:bodyDiv w:val="1"/>
      <w:marLeft w:val="0"/>
      <w:marRight w:val="0"/>
      <w:marTop w:val="0"/>
      <w:marBottom w:val="0"/>
      <w:divBdr>
        <w:top w:val="none" w:sz="0" w:space="0" w:color="auto"/>
        <w:left w:val="none" w:sz="0" w:space="0" w:color="auto"/>
        <w:bottom w:val="none" w:sz="0" w:space="0" w:color="auto"/>
        <w:right w:val="none" w:sz="0" w:space="0" w:color="auto"/>
      </w:divBdr>
    </w:div>
    <w:div w:id="508445911">
      <w:bodyDiv w:val="1"/>
      <w:marLeft w:val="0"/>
      <w:marRight w:val="0"/>
      <w:marTop w:val="0"/>
      <w:marBottom w:val="0"/>
      <w:divBdr>
        <w:top w:val="none" w:sz="0" w:space="0" w:color="auto"/>
        <w:left w:val="none" w:sz="0" w:space="0" w:color="auto"/>
        <w:bottom w:val="none" w:sz="0" w:space="0" w:color="auto"/>
        <w:right w:val="none" w:sz="0" w:space="0" w:color="auto"/>
      </w:divBdr>
    </w:div>
    <w:div w:id="509489939">
      <w:bodyDiv w:val="1"/>
      <w:marLeft w:val="0"/>
      <w:marRight w:val="0"/>
      <w:marTop w:val="0"/>
      <w:marBottom w:val="0"/>
      <w:divBdr>
        <w:top w:val="none" w:sz="0" w:space="0" w:color="auto"/>
        <w:left w:val="none" w:sz="0" w:space="0" w:color="auto"/>
        <w:bottom w:val="none" w:sz="0" w:space="0" w:color="auto"/>
        <w:right w:val="none" w:sz="0" w:space="0" w:color="auto"/>
      </w:divBdr>
    </w:div>
    <w:div w:id="517156643">
      <w:bodyDiv w:val="1"/>
      <w:marLeft w:val="0"/>
      <w:marRight w:val="0"/>
      <w:marTop w:val="0"/>
      <w:marBottom w:val="0"/>
      <w:divBdr>
        <w:top w:val="none" w:sz="0" w:space="0" w:color="auto"/>
        <w:left w:val="none" w:sz="0" w:space="0" w:color="auto"/>
        <w:bottom w:val="none" w:sz="0" w:space="0" w:color="auto"/>
        <w:right w:val="none" w:sz="0" w:space="0" w:color="auto"/>
      </w:divBdr>
    </w:div>
    <w:div w:id="521822423">
      <w:bodyDiv w:val="1"/>
      <w:marLeft w:val="0"/>
      <w:marRight w:val="0"/>
      <w:marTop w:val="0"/>
      <w:marBottom w:val="0"/>
      <w:divBdr>
        <w:top w:val="none" w:sz="0" w:space="0" w:color="auto"/>
        <w:left w:val="none" w:sz="0" w:space="0" w:color="auto"/>
        <w:bottom w:val="none" w:sz="0" w:space="0" w:color="auto"/>
        <w:right w:val="none" w:sz="0" w:space="0" w:color="auto"/>
      </w:divBdr>
    </w:div>
    <w:div w:id="523783668">
      <w:bodyDiv w:val="1"/>
      <w:marLeft w:val="0"/>
      <w:marRight w:val="0"/>
      <w:marTop w:val="0"/>
      <w:marBottom w:val="0"/>
      <w:divBdr>
        <w:top w:val="none" w:sz="0" w:space="0" w:color="auto"/>
        <w:left w:val="none" w:sz="0" w:space="0" w:color="auto"/>
        <w:bottom w:val="none" w:sz="0" w:space="0" w:color="auto"/>
        <w:right w:val="none" w:sz="0" w:space="0" w:color="auto"/>
      </w:divBdr>
    </w:div>
    <w:div w:id="530071311">
      <w:bodyDiv w:val="1"/>
      <w:marLeft w:val="0"/>
      <w:marRight w:val="0"/>
      <w:marTop w:val="0"/>
      <w:marBottom w:val="0"/>
      <w:divBdr>
        <w:top w:val="none" w:sz="0" w:space="0" w:color="auto"/>
        <w:left w:val="none" w:sz="0" w:space="0" w:color="auto"/>
        <w:bottom w:val="none" w:sz="0" w:space="0" w:color="auto"/>
        <w:right w:val="none" w:sz="0" w:space="0" w:color="auto"/>
      </w:divBdr>
    </w:div>
    <w:div w:id="535002948">
      <w:bodyDiv w:val="1"/>
      <w:marLeft w:val="0"/>
      <w:marRight w:val="0"/>
      <w:marTop w:val="0"/>
      <w:marBottom w:val="0"/>
      <w:divBdr>
        <w:top w:val="none" w:sz="0" w:space="0" w:color="auto"/>
        <w:left w:val="none" w:sz="0" w:space="0" w:color="auto"/>
        <w:bottom w:val="none" w:sz="0" w:space="0" w:color="auto"/>
        <w:right w:val="none" w:sz="0" w:space="0" w:color="auto"/>
      </w:divBdr>
    </w:div>
    <w:div w:id="555891985">
      <w:bodyDiv w:val="1"/>
      <w:marLeft w:val="0"/>
      <w:marRight w:val="0"/>
      <w:marTop w:val="0"/>
      <w:marBottom w:val="0"/>
      <w:divBdr>
        <w:top w:val="none" w:sz="0" w:space="0" w:color="auto"/>
        <w:left w:val="none" w:sz="0" w:space="0" w:color="auto"/>
        <w:bottom w:val="none" w:sz="0" w:space="0" w:color="auto"/>
        <w:right w:val="none" w:sz="0" w:space="0" w:color="auto"/>
      </w:divBdr>
    </w:div>
    <w:div w:id="556890782">
      <w:bodyDiv w:val="1"/>
      <w:marLeft w:val="0"/>
      <w:marRight w:val="0"/>
      <w:marTop w:val="0"/>
      <w:marBottom w:val="0"/>
      <w:divBdr>
        <w:top w:val="none" w:sz="0" w:space="0" w:color="auto"/>
        <w:left w:val="none" w:sz="0" w:space="0" w:color="auto"/>
        <w:bottom w:val="none" w:sz="0" w:space="0" w:color="auto"/>
        <w:right w:val="none" w:sz="0" w:space="0" w:color="auto"/>
      </w:divBdr>
    </w:div>
    <w:div w:id="559286214">
      <w:bodyDiv w:val="1"/>
      <w:marLeft w:val="0"/>
      <w:marRight w:val="0"/>
      <w:marTop w:val="0"/>
      <w:marBottom w:val="0"/>
      <w:divBdr>
        <w:top w:val="none" w:sz="0" w:space="0" w:color="auto"/>
        <w:left w:val="none" w:sz="0" w:space="0" w:color="auto"/>
        <w:bottom w:val="none" w:sz="0" w:space="0" w:color="auto"/>
        <w:right w:val="none" w:sz="0" w:space="0" w:color="auto"/>
      </w:divBdr>
    </w:div>
    <w:div w:id="560093486">
      <w:bodyDiv w:val="1"/>
      <w:marLeft w:val="0"/>
      <w:marRight w:val="0"/>
      <w:marTop w:val="0"/>
      <w:marBottom w:val="0"/>
      <w:divBdr>
        <w:top w:val="none" w:sz="0" w:space="0" w:color="auto"/>
        <w:left w:val="none" w:sz="0" w:space="0" w:color="auto"/>
        <w:bottom w:val="none" w:sz="0" w:space="0" w:color="auto"/>
        <w:right w:val="none" w:sz="0" w:space="0" w:color="auto"/>
      </w:divBdr>
    </w:div>
    <w:div w:id="570695862">
      <w:bodyDiv w:val="1"/>
      <w:marLeft w:val="0"/>
      <w:marRight w:val="0"/>
      <w:marTop w:val="0"/>
      <w:marBottom w:val="0"/>
      <w:divBdr>
        <w:top w:val="none" w:sz="0" w:space="0" w:color="auto"/>
        <w:left w:val="none" w:sz="0" w:space="0" w:color="auto"/>
        <w:bottom w:val="none" w:sz="0" w:space="0" w:color="auto"/>
        <w:right w:val="none" w:sz="0" w:space="0" w:color="auto"/>
      </w:divBdr>
    </w:div>
    <w:div w:id="576092426">
      <w:bodyDiv w:val="1"/>
      <w:marLeft w:val="0"/>
      <w:marRight w:val="0"/>
      <w:marTop w:val="0"/>
      <w:marBottom w:val="0"/>
      <w:divBdr>
        <w:top w:val="none" w:sz="0" w:space="0" w:color="auto"/>
        <w:left w:val="none" w:sz="0" w:space="0" w:color="auto"/>
        <w:bottom w:val="none" w:sz="0" w:space="0" w:color="auto"/>
        <w:right w:val="none" w:sz="0" w:space="0" w:color="auto"/>
      </w:divBdr>
    </w:div>
    <w:div w:id="576743497">
      <w:bodyDiv w:val="1"/>
      <w:marLeft w:val="0"/>
      <w:marRight w:val="0"/>
      <w:marTop w:val="0"/>
      <w:marBottom w:val="0"/>
      <w:divBdr>
        <w:top w:val="none" w:sz="0" w:space="0" w:color="auto"/>
        <w:left w:val="none" w:sz="0" w:space="0" w:color="auto"/>
        <w:bottom w:val="none" w:sz="0" w:space="0" w:color="auto"/>
        <w:right w:val="none" w:sz="0" w:space="0" w:color="auto"/>
      </w:divBdr>
    </w:div>
    <w:div w:id="581110765">
      <w:bodyDiv w:val="1"/>
      <w:marLeft w:val="0"/>
      <w:marRight w:val="0"/>
      <w:marTop w:val="0"/>
      <w:marBottom w:val="0"/>
      <w:divBdr>
        <w:top w:val="none" w:sz="0" w:space="0" w:color="auto"/>
        <w:left w:val="none" w:sz="0" w:space="0" w:color="auto"/>
        <w:bottom w:val="none" w:sz="0" w:space="0" w:color="auto"/>
        <w:right w:val="none" w:sz="0" w:space="0" w:color="auto"/>
      </w:divBdr>
    </w:div>
    <w:div w:id="585576795">
      <w:bodyDiv w:val="1"/>
      <w:marLeft w:val="0"/>
      <w:marRight w:val="0"/>
      <w:marTop w:val="0"/>
      <w:marBottom w:val="0"/>
      <w:divBdr>
        <w:top w:val="none" w:sz="0" w:space="0" w:color="auto"/>
        <w:left w:val="none" w:sz="0" w:space="0" w:color="auto"/>
        <w:bottom w:val="none" w:sz="0" w:space="0" w:color="auto"/>
        <w:right w:val="none" w:sz="0" w:space="0" w:color="auto"/>
      </w:divBdr>
    </w:div>
    <w:div w:id="587428711">
      <w:bodyDiv w:val="1"/>
      <w:marLeft w:val="0"/>
      <w:marRight w:val="0"/>
      <w:marTop w:val="0"/>
      <w:marBottom w:val="0"/>
      <w:divBdr>
        <w:top w:val="none" w:sz="0" w:space="0" w:color="auto"/>
        <w:left w:val="none" w:sz="0" w:space="0" w:color="auto"/>
        <w:bottom w:val="none" w:sz="0" w:space="0" w:color="auto"/>
        <w:right w:val="none" w:sz="0" w:space="0" w:color="auto"/>
      </w:divBdr>
    </w:div>
    <w:div w:id="599218988">
      <w:bodyDiv w:val="1"/>
      <w:marLeft w:val="0"/>
      <w:marRight w:val="0"/>
      <w:marTop w:val="0"/>
      <w:marBottom w:val="0"/>
      <w:divBdr>
        <w:top w:val="none" w:sz="0" w:space="0" w:color="auto"/>
        <w:left w:val="none" w:sz="0" w:space="0" w:color="auto"/>
        <w:bottom w:val="none" w:sz="0" w:space="0" w:color="auto"/>
        <w:right w:val="none" w:sz="0" w:space="0" w:color="auto"/>
      </w:divBdr>
    </w:div>
    <w:div w:id="600841008">
      <w:bodyDiv w:val="1"/>
      <w:marLeft w:val="0"/>
      <w:marRight w:val="0"/>
      <w:marTop w:val="0"/>
      <w:marBottom w:val="0"/>
      <w:divBdr>
        <w:top w:val="none" w:sz="0" w:space="0" w:color="auto"/>
        <w:left w:val="none" w:sz="0" w:space="0" w:color="auto"/>
        <w:bottom w:val="none" w:sz="0" w:space="0" w:color="auto"/>
        <w:right w:val="none" w:sz="0" w:space="0" w:color="auto"/>
      </w:divBdr>
    </w:div>
    <w:div w:id="603921490">
      <w:bodyDiv w:val="1"/>
      <w:marLeft w:val="0"/>
      <w:marRight w:val="0"/>
      <w:marTop w:val="0"/>
      <w:marBottom w:val="0"/>
      <w:divBdr>
        <w:top w:val="none" w:sz="0" w:space="0" w:color="auto"/>
        <w:left w:val="none" w:sz="0" w:space="0" w:color="auto"/>
        <w:bottom w:val="none" w:sz="0" w:space="0" w:color="auto"/>
        <w:right w:val="none" w:sz="0" w:space="0" w:color="auto"/>
      </w:divBdr>
    </w:div>
    <w:div w:id="605885711">
      <w:bodyDiv w:val="1"/>
      <w:marLeft w:val="0"/>
      <w:marRight w:val="0"/>
      <w:marTop w:val="0"/>
      <w:marBottom w:val="0"/>
      <w:divBdr>
        <w:top w:val="none" w:sz="0" w:space="0" w:color="auto"/>
        <w:left w:val="none" w:sz="0" w:space="0" w:color="auto"/>
        <w:bottom w:val="none" w:sz="0" w:space="0" w:color="auto"/>
        <w:right w:val="none" w:sz="0" w:space="0" w:color="auto"/>
      </w:divBdr>
    </w:div>
    <w:div w:id="615258838">
      <w:bodyDiv w:val="1"/>
      <w:marLeft w:val="0"/>
      <w:marRight w:val="0"/>
      <w:marTop w:val="0"/>
      <w:marBottom w:val="0"/>
      <w:divBdr>
        <w:top w:val="none" w:sz="0" w:space="0" w:color="auto"/>
        <w:left w:val="none" w:sz="0" w:space="0" w:color="auto"/>
        <w:bottom w:val="none" w:sz="0" w:space="0" w:color="auto"/>
        <w:right w:val="none" w:sz="0" w:space="0" w:color="auto"/>
      </w:divBdr>
    </w:div>
    <w:div w:id="617224506">
      <w:bodyDiv w:val="1"/>
      <w:marLeft w:val="0"/>
      <w:marRight w:val="0"/>
      <w:marTop w:val="0"/>
      <w:marBottom w:val="0"/>
      <w:divBdr>
        <w:top w:val="none" w:sz="0" w:space="0" w:color="auto"/>
        <w:left w:val="none" w:sz="0" w:space="0" w:color="auto"/>
        <w:bottom w:val="none" w:sz="0" w:space="0" w:color="auto"/>
        <w:right w:val="none" w:sz="0" w:space="0" w:color="auto"/>
      </w:divBdr>
    </w:div>
    <w:div w:id="622079126">
      <w:bodyDiv w:val="1"/>
      <w:marLeft w:val="0"/>
      <w:marRight w:val="0"/>
      <w:marTop w:val="0"/>
      <w:marBottom w:val="0"/>
      <w:divBdr>
        <w:top w:val="none" w:sz="0" w:space="0" w:color="auto"/>
        <w:left w:val="none" w:sz="0" w:space="0" w:color="auto"/>
        <w:bottom w:val="none" w:sz="0" w:space="0" w:color="auto"/>
        <w:right w:val="none" w:sz="0" w:space="0" w:color="auto"/>
      </w:divBdr>
    </w:div>
    <w:div w:id="625738838">
      <w:bodyDiv w:val="1"/>
      <w:marLeft w:val="0"/>
      <w:marRight w:val="0"/>
      <w:marTop w:val="0"/>
      <w:marBottom w:val="0"/>
      <w:divBdr>
        <w:top w:val="none" w:sz="0" w:space="0" w:color="auto"/>
        <w:left w:val="none" w:sz="0" w:space="0" w:color="auto"/>
        <w:bottom w:val="none" w:sz="0" w:space="0" w:color="auto"/>
        <w:right w:val="none" w:sz="0" w:space="0" w:color="auto"/>
      </w:divBdr>
    </w:div>
    <w:div w:id="628784798">
      <w:bodyDiv w:val="1"/>
      <w:marLeft w:val="0"/>
      <w:marRight w:val="0"/>
      <w:marTop w:val="0"/>
      <w:marBottom w:val="0"/>
      <w:divBdr>
        <w:top w:val="none" w:sz="0" w:space="0" w:color="auto"/>
        <w:left w:val="none" w:sz="0" w:space="0" w:color="auto"/>
        <w:bottom w:val="none" w:sz="0" w:space="0" w:color="auto"/>
        <w:right w:val="none" w:sz="0" w:space="0" w:color="auto"/>
      </w:divBdr>
    </w:div>
    <w:div w:id="629021902">
      <w:bodyDiv w:val="1"/>
      <w:marLeft w:val="0"/>
      <w:marRight w:val="0"/>
      <w:marTop w:val="0"/>
      <w:marBottom w:val="0"/>
      <w:divBdr>
        <w:top w:val="none" w:sz="0" w:space="0" w:color="auto"/>
        <w:left w:val="none" w:sz="0" w:space="0" w:color="auto"/>
        <w:bottom w:val="none" w:sz="0" w:space="0" w:color="auto"/>
        <w:right w:val="none" w:sz="0" w:space="0" w:color="auto"/>
      </w:divBdr>
    </w:div>
    <w:div w:id="630326216">
      <w:bodyDiv w:val="1"/>
      <w:marLeft w:val="0"/>
      <w:marRight w:val="0"/>
      <w:marTop w:val="0"/>
      <w:marBottom w:val="0"/>
      <w:divBdr>
        <w:top w:val="none" w:sz="0" w:space="0" w:color="auto"/>
        <w:left w:val="none" w:sz="0" w:space="0" w:color="auto"/>
        <w:bottom w:val="none" w:sz="0" w:space="0" w:color="auto"/>
        <w:right w:val="none" w:sz="0" w:space="0" w:color="auto"/>
      </w:divBdr>
    </w:div>
    <w:div w:id="635338638">
      <w:bodyDiv w:val="1"/>
      <w:marLeft w:val="0"/>
      <w:marRight w:val="0"/>
      <w:marTop w:val="0"/>
      <w:marBottom w:val="0"/>
      <w:divBdr>
        <w:top w:val="none" w:sz="0" w:space="0" w:color="auto"/>
        <w:left w:val="none" w:sz="0" w:space="0" w:color="auto"/>
        <w:bottom w:val="none" w:sz="0" w:space="0" w:color="auto"/>
        <w:right w:val="none" w:sz="0" w:space="0" w:color="auto"/>
      </w:divBdr>
    </w:div>
    <w:div w:id="637077819">
      <w:bodyDiv w:val="1"/>
      <w:marLeft w:val="0"/>
      <w:marRight w:val="0"/>
      <w:marTop w:val="0"/>
      <w:marBottom w:val="0"/>
      <w:divBdr>
        <w:top w:val="none" w:sz="0" w:space="0" w:color="auto"/>
        <w:left w:val="none" w:sz="0" w:space="0" w:color="auto"/>
        <w:bottom w:val="none" w:sz="0" w:space="0" w:color="auto"/>
        <w:right w:val="none" w:sz="0" w:space="0" w:color="auto"/>
      </w:divBdr>
    </w:div>
    <w:div w:id="639303761">
      <w:bodyDiv w:val="1"/>
      <w:marLeft w:val="0"/>
      <w:marRight w:val="0"/>
      <w:marTop w:val="0"/>
      <w:marBottom w:val="0"/>
      <w:divBdr>
        <w:top w:val="none" w:sz="0" w:space="0" w:color="auto"/>
        <w:left w:val="none" w:sz="0" w:space="0" w:color="auto"/>
        <w:bottom w:val="none" w:sz="0" w:space="0" w:color="auto"/>
        <w:right w:val="none" w:sz="0" w:space="0" w:color="auto"/>
      </w:divBdr>
    </w:div>
    <w:div w:id="641348089">
      <w:bodyDiv w:val="1"/>
      <w:marLeft w:val="0"/>
      <w:marRight w:val="0"/>
      <w:marTop w:val="0"/>
      <w:marBottom w:val="0"/>
      <w:divBdr>
        <w:top w:val="none" w:sz="0" w:space="0" w:color="auto"/>
        <w:left w:val="none" w:sz="0" w:space="0" w:color="auto"/>
        <w:bottom w:val="none" w:sz="0" w:space="0" w:color="auto"/>
        <w:right w:val="none" w:sz="0" w:space="0" w:color="auto"/>
      </w:divBdr>
    </w:div>
    <w:div w:id="649402167">
      <w:bodyDiv w:val="1"/>
      <w:marLeft w:val="0"/>
      <w:marRight w:val="0"/>
      <w:marTop w:val="0"/>
      <w:marBottom w:val="0"/>
      <w:divBdr>
        <w:top w:val="none" w:sz="0" w:space="0" w:color="auto"/>
        <w:left w:val="none" w:sz="0" w:space="0" w:color="auto"/>
        <w:bottom w:val="none" w:sz="0" w:space="0" w:color="auto"/>
        <w:right w:val="none" w:sz="0" w:space="0" w:color="auto"/>
      </w:divBdr>
    </w:div>
    <w:div w:id="655887525">
      <w:bodyDiv w:val="1"/>
      <w:marLeft w:val="0"/>
      <w:marRight w:val="0"/>
      <w:marTop w:val="0"/>
      <w:marBottom w:val="0"/>
      <w:divBdr>
        <w:top w:val="none" w:sz="0" w:space="0" w:color="auto"/>
        <w:left w:val="none" w:sz="0" w:space="0" w:color="auto"/>
        <w:bottom w:val="none" w:sz="0" w:space="0" w:color="auto"/>
        <w:right w:val="none" w:sz="0" w:space="0" w:color="auto"/>
      </w:divBdr>
    </w:div>
    <w:div w:id="656038022">
      <w:bodyDiv w:val="1"/>
      <w:marLeft w:val="0"/>
      <w:marRight w:val="0"/>
      <w:marTop w:val="0"/>
      <w:marBottom w:val="0"/>
      <w:divBdr>
        <w:top w:val="none" w:sz="0" w:space="0" w:color="auto"/>
        <w:left w:val="none" w:sz="0" w:space="0" w:color="auto"/>
        <w:bottom w:val="none" w:sz="0" w:space="0" w:color="auto"/>
        <w:right w:val="none" w:sz="0" w:space="0" w:color="auto"/>
      </w:divBdr>
    </w:div>
    <w:div w:id="656807143">
      <w:bodyDiv w:val="1"/>
      <w:marLeft w:val="0"/>
      <w:marRight w:val="0"/>
      <w:marTop w:val="0"/>
      <w:marBottom w:val="0"/>
      <w:divBdr>
        <w:top w:val="none" w:sz="0" w:space="0" w:color="auto"/>
        <w:left w:val="none" w:sz="0" w:space="0" w:color="auto"/>
        <w:bottom w:val="none" w:sz="0" w:space="0" w:color="auto"/>
        <w:right w:val="none" w:sz="0" w:space="0" w:color="auto"/>
      </w:divBdr>
    </w:div>
    <w:div w:id="657268043">
      <w:bodyDiv w:val="1"/>
      <w:marLeft w:val="0"/>
      <w:marRight w:val="0"/>
      <w:marTop w:val="0"/>
      <w:marBottom w:val="0"/>
      <w:divBdr>
        <w:top w:val="none" w:sz="0" w:space="0" w:color="auto"/>
        <w:left w:val="none" w:sz="0" w:space="0" w:color="auto"/>
        <w:bottom w:val="none" w:sz="0" w:space="0" w:color="auto"/>
        <w:right w:val="none" w:sz="0" w:space="0" w:color="auto"/>
      </w:divBdr>
    </w:div>
    <w:div w:id="662394978">
      <w:bodyDiv w:val="1"/>
      <w:marLeft w:val="0"/>
      <w:marRight w:val="0"/>
      <w:marTop w:val="0"/>
      <w:marBottom w:val="0"/>
      <w:divBdr>
        <w:top w:val="none" w:sz="0" w:space="0" w:color="auto"/>
        <w:left w:val="none" w:sz="0" w:space="0" w:color="auto"/>
        <w:bottom w:val="none" w:sz="0" w:space="0" w:color="auto"/>
        <w:right w:val="none" w:sz="0" w:space="0" w:color="auto"/>
      </w:divBdr>
    </w:div>
    <w:div w:id="664632431">
      <w:bodyDiv w:val="1"/>
      <w:marLeft w:val="0"/>
      <w:marRight w:val="0"/>
      <w:marTop w:val="0"/>
      <w:marBottom w:val="0"/>
      <w:divBdr>
        <w:top w:val="none" w:sz="0" w:space="0" w:color="auto"/>
        <w:left w:val="none" w:sz="0" w:space="0" w:color="auto"/>
        <w:bottom w:val="none" w:sz="0" w:space="0" w:color="auto"/>
        <w:right w:val="none" w:sz="0" w:space="0" w:color="auto"/>
      </w:divBdr>
    </w:div>
    <w:div w:id="679356129">
      <w:bodyDiv w:val="1"/>
      <w:marLeft w:val="0"/>
      <w:marRight w:val="0"/>
      <w:marTop w:val="0"/>
      <w:marBottom w:val="0"/>
      <w:divBdr>
        <w:top w:val="none" w:sz="0" w:space="0" w:color="auto"/>
        <w:left w:val="none" w:sz="0" w:space="0" w:color="auto"/>
        <w:bottom w:val="none" w:sz="0" w:space="0" w:color="auto"/>
        <w:right w:val="none" w:sz="0" w:space="0" w:color="auto"/>
      </w:divBdr>
    </w:div>
    <w:div w:id="680349805">
      <w:bodyDiv w:val="1"/>
      <w:marLeft w:val="0"/>
      <w:marRight w:val="0"/>
      <w:marTop w:val="0"/>
      <w:marBottom w:val="0"/>
      <w:divBdr>
        <w:top w:val="none" w:sz="0" w:space="0" w:color="auto"/>
        <w:left w:val="none" w:sz="0" w:space="0" w:color="auto"/>
        <w:bottom w:val="none" w:sz="0" w:space="0" w:color="auto"/>
        <w:right w:val="none" w:sz="0" w:space="0" w:color="auto"/>
      </w:divBdr>
    </w:div>
    <w:div w:id="681592056">
      <w:bodyDiv w:val="1"/>
      <w:marLeft w:val="0"/>
      <w:marRight w:val="0"/>
      <w:marTop w:val="0"/>
      <w:marBottom w:val="0"/>
      <w:divBdr>
        <w:top w:val="none" w:sz="0" w:space="0" w:color="auto"/>
        <w:left w:val="none" w:sz="0" w:space="0" w:color="auto"/>
        <w:bottom w:val="none" w:sz="0" w:space="0" w:color="auto"/>
        <w:right w:val="none" w:sz="0" w:space="0" w:color="auto"/>
      </w:divBdr>
    </w:div>
    <w:div w:id="683285816">
      <w:bodyDiv w:val="1"/>
      <w:marLeft w:val="0"/>
      <w:marRight w:val="0"/>
      <w:marTop w:val="0"/>
      <w:marBottom w:val="0"/>
      <w:divBdr>
        <w:top w:val="none" w:sz="0" w:space="0" w:color="auto"/>
        <w:left w:val="none" w:sz="0" w:space="0" w:color="auto"/>
        <w:bottom w:val="none" w:sz="0" w:space="0" w:color="auto"/>
        <w:right w:val="none" w:sz="0" w:space="0" w:color="auto"/>
      </w:divBdr>
    </w:div>
    <w:div w:id="695011030">
      <w:bodyDiv w:val="1"/>
      <w:marLeft w:val="0"/>
      <w:marRight w:val="0"/>
      <w:marTop w:val="0"/>
      <w:marBottom w:val="0"/>
      <w:divBdr>
        <w:top w:val="none" w:sz="0" w:space="0" w:color="auto"/>
        <w:left w:val="none" w:sz="0" w:space="0" w:color="auto"/>
        <w:bottom w:val="none" w:sz="0" w:space="0" w:color="auto"/>
        <w:right w:val="none" w:sz="0" w:space="0" w:color="auto"/>
      </w:divBdr>
    </w:div>
    <w:div w:id="696736049">
      <w:bodyDiv w:val="1"/>
      <w:marLeft w:val="0"/>
      <w:marRight w:val="0"/>
      <w:marTop w:val="0"/>
      <w:marBottom w:val="0"/>
      <w:divBdr>
        <w:top w:val="none" w:sz="0" w:space="0" w:color="auto"/>
        <w:left w:val="none" w:sz="0" w:space="0" w:color="auto"/>
        <w:bottom w:val="none" w:sz="0" w:space="0" w:color="auto"/>
        <w:right w:val="none" w:sz="0" w:space="0" w:color="auto"/>
      </w:divBdr>
    </w:div>
    <w:div w:id="700863447">
      <w:bodyDiv w:val="1"/>
      <w:marLeft w:val="0"/>
      <w:marRight w:val="0"/>
      <w:marTop w:val="0"/>
      <w:marBottom w:val="0"/>
      <w:divBdr>
        <w:top w:val="none" w:sz="0" w:space="0" w:color="auto"/>
        <w:left w:val="none" w:sz="0" w:space="0" w:color="auto"/>
        <w:bottom w:val="none" w:sz="0" w:space="0" w:color="auto"/>
        <w:right w:val="none" w:sz="0" w:space="0" w:color="auto"/>
      </w:divBdr>
    </w:div>
    <w:div w:id="701201626">
      <w:bodyDiv w:val="1"/>
      <w:marLeft w:val="0"/>
      <w:marRight w:val="0"/>
      <w:marTop w:val="0"/>
      <w:marBottom w:val="0"/>
      <w:divBdr>
        <w:top w:val="none" w:sz="0" w:space="0" w:color="auto"/>
        <w:left w:val="none" w:sz="0" w:space="0" w:color="auto"/>
        <w:bottom w:val="none" w:sz="0" w:space="0" w:color="auto"/>
        <w:right w:val="none" w:sz="0" w:space="0" w:color="auto"/>
      </w:divBdr>
    </w:div>
    <w:div w:id="702638017">
      <w:bodyDiv w:val="1"/>
      <w:marLeft w:val="0"/>
      <w:marRight w:val="0"/>
      <w:marTop w:val="0"/>
      <w:marBottom w:val="0"/>
      <w:divBdr>
        <w:top w:val="none" w:sz="0" w:space="0" w:color="auto"/>
        <w:left w:val="none" w:sz="0" w:space="0" w:color="auto"/>
        <w:bottom w:val="none" w:sz="0" w:space="0" w:color="auto"/>
        <w:right w:val="none" w:sz="0" w:space="0" w:color="auto"/>
      </w:divBdr>
    </w:div>
    <w:div w:id="703675184">
      <w:bodyDiv w:val="1"/>
      <w:marLeft w:val="0"/>
      <w:marRight w:val="0"/>
      <w:marTop w:val="0"/>
      <w:marBottom w:val="0"/>
      <w:divBdr>
        <w:top w:val="none" w:sz="0" w:space="0" w:color="auto"/>
        <w:left w:val="none" w:sz="0" w:space="0" w:color="auto"/>
        <w:bottom w:val="none" w:sz="0" w:space="0" w:color="auto"/>
        <w:right w:val="none" w:sz="0" w:space="0" w:color="auto"/>
      </w:divBdr>
    </w:div>
    <w:div w:id="710879261">
      <w:bodyDiv w:val="1"/>
      <w:marLeft w:val="0"/>
      <w:marRight w:val="0"/>
      <w:marTop w:val="0"/>
      <w:marBottom w:val="0"/>
      <w:divBdr>
        <w:top w:val="none" w:sz="0" w:space="0" w:color="auto"/>
        <w:left w:val="none" w:sz="0" w:space="0" w:color="auto"/>
        <w:bottom w:val="none" w:sz="0" w:space="0" w:color="auto"/>
        <w:right w:val="none" w:sz="0" w:space="0" w:color="auto"/>
      </w:divBdr>
    </w:div>
    <w:div w:id="716512349">
      <w:bodyDiv w:val="1"/>
      <w:marLeft w:val="0"/>
      <w:marRight w:val="0"/>
      <w:marTop w:val="0"/>
      <w:marBottom w:val="0"/>
      <w:divBdr>
        <w:top w:val="none" w:sz="0" w:space="0" w:color="auto"/>
        <w:left w:val="none" w:sz="0" w:space="0" w:color="auto"/>
        <w:bottom w:val="none" w:sz="0" w:space="0" w:color="auto"/>
        <w:right w:val="none" w:sz="0" w:space="0" w:color="auto"/>
      </w:divBdr>
    </w:div>
    <w:div w:id="726227908">
      <w:bodyDiv w:val="1"/>
      <w:marLeft w:val="0"/>
      <w:marRight w:val="0"/>
      <w:marTop w:val="0"/>
      <w:marBottom w:val="0"/>
      <w:divBdr>
        <w:top w:val="none" w:sz="0" w:space="0" w:color="auto"/>
        <w:left w:val="none" w:sz="0" w:space="0" w:color="auto"/>
        <w:bottom w:val="none" w:sz="0" w:space="0" w:color="auto"/>
        <w:right w:val="none" w:sz="0" w:space="0" w:color="auto"/>
      </w:divBdr>
    </w:div>
    <w:div w:id="728726280">
      <w:bodyDiv w:val="1"/>
      <w:marLeft w:val="0"/>
      <w:marRight w:val="0"/>
      <w:marTop w:val="0"/>
      <w:marBottom w:val="0"/>
      <w:divBdr>
        <w:top w:val="none" w:sz="0" w:space="0" w:color="auto"/>
        <w:left w:val="none" w:sz="0" w:space="0" w:color="auto"/>
        <w:bottom w:val="none" w:sz="0" w:space="0" w:color="auto"/>
        <w:right w:val="none" w:sz="0" w:space="0" w:color="auto"/>
      </w:divBdr>
    </w:div>
    <w:div w:id="734165615">
      <w:bodyDiv w:val="1"/>
      <w:marLeft w:val="0"/>
      <w:marRight w:val="0"/>
      <w:marTop w:val="0"/>
      <w:marBottom w:val="0"/>
      <w:divBdr>
        <w:top w:val="none" w:sz="0" w:space="0" w:color="auto"/>
        <w:left w:val="none" w:sz="0" w:space="0" w:color="auto"/>
        <w:bottom w:val="none" w:sz="0" w:space="0" w:color="auto"/>
        <w:right w:val="none" w:sz="0" w:space="0" w:color="auto"/>
      </w:divBdr>
    </w:div>
    <w:div w:id="739257455">
      <w:bodyDiv w:val="1"/>
      <w:marLeft w:val="0"/>
      <w:marRight w:val="0"/>
      <w:marTop w:val="0"/>
      <w:marBottom w:val="0"/>
      <w:divBdr>
        <w:top w:val="none" w:sz="0" w:space="0" w:color="auto"/>
        <w:left w:val="none" w:sz="0" w:space="0" w:color="auto"/>
        <w:bottom w:val="none" w:sz="0" w:space="0" w:color="auto"/>
        <w:right w:val="none" w:sz="0" w:space="0" w:color="auto"/>
      </w:divBdr>
    </w:div>
    <w:div w:id="742069856">
      <w:bodyDiv w:val="1"/>
      <w:marLeft w:val="0"/>
      <w:marRight w:val="0"/>
      <w:marTop w:val="0"/>
      <w:marBottom w:val="0"/>
      <w:divBdr>
        <w:top w:val="none" w:sz="0" w:space="0" w:color="auto"/>
        <w:left w:val="none" w:sz="0" w:space="0" w:color="auto"/>
        <w:bottom w:val="none" w:sz="0" w:space="0" w:color="auto"/>
        <w:right w:val="none" w:sz="0" w:space="0" w:color="auto"/>
      </w:divBdr>
    </w:div>
    <w:div w:id="752749471">
      <w:bodyDiv w:val="1"/>
      <w:marLeft w:val="0"/>
      <w:marRight w:val="0"/>
      <w:marTop w:val="0"/>
      <w:marBottom w:val="0"/>
      <w:divBdr>
        <w:top w:val="none" w:sz="0" w:space="0" w:color="auto"/>
        <w:left w:val="none" w:sz="0" w:space="0" w:color="auto"/>
        <w:bottom w:val="none" w:sz="0" w:space="0" w:color="auto"/>
        <w:right w:val="none" w:sz="0" w:space="0" w:color="auto"/>
      </w:divBdr>
    </w:div>
    <w:div w:id="755712810">
      <w:bodyDiv w:val="1"/>
      <w:marLeft w:val="0"/>
      <w:marRight w:val="0"/>
      <w:marTop w:val="0"/>
      <w:marBottom w:val="0"/>
      <w:divBdr>
        <w:top w:val="none" w:sz="0" w:space="0" w:color="auto"/>
        <w:left w:val="none" w:sz="0" w:space="0" w:color="auto"/>
        <w:bottom w:val="none" w:sz="0" w:space="0" w:color="auto"/>
        <w:right w:val="none" w:sz="0" w:space="0" w:color="auto"/>
      </w:divBdr>
    </w:div>
    <w:div w:id="762335731">
      <w:bodyDiv w:val="1"/>
      <w:marLeft w:val="0"/>
      <w:marRight w:val="0"/>
      <w:marTop w:val="0"/>
      <w:marBottom w:val="0"/>
      <w:divBdr>
        <w:top w:val="none" w:sz="0" w:space="0" w:color="auto"/>
        <w:left w:val="none" w:sz="0" w:space="0" w:color="auto"/>
        <w:bottom w:val="none" w:sz="0" w:space="0" w:color="auto"/>
        <w:right w:val="none" w:sz="0" w:space="0" w:color="auto"/>
      </w:divBdr>
    </w:div>
    <w:div w:id="765223560">
      <w:bodyDiv w:val="1"/>
      <w:marLeft w:val="0"/>
      <w:marRight w:val="0"/>
      <w:marTop w:val="0"/>
      <w:marBottom w:val="0"/>
      <w:divBdr>
        <w:top w:val="none" w:sz="0" w:space="0" w:color="auto"/>
        <w:left w:val="none" w:sz="0" w:space="0" w:color="auto"/>
        <w:bottom w:val="none" w:sz="0" w:space="0" w:color="auto"/>
        <w:right w:val="none" w:sz="0" w:space="0" w:color="auto"/>
      </w:divBdr>
    </w:div>
    <w:div w:id="765536157">
      <w:bodyDiv w:val="1"/>
      <w:marLeft w:val="0"/>
      <w:marRight w:val="0"/>
      <w:marTop w:val="0"/>
      <w:marBottom w:val="0"/>
      <w:divBdr>
        <w:top w:val="none" w:sz="0" w:space="0" w:color="auto"/>
        <w:left w:val="none" w:sz="0" w:space="0" w:color="auto"/>
        <w:bottom w:val="none" w:sz="0" w:space="0" w:color="auto"/>
        <w:right w:val="none" w:sz="0" w:space="0" w:color="auto"/>
      </w:divBdr>
    </w:div>
    <w:div w:id="768814101">
      <w:bodyDiv w:val="1"/>
      <w:marLeft w:val="0"/>
      <w:marRight w:val="0"/>
      <w:marTop w:val="0"/>
      <w:marBottom w:val="0"/>
      <w:divBdr>
        <w:top w:val="none" w:sz="0" w:space="0" w:color="auto"/>
        <w:left w:val="none" w:sz="0" w:space="0" w:color="auto"/>
        <w:bottom w:val="none" w:sz="0" w:space="0" w:color="auto"/>
        <w:right w:val="none" w:sz="0" w:space="0" w:color="auto"/>
      </w:divBdr>
    </w:div>
    <w:div w:id="769862637">
      <w:bodyDiv w:val="1"/>
      <w:marLeft w:val="0"/>
      <w:marRight w:val="0"/>
      <w:marTop w:val="0"/>
      <w:marBottom w:val="0"/>
      <w:divBdr>
        <w:top w:val="none" w:sz="0" w:space="0" w:color="auto"/>
        <w:left w:val="none" w:sz="0" w:space="0" w:color="auto"/>
        <w:bottom w:val="none" w:sz="0" w:space="0" w:color="auto"/>
        <w:right w:val="none" w:sz="0" w:space="0" w:color="auto"/>
      </w:divBdr>
    </w:div>
    <w:div w:id="782652128">
      <w:bodyDiv w:val="1"/>
      <w:marLeft w:val="0"/>
      <w:marRight w:val="0"/>
      <w:marTop w:val="0"/>
      <w:marBottom w:val="0"/>
      <w:divBdr>
        <w:top w:val="none" w:sz="0" w:space="0" w:color="auto"/>
        <w:left w:val="none" w:sz="0" w:space="0" w:color="auto"/>
        <w:bottom w:val="none" w:sz="0" w:space="0" w:color="auto"/>
        <w:right w:val="none" w:sz="0" w:space="0" w:color="auto"/>
      </w:divBdr>
    </w:div>
    <w:div w:id="788548428">
      <w:bodyDiv w:val="1"/>
      <w:marLeft w:val="0"/>
      <w:marRight w:val="0"/>
      <w:marTop w:val="0"/>
      <w:marBottom w:val="0"/>
      <w:divBdr>
        <w:top w:val="none" w:sz="0" w:space="0" w:color="auto"/>
        <w:left w:val="none" w:sz="0" w:space="0" w:color="auto"/>
        <w:bottom w:val="none" w:sz="0" w:space="0" w:color="auto"/>
        <w:right w:val="none" w:sz="0" w:space="0" w:color="auto"/>
      </w:divBdr>
    </w:div>
    <w:div w:id="793720521">
      <w:bodyDiv w:val="1"/>
      <w:marLeft w:val="0"/>
      <w:marRight w:val="0"/>
      <w:marTop w:val="0"/>
      <w:marBottom w:val="0"/>
      <w:divBdr>
        <w:top w:val="none" w:sz="0" w:space="0" w:color="auto"/>
        <w:left w:val="none" w:sz="0" w:space="0" w:color="auto"/>
        <w:bottom w:val="none" w:sz="0" w:space="0" w:color="auto"/>
        <w:right w:val="none" w:sz="0" w:space="0" w:color="auto"/>
      </w:divBdr>
    </w:div>
    <w:div w:id="795950814">
      <w:bodyDiv w:val="1"/>
      <w:marLeft w:val="0"/>
      <w:marRight w:val="0"/>
      <w:marTop w:val="0"/>
      <w:marBottom w:val="0"/>
      <w:divBdr>
        <w:top w:val="none" w:sz="0" w:space="0" w:color="auto"/>
        <w:left w:val="none" w:sz="0" w:space="0" w:color="auto"/>
        <w:bottom w:val="none" w:sz="0" w:space="0" w:color="auto"/>
        <w:right w:val="none" w:sz="0" w:space="0" w:color="auto"/>
      </w:divBdr>
    </w:div>
    <w:div w:id="803230705">
      <w:bodyDiv w:val="1"/>
      <w:marLeft w:val="0"/>
      <w:marRight w:val="0"/>
      <w:marTop w:val="0"/>
      <w:marBottom w:val="0"/>
      <w:divBdr>
        <w:top w:val="none" w:sz="0" w:space="0" w:color="auto"/>
        <w:left w:val="none" w:sz="0" w:space="0" w:color="auto"/>
        <w:bottom w:val="none" w:sz="0" w:space="0" w:color="auto"/>
        <w:right w:val="none" w:sz="0" w:space="0" w:color="auto"/>
      </w:divBdr>
    </w:div>
    <w:div w:id="808011900">
      <w:bodyDiv w:val="1"/>
      <w:marLeft w:val="0"/>
      <w:marRight w:val="0"/>
      <w:marTop w:val="0"/>
      <w:marBottom w:val="0"/>
      <w:divBdr>
        <w:top w:val="none" w:sz="0" w:space="0" w:color="auto"/>
        <w:left w:val="none" w:sz="0" w:space="0" w:color="auto"/>
        <w:bottom w:val="none" w:sz="0" w:space="0" w:color="auto"/>
        <w:right w:val="none" w:sz="0" w:space="0" w:color="auto"/>
      </w:divBdr>
    </w:div>
    <w:div w:id="820464973">
      <w:bodyDiv w:val="1"/>
      <w:marLeft w:val="0"/>
      <w:marRight w:val="0"/>
      <w:marTop w:val="0"/>
      <w:marBottom w:val="0"/>
      <w:divBdr>
        <w:top w:val="none" w:sz="0" w:space="0" w:color="auto"/>
        <w:left w:val="none" w:sz="0" w:space="0" w:color="auto"/>
        <w:bottom w:val="none" w:sz="0" w:space="0" w:color="auto"/>
        <w:right w:val="none" w:sz="0" w:space="0" w:color="auto"/>
      </w:divBdr>
    </w:div>
    <w:div w:id="833758562">
      <w:bodyDiv w:val="1"/>
      <w:marLeft w:val="0"/>
      <w:marRight w:val="0"/>
      <w:marTop w:val="0"/>
      <w:marBottom w:val="0"/>
      <w:divBdr>
        <w:top w:val="none" w:sz="0" w:space="0" w:color="auto"/>
        <w:left w:val="none" w:sz="0" w:space="0" w:color="auto"/>
        <w:bottom w:val="none" w:sz="0" w:space="0" w:color="auto"/>
        <w:right w:val="none" w:sz="0" w:space="0" w:color="auto"/>
      </w:divBdr>
    </w:div>
    <w:div w:id="835807712">
      <w:bodyDiv w:val="1"/>
      <w:marLeft w:val="0"/>
      <w:marRight w:val="0"/>
      <w:marTop w:val="0"/>
      <w:marBottom w:val="0"/>
      <w:divBdr>
        <w:top w:val="none" w:sz="0" w:space="0" w:color="auto"/>
        <w:left w:val="none" w:sz="0" w:space="0" w:color="auto"/>
        <w:bottom w:val="none" w:sz="0" w:space="0" w:color="auto"/>
        <w:right w:val="none" w:sz="0" w:space="0" w:color="auto"/>
      </w:divBdr>
    </w:div>
    <w:div w:id="841508501">
      <w:bodyDiv w:val="1"/>
      <w:marLeft w:val="0"/>
      <w:marRight w:val="0"/>
      <w:marTop w:val="0"/>
      <w:marBottom w:val="0"/>
      <w:divBdr>
        <w:top w:val="none" w:sz="0" w:space="0" w:color="auto"/>
        <w:left w:val="none" w:sz="0" w:space="0" w:color="auto"/>
        <w:bottom w:val="none" w:sz="0" w:space="0" w:color="auto"/>
        <w:right w:val="none" w:sz="0" w:space="0" w:color="auto"/>
      </w:divBdr>
    </w:div>
    <w:div w:id="848760703">
      <w:bodyDiv w:val="1"/>
      <w:marLeft w:val="0"/>
      <w:marRight w:val="0"/>
      <w:marTop w:val="0"/>
      <w:marBottom w:val="0"/>
      <w:divBdr>
        <w:top w:val="none" w:sz="0" w:space="0" w:color="auto"/>
        <w:left w:val="none" w:sz="0" w:space="0" w:color="auto"/>
        <w:bottom w:val="none" w:sz="0" w:space="0" w:color="auto"/>
        <w:right w:val="none" w:sz="0" w:space="0" w:color="auto"/>
      </w:divBdr>
    </w:div>
    <w:div w:id="851845811">
      <w:bodyDiv w:val="1"/>
      <w:marLeft w:val="0"/>
      <w:marRight w:val="0"/>
      <w:marTop w:val="0"/>
      <w:marBottom w:val="0"/>
      <w:divBdr>
        <w:top w:val="none" w:sz="0" w:space="0" w:color="auto"/>
        <w:left w:val="none" w:sz="0" w:space="0" w:color="auto"/>
        <w:bottom w:val="none" w:sz="0" w:space="0" w:color="auto"/>
        <w:right w:val="none" w:sz="0" w:space="0" w:color="auto"/>
      </w:divBdr>
    </w:div>
    <w:div w:id="857886405">
      <w:bodyDiv w:val="1"/>
      <w:marLeft w:val="0"/>
      <w:marRight w:val="0"/>
      <w:marTop w:val="0"/>
      <w:marBottom w:val="0"/>
      <w:divBdr>
        <w:top w:val="none" w:sz="0" w:space="0" w:color="auto"/>
        <w:left w:val="none" w:sz="0" w:space="0" w:color="auto"/>
        <w:bottom w:val="none" w:sz="0" w:space="0" w:color="auto"/>
        <w:right w:val="none" w:sz="0" w:space="0" w:color="auto"/>
      </w:divBdr>
    </w:div>
    <w:div w:id="863590361">
      <w:bodyDiv w:val="1"/>
      <w:marLeft w:val="0"/>
      <w:marRight w:val="0"/>
      <w:marTop w:val="0"/>
      <w:marBottom w:val="0"/>
      <w:divBdr>
        <w:top w:val="none" w:sz="0" w:space="0" w:color="auto"/>
        <w:left w:val="none" w:sz="0" w:space="0" w:color="auto"/>
        <w:bottom w:val="none" w:sz="0" w:space="0" w:color="auto"/>
        <w:right w:val="none" w:sz="0" w:space="0" w:color="auto"/>
      </w:divBdr>
    </w:div>
    <w:div w:id="868565032">
      <w:bodyDiv w:val="1"/>
      <w:marLeft w:val="0"/>
      <w:marRight w:val="0"/>
      <w:marTop w:val="0"/>
      <w:marBottom w:val="0"/>
      <w:divBdr>
        <w:top w:val="none" w:sz="0" w:space="0" w:color="auto"/>
        <w:left w:val="none" w:sz="0" w:space="0" w:color="auto"/>
        <w:bottom w:val="none" w:sz="0" w:space="0" w:color="auto"/>
        <w:right w:val="none" w:sz="0" w:space="0" w:color="auto"/>
      </w:divBdr>
    </w:div>
    <w:div w:id="877594732">
      <w:bodyDiv w:val="1"/>
      <w:marLeft w:val="0"/>
      <w:marRight w:val="0"/>
      <w:marTop w:val="0"/>
      <w:marBottom w:val="0"/>
      <w:divBdr>
        <w:top w:val="none" w:sz="0" w:space="0" w:color="auto"/>
        <w:left w:val="none" w:sz="0" w:space="0" w:color="auto"/>
        <w:bottom w:val="none" w:sz="0" w:space="0" w:color="auto"/>
        <w:right w:val="none" w:sz="0" w:space="0" w:color="auto"/>
      </w:divBdr>
    </w:div>
    <w:div w:id="877664597">
      <w:bodyDiv w:val="1"/>
      <w:marLeft w:val="0"/>
      <w:marRight w:val="0"/>
      <w:marTop w:val="0"/>
      <w:marBottom w:val="0"/>
      <w:divBdr>
        <w:top w:val="none" w:sz="0" w:space="0" w:color="auto"/>
        <w:left w:val="none" w:sz="0" w:space="0" w:color="auto"/>
        <w:bottom w:val="none" w:sz="0" w:space="0" w:color="auto"/>
        <w:right w:val="none" w:sz="0" w:space="0" w:color="auto"/>
      </w:divBdr>
    </w:div>
    <w:div w:id="880901519">
      <w:bodyDiv w:val="1"/>
      <w:marLeft w:val="0"/>
      <w:marRight w:val="0"/>
      <w:marTop w:val="0"/>
      <w:marBottom w:val="0"/>
      <w:divBdr>
        <w:top w:val="none" w:sz="0" w:space="0" w:color="auto"/>
        <w:left w:val="none" w:sz="0" w:space="0" w:color="auto"/>
        <w:bottom w:val="none" w:sz="0" w:space="0" w:color="auto"/>
        <w:right w:val="none" w:sz="0" w:space="0" w:color="auto"/>
      </w:divBdr>
    </w:div>
    <w:div w:id="883100110">
      <w:bodyDiv w:val="1"/>
      <w:marLeft w:val="0"/>
      <w:marRight w:val="0"/>
      <w:marTop w:val="0"/>
      <w:marBottom w:val="0"/>
      <w:divBdr>
        <w:top w:val="none" w:sz="0" w:space="0" w:color="auto"/>
        <w:left w:val="none" w:sz="0" w:space="0" w:color="auto"/>
        <w:bottom w:val="none" w:sz="0" w:space="0" w:color="auto"/>
        <w:right w:val="none" w:sz="0" w:space="0" w:color="auto"/>
      </w:divBdr>
    </w:div>
    <w:div w:id="886991720">
      <w:bodyDiv w:val="1"/>
      <w:marLeft w:val="0"/>
      <w:marRight w:val="0"/>
      <w:marTop w:val="0"/>
      <w:marBottom w:val="0"/>
      <w:divBdr>
        <w:top w:val="none" w:sz="0" w:space="0" w:color="auto"/>
        <w:left w:val="none" w:sz="0" w:space="0" w:color="auto"/>
        <w:bottom w:val="none" w:sz="0" w:space="0" w:color="auto"/>
        <w:right w:val="none" w:sz="0" w:space="0" w:color="auto"/>
      </w:divBdr>
    </w:div>
    <w:div w:id="890723987">
      <w:bodyDiv w:val="1"/>
      <w:marLeft w:val="0"/>
      <w:marRight w:val="0"/>
      <w:marTop w:val="0"/>
      <w:marBottom w:val="0"/>
      <w:divBdr>
        <w:top w:val="none" w:sz="0" w:space="0" w:color="auto"/>
        <w:left w:val="none" w:sz="0" w:space="0" w:color="auto"/>
        <w:bottom w:val="none" w:sz="0" w:space="0" w:color="auto"/>
        <w:right w:val="none" w:sz="0" w:space="0" w:color="auto"/>
      </w:divBdr>
    </w:div>
    <w:div w:id="899292982">
      <w:bodyDiv w:val="1"/>
      <w:marLeft w:val="0"/>
      <w:marRight w:val="0"/>
      <w:marTop w:val="0"/>
      <w:marBottom w:val="0"/>
      <w:divBdr>
        <w:top w:val="none" w:sz="0" w:space="0" w:color="auto"/>
        <w:left w:val="none" w:sz="0" w:space="0" w:color="auto"/>
        <w:bottom w:val="none" w:sz="0" w:space="0" w:color="auto"/>
        <w:right w:val="none" w:sz="0" w:space="0" w:color="auto"/>
      </w:divBdr>
    </w:div>
    <w:div w:id="899482483">
      <w:bodyDiv w:val="1"/>
      <w:marLeft w:val="0"/>
      <w:marRight w:val="0"/>
      <w:marTop w:val="0"/>
      <w:marBottom w:val="0"/>
      <w:divBdr>
        <w:top w:val="none" w:sz="0" w:space="0" w:color="auto"/>
        <w:left w:val="none" w:sz="0" w:space="0" w:color="auto"/>
        <w:bottom w:val="none" w:sz="0" w:space="0" w:color="auto"/>
        <w:right w:val="none" w:sz="0" w:space="0" w:color="auto"/>
      </w:divBdr>
    </w:div>
    <w:div w:id="900562024">
      <w:bodyDiv w:val="1"/>
      <w:marLeft w:val="0"/>
      <w:marRight w:val="0"/>
      <w:marTop w:val="0"/>
      <w:marBottom w:val="0"/>
      <w:divBdr>
        <w:top w:val="none" w:sz="0" w:space="0" w:color="auto"/>
        <w:left w:val="none" w:sz="0" w:space="0" w:color="auto"/>
        <w:bottom w:val="none" w:sz="0" w:space="0" w:color="auto"/>
        <w:right w:val="none" w:sz="0" w:space="0" w:color="auto"/>
      </w:divBdr>
    </w:div>
    <w:div w:id="912276503">
      <w:bodyDiv w:val="1"/>
      <w:marLeft w:val="0"/>
      <w:marRight w:val="0"/>
      <w:marTop w:val="0"/>
      <w:marBottom w:val="0"/>
      <w:divBdr>
        <w:top w:val="none" w:sz="0" w:space="0" w:color="auto"/>
        <w:left w:val="none" w:sz="0" w:space="0" w:color="auto"/>
        <w:bottom w:val="none" w:sz="0" w:space="0" w:color="auto"/>
        <w:right w:val="none" w:sz="0" w:space="0" w:color="auto"/>
      </w:divBdr>
    </w:div>
    <w:div w:id="914440117">
      <w:bodyDiv w:val="1"/>
      <w:marLeft w:val="0"/>
      <w:marRight w:val="0"/>
      <w:marTop w:val="0"/>
      <w:marBottom w:val="0"/>
      <w:divBdr>
        <w:top w:val="none" w:sz="0" w:space="0" w:color="auto"/>
        <w:left w:val="none" w:sz="0" w:space="0" w:color="auto"/>
        <w:bottom w:val="none" w:sz="0" w:space="0" w:color="auto"/>
        <w:right w:val="none" w:sz="0" w:space="0" w:color="auto"/>
      </w:divBdr>
    </w:div>
    <w:div w:id="915823858">
      <w:bodyDiv w:val="1"/>
      <w:marLeft w:val="0"/>
      <w:marRight w:val="0"/>
      <w:marTop w:val="0"/>
      <w:marBottom w:val="0"/>
      <w:divBdr>
        <w:top w:val="none" w:sz="0" w:space="0" w:color="auto"/>
        <w:left w:val="none" w:sz="0" w:space="0" w:color="auto"/>
        <w:bottom w:val="none" w:sz="0" w:space="0" w:color="auto"/>
        <w:right w:val="none" w:sz="0" w:space="0" w:color="auto"/>
      </w:divBdr>
    </w:div>
    <w:div w:id="916130200">
      <w:bodyDiv w:val="1"/>
      <w:marLeft w:val="0"/>
      <w:marRight w:val="0"/>
      <w:marTop w:val="0"/>
      <w:marBottom w:val="0"/>
      <w:divBdr>
        <w:top w:val="none" w:sz="0" w:space="0" w:color="auto"/>
        <w:left w:val="none" w:sz="0" w:space="0" w:color="auto"/>
        <w:bottom w:val="none" w:sz="0" w:space="0" w:color="auto"/>
        <w:right w:val="none" w:sz="0" w:space="0" w:color="auto"/>
      </w:divBdr>
    </w:div>
    <w:div w:id="918565373">
      <w:bodyDiv w:val="1"/>
      <w:marLeft w:val="0"/>
      <w:marRight w:val="0"/>
      <w:marTop w:val="0"/>
      <w:marBottom w:val="0"/>
      <w:divBdr>
        <w:top w:val="none" w:sz="0" w:space="0" w:color="auto"/>
        <w:left w:val="none" w:sz="0" w:space="0" w:color="auto"/>
        <w:bottom w:val="none" w:sz="0" w:space="0" w:color="auto"/>
        <w:right w:val="none" w:sz="0" w:space="0" w:color="auto"/>
      </w:divBdr>
    </w:div>
    <w:div w:id="923151640">
      <w:bodyDiv w:val="1"/>
      <w:marLeft w:val="0"/>
      <w:marRight w:val="0"/>
      <w:marTop w:val="0"/>
      <w:marBottom w:val="0"/>
      <w:divBdr>
        <w:top w:val="none" w:sz="0" w:space="0" w:color="auto"/>
        <w:left w:val="none" w:sz="0" w:space="0" w:color="auto"/>
        <w:bottom w:val="none" w:sz="0" w:space="0" w:color="auto"/>
        <w:right w:val="none" w:sz="0" w:space="0" w:color="auto"/>
      </w:divBdr>
    </w:div>
    <w:div w:id="925110906">
      <w:bodyDiv w:val="1"/>
      <w:marLeft w:val="0"/>
      <w:marRight w:val="0"/>
      <w:marTop w:val="0"/>
      <w:marBottom w:val="0"/>
      <w:divBdr>
        <w:top w:val="none" w:sz="0" w:space="0" w:color="auto"/>
        <w:left w:val="none" w:sz="0" w:space="0" w:color="auto"/>
        <w:bottom w:val="none" w:sz="0" w:space="0" w:color="auto"/>
        <w:right w:val="none" w:sz="0" w:space="0" w:color="auto"/>
      </w:divBdr>
    </w:div>
    <w:div w:id="931282423">
      <w:bodyDiv w:val="1"/>
      <w:marLeft w:val="0"/>
      <w:marRight w:val="0"/>
      <w:marTop w:val="0"/>
      <w:marBottom w:val="0"/>
      <w:divBdr>
        <w:top w:val="none" w:sz="0" w:space="0" w:color="auto"/>
        <w:left w:val="none" w:sz="0" w:space="0" w:color="auto"/>
        <w:bottom w:val="none" w:sz="0" w:space="0" w:color="auto"/>
        <w:right w:val="none" w:sz="0" w:space="0" w:color="auto"/>
      </w:divBdr>
    </w:div>
    <w:div w:id="935678397">
      <w:bodyDiv w:val="1"/>
      <w:marLeft w:val="0"/>
      <w:marRight w:val="0"/>
      <w:marTop w:val="0"/>
      <w:marBottom w:val="0"/>
      <w:divBdr>
        <w:top w:val="none" w:sz="0" w:space="0" w:color="auto"/>
        <w:left w:val="none" w:sz="0" w:space="0" w:color="auto"/>
        <w:bottom w:val="none" w:sz="0" w:space="0" w:color="auto"/>
        <w:right w:val="none" w:sz="0" w:space="0" w:color="auto"/>
      </w:divBdr>
    </w:div>
    <w:div w:id="947659321">
      <w:bodyDiv w:val="1"/>
      <w:marLeft w:val="0"/>
      <w:marRight w:val="0"/>
      <w:marTop w:val="0"/>
      <w:marBottom w:val="0"/>
      <w:divBdr>
        <w:top w:val="none" w:sz="0" w:space="0" w:color="auto"/>
        <w:left w:val="none" w:sz="0" w:space="0" w:color="auto"/>
        <w:bottom w:val="none" w:sz="0" w:space="0" w:color="auto"/>
        <w:right w:val="none" w:sz="0" w:space="0" w:color="auto"/>
      </w:divBdr>
    </w:div>
    <w:div w:id="956763259">
      <w:bodyDiv w:val="1"/>
      <w:marLeft w:val="0"/>
      <w:marRight w:val="0"/>
      <w:marTop w:val="0"/>
      <w:marBottom w:val="0"/>
      <w:divBdr>
        <w:top w:val="none" w:sz="0" w:space="0" w:color="auto"/>
        <w:left w:val="none" w:sz="0" w:space="0" w:color="auto"/>
        <w:bottom w:val="none" w:sz="0" w:space="0" w:color="auto"/>
        <w:right w:val="none" w:sz="0" w:space="0" w:color="auto"/>
      </w:divBdr>
    </w:div>
    <w:div w:id="958803897">
      <w:bodyDiv w:val="1"/>
      <w:marLeft w:val="0"/>
      <w:marRight w:val="0"/>
      <w:marTop w:val="0"/>
      <w:marBottom w:val="0"/>
      <w:divBdr>
        <w:top w:val="none" w:sz="0" w:space="0" w:color="auto"/>
        <w:left w:val="none" w:sz="0" w:space="0" w:color="auto"/>
        <w:bottom w:val="none" w:sz="0" w:space="0" w:color="auto"/>
        <w:right w:val="none" w:sz="0" w:space="0" w:color="auto"/>
      </w:divBdr>
    </w:div>
    <w:div w:id="960115540">
      <w:bodyDiv w:val="1"/>
      <w:marLeft w:val="0"/>
      <w:marRight w:val="0"/>
      <w:marTop w:val="0"/>
      <w:marBottom w:val="0"/>
      <w:divBdr>
        <w:top w:val="none" w:sz="0" w:space="0" w:color="auto"/>
        <w:left w:val="none" w:sz="0" w:space="0" w:color="auto"/>
        <w:bottom w:val="none" w:sz="0" w:space="0" w:color="auto"/>
        <w:right w:val="none" w:sz="0" w:space="0" w:color="auto"/>
      </w:divBdr>
    </w:div>
    <w:div w:id="968324057">
      <w:bodyDiv w:val="1"/>
      <w:marLeft w:val="0"/>
      <w:marRight w:val="0"/>
      <w:marTop w:val="0"/>
      <w:marBottom w:val="0"/>
      <w:divBdr>
        <w:top w:val="none" w:sz="0" w:space="0" w:color="auto"/>
        <w:left w:val="none" w:sz="0" w:space="0" w:color="auto"/>
        <w:bottom w:val="none" w:sz="0" w:space="0" w:color="auto"/>
        <w:right w:val="none" w:sz="0" w:space="0" w:color="auto"/>
      </w:divBdr>
    </w:div>
    <w:div w:id="977026830">
      <w:bodyDiv w:val="1"/>
      <w:marLeft w:val="0"/>
      <w:marRight w:val="0"/>
      <w:marTop w:val="0"/>
      <w:marBottom w:val="0"/>
      <w:divBdr>
        <w:top w:val="none" w:sz="0" w:space="0" w:color="auto"/>
        <w:left w:val="none" w:sz="0" w:space="0" w:color="auto"/>
        <w:bottom w:val="none" w:sz="0" w:space="0" w:color="auto"/>
        <w:right w:val="none" w:sz="0" w:space="0" w:color="auto"/>
      </w:divBdr>
    </w:div>
    <w:div w:id="978922961">
      <w:bodyDiv w:val="1"/>
      <w:marLeft w:val="0"/>
      <w:marRight w:val="0"/>
      <w:marTop w:val="0"/>
      <w:marBottom w:val="0"/>
      <w:divBdr>
        <w:top w:val="none" w:sz="0" w:space="0" w:color="auto"/>
        <w:left w:val="none" w:sz="0" w:space="0" w:color="auto"/>
        <w:bottom w:val="none" w:sz="0" w:space="0" w:color="auto"/>
        <w:right w:val="none" w:sz="0" w:space="0" w:color="auto"/>
      </w:divBdr>
    </w:div>
    <w:div w:id="982320157">
      <w:bodyDiv w:val="1"/>
      <w:marLeft w:val="0"/>
      <w:marRight w:val="0"/>
      <w:marTop w:val="0"/>
      <w:marBottom w:val="0"/>
      <w:divBdr>
        <w:top w:val="none" w:sz="0" w:space="0" w:color="auto"/>
        <w:left w:val="none" w:sz="0" w:space="0" w:color="auto"/>
        <w:bottom w:val="none" w:sz="0" w:space="0" w:color="auto"/>
        <w:right w:val="none" w:sz="0" w:space="0" w:color="auto"/>
      </w:divBdr>
    </w:div>
    <w:div w:id="989290999">
      <w:bodyDiv w:val="1"/>
      <w:marLeft w:val="0"/>
      <w:marRight w:val="0"/>
      <w:marTop w:val="0"/>
      <w:marBottom w:val="0"/>
      <w:divBdr>
        <w:top w:val="none" w:sz="0" w:space="0" w:color="auto"/>
        <w:left w:val="none" w:sz="0" w:space="0" w:color="auto"/>
        <w:bottom w:val="none" w:sz="0" w:space="0" w:color="auto"/>
        <w:right w:val="none" w:sz="0" w:space="0" w:color="auto"/>
      </w:divBdr>
    </w:div>
    <w:div w:id="1003706323">
      <w:bodyDiv w:val="1"/>
      <w:marLeft w:val="0"/>
      <w:marRight w:val="0"/>
      <w:marTop w:val="0"/>
      <w:marBottom w:val="0"/>
      <w:divBdr>
        <w:top w:val="none" w:sz="0" w:space="0" w:color="auto"/>
        <w:left w:val="none" w:sz="0" w:space="0" w:color="auto"/>
        <w:bottom w:val="none" w:sz="0" w:space="0" w:color="auto"/>
        <w:right w:val="none" w:sz="0" w:space="0" w:color="auto"/>
      </w:divBdr>
    </w:div>
    <w:div w:id="1006664545">
      <w:bodyDiv w:val="1"/>
      <w:marLeft w:val="0"/>
      <w:marRight w:val="0"/>
      <w:marTop w:val="0"/>
      <w:marBottom w:val="0"/>
      <w:divBdr>
        <w:top w:val="none" w:sz="0" w:space="0" w:color="auto"/>
        <w:left w:val="none" w:sz="0" w:space="0" w:color="auto"/>
        <w:bottom w:val="none" w:sz="0" w:space="0" w:color="auto"/>
        <w:right w:val="none" w:sz="0" w:space="0" w:color="auto"/>
      </w:divBdr>
    </w:div>
    <w:div w:id="1013843479">
      <w:bodyDiv w:val="1"/>
      <w:marLeft w:val="0"/>
      <w:marRight w:val="0"/>
      <w:marTop w:val="0"/>
      <w:marBottom w:val="0"/>
      <w:divBdr>
        <w:top w:val="none" w:sz="0" w:space="0" w:color="auto"/>
        <w:left w:val="none" w:sz="0" w:space="0" w:color="auto"/>
        <w:bottom w:val="none" w:sz="0" w:space="0" w:color="auto"/>
        <w:right w:val="none" w:sz="0" w:space="0" w:color="auto"/>
      </w:divBdr>
    </w:div>
    <w:div w:id="1016427394">
      <w:bodyDiv w:val="1"/>
      <w:marLeft w:val="0"/>
      <w:marRight w:val="0"/>
      <w:marTop w:val="0"/>
      <w:marBottom w:val="0"/>
      <w:divBdr>
        <w:top w:val="none" w:sz="0" w:space="0" w:color="auto"/>
        <w:left w:val="none" w:sz="0" w:space="0" w:color="auto"/>
        <w:bottom w:val="none" w:sz="0" w:space="0" w:color="auto"/>
        <w:right w:val="none" w:sz="0" w:space="0" w:color="auto"/>
      </w:divBdr>
    </w:div>
    <w:div w:id="1017658360">
      <w:bodyDiv w:val="1"/>
      <w:marLeft w:val="0"/>
      <w:marRight w:val="0"/>
      <w:marTop w:val="0"/>
      <w:marBottom w:val="0"/>
      <w:divBdr>
        <w:top w:val="none" w:sz="0" w:space="0" w:color="auto"/>
        <w:left w:val="none" w:sz="0" w:space="0" w:color="auto"/>
        <w:bottom w:val="none" w:sz="0" w:space="0" w:color="auto"/>
        <w:right w:val="none" w:sz="0" w:space="0" w:color="auto"/>
      </w:divBdr>
    </w:div>
    <w:div w:id="1020620269">
      <w:bodyDiv w:val="1"/>
      <w:marLeft w:val="0"/>
      <w:marRight w:val="0"/>
      <w:marTop w:val="0"/>
      <w:marBottom w:val="0"/>
      <w:divBdr>
        <w:top w:val="none" w:sz="0" w:space="0" w:color="auto"/>
        <w:left w:val="none" w:sz="0" w:space="0" w:color="auto"/>
        <w:bottom w:val="none" w:sz="0" w:space="0" w:color="auto"/>
        <w:right w:val="none" w:sz="0" w:space="0" w:color="auto"/>
      </w:divBdr>
    </w:div>
    <w:div w:id="1024095452">
      <w:bodyDiv w:val="1"/>
      <w:marLeft w:val="0"/>
      <w:marRight w:val="0"/>
      <w:marTop w:val="0"/>
      <w:marBottom w:val="0"/>
      <w:divBdr>
        <w:top w:val="none" w:sz="0" w:space="0" w:color="auto"/>
        <w:left w:val="none" w:sz="0" w:space="0" w:color="auto"/>
        <w:bottom w:val="none" w:sz="0" w:space="0" w:color="auto"/>
        <w:right w:val="none" w:sz="0" w:space="0" w:color="auto"/>
      </w:divBdr>
    </w:div>
    <w:div w:id="1026902737">
      <w:bodyDiv w:val="1"/>
      <w:marLeft w:val="0"/>
      <w:marRight w:val="0"/>
      <w:marTop w:val="0"/>
      <w:marBottom w:val="0"/>
      <w:divBdr>
        <w:top w:val="none" w:sz="0" w:space="0" w:color="auto"/>
        <w:left w:val="none" w:sz="0" w:space="0" w:color="auto"/>
        <w:bottom w:val="none" w:sz="0" w:space="0" w:color="auto"/>
        <w:right w:val="none" w:sz="0" w:space="0" w:color="auto"/>
      </w:divBdr>
    </w:div>
    <w:div w:id="1034308175">
      <w:bodyDiv w:val="1"/>
      <w:marLeft w:val="0"/>
      <w:marRight w:val="0"/>
      <w:marTop w:val="0"/>
      <w:marBottom w:val="0"/>
      <w:divBdr>
        <w:top w:val="none" w:sz="0" w:space="0" w:color="auto"/>
        <w:left w:val="none" w:sz="0" w:space="0" w:color="auto"/>
        <w:bottom w:val="none" w:sz="0" w:space="0" w:color="auto"/>
        <w:right w:val="none" w:sz="0" w:space="0" w:color="auto"/>
      </w:divBdr>
    </w:div>
    <w:div w:id="1034381194">
      <w:bodyDiv w:val="1"/>
      <w:marLeft w:val="0"/>
      <w:marRight w:val="0"/>
      <w:marTop w:val="0"/>
      <w:marBottom w:val="0"/>
      <w:divBdr>
        <w:top w:val="none" w:sz="0" w:space="0" w:color="auto"/>
        <w:left w:val="none" w:sz="0" w:space="0" w:color="auto"/>
        <w:bottom w:val="none" w:sz="0" w:space="0" w:color="auto"/>
        <w:right w:val="none" w:sz="0" w:space="0" w:color="auto"/>
      </w:divBdr>
    </w:div>
    <w:div w:id="1045570330">
      <w:bodyDiv w:val="1"/>
      <w:marLeft w:val="0"/>
      <w:marRight w:val="0"/>
      <w:marTop w:val="0"/>
      <w:marBottom w:val="0"/>
      <w:divBdr>
        <w:top w:val="none" w:sz="0" w:space="0" w:color="auto"/>
        <w:left w:val="none" w:sz="0" w:space="0" w:color="auto"/>
        <w:bottom w:val="none" w:sz="0" w:space="0" w:color="auto"/>
        <w:right w:val="none" w:sz="0" w:space="0" w:color="auto"/>
      </w:divBdr>
    </w:div>
    <w:div w:id="1052920079">
      <w:bodyDiv w:val="1"/>
      <w:marLeft w:val="0"/>
      <w:marRight w:val="0"/>
      <w:marTop w:val="0"/>
      <w:marBottom w:val="0"/>
      <w:divBdr>
        <w:top w:val="none" w:sz="0" w:space="0" w:color="auto"/>
        <w:left w:val="none" w:sz="0" w:space="0" w:color="auto"/>
        <w:bottom w:val="none" w:sz="0" w:space="0" w:color="auto"/>
        <w:right w:val="none" w:sz="0" w:space="0" w:color="auto"/>
      </w:divBdr>
    </w:div>
    <w:div w:id="1059784128">
      <w:bodyDiv w:val="1"/>
      <w:marLeft w:val="0"/>
      <w:marRight w:val="0"/>
      <w:marTop w:val="0"/>
      <w:marBottom w:val="0"/>
      <w:divBdr>
        <w:top w:val="none" w:sz="0" w:space="0" w:color="auto"/>
        <w:left w:val="none" w:sz="0" w:space="0" w:color="auto"/>
        <w:bottom w:val="none" w:sz="0" w:space="0" w:color="auto"/>
        <w:right w:val="none" w:sz="0" w:space="0" w:color="auto"/>
      </w:divBdr>
    </w:div>
    <w:div w:id="1059867643">
      <w:bodyDiv w:val="1"/>
      <w:marLeft w:val="0"/>
      <w:marRight w:val="0"/>
      <w:marTop w:val="0"/>
      <w:marBottom w:val="0"/>
      <w:divBdr>
        <w:top w:val="none" w:sz="0" w:space="0" w:color="auto"/>
        <w:left w:val="none" w:sz="0" w:space="0" w:color="auto"/>
        <w:bottom w:val="none" w:sz="0" w:space="0" w:color="auto"/>
        <w:right w:val="none" w:sz="0" w:space="0" w:color="auto"/>
      </w:divBdr>
    </w:div>
    <w:div w:id="1061290483">
      <w:bodyDiv w:val="1"/>
      <w:marLeft w:val="0"/>
      <w:marRight w:val="0"/>
      <w:marTop w:val="0"/>
      <w:marBottom w:val="0"/>
      <w:divBdr>
        <w:top w:val="none" w:sz="0" w:space="0" w:color="auto"/>
        <w:left w:val="none" w:sz="0" w:space="0" w:color="auto"/>
        <w:bottom w:val="none" w:sz="0" w:space="0" w:color="auto"/>
        <w:right w:val="none" w:sz="0" w:space="0" w:color="auto"/>
      </w:divBdr>
    </w:div>
    <w:div w:id="1062874323">
      <w:bodyDiv w:val="1"/>
      <w:marLeft w:val="0"/>
      <w:marRight w:val="0"/>
      <w:marTop w:val="0"/>
      <w:marBottom w:val="0"/>
      <w:divBdr>
        <w:top w:val="none" w:sz="0" w:space="0" w:color="auto"/>
        <w:left w:val="none" w:sz="0" w:space="0" w:color="auto"/>
        <w:bottom w:val="none" w:sz="0" w:space="0" w:color="auto"/>
        <w:right w:val="none" w:sz="0" w:space="0" w:color="auto"/>
      </w:divBdr>
    </w:div>
    <w:div w:id="1065831583">
      <w:bodyDiv w:val="1"/>
      <w:marLeft w:val="0"/>
      <w:marRight w:val="0"/>
      <w:marTop w:val="0"/>
      <w:marBottom w:val="0"/>
      <w:divBdr>
        <w:top w:val="none" w:sz="0" w:space="0" w:color="auto"/>
        <w:left w:val="none" w:sz="0" w:space="0" w:color="auto"/>
        <w:bottom w:val="none" w:sz="0" w:space="0" w:color="auto"/>
        <w:right w:val="none" w:sz="0" w:space="0" w:color="auto"/>
      </w:divBdr>
    </w:div>
    <w:div w:id="1069886157">
      <w:bodyDiv w:val="1"/>
      <w:marLeft w:val="0"/>
      <w:marRight w:val="0"/>
      <w:marTop w:val="0"/>
      <w:marBottom w:val="0"/>
      <w:divBdr>
        <w:top w:val="none" w:sz="0" w:space="0" w:color="auto"/>
        <w:left w:val="none" w:sz="0" w:space="0" w:color="auto"/>
        <w:bottom w:val="none" w:sz="0" w:space="0" w:color="auto"/>
        <w:right w:val="none" w:sz="0" w:space="0" w:color="auto"/>
      </w:divBdr>
    </w:div>
    <w:div w:id="1073820093">
      <w:bodyDiv w:val="1"/>
      <w:marLeft w:val="0"/>
      <w:marRight w:val="0"/>
      <w:marTop w:val="0"/>
      <w:marBottom w:val="0"/>
      <w:divBdr>
        <w:top w:val="none" w:sz="0" w:space="0" w:color="auto"/>
        <w:left w:val="none" w:sz="0" w:space="0" w:color="auto"/>
        <w:bottom w:val="none" w:sz="0" w:space="0" w:color="auto"/>
        <w:right w:val="none" w:sz="0" w:space="0" w:color="auto"/>
      </w:divBdr>
    </w:div>
    <w:div w:id="1077366711">
      <w:bodyDiv w:val="1"/>
      <w:marLeft w:val="0"/>
      <w:marRight w:val="0"/>
      <w:marTop w:val="0"/>
      <w:marBottom w:val="0"/>
      <w:divBdr>
        <w:top w:val="none" w:sz="0" w:space="0" w:color="auto"/>
        <w:left w:val="none" w:sz="0" w:space="0" w:color="auto"/>
        <w:bottom w:val="none" w:sz="0" w:space="0" w:color="auto"/>
        <w:right w:val="none" w:sz="0" w:space="0" w:color="auto"/>
      </w:divBdr>
    </w:div>
    <w:div w:id="1094131603">
      <w:bodyDiv w:val="1"/>
      <w:marLeft w:val="0"/>
      <w:marRight w:val="0"/>
      <w:marTop w:val="0"/>
      <w:marBottom w:val="0"/>
      <w:divBdr>
        <w:top w:val="none" w:sz="0" w:space="0" w:color="auto"/>
        <w:left w:val="none" w:sz="0" w:space="0" w:color="auto"/>
        <w:bottom w:val="none" w:sz="0" w:space="0" w:color="auto"/>
        <w:right w:val="none" w:sz="0" w:space="0" w:color="auto"/>
      </w:divBdr>
    </w:div>
    <w:div w:id="1106658023">
      <w:bodyDiv w:val="1"/>
      <w:marLeft w:val="0"/>
      <w:marRight w:val="0"/>
      <w:marTop w:val="0"/>
      <w:marBottom w:val="0"/>
      <w:divBdr>
        <w:top w:val="none" w:sz="0" w:space="0" w:color="auto"/>
        <w:left w:val="none" w:sz="0" w:space="0" w:color="auto"/>
        <w:bottom w:val="none" w:sz="0" w:space="0" w:color="auto"/>
        <w:right w:val="none" w:sz="0" w:space="0" w:color="auto"/>
      </w:divBdr>
    </w:div>
    <w:div w:id="1112899147">
      <w:bodyDiv w:val="1"/>
      <w:marLeft w:val="0"/>
      <w:marRight w:val="0"/>
      <w:marTop w:val="0"/>
      <w:marBottom w:val="0"/>
      <w:divBdr>
        <w:top w:val="none" w:sz="0" w:space="0" w:color="auto"/>
        <w:left w:val="none" w:sz="0" w:space="0" w:color="auto"/>
        <w:bottom w:val="none" w:sz="0" w:space="0" w:color="auto"/>
        <w:right w:val="none" w:sz="0" w:space="0" w:color="auto"/>
      </w:divBdr>
    </w:div>
    <w:div w:id="1115949773">
      <w:bodyDiv w:val="1"/>
      <w:marLeft w:val="0"/>
      <w:marRight w:val="0"/>
      <w:marTop w:val="0"/>
      <w:marBottom w:val="0"/>
      <w:divBdr>
        <w:top w:val="none" w:sz="0" w:space="0" w:color="auto"/>
        <w:left w:val="none" w:sz="0" w:space="0" w:color="auto"/>
        <w:bottom w:val="none" w:sz="0" w:space="0" w:color="auto"/>
        <w:right w:val="none" w:sz="0" w:space="0" w:color="auto"/>
      </w:divBdr>
    </w:div>
    <w:div w:id="1116096053">
      <w:bodyDiv w:val="1"/>
      <w:marLeft w:val="0"/>
      <w:marRight w:val="0"/>
      <w:marTop w:val="0"/>
      <w:marBottom w:val="0"/>
      <w:divBdr>
        <w:top w:val="none" w:sz="0" w:space="0" w:color="auto"/>
        <w:left w:val="none" w:sz="0" w:space="0" w:color="auto"/>
        <w:bottom w:val="none" w:sz="0" w:space="0" w:color="auto"/>
        <w:right w:val="none" w:sz="0" w:space="0" w:color="auto"/>
      </w:divBdr>
    </w:div>
    <w:div w:id="1118179989">
      <w:bodyDiv w:val="1"/>
      <w:marLeft w:val="0"/>
      <w:marRight w:val="0"/>
      <w:marTop w:val="0"/>
      <w:marBottom w:val="0"/>
      <w:divBdr>
        <w:top w:val="none" w:sz="0" w:space="0" w:color="auto"/>
        <w:left w:val="none" w:sz="0" w:space="0" w:color="auto"/>
        <w:bottom w:val="none" w:sz="0" w:space="0" w:color="auto"/>
        <w:right w:val="none" w:sz="0" w:space="0" w:color="auto"/>
      </w:divBdr>
    </w:div>
    <w:div w:id="1131557035">
      <w:bodyDiv w:val="1"/>
      <w:marLeft w:val="0"/>
      <w:marRight w:val="0"/>
      <w:marTop w:val="0"/>
      <w:marBottom w:val="0"/>
      <w:divBdr>
        <w:top w:val="none" w:sz="0" w:space="0" w:color="auto"/>
        <w:left w:val="none" w:sz="0" w:space="0" w:color="auto"/>
        <w:bottom w:val="none" w:sz="0" w:space="0" w:color="auto"/>
        <w:right w:val="none" w:sz="0" w:space="0" w:color="auto"/>
      </w:divBdr>
    </w:div>
    <w:div w:id="1131903264">
      <w:bodyDiv w:val="1"/>
      <w:marLeft w:val="0"/>
      <w:marRight w:val="0"/>
      <w:marTop w:val="0"/>
      <w:marBottom w:val="0"/>
      <w:divBdr>
        <w:top w:val="none" w:sz="0" w:space="0" w:color="auto"/>
        <w:left w:val="none" w:sz="0" w:space="0" w:color="auto"/>
        <w:bottom w:val="none" w:sz="0" w:space="0" w:color="auto"/>
        <w:right w:val="none" w:sz="0" w:space="0" w:color="auto"/>
      </w:divBdr>
    </w:div>
    <w:div w:id="1137458234">
      <w:bodyDiv w:val="1"/>
      <w:marLeft w:val="0"/>
      <w:marRight w:val="0"/>
      <w:marTop w:val="0"/>
      <w:marBottom w:val="0"/>
      <w:divBdr>
        <w:top w:val="none" w:sz="0" w:space="0" w:color="auto"/>
        <w:left w:val="none" w:sz="0" w:space="0" w:color="auto"/>
        <w:bottom w:val="none" w:sz="0" w:space="0" w:color="auto"/>
        <w:right w:val="none" w:sz="0" w:space="0" w:color="auto"/>
      </w:divBdr>
    </w:div>
    <w:div w:id="1154879076">
      <w:bodyDiv w:val="1"/>
      <w:marLeft w:val="0"/>
      <w:marRight w:val="0"/>
      <w:marTop w:val="0"/>
      <w:marBottom w:val="0"/>
      <w:divBdr>
        <w:top w:val="none" w:sz="0" w:space="0" w:color="auto"/>
        <w:left w:val="none" w:sz="0" w:space="0" w:color="auto"/>
        <w:bottom w:val="none" w:sz="0" w:space="0" w:color="auto"/>
        <w:right w:val="none" w:sz="0" w:space="0" w:color="auto"/>
      </w:divBdr>
    </w:div>
    <w:div w:id="1161460425">
      <w:bodyDiv w:val="1"/>
      <w:marLeft w:val="0"/>
      <w:marRight w:val="0"/>
      <w:marTop w:val="0"/>
      <w:marBottom w:val="0"/>
      <w:divBdr>
        <w:top w:val="none" w:sz="0" w:space="0" w:color="auto"/>
        <w:left w:val="none" w:sz="0" w:space="0" w:color="auto"/>
        <w:bottom w:val="none" w:sz="0" w:space="0" w:color="auto"/>
        <w:right w:val="none" w:sz="0" w:space="0" w:color="auto"/>
      </w:divBdr>
    </w:div>
    <w:div w:id="1163158268">
      <w:bodyDiv w:val="1"/>
      <w:marLeft w:val="0"/>
      <w:marRight w:val="0"/>
      <w:marTop w:val="0"/>
      <w:marBottom w:val="0"/>
      <w:divBdr>
        <w:top w:val="none" w:sz="0" w:space="0" w:color="auto"/>
        <w:left w:val="none" w:sz="0" w:space="0" w:color="auto"/>
        <w:bottom w:val="none" w:sz="0" w:space="0" w:color="auto"/>
        <w:right w:val="none" w:sz="0" w:space="0" w:color="auto"/>
      </w:divBdr>
    </w:div>
    <w:div w:id="1163933756">
      <w:bodyDiv w:val="1"/>
      <w:marLeft w:val="0"/>
      <w:marRight w:val="0"/>
      <w:marTop w:val="0"/>
      <w:marBottom w:val="0"/>
      <w:divBdr>
        <w:top w:val="none" w:sz="0" w:space="0" w:color="auto"/>
        <w:left w:val="none" w:sz="0" w:space="0" w:color="auto"/>
        <w:bottom w:val="none" w:sz="0" w:space="0" w:color="auto"/>
        <w:right w:val="none" w:sz="0" w:space="0" w:color="auto"/>
      </w:divBdr>
    </w:div>
    <w:div w:id="1165121170">
      <w:bodyDiv w:val="1"/>
      <w:marLeft w:val="0"/>
      <w:marRight w:val="0"/>
      <w:marTop w:val="0"/>
      <w:marBottom w:val="0"/>
      <w:divBdr>
        <w:top w:val="none" w:sz="0" w:space="0" w:color="auto"/>
        <w:left w:val="none" w:sz="0" w:space="0" w:color="auto"/>
        <w:bottom w:val="none" w:sz="0" w:space="0" w:color="auto"/>
        <w:right w:val="none" w:sz="0" w:space="0" w:color="auto"/>
      </w:divBdr>
    </w:div>
    <w:div w:id="1167861039">
      <w:bodyDiv w:val="1"/>
      <w:marLeft w:val="0"/>
      <w:marRight w:val="0"/>
      <w:marTop w:val="0"/>
      <w:marBottom w:val="0"/>
      <w:divBdr>
        <w:top w:val="none" w:sz="0" w:space="0" w:color="auto"/>
        <w:left w:val="none" w:sz="0" w:space="0" w:color="auto"/>
        <w:bottom w:val="none" w:sz="0" w:space="0" w:color="auto"/>
        <w:right w:val="none" w:sz="0" w:space="0" w:color="auto"/>
      </w:divBdr>
    </w:div>
    <w:div w:id="1173953790">
      <w:bodyDiv w:val="1"/>
      <w:marLeft w:val="0"/>
      <w:marRight w:val="0"/>
      <w:marTop w:val="0"/>
      <w:marBottom w:val="0"/>
      <w:divBdr>
        <w:top w:val="none" w:sz="0" w:space="0" w:color="auto"/>
        <w:left w:val="none" w:sz="0" w:space="0" w:color="auto"/>
        <w:bottom w:val="none" w:sz="0" w:space="0" w:color="auto"/>
        <w:right w:val="none" w:sz="0" w:space="0" w:color="auto"/>
      </w:divBdr>
    </w:div>
    <w:div w:id="1175263495">
      <w:bodyDiv w:val="1"/>
      <w:marLeft w:val="0"/>
      <w:marRight w:val="0"/>
      <w:marTop w:val="0"/>
      <w:marBottom w:val="0"/>
      <w:divBdr>
        <w:top w:val="none" w:sz="0" w:space="0" w:color="auto"/>
        <w:left w:val="none" w:sz="0" w:space="0" w:color="auto"/>
        <w:bottom w:val="none" w:sz="0" w:space="0" w:color="auto"/>
        <w:right w:val="none" w:sz="0" w:space="0" w:color="auto"/>
      </w:divBdr>
    </w:div>
    <w:div w:id="1175992371">
      <w:bodyDiv w:val="1"/>
      <w:marLeft w:val="0"/>
      <w:marRight w:val="0"/>
      <w:marTop w:val="0"/>
      <w:marBottom w:val="0"/>
      <w:divBdr>
        <w:top w:val="none" w:sz="0" w:space="0" w:color="auto"/>
        <w:left w:val="none" w:sz="0" w:space="0" w:color="auto"/>
        <w:bottom w:val="none" w:sz="0" w:space="0" w:color="auto"/>
        <w:right w:val="none" w:sz="0" w:space="0" w:color="auto"/>
      </w:divBdr>
    </w:div>
    <w:div w:id="1180973676">
      <w:bodyDiv w:val="1"/>
      <w:marLeft w:val="0"/>
      <w:marRight w:val="0"/>
      <w:marTop w:val="0"/>
      <w:marBottom w:val="0"/>
      <w:divBdr>
        <w:top w:val="none" w:sz="0" w:space="0" w:color="auto"/>
        <w:left w:val="none" w:sz="0" w:space="0" w:color="auto"/>
        <w:bottom w:val="none" w:sz="0" w:space="0" w:color="auto"/>
        <w:right w:val="none" w:sz="0" w:space="0" w:color="auto"/>
      </w:divBdr>
    </w:div>
    <w:div w:id="1183857920">
      <w:bodyDiv w:val="1"/>
      <w:marLeft w:val="0"/>
      <w:marRight w:val="0"/>
      <w:marTop w:val="0"/>
      <w:marBottom w:val="0"/>
      <w:divBdr>
        <w:top w:val="none" w:sz="0" w:space="0" w:color="auto"/>
        <w:left w:val="none" w:sz="0" w:space="0" w:color="auto"/>
        <w:bottom w:val="none" w:sz="0" w:space="0" w:color="auto"/>
        <w:right w:val="none" w:sz="0" w:space="0" w:color="auto"/>
      </w:divBdr>
    </w:div>
    <w:div w:id="1184324296">
      <w:bodyDiv w:val="1"/>
      <w:marLeft w:val="0"/>
      <w:marRight w:val="0"/>
      <w:marTop w:val="0"/>
      <w:marBottom w:val="0"/>
      <w:divBdr>
        <w:top w:val="none" w:sz="0" w:space="0" w:color="auto"/>
        <w:left w:val="none" w:sz="0" w:space="0" w:color="auto"/>
        <w:bottom w:val="none" w:sz="0" w:space="0" w:color="auto"/>
        <w:right w:val="none" w:sz="0" w:space="0" w:color="auto"/>
      </w:divBdr>
    </w:div>
    <w:div w:id="1187207835">
      <w:bodyDiv w:val="1"/>
      <w:marLeft w:val="0"/>
      <w:marRight w:val="0"/>
      <w:marTop w:val="0"/>
      <w:marBottom w:val="0"/>
      <w:divBdr>
        <w:top w:val="none" w:sz="0" w:space="0" w:color="auto"/>
        <w:left w:val="none" w:sz="0" w:space="0" w:color="auto"/>
        <w:bottom w:val="none" w:sz="0" w:space="0" w:color="auto"/>
        <w:right w:val="none" w:sz="0" w:space="0" w:color="auto"/>
      </w:divBdr>
    </w:div>
    <w:div w:id="1193423013">
      <w:bodyDiv w:val="1"/>
      <w:marLeft w:val="0"/>
      <w:marRight w:val="0"/>
      <w:marTop w:val="0"/>
      <w:marBottom w:val="0"/>
      <w:divBdr>
        <w:top w:val="none" w:sz="0" w:space="0" w:color="auto"/>
        <w:left w:val="none" w:sz="0" w:space="0" w:color="auto"/>
        <w:bottom w:val="none" w:sz="0" w:space="0" w:color="auto"/>
        <w:right w:val="none" w:sz="0" w:space="0" w:color="auto"/>
      </w:divBdr>
    </w:div>
    <w:div w:id="1194223945">
      <w:bodyDiv w:val="1"/>
      <w:marLeft w:val="0"/>
      <w:marRight w:val="0"/>
      <w:marTop w:val="0"/>
      <w:marBottom w:val="0"/>
      <w:divBdr>
        <w:top w:val="none" w:sz="0" w:space="0" w:color="auto"/>
        <w:left w:val="none" w:sz="0" w:space="0" w:color="auto"/>
        <w:bottom w:val="none" w:sz="0" w:space="0" w:color="auto"/>
        <w:right w:val="none" w:sz="0" w:space="0" w:color="auto"/>
      </w:divBdr>
    </w:div>
    <w:div w:id="1200124074">
      <w:bodyDiv w:val="1"/>
      <w:marLeft w:val="0"/>
      <w:marRight w:val="0"/>
      <w:marTop w:val="0"/>
      <w:marBottom w:val="0"/>
      <w:divBdr>
        <w:top w:val="none" w:sz="0" w:space="0" w:color="auto"/>
        <w:left w:val="none" w:sz="0" w:space="0" w:color="auto"/>
        <w:bottom w:val="none" w:sz="0" w:space="0" w:color="auto"/>
        <w:right w:val="none" w:sz="0" w:space="0" w:color="auto"/>
      </w:divBdr>
    </w:div>
    <w:div w:id="1201896088">
      <w:bodyDiv w:val="1"/>
      <w:marLeft w:val="0"/>
      <w:marRight w:val="0"/>
      <w:marTop w:val="0"/>
      <w:marBottom w:val="0"/>
      <w:divBdr>
        <w:top w:val="none" w:sz="0" w:space="0" w:color="auto"/>
        <w:left w:val="none" w:sz="0" w:space="0" w:color="auto"/>
        <w:bottom w:val="none" w:sz="0" w:space="0" w:color="auto"/>
        <w:right w:val="none" w:sz="0" w:space="0" w:color="auto"/>
      </w:divBdr>
    </w:div>
    <w:div w:id="1221164473">
      <w:bodyDiv w:val="1"/>
      <w:marLeft w:val="0"/>
      <w:marRight w:val="0"/>
      <w:marTop w:val="0"/>
      <w:marBottom w:val="0"/>
      <w:divBdr>
        <w:top w:val="none" w:sz="0" w:space="0" w:color="auto"/>
        <w:left w:val="none" w:sz="0" w:space="0" w:color="auto"/>
        <w:bottom w:val="none" w:sz="0" w:space="0" w:color="auto"/>
        <w:right w:val="none" w:sz="0" w:space="0" w:color="auto"/>
      </w:divBdr>
    </w:div>
    <w:div w:id="1225481429">
      <w:bodyDiv w:val="1"/>
      <w:marLeft w:val="0"/>
      <w:marRight w:val="0"/>
      <w:marTop w:val="0"/>
      <w:marBottom w:val="0"/>
      <w:divBdr>
        <w:top w:val="none" w:sz="0" w:space="0" w:color="auto"/>
        <w:left w:val="none" w:sz="0" w:space="0" w:color="auto"/>
        <w:bottom w:val="none" w:sz="0" w:space="0" w:color="auto"/>
        <w:right w:val="none" w:sz="0" w:space="0" w:color="auto"/>
      </w:divBdr>
    </w:div>
    <w:div w:id="1253272745">
      <w:bodyDiv w:val="1"/>
      <w:marLeft w:val="0"/>
      <w:marRight w:val="0"/>
      <w:marTop w:val="0"/>
      <w:marBottom w:val="0"/>
      <w:divBdr>
        <w:top w:val="none" w:sz="0" w:space="0" w:color="auto"/>
        <w:left w:val="none" w:sz="0" w:space="0" w:color="auto"/>
        <w:bottom w:val="none" w:sz="0" w:space="0" w:color="auto"/>
        <w:right w:val="none" w:sz="0" w:space="0" w:color="auto"/>
      </w:divBdr>
    </w:div>
    <w:div w:id="1255091276">
      <w:bodyDiv w:val="1"/>
      <w:marLeft w:val="0"/>
      <w:marRight w:val="0"/>
      <w:marTop w:val="0"/>
      <w:marBottom w:val="0"/>
      <w:divBdr>
        <w:top w:val="none" w:sz="0" w:space="0" w:color="auto"/>
        <w:left w:val="none" w:sz="0" w:space="0" w:color="auto"/>
        <w:bottom w:val="none" w:sz="0" w:space="0" w:color="auto"/>
        <w:right w:val="none" w:sz="0" w:space="0" w:color="auto"/>
      </w:divBdr>
    </w:div>
    <w:div w:id="1258440235">
      <w:bodyDiv w:val="1"/>
      <w:marLeft w:val="0"/>
      <w:marRight w:val="0"/>
      <w:marTop w:val="0"/>
      <w:marBottom w:val="0"/>
      <w:divBdr>
        <w:top w:val="none" w:sz="0" w:space="0" w:color="auto"/>
        <w:left w:val="none" w:sz="0" w:space="0" w:color="auto"/>
        <w:bottom w:val="none" w:sz="0" w:space="0" w:color="auto"/>
        <w:right w:val="none" w:sz="0" w:space="0" w:color="auto"/>
      </w:divBdr>
    </w:div>
    <w:div w:id="1266960559">
      <w:bodyDiv w:val="1"/>
      <w:marLeft w:val="0"/>
      <w:marRight w:val="0"/>
      <w:marTop w:val="0"/>
      <w:marBottom w:val="0"/>
      <w:divBdr>
        <w:top w:val="none" w:sz="0" w:space="0" w:color="auto"/>
        <w:left w:val="none" w:sz="0" w:space="0" w:color="auto"/>
        <w:bottom w:val="none" w:sz="0" w:space="0" w:color="auto"/>
        <w:right w:val="none" w:sz="0" w:space="0" w:color="auto"/>
      </w:divBdr>
    </w:div>
    <w:div w:id="1270359291">
      <w:bodyDiv w:val="1"/>
      <w:marLeft w:val="0"/>
      <w:marRight w:val="0"/>
      <w:marTop w:val="0"/>
      <w:marBottom w:val="0"/>
      <w:divBdr>
        <w:top w:val="none" w:sz="0" w:space="0" w:color="auto"/>
        <w:left w:val="none" w:sz="0" w:space="0" w:color="auto"/>
        <w:bottom w:val="none" w:sz="0" w:space="0" w:color="auto"/>
        <w:right w:val="none" w:sz="0" w:space="0" w:color="auto"/>
      </w:divBdr>
    </w:div>
    <w:div w:id="1276984816">
      <w:bodyDiv w:val="1"/>
      <w:marLeft w:val="0"/>
      <w:marRight w:val="0"/>
      <w:marTop w:val="0"/>
      <w:marBottom w:val="0"/>
      <w:divBdr>
        <w:top w:val="none" w:sz="0" w:space="0" w:color="auto"/>
        <w:left w:val="none" w:sz="0" w:space="0" w:color="auto"/>
        <w:bottom w:val="none" w:sz="0" w:space="0" w:color="auto"/>
        <w:right w:val="none" w:sz="0" w:space="0" w:color="auto"/>
      </w:divBdr>
    </w:div>
    <w:div w:id="1277834028">
      <w:bodyDiv w:val="1"/>
      <w:marLeft w:val="0"/>
      <w:marRight w:val="0"/>
      <w:marTop w:val="0"/>
      <w:marBottom w:val="0"/>
      <w:divBdr>
        <w:top w:val="none" w:sz="0" w:space="0" w:color="auto"/>
        <w:left w:val="none" w:sz="0" w:space="0" w:color="auto"/>
        <w:bottom w:val="none" w:sz="0" w:space="0" w:color="auto"/>
        <w:right w:val="none" w:sz="0" w:space="0" w:color="auto"/>
      </w:divBdr>
    </w:div>
    <w:div w:id="1281836993">
      <w:bodyDiv w:val="1"/>
      <w:marLeft w:val="0"/>
      <w:marRight w:val="0"/>
      <w:marTop w:val="0"/>
      <w:marBottom w:val="0"/>
      <w:divBdr>
        <w:top w:val="none" w:sz="0" w:space="0" w:color="auto"/>
        <w:left w:val="none" w:sz="0" w:space="0" w:color="auto"/>
        <w:bottom w:val="none" w:sz="0" w:space="0" w:color="auto"/>
        <w:right w:val="none" w:sz="0" w:space="0" w:color="auto"/>
      </w:divBdr>
    </w:div>
    <w:div w:id="1283263195">
      <w:bodyDiv w:val="1"/>
      <w:marLeft w:val="0"/>
      <w:marRight w:val="0"/>
      <w:marTop w:val="0"/>
      <w:marBottom w:val="0"/>
      <w:divBdr>
        <w:top w:val="none" w:sz="0" w:space="0" w:color="auto"/>
        <w:left w:val="none" w:sz="0" w:space="0" w:color="auto"/>
        <w:bottom w:val="none" w:sz="0" w:space="0" w:color="auto"/>
        <w:right w:val="none" w:sz="0" w:space="0" w:color="auto"/>
      </w:divBdr>
    </w:div>
    <w:div w:id="1285816326">
      <w:bodyDiv w:val="1"/>
      <w:marLeft w:val="0"/>
      <w:marRight w:val="0"/>
      <w:marTop w:val="0"/>
      <w:marBottom w:val="0"/>
      <w:divBdr>
        <w:top w:val="none" w:sz="0" w:space="0" w:color="auto"/>
        <w:left w:val="none" w:sz="0" w:space="0" w:color="auto"/>
        <w:bottom w:val="none" w:sz="0" w:space="0" w:color="auto"/>
        <w:right w:val="none" w:sz="0" w:space="0" w:color="auto"/>
      </w:divBdr>
    </w:div>
    <w:div w:id="1287010284">
      <w:bodyDiv w:val="1"/>
      <w:marLeft w:val="0"/>
      <w:marRight w:val="0"/>
      <w:marTop w:val="0"/>
      <w:marBottom w:val="0"/>
      <w:divBdr>
        <w:top w:val="none" w:sz="0" w:space="0" w:color="auto"/>
        <w:left w:val="none" w:sz="0" w:space="0" w:color="auto"/>
        <w:bottom w:val="none" w:sz="0" w:space="0" w:color="auto"/>
        <w:right w:val="none" w:sz="0" w:space="0" w:color="auto"/>
      </w:divBdr>
    </w:div>
    <w:div w:id="1288387246">
      <w:bodyDiv w:val="1"/>
      <w:marLeft w:val="0"/>
      <w:marRight w:val="0"/>
      <w:marTop w:val="0"/>
      <w:marBottom w:val="0"/>
      <w:divBdr>
        <w:top w:val="none" w:sz="0" w:space="0" w:color="auto"/>
        <w:left w:val="none" w:sz="0" w:space="0" w:color="auto"/>
        <w:bottom w:val="none" w:sz="0" w:space="0" w:color="auto"/>
        <w:right w:val="none" w:sz="0" w:space="0" w:color="auto"/>
      </w:divBdr>
    </w:div>
    <w:div w:id="1296524679">
      <w:bodyDiv w:val="1"/>
      <w:marLeft w:val="0"/>
      <w:marRight w:val="0"/>
      <w:marTop w:val="0"/>
      <w:marBottom w:val="0"/>
      <w:divBdr>
        <w:top w:val="none" w:sz="0" w:space="0" w:color="auto"/>
        <w:left w:val="none" w:sz="0" w:space="0" w:color="auto"/>
        <w:bottom w:val="none" w:sz="0" w:space="0" w:color="auto"/>
        <w:right w:val="none" w:sz="0" w:space="0" w:color="auto"/>
      </w:divBdr>
    </w:div>
    <w:div w:id="1296566523">
      <w:bodyDiv w:val="1"/>
      <w:marLeft w:val="0"/>
      <w:marRight w:val="0"/>
      <w:marTop w:val="0"/>
      <w:marBottom w:val="0"/>
      <w:divBdr>
        <w:top w:val="none" w:sz="0" w:space="0" w:color="auto"/>
        <w:left w:val="none" w:sz="0" w:space="0" w:color="auto"/>
        <w:bottom w:val="none" w:sz="0" w:space="0" w:color="auto"/>
        <w:right w:val="none" w:sz="0" w:space="0" w:color="auto"/>
      </w:divBdr>
    </w:div>
    <w:div w:id="1302006535">
      <w:bodyDiv w:val="1"/>
      <w:marLeft w:val="0"/>
      <w:marRight w:val="0"/>
      <w:marTop w:val="0"/>
      <w:marBottom w:val="0"/>
      <w:divBdr>
        <w:top w:val="none" w:sz="0" w:space="0" w:color="auto"/>
        <w:left w:val="none" w:sz="0" w:space="0" w:color="auto"/>
        <w:bottom w:val="none" w:sz="0" w:space="0" w:color="auto"/>
        <w:right w:val="none" w:sz="0" w:space="0" w:color="auto"/>
      </w:divBdr>
    </w:div>
    <w:div w:id="1304311298">
      <w:bodyDiv w:val="1"/>
      <w:marLeft w:val="0"/>
      <w:marRight w:val="0"/>
      <w:marTop w:val="0"/>
      <w:marBottom w:val="0"/>
      <w:divBdr>
        <w:top w:val="none" w:sz="0" w:space="0" w:color="auto"/>
        <w:left w:val="none" w:sz="0" w:space="0" w:color="auto"/>
        <w:bottom w:val="none" w:sz="0" w:space="0" w:color="auto"/>
        <w:right w:val="none" w:sz="0" w:space="0" w:color="auto"/>
      </w:divBdr>
    </w:div>
    <w:div w:id="1304576325">
      <w:bodyDiv w:val="1"/>
      <w:marLeft w:val="0"/>
      <w:marRight w:val="0"/>
      <w:marTop w:val="0"/>
      <w:marBottom w:val="0"/>
      <w:divBdr>
        <w:top w:val="none" w:sz="0" w:space="0" w:color="auto"/>
        <w:left w:val="none" w:sz="0" w:space="0" w:color="auto"/>
        <w:bottom w:val="none" w:sz="0" w:space="0" w:color="auto"/>
        <w:right w:val="none" w:sz="0" w:space="0" w:color="auto"/>
      </w:divBdr>
    </w:div>
    <w:div w:id="1305694571">
      <w:bodyDiv w:val="1"/>
      <w:marLeft w:val="0"/>
      <w:marRight w:val="0"/>
      <w:marTop w:val="0"/>
      <w:marBottom w:val="0"/>
      <w:divBdr>
        <w:top w:val="none" w:sz="0" w:space="0" w:color="auto"/>
        <w:left w:val="none" w:sz="0" w:space="0" w:color="auto"/>
        <w:bottom w:val="none" w:sz="0" w:space="0" w:color="auto"/>
        <w:right w:val="none" w:sz="0" w:space="0" w:color="auto"/>
      </w:divBdr>
    </w:div>
    <w:div w:id="1306818881">
      <w:bodyDiv w:val="1"/>
      <w:marLeft w:val="0"/>
      <w:marRight w:val="0"/>
      <w:marTop w:val="0"/>
      <w:marBottom w:val="0"/>
      <w:divBdr>
        <w:top w:val="none" w:sz="0" w:space="0" w:color="auto"/>
        <w:left w:val="none" w:sz="0" w:space="0" w:color="auto"/>
        <w:bottom w:val="none" w:sz="0" w:space="0" w:color="auto"/>
        <w:right w:val="none" w:sz="0" w:space="0" w:color="auto"/>
      </w:divBdr>
    </w:div>
    <w:div w:id="1307273840">
      <w:bodyDiv w:val="1"/>
      <w:marLeft w:val="0"/>
      <w:marRight w:val="0"/>
      <w:marTop w:val="0"/>
      <w:marBottom w:val="0"/>
      <w:divBdr>
        <w:top w:val="none" w:sz="0" w:space="0" w:color="auto"/>
        <w:left w:val="none" w:sz="0" w:space="0" w:color="auto"/>
        <w:bottom w:val="none" w:sz="0" w:space="0" w:color="auto"/>
        <w:right w:val="none" w:sz="0" w:space="0" w:color="auto"/>
      </w:divBdr>
    </w:div>
    <w:div w:id="1308826323">
      <w:bodyDiv w:val="1"/>
      <w:marLeft w:val="0"/>
      <w:marRight w:val="0"/>
      <w:marTop w:val="0"/>
      <w:marBottom w:val="0"/>
      <w:divBdr>
        <w:top w:val="none" w:sz="0" w:space="0" w:color="auto"/>
        <w:left w:val="none" w:sz="0" w:space="0" w:color="auto"/>
        <w:bottom w:val="none" w:sz="0" w:space="0" w:color="auto"/>
        <w:right w:val="none" w:sz="0" w:space="0" w:color="auto"/>
      </w:divBdr>
    </w:div>
    <w:div w:id="1309675971">
      <w:bodyDiv w:val="1"/>
      <w:marLeft w:val="0"/>
      <w:marRight w:val="0"/>
      <w:marTop w:val="0"/>
      <w:marBottom w:val="0"/>
      <w:divBdr>
        <w:top w:val="none" w:sz="0" w:space="0" w:color="auto"/>
        <w:left w:val="none" w:sz="0" w:space="0" w:color="auto"/>
        <w:bottom w:val="none" w:sz="0" w:space="0" w:color="auto"/>
        <w:right w:val="none" w:sz="0" w:space="0" w:color="auto"/>
      </w:divBdr>
    </w:div>
    <w:div w:id="1324239083">
      <w:bodyDiv w:val="1"/>
      <w:marLeft w:val="0"/>
      <w:marRight w:val="0"/>
      <w:marTop w:val="0"/>
      <w:marBottom w:val="0"/>
      <w:divBdr>
        <w:top w:val="none" w:sz="0" w:space="0" w:color="auto"/>
        <w:left w:val="none" w:sz="0" w:space="0" w:color="auto"/>
        <w:bottom w:val="none" w:sz="0" w:space="0" w:color="auto"/>
        <w:right w:val="none" w:sz="0" w:space="0" w:color="auto"/>
      </w:divBdr>
    </w:div>
    <w:div w:id="1330668545">
      <w:bodyDiv w:val="1"/>
      <w:marLeft w:val="0"/>
      <w:marRight w:val="0"/>
      <w:marTop w:val="0"/>
      <w:marBottom w:val="0"/>
      <w:divBdr>
        <w:top w:val="none" w:sz="0" w:space="0" w:color="auto"/>
        <w:left w:val="none" w:sz="0" w:space="0" w:color="auto"/>
        <w:bottom w:val="none" w:sz="0" w:space="0" w:color="auto"/>
        <w:right w:val="none" w:sz="0" w:space="0" w:color="auto"/>
      </w:divBdr>
    </w:div>
    <w:div w:id="1331563774">
      <w:bodyDiv w:val="1"/>
      <w:marLeft w:val="0"/>
      <w:marRight w:val="0"/>
      <w:marTop w:val="0"/>
      <w:marBottom w:val="0"/>
      <w:divBdr>
        <w:top w:val="none" w:sz="0" w:space="0" w:color="auto"/>
        <w:left w:val="none" w:sz="0" w:space="0" w:color="auto"/>
        <w:bottom w:val="none" w:sz="0" w:space="0" w:color="auto"/>
        <w:right w:val="none" w:sz="0" w:space="0" w:color="auto"/>
      </w:divBdr>
    </w:div>
    <w:div w:id="1336685688">
      <w:bodyDiv w:val="1"/>
      <w:marLeft w:val="0"/>
      <w:marRight w:val="0"/>
      <w:marTop w:val="0"/>
      <w:marBottom w:val="0"/>
      <w:divBdr>
        <w:top w:val="none" w:sz="0" w:space="0" w:color="auto"/>
        <w:left w:val="none" w:sz="0" w:space="0" w:color="auto"/>
        <w:bottom w:val="none" w:sz="0" w:space="0" w:color="auto"/>
        <w:right w:val="none" w:sz="0" w:space="0" w:color="auto"/>
      </w:divBdr>
    </w:div>
    <w:div w:id="1339116460">
      <w:bodyDiv w:val="1"/>
      <w:marLeft w:val="0"/>
      <w:marRight w:val="0"/>
      <w:marTop w:val="0"/>
      <w:marBottom w:val="0"/>
      <w:divBdr>
        <w:top w:val="none" w:sz="0" w:space="0" w:color="auto"/>
        <w:left w:val="none" w:sz="0" w:space="0" w:color="auto"/>
        <w:bottom w:val="none" w:sz="0" w:space="0" w:color="auto"/>
        <w:right w:val="none" w:sz="0" w:space="0" w:color="auto"/>
      </w:divBdr>
    </w:div>
    <w:div w:id="1344092899">
      <w:bodyDiv w:val="1"/>
      <w:marLeft w:val="0"/>
      <w:marRight w:val="0"/>
      <w:marTop w:val="0"/>
      <w:marBottom w:val="0"/>
      <w:divBdr>
        <w:top w:val="none" w:sz="0" w:space="0" w:color="auto"/>
        <w:left w:val="none" w:sz="0" w:space="0" w:color="auto"/>
        <w:bottom w:val="none" w:sz="0" w:space="0" w:color="auto"/>
        <w:right w:val="none" w:sz="0" w:space="0" w:color="auto"/>
      </w:divBdr>
    </w:div>
    <w:div w:id="1350176254">
      <w:bodyDiv w:val="1"/>
      <w:marLeft w:val="0"/>
      <w:marRight w:val="0"/>
      <w:marTop w:val="0"/>
      <w:marBottom w:val="0"/>
      <w:divBdr>
        <w:top w:val="none" w:sz="0" w:space="0" w:color="auto"/>
        <w:left w:val="none" w:sz="0" w:space="0" w:color="auto"/>
        <w:bottom w:val="none" w:sz="0" w:space="0" w:color="auto"/>
        <w:right w:val="none" w:sz="0" w:space="0" w:color="auto"/>
      </w:divBdr>
    </w:div>
    <w:div w:id="1354110247">
      <w:bodyDiv w:val="1"/>
      <w:marLeft w:val="0"/>
      <w:marRight w:val="0"/>
      <w:marTop w:val="0"/>
      <w:marBottom w:val="0"/>
      <w:divBdr>
        <w:top w:val="none" w:sz="0" w:space="0" w:color="auto"/>
        <w:left w:val="none" w:sz="0" w:space="0" w:color="auto"/>
        <w:bottom w:val="none" w:sz="0" w:space="0" w:color="auto"/>
        <w:right w:val="none" w:sz="0" w:space="0" w:color="auto"/>
      </w:divBdr>
    </w:div>
    <w:div w:id="1355963951">
      <w:bodyDiv w:val="1"/>
      <w:marLeft w:val="0"/>
      <w:marRight w:val="0"/>
      <w:marTop w:val="0"/>
      <w:marBottom w:val="0"/>
      <w:divBdr>
        <w:top w:val="none" w:sz="0" w:space="0" w:color="auto"/>
        <w:left w:val="none" w:sz="0" w:space="0" w:color="auto"/>
        <w:bottom w:val="none" w:sz="0" w:space="0" w:color="auto"/>
        <w:right w:val="none" w:sz="0" w:space="0" w:color="auto"/>
      </w:divBdr>
    </w:div>
    <w:div w:id="1356812284">
      <w:bodyDiv w:val="1"/>
      <w:marLeft w:val="0"/>
      <w:marRight w:val="0"/>
      <w:marTop w:val="0"/>
      <w:marBottom w:val="0"/>
      <w:divBdr>
        <w:top w:val="none" w:sz="0" w:space="0" w:color="auto"/>
        <w:left w:val="none" w:sz="0" w:space="0" w:color="auto"/>
        <w:bottom w:val="none" w:sz="0" w:space="0" w:color="auto"/>
        <w:right w:val="none" w:sz="0" w:space="0" w:color="auto"/>
      </w:divBdr>
    </w:div>
    <w:div w:id="1356880358">
      <w:bodyDiv w:val="1"/>
      <w:marLeft w:val="0"/>
      <w:marRight w:val="0"/>
      <w:marTop w:val="0"/>
      <w:marBottom w:val="0"/>
      <w:divBdr>
        <w:top w:val="none" w:sz="0" w:space="0" w:color="auto"/>
        <w:left w:val="none" w:sz="0" w:space="0" w:color="auto"/>
        <w:bottom w:val="none" w:sz="0" w:space="0" w:color="auto"/>
        <w:right w:val="none" w:sz="0" w:space="0" w:color="auto"/>
      </w:divBdr>
    </w:div>
    <w:div w:id="1363673868">
      <w:bodyDiv w:val="1"/>
      <w:marLeft w:val="0"/>
      <w:marRight w:val="0"/>
      <w:marTop w:val="0"/>
      <w:marBottom w:val="0"/>
      <w:divBdr>
        <w:top w:val="none" w:sz="0" w:space="0" w:color="auto"/>
        <w:left w:val="none" w:sz="0" w:space="0" w:color="auto"/>
        <w:bottom w:val="none" w:sz="0" w:space="0" w:color="auto"/>
        <w:right w:val="none" w:sz="0" w:space="0" w:color="auto"/>
      </w:divBdr>
    </w:div>
    <w:div w:id="1385713295">
      <w:bodyDiv w:val="1"/>
      <w:marLeft w:val="0"/>
      <w:marRight w:val="0"/>
      <w:marTop w:val="0"/>
      <w:marBottom w:val="0"/>
      <w:divBdr>
        <w:top w:val="none" w:sz="0" w:space="0" w:color="auto"/>
        <w:left w:val="none" w:sz="0" w:space="0" w:color="auto"/>
        <w:bottom w:val="none" w:sz="0" w:space="0" w:color="auto"/>
        <w:right w:val="none" w:sz="0" w:space="0" w:color="auto"/>
      </w:divBdr>
    </w:div>
    <w:div w:id="1386830994">
      <w:bodyDiv w:val="1"/>
      <w:marLeft w:val="0"/>
      <w:marRight w:val="0"/>
      <w:marTop w:val="0"/>
      <w:marBottom w:val="0"/>
      <w:divBdr>
        <w:top w:val="none" w:sz="0" w:space="0" w:color="auto"/>
        <w:left w:val="none" w:sz="0" w:space="0" w:color="auto"/>
        <w:bottom w:val="none" w:sz="0" w:space="0" w:color="auto"/>
        <w:right w:val="none" w:sz="0" w:space="0" w:color="auto"/>
      </w:divBdr>
    </w:div>
    <w:div w:id="1387336869">
      <w:bodyDiv w:val="1"/>
      <w:marLeft w:val="0"/>
      <w:marRight w:val="0"/>
      <w:marTop w:val="0"/>
      <w:marBottom w:val="0"/>
      <w:divBdr>
        <w:top w:val="none" w:sz="0" w:space="0" w:color="auto"/>
        <w:left w:val="none" w:sz="0" w:space="0" w:color="auto"/>
        <w:bottom w:val="none" w:sz="0" w:space="0" w:color="auto"/>
        <w:right w:val="none" w:sz="0" w:space="0" w:color="auto"/>
      </w:divBdr>
    </w:div>
    <w:div w:id="1397703679">
      <w:bodyDiv w:val="1"/>
      <w:marLeft w:val="0"/>
      <w:marRight w:val="0"/>
      <w:marTop w:val="0"/>
      <w:marBottom w:val="0"/>
      <w:divBdr>
        <w:top w:val="none" w:sz="0" w:space="0" w:color="auto"/>
        <w:left w:val="none" w:sz="0" w:space="0" w:color="auto"/>
        <w:bottom w:val="none" w:sz="0" w:space="0" w:color="auto"/>
        <w:right w:val="none" w:sz="0" w:space="0" w:color="auto"/>
      </w:divBdr>
    </w:div>
    <w:div w:id="1397817586">
      <w:bodyDiv w:val="1"/>
      <w:marLeft w:val="0"/>
      <w:marRight w:val="0"/>
      <w:marTop w:val="0"/>
      <w:marBottom w:val="0"/>
      <w:divBdr>
        <w:top w:val="none" w:sz="0" w:space="0" w:color="auto"/>
        <w:left w:val="none" w:sz="0" w:space="0" w:color="auto"/>
        <w:bottom w:val="none" w:sz="0" w:space="0" w:color="auto"/>
        <w:right w:val="none" w:sz="0" w:space="0" w:color="auto"/>
      </w:divBdr>
    </w:div>
    <w:div w:id="1401252627">
      <w:bodyDiv w:val="1"/>
      <w:marLeft w:val="0"/>
      <w:marRight w:val="0"/>
      <w:marTop w:val="0"/>
      <w:marBottom w:val="0"/>
      <w:divBdr>
        <w:top w:val="none" w:sz="0" w:space="0" w:color="auto"/>
        <w:left w:val="none" w:sz="0" w:space="0" w:color="auto"/>
        <w:bottom w:val="none" w:sz="0" w:space="0" w:color="auto"/>
        <w:right w:val="none" w:sz="0" w:space="0" w:color="auto"/>
      </w:divBdr>
    </w:div>
    <w:div w:id="1412435446">
      <w:bodyDiv w:val="1"/>
      <w:marLeft w:val="0"/>
      <w:marRight w:val="0"/>
      <w:marTop w:val="0"/>
      <w:marBottom w:val="0"/>
      <w:divBdr>
        <w:top w:val="none" w:sz="0" w:space="0" w:color="auto"/>
        <w:left w:val="none" w:sz="0" w:space="0" w:color="auto"/>
        <w:bottom w:val="none" w:sz="0" w:space="0" w:color="auto"/>
        <w:right w:val="none" w:sz="0" w:space="0" w:color="auto"/>
      </w:divBdr>
    </w:div>
    <w:div w:id="1413895912">
      <w:bodyDiv w:val="1"/>
      <w:marLeft w:val="0"/>
      <w:marRight w:val="0"/>
      <w:marTop w:val="0"/>
      <w:marBottom w:val="0"/>
      <w:divBdr>
        <w:top w:val="none" w:sz="0" w:space="0" w:color="auto"/>
        <w:left w:val="none" w:sz="0" w:space="0" w:color="auto"/>
        <w:bottom w:val="none" w:sz="0" w:space="0" w:color="auto"/>
        <w:right w:val="none" w:sz="0" w:space="0" w:color="auto"/>
      </w:divBdr>
    </w:div>
    <w:div w:id="1418940725">
      <w:bodyDiv w:val="1"/>
      <w:marLeft w:val="0"/>
      <w:marRight w:val="0"/>
      <w:marTop w:val="0"/>
      <w:marBottom w:val="0"/>
      <w:divBdr>
        <w:top w:val="none" w:sz="0" w:space="0" w:color="auto"/>
        <w:left w:val="none" w:sz="0" w:space="0" w:color="auto"/>
        <w:bottom w:val="none" w:sz="0" w:space="0" w:color="auto"/>
        <w:right w:val="none" w:sz="0" w:space="0" w:color="auto"/>
      </w:divBdr>
    </w:div>
    <w:div w:id="1425690582">
      <w:bodyDiv w:val="1"/>
      <w:marLeft w:val="0"/>
      <w:marRight w:val="0"/>
      <w:marTop w:val="0"/>
      <w:marBottom w:val="0"/>
      <w:divBdr>
        <w:top w:val="none" w:sz="0" w:space="0" w:color="auto"/>
        <w:left w:val="none" w:sz="0" w:space="0" w:color="auto"/>
        <w:bottom w:val="none" w:sz="0" w:space="0" w:color="auto"/>
        <w:right w:val="none" w:sz="0" w:space="0" w:color="auto"/>
      </w:divBdr>
    </w:div>
    <w:div w:id="1429541797">
      <w:bodyDiv w:val="1"/>
      <w:marLeft w:val="0"/>
      <w:marRight w:val="0"/>
      <w:marTop w:val="0"/>
      <w:marBottom w:val="0"/>
      <w:divBdr>
        <w:top w:val="none" w:sz="0" w:space="0" w:color="auto"/>
        <w:left w:val="none" w:sz="0" w:space="0" w:color="auto"/>
        <w:bottom w:val="none" w:sz="0" w:space="0" w:color="auto"/>
        <w:right w:val="none" w:sz="0" w:space="0" w:color="auto"/>
      </w:divBdr>
    </w:div>
    <w:div w:id="1429957896">
      <w:bodyDiv w:val="1"/>
      <w:marLeft w:val="0"/>
      <w:marRight w:val="0"/>
      <w:marTop w:val="0"/>
      <w:marBottom w:val="0"/>
      <w:divBdr>
        <w:top w:val="none" w:sz="0" w:space="0" w:color="auto"/>
        <w:left w:val="none" w:sz="0" w:space="0" w:color="auto"/>
        <w:bottom w:val="none" w:sz="0" w:space="0" w:color="auto"/>
        <w:right w:val="none" w:sz="0" w:space="0" w:color="auto"/>
      </w:divBdr>
    </w:div>
    <w:div w:id="1453788299">
      <w:bodyDiv w:val="1"/>
      <w:marLeft w:val="0"/>
      <w:marRight w:val="0"/>
      <w:marTop w:val="0"/>
      <w:marBottom w:val="0"/>
      <w:divBdr>
        <w:top w:val="none" w:sz="0" w:space="0" w:color="auto"/>
        <w:left w:val="none" w:sz="0" w:space="0" w:color="auto"/>
        <w:bottom w:val="none" w:sz="0" w:space="0" w:color="auto"/>
        <w:right w:val="none" w:sz="0" w:space="0" w:color="auto"/>
      </w:divBdr>
    </w:div>
    <w:div w:id="1459224756">
      <w:bodyDiv w:val="1"/>
      <w:marLeft w:val="0"/>
      <w:marRight w:val="0"/>
      <w:marTop w:val="0"/>
      <w:marBottom w:val="0"/>
      <w:divBdr>
        <w:top w:val="none" w:sz="0" w:space="0" w:color="auto"/>
        <w:left w:val="none" w:sz="0" w:space="0" w:color="auto"/>
        <w:bottom w:val="none" w:sz="0" w:space="0" w:color="auto"/>
        <w:right w:val="none" w:sz="0" w:space="0" w:color="auto"/>
      </w:divBdr>
    </w:div>
    <w:div w:id="1461729994">
      <w:bodyDiv w:val="1"/>
      <w:marLeft w:val="0"/>
      <w:marRight w:val="0"/>
      <w:marTop w:val="0"/>
      <w:marBottom w:val="0"/>
      <w:divBdr>
        <w:top w:val="none" w:sz="0" w:space="0" w:color="auto"/>
        <w:left w:val="none" w:sz="0" w:space="0" w:color="auto"/>
        <w:bottom w:val="none" w:sz="0" w:space="0" w:color="auto"/>
        <w:right w:val="none" w:sz="0" w:space="0" w:color="auto"/>
      </w:divBdr>
    </w:div>
    <w:div w:id="1470246997">
      <w:bodyDiv w:val="1"/>
      <w:marLeft w:val="0"/>
      <w:marRight w:val="0"/>
      <w:marTop w:val="0"/>
      <w:marBottom w:val="0"/>
      <w:divBdr>
        <w:top w:val="none" w:sz="0" w:space="0" w:color="auto"/>
        <w:left w:val="none" w:sz="0" w:space="0" w:color="auto"/>
        <w:bottom w:val="none" w:sz="0" w:space="0" w:color="auto"/>
        <w:right w:val="none" w:sz="0" w:space="0" w:color="auto"/>
      </w:divBdr>
    </w:div>
    <w:div w:id="1486697905">
      <w:bodyDiv w:val="1"/>
      <w:marLeft w:val="0"/>
      <w:marRight w:val="0"/>
      <w:marTop w:val="0"/>
      <w:marBottom w:val="0"/>
      <w:divBdr>
        <w:top w:val="none" w:sz="0" w:space="0" w:color="auto"/>
        <w:left w:val="none" w:sz="0" w:space="0" w:color="auto"/>
        <w:bottom w:val="none" w:sz="0" w:space="0" w:color="auto"/>
        <w:right w:val="none" w:sz="0" w:space="0" w:color="auto"/>
      </w:divBdr>
    </w:div>
    <w:div w:id="1487235618">
      <w:bodyDiv w:val="1"/>
      <w:marLeft w:val="0"/>
      <w:marRight w:val="0"/>
      <w:marTop w:val="0"/>
      <w:marBottom w:val="0"/>
      <w:divBdr>
        <w:top w:val="none" w:sz="0" w:space="0" w:color="auto"/>
        <w:left w:val="none" w:sz="0" w:space="0" w:color="auto"/>
        <w:bottom w:val="none" w:sz="0" w:space="0" w:color="auto"/>
        <w:right w:val="none" w:sz="0" w:space="0" w:color="auto"/>
      </w:divBdr>
    </w:div>
    <w:div w:id="1488324738">
      <w:bodyDiv w:val="1"/>
      <w:marLeft w:val="0"/>
      <w:marRight w:val="0"/>
      <w:marTop w:val="0"/>
      <w:marBottom w:val="0"/>
      <w:divBdr>
        <w:top w:val="none" w:sz="0" w:space="0" w:color="auto"/>
        <w:left w:val="none" w:sz="0" w:space="0" w:color="auto"/>
        <w:bottom w:val="none" w:sz="0" w:space="0" w:color="auto"/>
        <w:right w:val="none" w:sz="0" w:space="0" w:color="auto"/>
      </w:divBdr>
    </w:div>
    <w:div w:id="1488592194">
      <w:bodyDiv w:val="1"/>
      <w:marLeft w:val="0"/>
      <w:marRight w:val="0"/>
      <w:marTop w:val="0"/>
      <w:marBottom w:val="0"/>
      <w:divBdr>
        <w:top w:val="none" w:sz="0" w:space="0" w:color="auto"/>
        <w:left w:val="none" w:sz="0" w:space="0" w:color="auto"/>
        <w:bottom w:val="none" w:sz="0" w:space="0" w:color="auto"/>
        <w:right w:val="none" w:sz="0" w:space="0" w:color="auto"/>
      </w:divBdr>
    </w:div>
    <w:div w:id="1498381885">
      <w:bodyDiv w:val="1"/>
      <w:marLeft w:val="0"/>
      <w:marRight w:val="0"/>
      <w:marTop w:val="0"/>
      <w:marBottom w:val="0"/>
      <w:divBdr>
        <w:top w:val="none" w:sz="0" w:space="0" w:color="auto"/>
        <w:left w:val="none" w:sz="0" w:space="0" w:color="auto"/>
        <w:bottom w:val="none" w:sz="0" w:space="0" w:color="auto"/>
        <w:right w:val="none" w:sz="0" w:space="0" w:color="auto"/>
      </w:divBdr>
    </w:div>
    <w:div w:id="1503550360">
      <w:bodyDiv w:val="1"/>
      <w:marLeft w:val="0"/>
      <w:marRight w:val="0"/>
      <w:marTop w:val="0"/>
      <w:marBottom w:val="0"/>
      <w:divBdr>
        <w:top w:val="none" w:sz="0" w:space="0" w:color="auto"/>
        <w:left w:val="none" w:sz="0" w:space="0" w:color="auto"/>
        <w:bottom w:val="none" w:sz="0" w:space="0" w:color="auto"/>
        <w:right w:val="none" w:sz="0" w:space="0" w:color="auto"/>
      </w:divBdr>
    </w:div>
    <w:div w:id="1504778338">
      <w:bodyDiv w:val="1"/>
      <w:marLeft w:val="0"/>
      <w:marRight w:val="0"/>
      <w:marTop w:val="0"/>
      <w:marBottom w:val="0"/>
      <w:divBdr>
        <w:top w:val="none" w:sz="0" w:space="0" w:color="auto"/>
        <w:left w:val="none" w:sz="0" w:space="0" w:color="auto"/>
        <w:bottom w:val="none" w:sz="0" w:space="0" w:color="auto"/>
        <w:right w:val="none" w:sz="0" w:space="0" w:color="auto"/>
      </w:divBdr>
    </w:div>
    <w:div w:id="1508206216">
      <w:bodyDiv w:val="1"/>
      <w:marLeft w:val="0"/>
      <w:marRight w:val="0"/>
      <w:marTop w:val="0"/>
      <w:marBottom w:val="0"/>
      <w:divBdr>
        <w:top w:val="none" w:sz="0" w:space="0" w:color="auto"/>
        <w:left w:val="none" w:sz="0" w:space="0" w:color="auto"/>
        <w:bottom w:val="none" w:sz="0" w:space="0" w:color="auto"/>
        <w:right w:val="none" w:sz="0" w:space="0" w:color="auto"/>
      </w:divBdr>
    </w:div>
    <w:div w:id="1514219888">
      <w:bodyDiv w:val="1"/>
      <w:marLeft w:val="0"/>
      <w:marRight w:val="0"/>
      <w:marTop w:val="0"/>
      <w:marBottom w:val="0"/>
      <w:divBdr>
        <w:top w:val="none" w:sz="0" w:space="0" w:color="auto"/>
        <w:left w:val="none" w:sz="0" w:space="0" w:color="auto"/>
        <w:bottom w:val="none" w:sz="0" w:space="0" w:color="auto"/>
        <w:right w:val="none" w:sz="0" w:space="0" w:color="auto"/>
      </w:divBdr>
    </w:div>
    <w:div w:id="1517423060">
      <w:bodyDiv w:val="1"/>
      <w:marLeft w:val="0"/>
      <w:marRight w:val="0"/>
      <w:marTop w:val="0"/>
      <w:marBottom w:val="0"/>
      <w:divBdr>
        <w:top w:val="none" w:sz="0" w:space="0" w:color="auto"/>
        <w:left w:val="none" w:sz="0" w:space="0" w:color="auto"/>
        <w:bottom w:val="none" w:sz="0" w:space="0" w:color="auto"/>
        <w:right w:val="none" w:sz="0" w:space="0" w:color="auto"/>
      </w:divBdr>
    </w:div>
    <w:div w:id="1518738828">
      <w:bodyDiv w:val="1"/>
      <w:marLeft w:val="0"/>
      <w:marRight w:val="0"/>
      <w:marTop w:val="0"/>
      <w:marBottom w:val="0"/>
      <w:divBdr>
        <w:top w:val="none" w:sz="0" w:space="0" w:color="auto"/>
        <w:left w:val="none" w:sz="0" w:space="0" w:color="auto"/>
        <w:bottom w:val="none" w:sz="0" w:space="0" w:color="auto"/>
        <w:right w:val="none" w:sz="0" w:space="0" w:color="auto"/>
      </w:divBdr>
    </w:div>
    <w:div w:id="1523393571">
      <w:bodyDiv w:val="1"/>
      <w:marLeft w:val="0"/>
      <w:marRight w:val="0"/>
      <w:marTop w:val="0"/>
      <w:marBottom w:val="0"/>
      <w:divBdr>
        <w:top w:val="none" w:sz="0" w:space="0" w:color="auto"/>
        <w:left w:val="none" w:sz="0" w:space="0" w:color="auto"/>
        <w:bottom w:val="none" w:sz="0" w:space="0" w:color="auto"/>
        <w:right w:val="none" w:sz="0" w:space="0" w:color="auto"/>
      </w:divBdr>
    </w:div>
    <w:div w:id="1534347669">
      <w:bodyDiv w:val="1"/>
      <w:marLeft w:val="0"/>
      <w:marRight w:val="0"/>
      <w:marTop w:val="0"/>
      <w:marBottom w:val="0"/>
      <w:divBdr>
        <w:top w:val="none" w:sz="0" w:space="0" w:color="auto"/>
        <w:left w:val="none" w:sz="0" w:space="0" w:color="auto"/>
        <w:bottom w:val="none" w:sz="0" w:space="0" w:color="auto"/>
        <w:right w:val="none" w:sz="0" w:space="0" w:color="auto"/>
      </w:divBdr>
    </w:div>
    <w:div w:id="1538811444">
      <w:bodyDiv w:val="1"/>
      <w:marLeft w:val="0"/>
      <w:marRight w:val="0"/>
      <w:marTop w:val="0"/>
      <w:marBottom w:val="0"/>
      <w:divBdr>
        <w:top w:val="none" w:sz="0" w:space="0" w:color="auto"/>
        <w:left w:val="none" w:sz="0" w:space="0" w:color="auto"/>
        <w:bottom w:val="none" w:sz="0" w:space="0" w:color="auto"/>
        <w:right w:val="none" w:sz="0" w:space="0" w:color="auto"/>
      </w:divBdr>
    </w:div>
    <w:div w:id="1539925885">
      <w:bodyDiv w:val="1"/>
      <w:marLeft w:val="0"/>
      <w:marRight w:val="0"/>
      <w:marTop w:val="0"/>
      <w:marBottom w:val="0"/>
      <w:divBdr>
        <w:top w:val="none" w:sz="0" w:space="0" w:color="auto"/>
        <w:left w:val="none" w:sz="0" w:space="0" w:color="auto"/>
        <w:bottom w:val="none" w:sz="0" w:space="0" w:color="auto"/>
        <w:right w:val="none" w:sz="0" w:space="0" w:color="auto"/>
      </w:divBdr>
    </w:div>
    <w:div w:id="1554346327">
      <w:bodyDiv w:val="1"/>
      <w:marLeft w:val="0"/>
      <w:marRight w:val="0"/>
      <w:marTop w:val="0"/>
      <w:marBottom w:val="0"/>
      <w:divBdr>
        <w:top w:val="none" w:sz="0" w:space="0" w:color="auto"/>
        <w:left w:val="none" w:sz="0" w:space="0" w:color="auto"/>
        <w:bottom w:val="none" w:sz="0" w:space="0" w:color="auto"/>
        <w:right w:val="none" w:sz="0" w:space="0" w:color="auto"/>
      </w:divBdr>
    </w:div>
    <w:div w:id="1555039378">
      <w:bodyDiv w:val="1"/>
      <w:marLeft w:val="0"/>
      <w:marRight w:val="0"/>
      <w:marTop w:val="0"/>
      <w:marBottom w:val="0"/>
      <w:divBdr>
        <w:top w:val="none" w:sz="0" w:space="0" w:color="auto"/>
        <w:left w:val="none" w:sz="0" w:space="0" w:color="auto"/>
        <w:bottom w:val="none" w:sz="0" w:space="0" w:color="auto"/>
        <w:right w:val="none" w:sz="0" w:space="0" w:color="auto"/>
      </w:divBdr>
    </w:div>
    <w:div w:id="1559323949">
      <w:bodyDiv w:val="1"/>
      <w:marLeft w:val="0"/>
      <w:marRight w:val="0"/>
      <w:marTop w:val="0"/>
      <w:marBottom w:val="0"/>
      <w:divBdr>
        <w:top w:val="none" w:sz="0" w:space="0" w:color="auto"/>
        <w:left w:val="none" w:sz="0" w:space="0" w:color="auto"/>
        <w:bottom w:val="none" w:sz="0" w:space="0" w:color="auto"/>
        <w:right w:val="none" w:sz="0" w:space="0" w:color="auto"/>
      </w:divBdr>
    </w:div>
    <w:div w:id="1564877171">
      <w:bodyDiv w:val="1"/>
      <w:marLeft w:val="0"/>
      <w:marRight w:val="0"/>
      <w:marTop w:val="0"/>
      <w:marBottom w:val="0"/>
      <w:divBdr>
        <w:top w:val="none" w:sz="0" w:space="0" w:color="auto"/>
        <w:left w:val="none" w:sz="0" w:space="0" w:color="auto"/>
        <w:bottom w:val="none" w:sz="0" w:space="0" w:color="auto"/>
        <w:right w:val="none" w:sz="0" w:space="0" w:color="auto"/>
      </w:divBdr>
    </w:div>
    <w:div w:id="1567296057">
      <w:bodyDiv w:val="1"/>
      <w:marLeft w:val="0"/>
      <w:marRight w:val="0"/>
      <w:marTop w:val="0"/>
      <w:marBottom w:val="0"/>
      <w:divBdr>
        <w:top w:val="none" w:sz="0" w:space="0" w:color="auto"/>
        <w:left w:val="none" w:sz="0" w:space="0" w:color="auto"/>
        <w:bottom w:val="none" w:sz="0" w:space="0" w:color="auto"/>
        <w:right w:val="none" w:sz="0" w:space="0" w:color="auto"/>
      </w:divBdr>
    </w:div>
    <w:div w:id="1567491130">
      <w:bodyDiv w:val="1"/>
      <w:marLeft w:val="0"/>
      <w:marRight w:val="0"/>
      <w:marTop w:val="0"/>
      <w:marBottom w:val="0"/>
      <w:divBdr>
        <w:top w:val="none" w:sz="0" w:space="0" w:color="auto"/>
        <w:left w:val="none" w:sz="0" w:space="0" w:color="auto"/>
        <w:bottom w:val="none" w:sz="0" w:space="0" w:color="auto"/>
        <w:right w:val="none" w:sz="0" w:space="0" w:color="auto"/>
      </w:divBdr>
    </w:div>
    <w:div w:id="1568111465">
      <w:bodyDiv w:val="1"/>
      <w:marLeft w:val="0"/>
      <w:marRight w:val="0"/>
      <w:marTop w:val="0"/>
      <w:marBottom w:val="0"/>
      <w:divBdr>
        <w:top w:val="none" w:sz="0" w:space="0" w:color="auto"/>
        <w:left w:val="none" w:sz="0" w:space="0" w:color="auto"/>
        <w:bottom w:val="none" w:sz="0" w:space="0" w:color="auto"/>
        <w:right w:val="none" w:sz="0" w:space="0" w:color="auto"/>
      </w:divBdr>
    </w:div>
    <w:div w:id="1569194260">
      <w:bodyDiv w:val="1"/>
      <w:marLeft w:val="0"/>
      <w:marRight w:val="0"/>
      <w:marTop w:val="0"/>
      <w:marBottom w:val="0"/>
      <w:divBdr>
        <w:top w:val="none" w:sz="0" w:space="0" w:color="auto"/>
        <w:left w:val="none" w:sz="0" w:space="0" w:color="auto"/>
        <w:bottom w:val="none" w:sz="0" w:space="0" w:color="auto"/>
        <w:right w:val="none" w:sz="0" w:space="0" w:color="auto"/>
      </w:divBdr>
    </w:div>
    <w:div w:id="1581328756">
      <w:bodyDiv w:val="1"/>
      <w:marLeft w:val="0"/>
      <w:marRight w:val="0"/>
      <w:marTop w:val="0"/>
      <w:marBottom w:val="0"/>
      <w:divBdr>
        <w:top w:val="none" w:sz="0" w:space="0" w:color="auto"/>
        <w:left w:val="none" w:sz="0" w:space="0" w:color="auto"/>
        <w:bottom w:val="none" w:sz="0" w:space="0" w:color="auto"/>
        <w:right w:val="none" w:sz="0" w:space="0" w:color="auto"/>
      </w:divBdr>
    </w:div>
    <w:div w:id="1582176129">
      <w:bodyDiv w:val="1"/>
      <w:marLeft w:val="0"/>
      <w:marRight w:val="0"/>
      <w:marTop w:val="0"/>
      <w:marBottom w:val="0"/>
      <w:divBdr>
        <w:top w:val="none" w:sz="0" w:space="0" w:color="auto"/>
        <w:left w:val="none" w:sz="0" w:space="0" w:color="auto"/>
        <w:bottom w:val="none" w:sz="0" w:space="0" w:color="auto"/>
        <w:right w:val="none" w:sz="0" w:space="0" w:color="auto"/>
      </w:divBdr>
    </w:div>
    <w:div w:id="1585067502">
      <w:bodyDiv w:val="1"/>
      <w:marLeft w:val="0"/>
      <w:marRight w:val="0"/>
      <w:marTop w:val="0"/>
      <w:marBottom w:val="0"/>
      <w:divBdr>
        <w:top w:val="none" w:sz="0" w:space="0" w:color="auto"/>
        <w:left w:val="none" w:sz="0" w:space="0" w:color="auto"/>
        <w:bottom w:val="none" w:sz="0" w:space="0" w:color="auto"/>
        <w:right w:val="none" w:sz="0" w:space="0" w:color="auto"/>
      </w:divBdr>
    </w:div>
    <w:div w:id="1600874160">
      <w:bodyDiv w:val="1"/>
      <w:marLeft w:val="0"/>
      <w:marRight w:val="0"/>
      <w:marTop w:val="0"/>
      <w:marBottom w:val="0"/>
      <w:divBdr>
        <w:top w:val="none" w:sz="0" w:space="0" w:color="auto"/>
        <w:left w:val="none" w:sz="0" w:space="0" w:color="auto"/>
        <w:bottom w:val="none" w:sz="0" w:space="0" w:color="auto"/>
        <w:right w:val="none" w:sz="0" w:space="0" w:color="auto"/>
      </w:divBdr>
    </w:div>
    <w:div w:id="1608611507">
      <w:bodyDiv w:val="1"/>
      <w:marLeft w:val="0"/>
      <w:marRight w:val="0"/>
      <w:marTop w:val="0"/>
      <w:marBottom w:val="0"/>
      <w:divBdr>
        <w:top w:val="none" w:sz="0" w:space="0" w:color="auto"/>
        <w:left w:val="none" w:sz="0" w:space="0" w:color="auto"/>
        <w:bottom w:val="none" w:sz="0" w:space="0" w:color="auto"/>
        <w:right w:val="none" w:sz="0" w:space="0" w:color="auto"/>
      </w:divBdr>
    </w:div>
    <w:div w:id="1618173436">
      <w:bodyDiv w:val="1"/>
      <w:marLeft w:val="0"/>
      <w:marRight w:val="0"/>
      <w:marTop w:val="0"/>
      <w:marBottom w:val="0"/>
      <w:divBdr>
        <w:top w:val="none" w:sz="0" w:space="0" w:color="auto"/>
        <w:left w:val="none" w:sz="0" w:space="0" w:color="auto"/>
        <w:bottom w:val="none" w:sz="0" w:space="0" w:color="auto"/>
        <w:right w:val="none" w:sz="0" w:space="0" w:color="auto"/>
      </w:divBdr>
    </w:div>
    <w:div w:id="1626765310">
      <w:bodyDiv w:val="1"/>
      <w:marLeft w:val="0"/>
      <w:marRight w:val="0"/>
      <w:marTop w:val="0"/>
      <w:marBottom w:val="0"/>
      <w:divBdr>
        <w:top w:val="none" w:sz="0" w:space="0" w:color="auto"/>
        <w:left w:val="none" w:sz="0" w:space="0" w:color="auto"/>
        <w:bottom w:val="none" w:sz="0" w:space="0" w:color="auto"/>
        <w:right w:val="none" w:sz="0" w:space="0" w:color="auto"/>
      </w:divBdr>
    </w:div>
    <w:div w:id="1627196495">
      <w:bodyDiv w:val="1"/>
      <w:marLeft w:val="0"/>
      <w:marRight w:val="0"/>
      <w:marTop w:val="0"/>
      <w:marBottom w:val="0"/>
      <w:divBdr>
        <w:top w:val="none" w:sz="0" w:space="0" w:color="auto"/>
        <w:left w:val="none" w:sz="0" w:space="0" w:color="auto"/>
        <w:bottom w:val="none" w:sz="0" w:space="0" w:color="auto"/>
        <w:right w:val="none" w:sz="0" w:space="0" w:color="auto"/>
      </w:divBdr>
    </w:div>
    <w:div w:id="1631667859">
      <w:bodyDiv w:val="1"/>
      <w:marLeft w:val="0"/>
      <w:marRight w:val="0"/>
      <w:marTop w:val="0"/>
      <w:marBottom w:val="0"/>
      <w:divBdr>
        <w:top w:val="none" w:sz="0" w:space="0" w:color="auto"/>
        <w:left w:val="none" w:sz="0" w:space="0" w:color="auto"/>
        <w:bottom w:val="none" w:sz="0" w:space="0" w:color="auto"/>
        <w:right w:val="none" w:sz="0" w:space="0" w:color="auto"/>
      </w:divBdr>
    </w:div>
    <w:div w:id="1636447356">
      <w:bodyDiv w:val="1"/>
      <w:marLeft w:val="0"/>
      <w:marRight w:val="0"/>
      <w:marTop w:val="0"/>
      <w:marBottom w:val="0"/>
      <w:divBdr>
        <w:top w:val="none" w:sz="0" w:space="0" w:color="auto"/>
        <w:left w:val="none" w:sz="0" w:space="0" w:color="auto"/>
        <w:bottom w:val="none" w:sz="0" w:space="0" w:color="auto"/>
        <w:right w:val="none" w:sz="0" w:space="0" w:color="auto"/>
      </w:divBdr>
    </w:div>
    <w:div w:id="1641375641">
      <w:bodyDiv w:val="1"/>
      <w:marLeft w:val="0"/>
      <w:marRight w:val="0"/>
      <w:marTop w:val="0"/>
      <w:marBottom w:val="0"/>
      <w:divBdr>
        <w:top w:val="none" w:sz="0" w:space="0" w:color="auto"/>
        <w:left w:val="none" w:sz="0" w:space="0" w:color="auto"/>
        <w:bottom w:val="none" w:sz="0" w:space="0" w:color="auto"/>
        <w:right w:val="none" w:sz="0" w:space="0" w:color="auto"/>
      </w:divBdr>
    </w:div>
    <w:div w:id="1643391818">
      <w:bodyDiv w:val="1"/>
      <w:marLeft w:val="0"/>
      <w:marRight w:val="0"/>
      <w:marTop w:val="0"/>
      <w:marBottom w:val="0"/>
      <w:divBdr>
        <w:top w:val="none" w:sz="0" w:space="0" w:color="auto"/>
        <w:left w:val="none" w:sz="0" w:space="0" w:color="auto"/>
        <w:bottom w:val="none" w:sz="0" w:space="0" w:color="auto"/>
        <w:right w:val="none" w:sz="0" w:space="0" w:color="auto"/>
      </w:divBdr>
    </w:div>
    <w:div w:id="1647318230">
      <w:bodyDiv w:val="1"/>
      <w:marLeft w:val="0"/>
      <w:marRight w:val="0"/>
      <w:marTop w:val="0"/>
      <w:marBottom w:val="0"/>
      <w:divBdr>
        <w:top w:val="none" w:sz="0" w:space="0" w:color="auto"/>
        <w:left w:val="none" w:sz="0" w:space="0" w:color="auto"/>
        <w:bottom w:val="none" w:sz="0" w:space="0" w:color="auto"/>
        <w:right w:val="none" w:sz="0" w:space="0" w:color="auto"/>
      </w:divBdr>
    </w:div>
    <w:div w:id="1647776092">
      <w:bodyDiv w:val="1"/>
      <w:marLeft w:val="0"/>
      <w:marRight w:val="0"/>
      <w:marTop w:val="0"/>
      <w:marBottom w:val="0"/>
      <w:divBdr>
        <w:top w:val="none" w:sz="0" w:space="0" w:color="auto"/>
        <w:left w:val="none" w:sz="0" w:space="0" w:color="auto"/>
        <w:bottom w:val="none" w:sz="0" w:space="0" w:color="auto"/>
        <w:right w:val="none" w:sz="0" w:space="0" w:color="auto"/>
      </w:divBdr>
    </w:div>
    <w:div w:id="1648628854">
      <w:bodyDiv w:val="1"/>
      <w:marLeft w:val="0"/>
      <w:marRight w:val="0"/>
      <w:marTop w:val="0"/>
      <w:marBottom w:val="0"/>
      <w:divBdr>
        <w:top w:val="none" w:sz="0" w:space="0" w:color="auto"/>
        <w:left w:val="none" w:sz="0" w:space="0" w:color="auto"/>
        <w:bottom w:val="none" w:sz="0" w:space="0" w:color="auto"/>
        <w:right w:val="none" w:sz="0" w:space="0" w:color="auto"/>
      </w:divBdr>
    </w:div>
    <w:div w:id="1648893414">
      <w:bodyDiv w:val="1"/>
      <w:marLeft w:val="0"/>
      <w:marRight w:val="0"/>
      <w:marTop w:val="0"/>
      <w:marBottom w:val="0"/>
      <w:divBdr>
        <w:top w:val="none" w:sz="0" w:space="0" w:color="auto"/>
        <w:left w:val="none" w:sz="0" w:space="0" w:color="auto"/>
        <w:bottom w:val="none" w:sz="0" w:space="0" w:color="auto"/>
        <w:right w:val="none" w:sz="0" w:space="0" w:color="auto"/>
      </w:divBdr>
    </w:div>
    <w:div w:id="1649288563">
      <w:bodyDiv w:val="1"/>
      <w:marLeft w:val="0"/>
      <w:marRight w:val="0"/>
      <w:marTop w:val="0"/>
      <w:marBottom w:val="0"/>
      <w:divBdr>
        <w:top w:val="none" w:sz="0" w:space="0" w:color="auto"/>
        <w:left w:val="none" w:sz="0" w:space="0" w:color="auto"/>
        <w:bottom w:val="none" w:sz="0" w:space="0" w:color="auto"/>
        <w:right w:val="none" w:sz="0" w:space="0" w:color="auto"/>
      </w:divBdr>
    </w:div>
    <w:div w:id="1651712420">
      <w:bodyDiv w:val="1"/>
      <w:marLeft w:val="0"/>
      <w:marRight w:val="0"/>
      <w:marTop w:val="0"/>
      <w:marBottom w:val="0"/>
      <w:divBdr>
        <w:top w:val="none" w:sz="0" w:space="0" w:color="auto"/>
        <w:left w:val="none" w:sz="0" w:space="0" w:color="auto"/>
        <w:bottom w:val="none" w:sz="0" w:space="0" w:color="auto"/>
        <w:right w:val="none" w:sz="0" w:space="0" w:color="auto"/>
      </w:divBdr>
    </w:div>
    <w:div w:id="1657495874">
      <w:bodyDiv w:val="1"/>
      <w:marLeft w:val="0"/>
      <w:marRight w:val="0"/>
      <w:marTop w:val="0"/>
      <w:marBottom w:val="0"/>
      <w:divBdr>
        <w:top w:val="none" w:sz="0" w:space="0" w:color="auto"/>
        <w:left w:val="none" w:sz="0" w:space="0" w:color="auto"/>
        <w:bottom w:val="none" w:sz="0" w:space="0" w:color="auto"/>
        <w:right w:val="none" w:sz="0" w:space="0" w:color="auto"/>
      </w:divBdr>
    </w:div>
    <w:div w:id="1660648775">
      <w:bodyDiv w:val="1"/>
      <w:marLeft w:val="0"/>
      <w:marRight w:val="0"/>
      <w:marTop w:val="0"/>
      <w:marBottom w:val="0"/>
      <w:divBdr>
        <w:top w:val="none" w:sz="0" w:space="0" w:color="auto"/>
        <w:left w:val="none" w:sz="0" w:space="0" w:color="auto"/>
        <w:bottom w:val="none" w:sz="0" w:space="0" w:color="auto"/>
        <w:right w:val="none" w:sz="0" w:space="0" w:color="auto"/>
      </w:divBdr>
    </w:div>
    <w:div w:id="1668554921">
      <w:bodyDiv w:val="1"/>
      <w:marLeft w:val="0"/>
      <w:marRight w:val="0"/>
      <w:marTop w:val="0"/>
      <w:marBottom w:val="0"/>
      <w:divBdr>
        <w:top w:val="none" w:sz="0" w:space="0" w:color="auto"/>
        <w:left w:val="none" w:sz="0" w:space="0" w:color="auto"/>
        <w:bottom w:val="none" w:sz="0" w:space="0" w:color="auto"/>
        <w:right w:val="none" w:sz="0" w:space="0" w:color="auto"/>
      </w:divBdr>
    </w:div>
    <w:div w:id="1676571256">
      <w:bodyDiv w:val="1"/>
      <w:marLeft w:val="0"/>
      <w:marRight w:val="0"/>
      <w:marTop w:val="0"/>
      <w:marBottom w:val="0"/>
      <w:divBdr>
        <w:top w:val="none" w:sz="0" w:space="0" w:color="auto"/>
        <w:left w:val="none" w:sz="0" w:space="0" w:color="auto"/>
        <w:bottom w:val="none" w:sz="0" w:space="0" w:color="auto"/>
        <w:right w:val="none" w:sz="0" w:space="0" w:color="auto"/>
      </w:divBdr>
    </w:div>
    <w:div w:id="1676877977">
      <w:bodyDiv w:val="1"/>
      <w:marLeft w:val="0"/>
      <w:marRight w:val="0"/>
      <w:marTop w:val="0"/>
      <w:marBottom w:val="0"/>
      <w:divBdr>
        <w:top w:val="none" w:sz="0" w:space="0" w:color="auto"/>
        <w:left w:val="none" w:sz="0" w:space="0" w:color="auto"/>
        <w:bottom w:val="none" w:sz="0" w:space="0" w:color="auto"/>
        <w:right w:val="none" w:sz="0" w:space="0" w:color="auto"/>
      </w:divBdr>
    </w:div>
    <w:div w:id="1679841669">
      <w:bodyDiv w:val="1"/>
      <w:marLeft w:val="0"/>
      <w:marRight w:val="0"/>
      <w:marTop w:val="0"/>
      <w:marBottom w:val="0"/>
      <w:divBdr>
        <w:top w:val="none" w:sz="0" w:space="0" w:color="auto"/>
        <w:left w:val="none" w:sz="0" w:space="0" w:color="auto"/>
        <w:bottom w:val="none" w:sz="0" w:space="0" w:color="auto"/>
        <w:right w:val="none" w:sz="0" w:space="0" w:color="auto"/>
      </w:divBdr>
    </w:div>
    <w:div w:id="1682971922">
      <w:bodyDiv w:val="1"/>
      <w:marLeft w:val="0"/>
      <w:marRight w:val="0"/>
      <w:marTop w:val="0"/>
      <w:marBottom w:val="0"/>
      <w:divBdr>
        <w:top w:val="none" w:sz="0" w:space="0" w:color="auto"/>
        <w:left w:val="none" w:sz="0" w:space="0" w:color="auto"/>
        <w:bottom w:val="none" w:sz="0" w:space="0" w:color="auto"/>
        <w:right w:val="none" w:sz="0" w:space="0" w:color="auto"/>
      </w:divBdr>
    </w:div>
    <w:div w:id="1683315896">
      <w:bodyDiv w:val="1"/>
      <w:marLeft w:val="0"/>
      <w:marRight w:val="0"/>
      <w:marTop w:val="0"/>
      <w:marBottom w:val="0"/>
      <w:divBdr>
        <w:top w:val="none" w:sz="0" w:space="0" w:color="auto"/>
        <w:left w:val="none" w:sz="0" w:space="0" w:color="auto"/>
        <w:bottom w:val="none" w:sz="0" w:space="0" w:color="auto"/>
        <w:right w:val="none" w:sz="0" w:space="0" w:color="auto"/>
      </w:divBdr>
    </w:div>
    <w:div w:id="1686783112">
      <w:bodyDiv w:val="1"/>
      <w:marLeft w:val="0"/>
      <w:marRight w:val="0"/>
      <w:marTop w:val="0"/>
      <w:marBottom w:val="0"/>
      <w:divBdr>
        <w:top w:val="none" w:sz="0" w:space="0" w:color="auto"/>
        <w:left w:val="none" w:sz="0" w:space="0" w:color="auto"/>
        <w:bottom w:val="none" w:sz="0" w:space="0" w:color="auto"/>
        <w:right w:val="none" w:sz="0" w:space="0" w:color="auto"/>
      </w:divBdr>
    </w:div>
    <w:div w:id="1689024313">
      <w:bodyDiv w:val="1"/>
      <w:marLeft w:val="0"/>
      <w:marRight w:val="0"/>
      <w:marTop w:val="0"/>
      <w:marBottom w:val="0"/>
      <w:divBdr>
        <w:top w:val="none" w:sz="0" w:space="0" w:color="auto"/>
        <w:left w:val="none" w:sz="0" w:space="0" w:color="auto"/>
        <w:bottom w:val="none" w:sz="0" w:space="0" w:color="auto"/>
        <w:right w:val="none" w:sz="0" w:space="0" w:color="auto"/>
      </w:divBdr>
    </w:div>
    <w:div w:id="1689136855">
      <w:bodyDiv w:val="1"/>
      <w:marLeft w:val="0"/>
      <w:marRight w:val="0"/>
      <w:marTop w:val="0"/>
      <w:marBottom w:val="0"/>
      <w:divBdr>
        <w:top w:val="none" w:sz="0" w:space="0" w:color="auto"/>
        <w:left w:val="none" w:sz="0" w:space="0" w:color="auto"/>
        <w:bottom w:val="none" w:sz="0" w:space="0" w:color="auto"/>
        <w:right w:val="none" w:sz="0" w:space="0" w:color="auto"/>
      </w:divBdr>
    </w:div>
    <w:div w:id="1689604273">
      <w:bodyDiv w:val="1"/>
      <w:marLeft w:val="0"/>
      <w:marRight w:val="0"/>
      <w:marTop w:val="0"/>
      <w:marBottom w:val="0"/>
      <w:divBdr>
        <w:top w:val="none" w:sz="0" w:space="0" w:color="auto"/>
        <w:left w:val="none" w:sz="0" w:space="0" w:color="auto"/>
        <w:bottom w:val="none" w:sz="0" w:space="0" w:color="auto"/>
        <w:right w:val="none" w:sz="0" w:space="0" w:color="auto"/>
      </w:divBdr>
    </w:div>
    <w:div w:id="1702584031">
      <w:bodyDiv w:val="1"/>
      <w:marLeft w:val="0"/>
      <w:marRight w:val="0"/>
      <w:marTop w:val="0"/>
      <w:marBottom w:val="0"/>
      <w:divBdr>
        <w:top w:val="none" w:sz="0" w:space="0" w:color="auto"/>
        <w:left w:val="none" w:sz="0" w:space="0" w:color="auto"/>
        <w:bottom w:val="none" w:sz="0" w:space="0" w:color="auto"/>
        <w:right w:val="none" w:sz="0" w:space="0" w:color="auto"/>
      </w:divBdr>
    </w:div>
    <w:div w:id="1706175072">
      <w:bodyDiv w:val="1"/>
      <w:marLeft w:val="0"/>
      <w:marRight w:val="0"/>
      <w:marTop w:val="0"/>
      <w:marBottom w:val="0"/>
      <w:divBdr>
        <w:top w:val="none" w:sz="0" w:space="0" w:color="auto"/>
        <w:left w:val="none" w:sz="0" w:space="0" w:color="auto"/>
        <w:bottom w:val="none" w:sz="0" w:space="0" w:color="auto"/>
        <w:right w:val="none" w:sz="0" w:space="0" w:color="auto"/>
      </w:divBdr>
    </w:div>
    <w:div w:id="1708985128">
      <w:bodyDiv w:val="1"/>
      <w:marLeft w:val="0"/>
      <w:marRight w:val="0"/>
      <w:marTop w:val="0"/>
      <w:marBottom w:val="0"/>
      <w:divBdr>
        <w:top w:val="none" w:sz="0" w:space="0" w:color="auto"/>
        <w:left w:val="none" w:sz="0" w:space="0" w:color="auto"/>
        <w:bottom w:val="none" w:sz="0" w:space="0" w:color="auto"/>
        <w:right w:val="none" w:sz="0" w:space="0" w:color="auto"/>
      </w:divBdr>
    </w:div>
    <w:div w:id="1711682978">
      <w:bodyDiv w:val="1"/>
      <w:marLeft w:val="0"/>
      <w:marRight w:val="0"/>
      <w:marTop w:val="0"/>
      <w:marBottom w:val="0"/>
      <w:divBdr>
        <w:top w:val="none" w:sz="0" w:space="0" w:color="auto"/>
        <w:left w:val="none" w:sz="0" w:space="0" w:color="auto"/>
        <w:bottom w:val="none" w:sz="0" w:space="0" w:color="auto"/>
        <w:right w:val="none" w:sz="0" w:space="0" w:color="auto"/>
      </w:divBdr>
    </w:div>
    <w:div w:id="1713118682">
      <w:bodyDiv w:val="1"/>
      <w:marLeft w:val="0"/>
      <w:marRight w:val="0"/>
      <w:marTop w:val="0"/>
      <w:marBottom w:val="0"/>
      <w:divBdr>
        <w:top w:val="none" w:sz="0" w:space="0" w:color="auto"/>
        <w:left w:val="none" w:sz="0" w:space="0" w:color="auto"/>
        <w:bottom w:val="none" w:sz="0" w:space="0" w:color="auto"/>
        <w:right w:val="none" w:sz="0" w:space="0" w:color="auto"/>
      </w:divBdr>
    </w:div>
    <w:div w:id="1715546535">
      <w:bodyDiv w:val="1"/>
      <w:marLeft w:val="0"/>
      <w:marRight w:val="0"/>
      <w:marTop w:val="0"/>
      <w:marBottom w:val="0"/>
      <w:divBdr>
        <w:top w:val="none" w:sz="0" w:space="0" w:color="auto"/>
        <w:left w:val="none" w:sz="0" w:space="0" w:color="auto"/>
        <w:bottom w:val="none" w:sz="0" w:space="0" w:color="auto"/>
        <w:right w:val="none" w:sz="0" w:space="0" w:color="auto"/>
      </w:divBdr>
    </w:div>
    <w:div w:id="1716351717">
      <w:bodyDiv w:val="1"/>
      <w:marLeft w:val="0"/>
      <w:marRight w:val="0"/>
      <w:marTop w:val="0"/>
      <w:marBottom w:val="0"/>
      <w:divBdr>
        <w:top w:val="none" w:sz="0" w:space="0" w:color="auto"/>
        <w:left w:val="none" w:sz="0" w:space="0" w:color="auto"/>
        <w:bottom w:val="none" w:sz="0" w:space="0" w:color="auto"/>
        <w:right w:val="none" w:sz="0" w:space="0" w:color="auto"/>
      </w:divBdr>
    </w:div>
    <w:div w:id="1716540454">
      <w:bodyDiv w:val="1"/>
      <w:marLeft w:val="0"/>
      <w:marRight w:val="0"/>
      <w:marTop w:val="0"/>
      <w:marBottom w:val="0"/>
      <w:divBdr>
        <w:top w:val="none" w:sz="0" w:space="0" w:color="auto"/>
        <w:left w:val="none" w:sz="0" w:space="0" w:color="auto"/>
        <w:bottom w:val="none" w:sz="0" w:space="0" w:color="auto"/>
        <w:right w:val="none" w:sz="0" w:space="0" w:color="auto"/>
      </w:divBdr>
    </w:div>
    <w:div w:id="1719671337">
      <w:bodyDiv w:val="1"/>
      <w:marLeft w:val="0"/>
      <w:marRight w:val="0"/>
      <w:marTop w:val="0"/>
      <w:marBottom w:val="0"/>
      <w:divBdr>
        <w:top w:val="none" w:sz="0" w:space="0" w:color="auto"/>
        <w:left w:val="none" w:sz="0" w:space="0" w:color="auto"/>
        <w:bottom w:val="none" w:sz="0" w:space="0" w:color="auto"/>
        <w:right w:val="none" w:sz="0" w:space="0" w:color="auto"/>
      </w:divBdr>
    </w:div>
    <w:div w:id="1721319092">
      <w:bodyDiv w:val="1"/>
      <w:marLeft w:val="0"/>
      <w:marRight w:val="0"/>
      <w:marTop w:val="0"/>
      <w:marBottom w:val="0"/>
      <w:divBdr>
        <w:top w:val="none" w:sz="0" w:space="0" w:color="auto"/>
        <w:left w:val="none" w:sz="0" w:space="0" w:color="auto"/>
        <w:bottom w:val="none" w:sz="0" w:space="0" w:color="auto"/>
        <w:right w:val="none" w:sz="0" w:space="0" w:color="auto"/>
      </w:divBdr>
    </w:div>
    <w:div w:id="1724211881">
      <w:bodyDiv w:val="1"/>
      <w:marLeft w:val="0"/>
      <w:marRight w:val="0"/>
      <w:marTop w:val="0"/>
      <w:marBottom w:val="0"/>
      <w:divBdr>
        <w:top w:val="none" w:sz="0" w:space="0" w:color="auto"/>
        <w:left w:val="none" w:sz="0" w:space="0" w:color="auto"/>
        <w:bottom w:val="none" w:sz="0" w:space="0" w:color="auto"/>
        <w:right w:val="none" w:sz="0" w:space="0" w:color="auto"/>
      </w:divBdr>
    </w:div>
    <w:div w:id="1724450402">
      <w:bodyDiv w:val="1"/>
      <w:marLeft w:val="0"/>
      <w:marRight w:val="0"/>
      <w:marTop w:val="0"/>
      <w:marBottom w:val="0"/>
      <w:divBdr>
        <w:top w:val="none" w:sz="0" w:space="0" w:color="auto"/>
        <w:left w:val="none" w:sz="0" w:space="0" w:color="auto"/>
        <w:bottom w:val="none" w:sz="0" w:space="0" w:color="auto"/>
        <w:right w:val="none" w:sz="0" w:space="0" w:color="auto"/>
      </w:divBdr>
    </w:div>
    <w:div w:id="1730152143">
      <w:bodyDiv w:val="1"/>
      <w:marLeft w:val="0"/>
      <w:marRight w:val="0"/>
      <w:marTop w:val="0"/>
      <w:marBottom w:val="0"/>
      <w:divBdr>
        <w:top w:val="none" w:sz="0" w:space="0" w:color="auto"/>
        <w:left w:val="none" w:sz="0" w:space="0" w:color="auto"/>
        <w:bottom w:val="none" w:sz="0" w:space="0" w:color="auto"/>
        <w:right w:val="none" w:sz="0" w:space="0" w:color="auto"/>
      </w:divBdr>
    </w:div>
    <w:div w:id="1733112958">
      <w:bodyDiv w:val="1"/>
      <w:marLeft w:val="0"/>
      <w:marRight w:val="0"/>
      <w:marTop w:val="0"/>
      <w:marBottom w:val="0"/>
      <w:divBdr>
        <w:top w:val="none" w:sz="0" w:space="0" w:color="auto"/>
        <w:left w:val="none" w:sz="0" w:space="0" w:color="auto"/>
        <w:bottom w:val="none" w:sz="0" w:space="0" w:color="auto"/>
        <w:right w:val="none" w:sz="0" w:space="0" w:color="auto"/>
      </w:divBdr>
    </w:div>
    <w:div w:id="1736469618">
      <w:bodyDiv w:val="1"/>
      <w:marLeft w:val="0"/>
      <w:marRight w:val="0"/>
      <w:marTop w:val="0"/>
      <w:marBottom w:val="0"/>
      <w:divBdr>
        <w:top w:val="none" w:sz="0" w:space="0" w:color="auto"/>
        <w:left w:val="none" w:sz="0" w:space="0" w:color="auto"/>
        <w:bottom w:val="none" w:sz="0" w:space="0" w:color="auto"/>
        <w:right w:val="none" w:sz="0" w:space="0" w:color="auto"/>
      </w:divBdr>
    </w:div>
    <w:div w:id="1736857717">
      <w:bodyDiv w:val="1"/>
      <w:marLeft w:val="0"/>
      <w:marRight w:val="0"/>
      <w:marTop w:val="0"/>
      <w:marBottom w:val="0"/>
      <w:divBdr>
        <w:top w:val="none" w:sz="0" w:space="0" w:color="auto"/>
        <w:left w:val="none" w:sz="0" w:space="0" w:color="auto"/>
        <w:bottom w:val="none" w:sz="0" w:space="0" w:color="auto"/>
        <w:right w:val="none" w:sz="0" w:space="0" w:color="auto"/>
      </w:divBdr>
    </w:div>
    <w:div w:id="1739401599">
      <w:bodyDiv w:val="1"/>
      <w:marLeft w:val="0"/>
      <w:marRight w:val="0"/>
      <w:marTop w:val="0"/>
      <w:marBottom w:val="0"/>
      <w:divBdr>
        <w:top w:val="none" w:sz="0" w:space="0" w:color="auto"/>
        <w:left w:val="none" w:sz="0" w:space="0" w:color="auto"/>
        <w:bottom w:val="none" w:sz="0" w:space="0" w:color="auto"/>
        <w:right w:val="none" w:sz="0" w:space="0" w:color="auto"/>
      </w:divBdr>
    </w:div>
    <w:div w:id="1742485712">
      <w:bodyDiv w:val="1"/>
      <w:marLeft w:val="0"/>
      <w:marRight w:val="0"/>
      <w:marTop w:val="0"/>
      <w:marBottom w:val="0"/>
      <w:divBdr>
        <w:top w:val="none" w:sz="0" w:space="0" w:color="auto"/>
        <w:left w:val="none" w:sz="0" w:space="0" w:color="auto"/>
        <w:bottom w:val="none" w:sz="0" w:space="0" w:color="auto"/>
        <w:right w:val="none" w:sz="0" w:space="0" w:color="auto"/>
      </w:divBdr>
    </w:div>
    <w:div w:id="1743259662">
      <w:bodyDiv w:val="1"/>
      <w:marLeft w:val="0"/>
      <w:marRight w:val="0"/>
      <w:marTop w:val="0"/>
      <w:marBottom w:val="0"/>
      <w:divBdr>
        <w:top w:val="none" w:sz="0" w:space="0" w:color="auto"/>
        <w:left w:val="none" w:sz="0" w:space="0" w:color="auto"/>
        <w:bottom w:val="none" w:sz="0" w:space="0" w:color="auto"/>
        <w:right w:val="none" w:sz="0" w:space="0" w:color="auto"/>
      </w:divBdr>
    </w:div>
    <w:div w:id="1750611259">
      <w:bodyDiv w:val="1"/>
      <w:marLeft w:val="0"/>
      <w:marRight w:val="0"/>
      <w:marTop w:val="0"/>
      <w:marBottom w:val="0"/>
      <w:divBdr>
        <w:top w:val="none" w:sz="0" w:space="0" w:color="auto"/>
        <w:left w:val="none" w:sz="0" w:space="0" w:color="auto"/>
        <w:bottom w:val="none" w:sz="0" w:space="0" w:color="auto"/>
        <w:right w:val="none" w:sz="0" w:space="0" w:color="auto"/>
      </w:divBdr>
    </w:div>
    <w:div w:id="1760716710">
      <w:bodyDiv w:val="1"/>
      <w:marLeft w:val="0"/>
      <w:marRight w:val="0"/>
      <w:marTop w:val="0"/>
      <w:marBottom w:val="0"/>
      <w:divBdr>
        <w:top w:val="none" w:sz="0" w:space="0" w:color="auto"/>
        <w:left w:val="none" w:sz="0" w:space="0" w:color="auto"/>
        <w:bottom w:val="none" w:sz="0" w:space="0" w:color="auto"/>
        <w:right w:val="none" w:sz="0" w:space="0" w:color="auto"/>
      </w:divBdr>
    </w:div>
    <w:div w:id="1767337017">
      <w:bodyDiv w:val="1"/>
      <w:marLeft w:val="0"/>
      <w:marRight w:val="0"/>
      <w:marTop w:val="0"/>
      <w:marBottom w:val="0"/>
      <w:divBdr>
        <w:top w:val="none" w:sz="0" w:space="0" w:color="auto"/>
        <w:left w:val="none" w:sz="0" w:space="0" w:color="auto"/>
        <w:bottom w:val="none" w:sz="0" w:space="0" w:color="auto"/>
        <w:right w:val="none" w:sz="0" w:space="0" w:color="auto"/>
      </w:divBdr>
    </w:div>
    <w:div w:id="1790472080">
      <w:bodyDiv w:val="1"/>
      <w:marLeft w:val="0"/>
      <w:marRight w:val="0"/>
      <w:marTop w:val="0"/>
      <w:marBottom w:val="0"/>
      <w:divBdr>
        <w:top w:val="none" w:sz="0" w:space="0" w:color="auto"/>
        <w:left w:val="none" w:sz="0" w:space="0" w:color="auto"/>
        <w:bottom w:val="none" w:sz="0" w:space="0" w:color="auto"/>
        <w:right w:val="none" w:sz="0" w:space="0" w:color="auto"/>
      </w:divBdr>
    </w:div>
    <w:div w:id="1790707166">
      <w:bodyDiv w:val="1"/>
      <w:marLeft w:val="0"/>
      <w:marRight w:val="0"/>
      <w:marTop w:val="0"/>
      <w:marBottom w:val="0"/>
      <w:divBdr>
        <w:top w:val="none" w:sz="0" w:space="0" w:color="auto"/>
        <w:left w:val="none" w:sz="0" w:space="0" w:color="auto"/>
        <w:bottom w:val="none" w:sz="0" w:space="0" w:color="auto"/>
        <w:right w:val="none" w:sz="0" w:space="0" w:color="auto"/>
      </w:divBdr>
    </w:div>
    <w:div w:id="1797601495">
      <w:bodyDiv w:val="1"/>
      <w:marLeft w:val="0"/>
      <w:marRight w:val="0"/>
      <w:marTop w:val="0"/>
      <w:marBottom w:val="0"/>
      <w:divBdr>
        <w:top w:val="none" w:sz="0" w:space="0" w:color="auto"/>
        <w:left w:val="none" w:sz="0" w:space="0" w:color="auto"/>
        <w:bottom w:val="none" w:sz="0" w:space="0" w:color="auto"/>
        <w:right w:val="none" w:sz="0" w:space="0" w:color="auto"/>
      </w:divBdr>
    </w:div>
    <w:div w:id="1798404893">
      <w:bodyDiv w:val="1"/>
      <w:marLeft w:val="0"/>
      <w:marRight w:val="0"/>
      <w:marTop w:val="0"/>
      <w:marBottom w:val="0"/>
      <w:divBdr>
        <w:top w:val="none" w:sz="0" w:space="0" w:color="auto"/>
        <w:left w:val="none" w:sz="0" w:space="0" w:color="auto"/>
        <w:bottom w:val="none" w:sz="0" w:space="0" w:color="auto"/>
        <w:right w:val="none" w:sz="0" w:space="0" w:color="auto"/>
      </w:divBdr>
    </w:div>
    <w:div w:id="1802112023">
      <w:bodyDiv w:val="1"/>
      <w:marLeft w:val="0"/>
      <w:marRight w:val="0"/>
      <w:marTop w:val="0"/>
      <w:marBottom w:val="0"/>
      <w:divBdr>
        <w:top w:val="none" w:sz="0" w:space="0" w:color="auto"/>
        <w:left w:val="none" w:sz="0" w:space="0" w:color="auto"/>
        <w:bottom w:val="none" w:sz="0" w:space="0" w:color="auto"/>
        <w:right w:val="none" w:sz="0" w:space="0" w:color="auto"/>
      </w:divBdr>
    </w:div>
    <w:div w:id="1811512778">
      <w:bodyDiv w:val="1"/>
      <w:marLeft w:val="0"/>
      <w:marRight w:val="0"/>
      <w:marTop w:val="0"/>
      <w:marBottom w:val="0"/>
      <w:divBdr>
        <w:top w:val="none" w:sz="0" w:space="0" w:color="auto"/>
        <w:left w:val="none" w:sz="0" w:space="0" w:color="auto"/>
        <w:bottom w:val="none" w:sz="0" w:space="0" w:color="auto"/>
        <w:right w:val="none" w:sz="0" w:space="0" w:color="auto"/>
      </w:divBdr>
    </w:div>
    <w:div w:id="1812824034">
      <w:bodyDiv w:val="1"/>
      <w:marLeft w:val="0"/>
      <w:marRight w:val="0"/>
      <w:marTop w:val="0"/>
      <w:marBottom w:val="0"/>
      <w:divBdr>
        <w:top w:val="none" w:sz="0" w:space="0" w:color="auto"/>
        <w:left w:val="none" w:sz="0" w:space="0" w:color="auto"/>
        <w:bottom w:val="none" w:sz="0" w:space="0" w:color="auto"/>
        <w:right w:val="none" w:sz="0" w:space="0" w:color="auto"/>
      </w:divBdr>
    </w:div>
    <w:div w:id="1815100415">
      <w:bodyDiv w:val="1"/>
      <w:marLeft w:val="0"/>
      <w:marRight w:val="0"/>
      <w:marTop w:val="0"/>
      <w:marBottom w:val="0"/>
      <w:divBdr>
        <w:top w:val="none" w:sz="0" w:space="0" w:color="auto"/>
        <w:left w:val="none" w:sz="0" w:space="0" w:color="auto"/>
        <w:bottom w:val="none" w:sz="0" w:space="0" w:color="auto"/>
        <w:right w:val="none" w:sz="0" w:space="0" w:color="auto"/>
      </w:divBdr>
    </w:div>
    <w:div w:id="1817912033">
      <w:bodyDiv w:val="1"/>
      <w:marLeft w:val="0"/>
      <w:marRight w:val="0"/>
      <w:marTop w:val="0"/>
      <w:marBottom w:val="0"/>
      <w:divBdr>
        <w:top w:val="none" w:sz="0" w:space="0" w:color="auto"/>
        <w:left w:val="none" w:sz="0" w:space="0" w:color="auto"/>
        <w:bottom w:val="none" w:sz="0" w:space="0" w:color="auto"/>
        <w:right w:val="none" w:sz="0" w:space="0" w:color="auto"/>
      </w:divBdr>
    </w:div>
    <w:div w:id="1818062461">
      <w:bodyDiv w:val="1"/>
      <w:marLeft w:val="0"/>
      <w:marRight w:val="0"/>
      <w:marTop w:val="0"/>
      <w:marBottom w:val="0"/>
      <w:divBdr>
        <w:top w:val="none" w:sz="0" w:space="0" w:color="auto"/>
        <w:left w:val="none" w:sz="0" w:space="0" w:color="auto"/>
        <w:bottom w:val="none" w:sz="0" w:space="0" w:color="auto"/>
        <w:right w:val="none" w:sz="0" w:space="0" w:color="auto"/>
      </w:divBdr>
    </w:div>
    <w:div w:id="1835337217">
      <w:bodyDiv w:val="1"/>
      <w:marLeft w:val="0"/>
      <w:marRight w:val="0"/>
      <w:marTop w:val="0"/>
      <w:marBottom w:val="0"/>
      <w:divBdr>
        <w:top w:val="none" w:sz="0" w:space="0" w:color="auto"/>
        <w:left w:val="none" w:sz="0" w:space="0" w:color="auto"/>
        <w:bottom w:val="none" w:sz="0" w:space="0" w:color="auto"/>
        <w:right w:val="none" w:sz="0" w:space="0" w:color="auto"/>
      </w:divBdr>
    </w:div>
    <w:div w:id="1838416577">
      <w:bodyDiv w:val="1"/>
      <w:marLeft w:val="0"/>
      <w:marRight w:val="0"/>
      <w:marTop w:val="0"/>
      <w:marBottom w:val="0"/>
      <w:divBdr>
        <w:top w:val="none" w:sz="0" w:space="0" w:color="auto"/>
        <w:left w:val="none" w:sz="0" w:space="0" w:color="auto"/>
        <w:bottom w:val="none" w:sz="0" w:space="0" w:color="auto"/>
        <w:right w:val="none" w:sz="0" w:space="0" w:color="auto"/>
      </w:divBdr>
    </w:div>
    <w:div w:id="1839735485">
      <w:bodyDiv w:val="1"/>
      <w:marLeft w:val="0"/>
      <w:marRight w:val="0"/>
      <w:marTop w:val="0"/>
      <w:marBottom w:val="0"/>
      <w:divBdr>
        <w:top w:val="none" w:sz="0" w:space="0" w:color="auto"/>
        <w:left w:val="none" w:sz="0" w:space="0" w:color="auto"/>
        <w:bottom w:val="none" w:sz="0" w:space="0" w:color="auto"/>
        <w:right w:val="none" w:sz="0" w:space="0" w:color="auto"/>
      </w:divBdr>
    </w:div>
    <w:div w:id="1842311617">
      <w:bodyDiv w:val="1"/>
      <w:marLeft w:val="0"/>
      <w:marRight w:val="0"/>
      <w:marTop w:val="0"/>
      <w:marBottom w:val="0"/>
      <w:divBdr>
        <w:top w:val="none" w:sz="0" w:space="0" w:color="auto"/>
        <w:left w:val="none" w:sz="0" w:space="0" w:color="auto"/>
        <w:bottom w:val="none" w:sz="0" w:space="0" w:color="auto"/>
        <w:right w:val="none" w:sz="0" w:space="0" w:color="auto"/>
      </w:divBdr>
    </w:div>
    <w:div w:id="1848128904">
      <w:bodyDiv w:val="1"/>
      <w:marLeft w:val="0"/>
      <w:marRight w:val="0"/>
      <w:marTop w:val="0"/>
      <w:marBottom w:val="0"/>
      <w:divBdr>
        <w:top w:val="none" w:sz="0" w:space="0" w:color="auto"/>
        <w:left w:val="none" w:sz="0" w:space="0" w:color="auto"/>
        <w:bottom w:val="none" w:sz="0" w:space="0" w:color="auto"/>
        <w:right w:val="none" w:sz="0" w:space="0" w:color="auto"/>
      </w:divBdr>
    </w:div>
    <w:div w:id="1848400356">
      <w:bodyDiv w:val="1"/>
      <w:marLeft w:val="0"/>
      <w:marRight w:val="0"/>
      <w:marTop w:val="0"/>
      <w:marBottom w:val="0"/>
      <w:divBdr>
        <w:top w:val="none" w:sz="0" w:space="0" w:color="auto"/>
        <w:left w:val="none" w:sz="0" w:space="0" w:color="auto"/>
        <w:bottom w:val="none" w:sz="0" w:space="0" w:color="auto"/>
        <w:right w:val="none" w:sz="0" w:space="0" w:color="auto"/>
      </w:divBdr>
    </w:div>
    <w:div w:id="1848446878">
      <w:bodyDiv w:val="1"/>
      <w:marLeft w:val="0"/>
      <w:marRight w:val="0"/>
      <w:marTop w:val="0"/>
      <w:marBottom w:val="0"/>
      <w:divBdr>
        <w:top w:val="none" w:sz="0" w:space="0" w:color="auto"/>
        <w:left w:val="none" w:sz="0" w:space="0" w:color="auto"/>
        <w:bottom w:val="none" w:sz="0" w:space="0" w:color="auto"/>
        <w:right w:val="none" w:sz="0" w:space="0" w:color="auto"/>
      </w:divBdr>
    </w:div>
    <w:div w:id="1851673316">
      <w:bodyDiv w:val="1"/>
      <w:marLeft w:val="0"/>
      <w:marRight w:val="0"/>
      <w:marTop w:val="0"/>
      <w:marBottom w:val="0"/>
      <w:divBdr>
        <w:top w:val="none" w:sz="0" w:space="0" w:color="auto"/>
        <w:left w:val="none" w:sz="0" w:space="0" w:color="auto"/>
        <w:bottom w:val="none" w:sz="0" w:space="0" w:color="auto"/>
        <w:right w:val="none" w:sz="0" w:space="0" w:color="auto"/>
      </w:divBdr>
    </w:div>
    <w:div w:id="1853760989">
      <w:bodyDiv w:val="1"/>
      <w:marLeft w:val="0"/>
      <w:marRight w:val="0"/>
      <w:marTop w:val="0"/>
      <w:marBottom w:val="0"/>
      <w:divBdr>
        <w:top w:val="none" w:sz="0" w:space="0" w:color="auto"/>
        <w:left w:val="none" w:sz="0" w:space="0" w:color="auto"/>
        <w:bottom w:val="none" w:sz="0" w:space="0" w:color="auto"/>
        <w:right w:val="none" w:sz="0" w:space="0" w:color="auto"/>
      </w:divBdr>
    </w:div>
    <w:div w:id="1857577528">
      <w:bodyDiv w:val="1"/>
      <w:marLeft w:val="0"/>
      <w:marRight w:val="0"/>
      <w:marTop w:val="0"/>
      <w:marBottom w:val="0"/>
      <w:divBdr>
        <w:top w:val="none" w:sz="0" w:space="0" w:color="auto"/>
        <w:left w:val="none" w:sz="0" w:space="0" w:color="auto"/>
        <w:bottom w:val="none" w:sz="0" w:space="0" w:color="auto"/>
        <w:right w:val="none" w:sz="0" w:space="0" w:color="auto"/>
      </w:divBdr>
    </w:div>
    <w:div w:id="1861704562">
      <w:bodyDiv w:val="1"/>
      <w:marLeft w:val="0"/>
      <w:marRight w:val="0"/>
      <w:marTop w:val="0"/>
      <w:marBottom w:val="0"/>
      <w:divBdr>
        <w:top w:val="none" w:sz="0" w:space="0" w:color="auto"/>
        <w:left w:val="none" w:sz="0" w:space="0" w:color="auto"/>
        <w:bottom w:val="none" w:sz="0" w:space="0" w:color="auto"/>
        <w:right w:val="none" w:sz="0" w:space="0" w:color="auto"/>
      </w:divBdr>
    </w:div>
    <w:div w:id="1868594552">
      <w:bodyDiv w:val="1"/>
      <w:marLeft w:val="0"/>
      <w:marRight w:val="0"/>
      <w:marTop w:val="0"/>
      <w:marBottom w:val="0"/>
      <w:divBdr>
        <w:top w:val="none" w:sz="0" w:space="0" w:color="auto"/>
        <w:left w:val="none" w:sz="0" w:space="0" w:color="auto"/>
        <w:bottom w:val="none" w:sz="0" w:space="0" w:color="auto"/>
        <w:right w:val="none" w:sz="0" w:space="0" w:color="auto"/>
      </w:divBdr>
    </w:div>
    <w:div w:id="1873029896">
      <w:bodyDiv w:val="1"/>
      <w:marLeft w:val="0"/>
      <w:marRight w:val="0"/>
      <w:marTop w:val="0"/>
      <w:marBottom w:val="0"/>
      <w:divBdr>
        <w:top w:val="none" w:sz="0" w:space="0" w:color="auto"/>
        <w:left w:val="none" w:sz="0" w:space="0" w:color="auto"/>
        <w:bottom w:val="none" w:sz="0" w:space="0" w:color="auto"/>
        <w:right w:val="none" w:sz="0" w:space="0" w:color="auto"/>
      </w:divBdr>
    </w:div>
    <w:div w:id="1877693475">
      <w:bodyDiv w:val="1"/>
      <w:marLeft w:val="0"/>
      <w:marRight w:val="0"/>
      <w:marTop w:val="0"/>
      <w:marBottom w:val="0"/>
      <w:divBdr>
        <w:top w:val="none" w:sz="0" w:space="0" w:color="auto"/>
        <w:left w:val="none" w:sz="0" w:space="0" w:color="auto"/>
        <w:bottom w:val="none" w:sz="0" w:space="0" w:color="auto"/>
        <w:right w:val="none" w:sz="0" w:space="0" w:color="auto"/>
      </w:divBdr>
    </w:div>
    <w:div w:id="1890221034">
      <w:bodyDiv w:val="1"/>
      <w:marLeft w:val="0"/>
      <w:marRight w:val="0"/>
      <w:marTop w:val="0"/>
      <w:marBottom w:val="0"/>
      <w:divBdr>
        <w:top w:val="none" w:sz="0" w:space="0" w:color="auto"/>
        <w:left w:val="none" w:sz="0" w:space="0" w:color="auto"/>
        <w:bottom w:val="none" w:sz="0" w:space="0" w:color="auto"/>
        <w:right w:val="none" w:sz="0" w:space="0" w:color="auto"/>
      </w:divBdr>
    </w:div>
    <w:div w:id="1895389166">
      <w:bodyDiv w:val="1"/>
      <w:marLeft w:val="0"/>
      <w:marRight w:val="0"/>
      <w:marTop w:val="0"/>
      <w:marBottom w:val="0"/>
      <w:divBdr>
        <w:top w:val="none" w:sz="0" w:space="0" w:color="auto"/>
        <w:left w:val="none" w:sz="0" w:space="0" w:color="auto"/>
        <w:bottom w:val="none" w:sz="0" w:space="0" w:color="auto"/>
        <w:right w:val="none" w:sz="0" w:space="0" w:color="auto"/>
      </w:divBdr>
    </w:div>
    <w:div w:id="1902863370">
      <w:bodyDiv w:val="1"/>
      <w:marLeft w:val="0"/>
      <w:marRight w:val="0"/>
      <w:marTop w:val="0"/>
      <w:marBottom w:val="0"/>
      <w:divBdr>
        <w:top w:val="none" w:sz="0" w:space="0" w:color="auto"/>
        <w:left w:val="none" w:sz="0" w:space="0" w:color="auto"/>
        <w:bottom w:val="none" w:sz="0" w:space="0" w:color="auto"/>
        <w:right w:val="none" w:sz="0" w:space="0" w:color="auto"/>
      </w:divBdr>
    </w:div>
    <w:div w:id="1904292035">
      <w:bodyDiv w:val="1"/>
      <w:marLeft w:val="0"/>
      <w:marRight w:val="0"/>
      <w:marTop w:val="0"/>
      <w:marBottom w:val="0"/>
      <w:divBdr>
        <w:top w:val="none" w:sz="0" w:space="0" w:color="auto"/>
        <w:left w:val="none" w:sz="0" w:space="0" w:color="auto"/>
        <w:bottom w:val="none" w:sz="0" w:space="0" w:color="auto"/>
        <w:right w:val="none" w:sz="0" w:space="0" w:color="auto"/>
      </w:divBdr>
    </w:div>
    <w:div w:id="1905025011">
      <w:bodyDiv w:val="1"/>
      <w:marLeft w:val="0"/>
      <w:marRight w:val="0"/>
      <w:marTop w:val="0"/>
      <w:marBottom w:val="0"/>
      <w:divBdr>
        <w:top w:val="none" w:sz="0" w:space="0" w:color="auto"/>
        <w:left w:val="none" w:sz="0" w:space="0" w:color="auto"/>
        <w:bottom w:val="none" w:sz="0" w:space="0" w:color="auto"/>
        <w:right w:val="none" w:sz="0" w:space="0" w:color="auto"/>
      </w:divBdr>
    </w:div>
    <w:div w:id="1913351165">
      <w:bodyDiv w:val="1"/>
      <w:marLeft w:val="0"/>
      <w:marRight w:val="0"/>
      <w:marTop w:val="0"/>
      <w:marBottom w:val="0"/>
      <w:divBdr>
        <w:top w:val="none" w:sz="0" w:space="0" w:color="auto"/>
        <w:left w:val="none" w:sz="0" w:space="0" w:color="auto"/>
        <w:bottom w:val="none" w:sz="0" w:space="0" w:color="auto"/>
        <w:right w:val="none" w:sz="0" w:space="0" w:color="auto"/>
      </w:divBdr>
    </w:div>
    <w:div w:id="1918854801">
      <w:bodyDiv w:val="1"/>
      <w:marLeft w:val="0"/>
      <w:marRight w:val="0"/>
      <w:marTop w:val="0"/>
      <w:marBottom w:val="0"/>
      <w:divBdr>
        <w:top w:val="none" w:sz="0" w:space="0" w:color="auto"/>
        <w:left w:val="none" w:sz="0" w:space="0" w:color="auto"/>
        <w:bottom w:val="none" w:sz="0" w:space="0" w:color="auto"/>
        <w:right w:val="none" w:sz="0" w:space="0" w:color="auto"/>
      </w:divBdr>
    </w:div>
    <w:div w:id="1921983910">
      <w:bodyDiv w:val="1"/>
      <w:marLeft w:val="0"/>
      <w:marRight w:val="0"/>
      <w:marTop w:val="0"/>
      <w:marBottom w:val="0"/>
      <w:divBdr>
        <w:top w:val="none" w:sz="0" w:space="0" w:color="auto"/>
        <w:left w:val="none" w:sz="0" w:space="0" w:color="auto"/>
        <w:bottom w:val="none" w:sz="0" w:space="0" w:color="auto"/>
        <w:right w:val="none" w:sz="0" w:space="0" w:color="auto"/>
      </w:divBdr>
    </w:div>
    <w:div w:id="1930851526">
      <w:bodyDiv w:val="1"/>
      <w:marLeft w:val="0"/>
      <w:marRight w:val="0"/>
      <w:marTop w:val="0"/>
      <w:marBottom w:val="0"/>
      <w:divBdr>
        <w:top w:val="none" w:sz="0" w:space="0" w:color="auto"/>
        <w:left w:val="none" w:sz="0" w:space="0" w:color="auto"/>
        <w:bottom w:val="none" w:sz="0" w:space="0" w:color="auto"/>
        <w:right w:val="none" w:sz="0" w:space="0" w:color="auto"/>
      </w:divBdr>
    </w:div>
    <w:div w:id="1935894181">
      <w:bodyDiv w:val="1"/>
      <w:marLeft w:val="0"/>
      <w:marRight w:val="0"/>
      <w:marTop w:val="0"/>
      <w:marBottom w:val="0"/>
      <w:divBdr>
        <w:top w:val="none" w:sz="0" w:space="0" w:color="auto"/>
        <w:left w:val="none" w:sz="0" w:space="0" w:color="auto"/>
        <w:bottom w:val="none" w:sz="0" w:space="0" w:color="auto"/>
        <w:right w:val="none" w:sz="0" w:space="0" w:color="auto"/>
      </w:divBdr>
    </w:div>
    <w:div w:id="1947303618">
      <w:bodyDiv w:val="1"/>
      <w:marLeft w:val="0"/>
      <w:marRight w:val="0"/>
      <w:marTop w:val="0"/>
      <w:marBottom w:val="0"/>
      <w:divBdr>
        <w:top w:val="none" w:sz="0" w:space="0" w:color="auto"/>
        <w:left w:val="none" w:sz="0" w:space="0" w:color="auto"/>
        <w:bottom w:val="none" w:sz="0" w:space="0" w:color="auto"/>
        <w:right w:val="none" w:sz="0" w:space="0" w:color="auto"/>
      </w:divBdr>
    </w:div>
    <w:div w:id="1947804914">
      <w:bodyDiv w:val="1"/>
      <w:marLeft w:val="0"/>
      <w:marRight w:val="0"/>
      <w:marTop w:val="0"/>
      <w:marBottom w:val="0"/>
      <w:divBdr>
        <w:top w:val="none" w:sz="0" w:space="0" w:color="auto"/>
        <w:left w:val="none" w:sz="0" w:space="0" w:color="auto"/>
        <w:bottom w:val="none" w:sz="0" w:space="0" w:color="auto"/>
        <w:right w:val="none" w:sz="0" w:space="0" w:color="auto"/>
      </w:divBdr>
    </w:div>
    <w:div w:id="1949699722">
      <w:bodyDiv w:val="1"/>
      <w:marLeft w:val="0"/>
      <w:marRight w:val="0"/>
      <w:marTop w:val="0"/>
      <w:marBottom w:val="0"/>
      <w:divBdr>
        <w:top w:val="none" w:sz="0" w:space="0" w:color="auto"/>
        <w:left w:val="none" w:sz="0" w:space="0" w:color="auto"/>
        <w:bottom w:val="none" w:sz="0" w:space="0" w:color="auto"/>
        <w:right w:val="none" w:sz="0" w:space="0" w:color="auto"/>
      </w:divBdr>
    </w:div>
    <w:div w:id="1951038680">
      <w:bodyDiv w:val="1"/>
      <w:marLeft w:val="0"/>
      <w:marRight w:val="0"/>
      <w:marTop w:val="0"/>
      <w:marBottom w:val="0"/>
      <w:divBdr>
        <w:top w:val="none" w:sz="0" w:space="0" w:color="auto"/>
        <w:left w:val="none" w:sz="0" w:space="0" w:color="auto"/>
        <w:bottom w:val="none" w:sz="0" w:space="0" w:color="auto"/>
        <w:right w:val="none" w:sz="0" w:space="0" w:color="auto"/>
      </w:divBdr>
    </w:div>
    <w:div w:id="1964340142">
      <w:bodyDiv w:val="1"/>
      <w:marLeft w:val="0"/>
      <w:marRight w:val="0"/>
      <w:marTop w:val="0"/>
      <w:marBottom w:val="0"/>
      <w:divBdr>
        <w:top w:val="none" w:sz="0" w:space="0" w:color="auto"/>
        <w:left w:val="none" w:sz="0" w:space="0" w:color="auto"/>
        <w:bottom w:val="none" w:sz="0" w:space="0" w:color="auto"/>
        <w:right w:val="none" w:sz="0" w:space="0" w:color="auto"/>
      </w:divBdr>
    </w:div>
    <w:div w:id="1968126898">
      <w:bodyDiv w:val="1"/>
      <w:marLeft w:val="0"/>
      <w:marRight w:val="0"/>
      <w:marTop w:val="0"/>
      <w:marBottom w:val="0"/>
      <w:divBdr>
        <w:top w:val="none" w:sz="0" w:space="0" w:color="auto"/>
        <w:left w:val="none" w:sz="0" w:space="0" w:color="auto"/>
        <w:bottom w:val="none" w:sz="0" w:space="0" w:color="auto"/>
        <w:right w:val="none" w:sz="0" w:space="0" w:color="auto"/>
      </w:divBdr>
    </w:div>
    <w:div w:id="1969701588">
      <w:bodyDiv w:val="1"/>
      <w:marLeft w:val="0"/>
      <w:marRight w:val="0"/>
      <w:marTop w:val="0"/>
      <w:marBottom w:val="0"/>
      <w:divBdr>
        <w:top w:val="none" w:sz="0" w:space="0" w:color="auto"/>
        <w:left w:val="none" w:sz="0" w:space="0" w:color="auto"/>
        <w:bottom w:val="none" w:sz="0" w:space="0" w:color="auto"/>
        <w:right w:val="none" w:sz="0" w:space="0" w:color="auto"/>
      </w:divBdr>
    </w:div>
    <w:div w:id="1970283868">
      <w:bodyDiv w:val="1"/>
      <w:marLeft w:val="0"/>
      <w:marRight w:val="0"/>
      <w:marTop w:val="0"/>
      <w:marBottom w:val="0"/>
      <w:divBdr>
        <w:top w:val="none" w:sz="0" w:space="0" w:color="auto"/>
        <w:left w:val="none" w:sz="0" w:space="0" w:color="auto"/>
        <w:bottom w:val="none" w:sz="0" w:space="0" w:color="auto"/>
        <w:right w:val="none" w:sz="0" w:space="0" w:color="auto"/>
      </w:divBdr>
    </w:div>
    <w:div w:id="1971593728">
      <w:bodyDiv w:val="1"/>
      <w:marLeft w:val="0"/>
      <w:marRight w:val="0"/>
      <w:marTop w:val="0"/>
      <w:marBottom w:val="0"/>
      <w:divBdr>
        <w:top w:val="none" w:sz="0" w:space="0" w:color="auto"/>
        <w:left w:val="none" w:sz="0" w:space="0" w:color="auto"/>
        <w:bottom w:val="none" w:sz="0" w:space="0" w:color="auto"/>
        <w:right w:val="none" w:sz="0" w:space="0" w:color="auto"/>
      </w:divBdr>
    </w:div>
    <w:div w:id="1972779824">
      <w:bodyDiv w:val="1"/>
      <w:marLeft w:val="0"/>
      <w:marRight w:val="0"/>
      <w:marTop w:val="0"/>
      <w:marBottom w:val="0"/>
      <w:divBdr>
        <w:top w:val="none" w:sz="0" w:space="0" w:color="auto"/>
        <w:left w:val="none" w:sz="0" w:space="0" w:color="auto"/>
        <w:bottom w:val="none" w:sz="0" w:space="0" w:color="auto"/>
        <w:right w:val="none" w:sz="0" w:space="0" w:color="auto"/>
      </w:divBdr>
    </w:div>
    <w:div w:id="1973827704">
      <w:bodyDiv w:val="1"/>
      <w:marLeft w:val="0"/>
      <w:marRight w:val="0"/>
      <w:marTop w:val="0"/>
      <w:marBottom w:val="0"/>
      <w:divBdr>
        <w:top w:val="none" w:sz="0" w:space="0" w:color="auto"/>
        <w:left w:val="none" w:sz="0" w:space="0" w:color="auto"/>
        <w:bottom w:val="none" w:sz="0" w:space="0" w:color="auto"/>
        <w:right w:val="none" w:sz="0" w:space="0" w:color="auto"/>
      </w:divBdr>
    </w:div>
    <w:div w:id="1976253395">
      <w:bodyDiv w:val="1"/>
      <w:marLeft w:val="0"/>
      <w:marRight w:val="0"/>
      <w:marTop w:val="0"/>
      <w:marBottom w:val="0"/>
      <w:divBdr>
        <w:top w:val="none" w:sz="0" w:space="0" w:color="auto"/>
        <w:left w:val="none" w:sz="0" w:space="0" w:color="auto"/>
        <w:bottom w:val="none" w:sz="0" w:space="0" w:color="auto"/>
        <w:right w:val="none" w:sz="0" w:space="0" w:color="auto"/>
      </w:divBdr>
    </w:div>
    <w:div w:id="1977106968">
      <w:bodyDiv w:val="1"/>
      <w:marLeft w:val="0"/>
      <w:marRight w:val="0"/>
      <w:marTop w:val="0"/>
      <w:marBottom w:val="0"/>
      <w:divBdr>
        <w:top w:val="none" w:sz="0" w:space="0" w:color="auto"/>
        <w:left w:val="none" w:sz="0" w:space="0" w:color="auto"/>
        <w:bottom w:val="none" w:sz="0" w:space="0" w:color="auto"/>
        <w:right w:val="none" w:sz="0" w:space="0" w:color="auto"/>
      </w:divBdr>
    </w:div>
    <w:div w:id="1978295292">
      <w:bodyDiv w:val="1"/>
      <w:marLeft w:val="0"/>
      <w:marRight w:val="0"/>
      <w:marTop w:val="0"/>
      <w:marBottom w:val="0"/>
      <w:divBdr>
        <w:top w:val="none" w:sz="0" w:space="0" w:color="auto"/>
        <w:left w:val="none" w:sz="0" w:space="0" w:color="auto"/>
        <w:bottom w:val="none" w:sz="0" w:space="0" w:color="auto"/>
        <w:right w:val="none" w:sz="0" w:space="0" w:color="auto"/>
      </w:divBdr>
    </w:div>
    <w:div w:id="1980644213">
      <w:bodyDiv w:val="1"/>
      <w:marLeft w:val="0"/>
      <w:marRight w:val="0"/>
      <w:marTop w:val="0"/>
      <w:marBottom w:val="0"/>
      <w:divBdr>
        <w:top w:val="none" w:sz="0" w:space="0" w:color="auto"/>
        <w:left w:val="none" w:sz="0" w:space="0" w:color="auto"/>
        <w:bottom w:val="none" w:sz="0" w:space="0" w:color="auto"/>
        <w:right w:val="none" w:sz="0" w:space="0" w:color="auto"/>
      </w:divBdr>
    </w:div>
    <w:div w:id="1986276751">
      <w:bodyDiv w:val="1"/>
      <w:marLeft w:val="0"/>
      <w:marRight w:val="0"/>
      <w:marTop w:val="0"/>
      <w:marBottom w:val="0"/>
      <w:divBdr>
        <w:top w:val="none" w:sz="0" w:space="0" w:color="auto"/>
        <w:left w:val="none" w:sz="0" w:space="0" w:color="auto"/>
        <w:bottom w:val="none" w:sz="0" w:space="0" w:color="auto"/>
        <w:right w:val="none" w:sz="0" w:space="0" w:color="auto"/>
      </w:divBdr>
    </w:div>
    <w:div w:id="1987320619">
      <w:bodyDiv w:val="1"/>
      <w:marLeft w:val="0"/>
      <w:marRight w:val="0"/>
      <w:marTop w:val="0"/>
      <w:marBottom w:val="0"/>
      <w:divBdr>
        <w:top w:val="none" w:sz="0" w:space="0" w:color="auto"/>
        <w:left w:val="none" w:sz="0" w:space="0" w:color="auto"/>
        <w:bottom w:val="none" w:sz="0" w:space="0" w:color="auto"/>
        <w:right w:val="none" w:sz="0" w:space="0" w:color="auto"/>
      </w:divBdr>
    </w:div>
    <w:div w:id="1988049392">
      <w:bodyDiv w:val="1"/>
      <w:marLeft w:val="0"/>
      <w:marRight w:val="0"/>
      <w:marTop w:val="0"/>
      <w:marBottom w:val="0"/>
      <w:divBdr>
        <w:top w:val="none" w:sz="0" w:space="0" w:color="auto"/>
        <w:left w:val="none" w:sz="0" w:space="0" w:color="auto"/>
        <w:bottom w:val="none" w:sz="0" w:space="0" w:color="auto"/>
        <w:right w:val="none" w:sz="0" w:space="0" w:color="auto"/>
      </w:divBdr>
    </w:div>
    <w:div w:id="1990668256">
      <w:bodyDiv w:val="1"/>
      <w:marLeft w:val="0"/>
      <w:marRight w:val="0"/>
      <w:marTop w:val="0"/>
      <w:marBottom w:val="0"/>
      <w:divBdr>
        <w:top w:val="none" w:sz="0" w:space="0" w:color="auto"/>
        <w:left w:val="none" w:sz="0" w:space="0" w:color="auto"/>
        <w:bottom w:val="none" w:sz="0" w:space="0" w:color="auto"/>
        <w:right w:val="none" w:sz="0" w:space="0" w:color="auto"/>
      </w:divBdr>
    </w:div>
    <w:div w:id="2001611597">
      <w:bodyDiv w:val="1"/>
      <w:marLeft w:val="0"/>
      <w:marRight w:val="0"/>
      <w:marTop w:val="0"/>
      <w:marBottom w:val="0"/>
      <w:divBdr>
        <w:top w:val="none" w:sz="0" w:space="0" w:color="auto"/>
        <w:left w:val="none" w:sz="0" w:space="0" w:color="auto"/>
        <w:bottom w:val="none" w:sz="0" w:space="0" w:color="auto"/>
        <w:right w:val="none" w:sz="0" w:space="0" w:color="auto"/>
      </w:divBdr>
    </w:div>
    <w:div w:id="2011712281">
      <w:bodyDiv w:val="1"/>
      <w:marLeft w:val="0"/>
      <w:marRight w:val="0"/>
      <w:marTop w:val="0"/>
      <w:marBottom w:val="0"/>
      <w:divBdr>
        <w:top w:val="none" w:sz="0" w:space="0" w:color="auto"/>
        <w:left w:val="none" w:sz="0" w:space="0" w:color="auto"/>
        <w:bottom w:val="none" w:sz="0" w:space="0" w:color="auto"/>
        <w:right w:val="none" w:sz="0" w:space="0" w:color="auto"/>
      </w:divBdr>
    </w:div>
    <w:div w:id="2014646924">
      <w:bodyDiv w:val="1"/>
      <w:marLeft w:val="0"/>
      <w:marRight w:val="0"/>
      <w:marTop w:val="0"/>
      <w:marBottom w:val="0"/>
      <w:divBdr>
        <w:top w:val="none" w:sz="0" w:space="0" w:color="auto"/>
        <w:left w:val="none" w:sz="0" w:space="0" w:color="auto"/>
        <w:bottom w:val="none" w:sz="0" w:space="0" w:color="auto"/>
        <w:right w:val="none" w:sz="0" w:space="0" w:color="auto"/>
      </w:divBdr>
    </w:div>
    <w:div w:id="2019115981">
      <w:bodyDiv w:val="1"/>
      <w:marLeft w:val="0"/>
      <w:marRight w:val="0"/>
      <w:marTop w:val="0"/>
      <w:marBottom w:val="0"/>
      <w:divBdr>
        <w:top w:val="none" w:sz="0" w:space="0" w:color="auto"/>
        <w:left w:val="none" w:sz="0" w:space="0" w:color="auto"/>
        <w:bottom w:val="none" w:sz="0" w:space="0" w:color="auto"/>
        <w:right w:val="none" w:sz="0" w:space="0" w:color="auto"/>
      </w:divBdr>
    </w:div>
    <w:div w:id="2020959486">
      <w:bodyDiv w:val="1"/>
      <w:marLeft w:val="0"/>
      <w:marRight w:val="0"/>
      <w:marTop w:val="0"/>
      <w:marBottom w:val="0"/>
      <w:divBdr>
        <w:top w:val="none" w:sz="0" w:space="0" w:color="auto"/>
        <w:left w:val="none" w:sz="0" w:space="0" w:color="auto"/>
        <w:bottom w:val="none" w:sz="0" w:space="0" w:color="auto"/>
        <w:right w:val="none" w:sz="0" w:space="0" w:color="auto"/>
      </w:divBdr>
    </w:div>
    <w:div w:id="2025982333">
      <w:bodyDiv w:val="1"/>
      <w:marLeft w:val="0"/>
      <w:marRight w:val="0"/>
      <w:marTop w:val="0"/>
      <w:marBottom w:val="0"/>
      <w:divBdr>
        <w:top w:val="none" w:sz="0" w:space="0" w:color="auto"/>
        <w:left w:val="none" w:sz="0" w:space="0" w:color="auto"/>
        <w:bottom w:val="none" w:sz="0" w:space="0" w:color="auto"/>
        <w:right w:val="none" w:sz="0" w:space="0" w:color="auto"/>
      </w:divBdr>
    </w:div>
    <w:div w:id="2029480827">
      <w:bodyDiv w:val="1"/>
      <w:marLeft w:val="0"/>
      <w:marRight w:val="0"/>
      <w:marTop w:val="0"/>
      <w:marBottom w:val="0"/>
      <w:divBdr>
        <w:top w:val="none" w:sz="0" w:space="0" w:color="auto"/>
        <w:left w:val="none" w:sz="0" w:space="0" w:color="auto"/>
        <w:bottom w:val="none" w:sz="0" w:space="0" w:color="auto"/>
        <w:right w:val="none" w:sz="0" w:space="0" w:color="auto"/>
      </w:divBdr>
    </w:div>
    <w:div w:id="2032409406">
      <w:bodyDiv w:val="1"/>
      <w:marLeft w:val="0"/>
      <w:marRight w:val="0"/>
      <w:marTop w:val="0"/>
      <w:marBottom w:val="0"/>
      <w:divBdr>
        <w:top w:val="none" w:sz="0" w:space="0" w:color="auto"/>
        <w:left w:val="none" w:sz="0" w:space="0" w:color="auto"/>
        <w:bottom w:val="none" w:sz="0" w:space="0" w:color="auto"/>
        <w:right w:val="none" w:sz="0" w:space="0" w:color="auto"/>
      </w:divBdr>
    </w:div>
    <w:div w:id="2060131821">
      <w:bodyDiv w:val="1"/>
      <w:marLeft w:val="0"/>
      <w:marRight w:val="0"/>
      <w:marTop w:val="0"/>
      <w:marBottom w:val="0"/>
      <w:divBdr>
        <w:top w:val="none" w:sz="0" w:space="0" w:color="auto"/>
        <w:left w:val="none" w:sz="0" w:space="0" w:color="auto"/>
        <w:bottom w:val="none" w:sz="0" w:space="0" w:color="auto"/>
        <w:right w:val="none" w:sz="0" w:space="0" w:color="auto"/>
      </w:divBdr>
    </w:div>
    <w:div w:id="2062442454">
      <w:bodyDiv w:val="1"/>
      <w:marLeft w:val="0"/>
      <w:marRight w:val="0"/>
      <w:marTop w:val="0"/>
      <w:marBottom w:val="0"/>
      <w:divBdr>
        <w:top w:val="none" w:sz="0" w:space="0" w:color="auto"/>
        <w:left w:val="none" w:sz="0" w:space="0" w:color="auto"/>
        <w:bottom w:val="none" w:sz="0" w:space="0" w:color="auto"/>
        <w:right w:val="none" w:sz="0" w:space="0" w:color="auto"/>
      </w:divBdr>
    </w:div>
    <w:div w:id="2069570798">
      <w:bodyDiv w:val="1"/>
      <w:marLeft w:val="0"/>
      <w:marRight w:val="0"/>
      <w:marTop w:val="0"/>
      <w:marBottom w:val="0"/>
      <w:divBdr>
        <w:top w:val="none" w:sz="0" w:space="0" w:color="auto"/>
        <w:left w:val="none" w:sz="0" w:space="0" w:color="auto"/>
        <w:bottom w:val="none" w:sz="0" w:space="0" w:color="auto"/>
        <w:right w:val="none" w:sz="0" w:space="0" w:color="auto"/>
      </w:divBdr>
    </w:div>
    <w:div w:id="2082437961">
      <w:bodyDiv w:val="1"/>
      <w:marLeft w:val="0"/>
      <w:marRight w:val="0"/>
      <w:marTop w:val="0"/>
      <w:marBottom w:val="0"/>
      <w:divBdr>
        <w:top w:val="none" w:sz="0" w:space="0" w:color="auto"/>
        <w:left w:val="none" w:sz="0" w:space="0" w:color="auto"/>
        <w:bottom w:val="none" w:sz="0" w:space="0" w:color="auto"/>
        <w:right w:val="none" w:sz="0" w:space="0" w:color="auto"/>
      </w:divBdr>
    </w:div>
    <w:div w:id="2089885512">
      <w:bodyDiv w:val="1"/>
      <w:marLeft w:val="0"/>
      <w:marRight w:val="0"/>
      <w:marTop w:val="0"/>
      <w:marBottom w:val="0"/>
      <w:divBdr>
        <w:top w:val="none" w:sz="0" w:space="0" w:color="auto"/>
        <w:left w:val="none" w:sz="0" w:space="0" w:color="auto"/>
        <w:bottom w:val="none" w:sz="0" w:space="0" w:color="auto"/>
        <w:right w:val="none" w:sz="0" w:space="0" w:color="auto"/>
      </w:divBdr>
    </w:div>
    <w:div w:id="2094156535">
      <w:bodyDiv w:val="1"/>
      <w:marLeft w:val="0"/>
      <w:marRight w:val="0"/>
      <w:marTop w:val="0"/>
      <w:marBottom w:val="0"/>
      <w:divBdr>
        <w:top w:val="none" w:sz="0" w:space="0" w:color="auto"/>
        <w:left w:val="none" w:sz="0" w:space="0" w:color="auto"/>
        <w:bottom w:val="none" w:sz="0" w:space="0" w:color="auto"/>
        <w:right w:val="none" w:sz="0" w:space="0" w:color="auto"/>
      </w:divBdr>
    </w:div>
    <w:div w:id="2094888101">
      <w:bodyDiv w:val="1"/>
      <w:marLeft w:val="0"/>
      <w:marRight w:val="0"/>
      <w:marTop w:val="0"/>
      <w:marBottom w:val="0"/>
      <w:divBdr>
        <w:top w:val="none" w:sz="0" w:space="0" w:color="auto"/>
        <w:left w:val="none" w:sz="0" w:space="0" w:color="auto"/>
        <w:bottom w:val="none" w:sz="0" w:space="0" w:color="auto"/>
        <w:right w:val="none" w:sz="0" w:space="0" w:color="auto"/>
      </w:divBdr>
    </w:div>
    <w:div w:id="2099708825">
      <w:bodyDiv w:val="1"/>
      <w:marLeft w:val="0"/>
      <w:marRight w:val="0"/>
      <w:marTop w:val="0"/>
      <w:marBottom w:val="0"/>
      <w:divBdr>
        <w:top w:val="none" w:sz="0" w:space="0" w:color="auto"/>
        <w:left w:val="none" w:sz="0" w:space="0" w:color="auto"/>
        <w:bottom w:val="none" w:sz="0" w:space="0" w:color="auto"/>
        <w:right w:val="none" w:sz="0" w:space="0" w:color="auto"/>
      </w:divBdr>
    </w:div>
    <w:div w:id="2099910335">
      <w:bodyDiv w:val="1"/>
      <w:marLeft w:val="0"/>
      <w:marRight w:val="0"/>
      <w:marTop w:val="0"/>
      <w:marBottom w:val="0"/>
      <w:divBdr>
        <w:top w:val="none" w:sz="0" w:space="0" w:color="auto"/>
        <w:left w:val="none" w:sz="0" w:space="0" w:color="auto"/>
        <w:bottom w:val="none" w:sz="0" w:space="0" w:color="auto"/>
        <w:right w:val="none" w:sz="0" w:space="0" w:color="auto"/>
      </w:divBdr>
    </w:div>
    <w:div w:id="2101565151">
      <w:bodyDiv w:val="1"/>
      <w:marLeft w:val="0"/>
      <w:marRight w:val="0"/>
      <w:marTop w:val="0"/>
      <w:marBottom w:val="0"/>
      <w:divBdr>
        <w:top w:val="none" w:sz="0" w:space="0" w:color="auto"/>
        <w:left w:val="none" w:sz="0" w:space="0" w:color="auto"/>
        <w:bottom w:val="none" w:sz="0" w:space="0" w:color="auto"/>
        <w:right w:val="none" w:sz="0" w:space="0" w:color="auto"/>
      </w:divBdr>
    </w:div>
    <w:div w:id="2104763300">
      <w:bodyDiv w:val="1"/>
      <w:marLeft w:val="0"/>
      <w:marRight w:val="0"/>
      <w:marTop w:val="0"/>
      <w:marBottom w:val="0"/>
      <w:divBdr>
        <w:top w:val="none" w:sz="0" w:space="0" w:color="auto"/>
        <w:left w:val="none" w:sz="0" w:space="0" w:color="auto"/>
        <w:bottom w:val="none" w:sz="0" w:space="0" w:color="auto"/>
        <w:right w:val="none" w:sz="0" w:space="0" w:color="auto"/>
      </w:divBdr>
    </w:div>
    <w:div w:id="2112820208">
      <w:bodyDiv w:val="1"/>
      <w:marLeft w:val="0"/>
      <w:marRight w:val="0"/>
      <w:marTop w:val="0"/>
      <w:marBottom w:val="0"/>
      <w:divBdr>
        <w:top w:val="none" w:sz="0" w:space="0" w:color="auto"/>
        <w:left w:val="none" w:sz="0" w:space="0" w:color="auto"/>
        <w:bottom w:val="none" w:sz="0" w:space="0" w:color="auto"/>
        <w:right w:val="none" w:sz="0" w:space="0" w:color="auto"/>
      </w:divBdr>
    </w:div>
    <w:div w:id="2115392945">
      <w:bodyDiv w:val="1"/>
      <w:marLeft w:val="0"/>
      <w:marRight w:val="0"/>
      <w:marTop w:val="0"/>
      <w:marBottom w:val="0"/>
      <w:divBdr>
        <w:top w:val="none" w:sz="0" w:space="0" w:color="auto"/>
        <w:left w:val="none" w:sz="0" w:space="0" w:color="auto"/>
        <w:bottom w:val="none" w:sz="0" w:space="0" w:color="auto"/>
        <w:right w:val="none" w:sz="0" w:space="0" w:color="auto"/>
      </w:divBdr>
    </w:div>
    <w:div w:id="2119908378">
      <w:bodyDiv w:val="1"/>
      <w:marLeft w:val="0"/>
      <w:marRight w:val="0"/>
      <w:marTop w:val="0"/>
      <w:marBottom w:val="0"/>
      <w:divBdr>
        <w:top w:val="none" w:sz="0" w:space="0" w:color="auto"/>
        <w:left w:val="none" w:sz="0" w:space="0" w:color="auto"/>
        <w:bottom w:val="none" w:sz="0" w:space="0" w:color="auto"/>
        <w:right w:val="none" w:sz="0" w:space="0" w:color="auto"/>
      </w:divBdr>
    </w:div>
    <w:div w:id="21459223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footer" Target="footer2.xml"/><Relationship Id="rId26" Type="http://schemas.openxmlformats.org/officeDocument/2006/relationships/image" Target="media/image13.png"/><Relationship Id="rId3" Type="http://schemas.openxmlformats.org/officeDocument/2006/relationships/numbering" Target="numbering.xml"/><Relationship Id="rId21" Type="http://schemas.openxmlformats.org/officeDocument/2006/relationships/image" Target="media/image8.png"/><Relationship Id="rId34" Type="http://schemas.openxmlformats.org/officeDocument/2006/relationships/image" Target="media/image21.png"/><Relationship Id="rId7" Type="http://schemas.openxmlformats.org/officeDocument/2006/relationships/footnotes" Target="footnotes.xml"/><Relationship Id="rId12" Type="http://schemas.openxmlformats.org/officeDocument/2006/relationships/image" Target="media/image2.emf"/><Relationship Id="rId17" Type="http://schemas.openxmlformats.org/officeDocument/2006/relationships/image" Target="media/image7.png"/><Relationship Id="rId25" Type="http://schemas.openxmlformats.org/officeDocument/2006/relationships/image" Target="media/image12.png"/><Relationship Id="rId33" Type="http://schemas.openxmlformats.org/officeDocument/2006/relationships/image" Target="media/image20.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oter" Target="footer4.xml"/><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0.bin"/><Relationship Id="rId28" Type="http://schemas.openxmlformats.org/officeDocument/2006/relationships/image" Target="media/image15.png"/><Relationship Id="rId36" Type="http://schemas.openxmlformats.org/officeDocument/2006/relationships/fontTable" Target="fontTable.xml"/><Relationship Id="rId10" Type="http://schemas.microsoft.com/office/2007/relationships/hdphoto" Target="media/hdphoto1.wdp"/><Relationship Id="rId19" Type="http://schemas.openxmlformats.org/officeDocument/2006/relationships/footer" Target="footer3.xml"/><Relationship Id="rId31" Type="http://schemas.openxmlformats.org/officeDocument/2006/relationships/image" Target="media/image18.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2018-05-16T00:00:00</PublishDate>
  <Abstract>Development of simple and sensitive methods to analyze the active components and possible impurities in CBD oil, e-liquids and CBD e-liquids</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b:Source>
    <b:Tag>Coh18</b:Tag>
    <b:SourceType>InternetSite</b:SourceType>
    <b:Guid>{E62DD17B-C70E-4233-90A2-4CD205042A7E}</b:Guid>
    <b:Title>Top 24 Health Benefits + Effects of CBD Oil (Cannabidiol)</b:Title>
    <b:Year>2018</b:Year>
    <b:InternetSiteTitle>Self hacked</b:InternetSiteTitle>
    <b:Month>January</b:Month>
    <b:Day>31st</b:Day>
    <b:URL>https://www.selfhacked.com/blog/cannabidiol-cbd/</b:URL>
    <b:Author>
      <b:Author>
        <b:NameList>
          <b:Person>
            <b:Last>Cohen</b:Last>
            <b:First>Joe</b:First>
          </b:Person>
        </b:NameList>
      </b:Author>
    </b:Author>
    <b:RefOrder>1</b:RefOrder>
  </b:Source>
  <b:Source>
    <b:Tag>Pro11</b:Tag>
    <b:SourceType>Report</b:SourceType>
    <b:Guid>{86F9F0D3-6381-4E54-8536-EA80B5E9EE7B}</b:Guid>
    <b:Title>The history of the discovery of the cigarettee-lung cancer link: evidentiary traditions, corporate denial, global toll</b:Title>
    <b:Year>2011</b:Year>
    <b:Author>
      <b:Author>
        <b:NameList>
          <b:Person>
            <b:Last>Proctor</b:Last>
            <b:Middle>N.</b:Middle>
            <b:First>Dr Robert</b:First>
          </b:Person>
        </b:NameList>
      </b:Author>
    </b:Author>
    <b:Publisher>BMJ Publishing Group Limited</b:Publisher>
    <b:City>Stanford</b:City>
    <b:RefOrder>2</b:RefOrder>
  </b:Source>
  <b:Source>
    <b:Tag>Can17</b:Tag>
    <b:SourceType>InternetSite</b:SourceType>
    <b:Guid>{B02620A1-D25B-4150-962B-73EFD0BA81B5}</b:Guid>
    <b:Title>E-cigarette statement</b:Title>
    <b:Year>2017</b:Year>
    <b:Author>
      <b:Author>
        <b:Corporate>Cancer Research UK</b:Corporate>
      </b:Author>
    </b:Author>
    <b:InternetSiteTitle>Cancer Research UK</b:InternetSiteTitle>
    <b:Month>September</b:Month>
    <b:Day>22nd</b:Day>
    <b:URL>http://www.cancerresearchuk.org/health-professional/learning-and-ways-we-can-support-you/cruk-rcgp-partnership/e-cigarette-statement</b:URL>
    <b:RefOrder>3</b:RefOrder>
  </b:Source>
  <b:Source>
    <b:Tag>WHO17</b:Tag>
    <b:SourceType>Report</b:SourceType>
    <b:Guid>{91D67B2B-6F6A-40C2-AC92-CE1DFAB30C5E}</b:Guid>
    <b:Author>
      <b:Author>
        <b:Corporate>WHO</b:Corporate>
      </b:Author>
    </b:Author>
    <b:Title>Cannabidiol (CBD) Pre-Review Report Agenda Items 5.2</b:Title>
    <b:Year>2017</b:Year>
    <b:Publisher>World Health Organization </b:Publisher>
    <b:City>Geneva</b:City>
    <b:Department>Expert Committee on Drug Dependence</b:Department>
    <b:RefOrder>4</b:RefOrder>
  </b:Source>
  <b:Source>
    <b:Tag>Ett16</b:Tag>
    <b:SourceType>Report</b:SourceType>
    <b:Guid>{2D06F255-BD88-448E-A49D-7E5BDC976D7C}</b:Guid>
    <b:Title>E-cigarette liquids: Constancy of content across batches and accuracy of labeling </b:Title>
    <b:Year>2016</b:Year>
    <b:Publisher>Elsevier</b:Publisher>
    <b:City>Geneva</b:City>
    <b:Author>
      <b:Author>
        <b:NameList>
          <b:Person>
            <b:Last>Etter </b:Last>
            <b:First>Jean-Francois</b:First>
          </b:Person>
          <b:Person>
            <b:Last>Bugey</b:Last>
            <b:First>Aurelie</b:First>
          </b:Person>
        </b:NameList>
      </b:Author>
    </b:Author>
    <b:RefOrder>5</b:RefOrder>
  </b:Source>
  <b:Source>
    <b:Tag>FDA17</b:Tag>
    <b:SourceType>InternetSite</b:SourceType>
    <b:Guid>{B4A9BB4A-2100-4A86-BD7B-C06762234F01}</b:Guid>
    <b:Author>
      <b:Author>
        <b:Corporate>FDA</b:Corporate>
      </b:Author>
    </b:Author>
    <b:Title>FDA's New Regulations for E-Cigarettes, Cigars, and All Other Tobacco Products</b:Title>
    <b:InternetSiteTitle>U.S. Food &amp; Drug Administration </b:InternetSiteTitle>
    <b:Year>2017</b:Year>
    <b:Month>December</b:Month>
    <b:Day>27th</b:Day>
    <b:URL>https://www.fda.gov/tobaccoproducts/labeling/rulesregulationsguidance/ucm394909.htm</b:URL>
    <b:RefOrder>6</b:RefOrder>
  </b:Source>
  <b:Source>
    <b:Tag>FDA16</b:Tag>
    <b:SourceType>InternetSite</b:SourceType>
    <b:Guid>{97A086A5-B71A-4E8F-A4D9-5EE14AA3E725}</b:Guid>
    <b:Author>
      <b:Author>
        <b:Corporate>FDA</b:Corporate>
      </b:Author>
    </b:Author>
    <b:Title>Deeming Tobacco Products To Be Subject to the Federal Food, Drug, and Cosmetic Act, as Amended by the Family Smoking Prevention and Tobacco Control Act; Restrictions on the Sale and Distribution of Tobacco Products and Required Warning Statements for Toba</b:Title>
    <b:InternetSiteTitle>Federal Register The Daily Journal of the United States Government </b:InternetSiteTitle>
    <b:Year>2016</b:Year>
    <b:Month>May</b:Month>
    <b:Day>10th</b:Day>
    <b:URL>https://www.federalregister.gov/documents/2016/05/10/2016-10685/deeming-tobacco-products-to-be-subject-to-the-federal-food-drug-and-cosmetic-act-as-amended-by-the</b:URL>
    <b:RefOrder>7</b:RefOrder>
  </b:Source>
  <b:Source>
    <b:Tag>Eur14</b:Tag>
    <b:SourceType>InternetSite</b:SourceType>
    <b:Guid>{19ED6DEF-E7B2-47CD-BF86-83C244094337}</b:Guid>
    <b:Author>
      <b:Author>
        <b:Corporate>European Commission</b:Corporate>
      </b:Author>
    </b:Author>
    <b:Title>Questions &amp; Answers: New rules for tobacco products</b:Title>
    <b:InternetSiteTitle>European Comission Press Release Database</b:InternetSiteTitle>
    <b:Year>2014</b:Year>
    <b:Month>February</b:Month>
    <b:Day>26th</b:Day>
    <b:URL>http://europa.eu/rapid/press-release_MEMO-14-134_en.htm</b:URL>
    <b:RefOrder>8</b:RefOrder>
  </b:Source>
  <b:Source>
    <b:Tag>Eur16</b:Tag>
    <b:SourceType>Report</b:SourceType>
    <b:Guid>{34939E3E-7A81-4580-B8A4-1D4E9290B1AA}</b:Guid>
    <b:Author>
      <b:Author>
        <b:Corporate>European Comission</b:Corporate>
      </b:Author>
    </b:Author>
    <b:Title>Study on the identification of potential risks to public health associated with the use of refillable electronic cigarettes and development of technical specifications for refill mechanisms</b:Title>
    <b:Year>2016</b:Year>
    <b:Publisher>European Comission </b:Publisher>
    <b:Department>Health and Food Safety </b:Department>
    <b:URL>https://ec.europa.eu/health//sites/health/files/tobacco/docs/potentialrisks_specs_refillableecigarettes.pdf</b:URL>
    <b:RefOrder>9</b:RefOrder>
  </b:Source>
  <b:Source>
    <b:Tag>Gir15</b:Tag>
    <b:SourceType>Report</b:SourceType>
    <b:Guid>{944E59DD-5B0D-456F-B350-840BAC6D362B}</b:Guid>
    <b:Title>E-Cigarettes: A Review of New Trends in Cannabis Use</b:Title>
    <b:Year>2015</b:Year>
    <b:Publisher>International Journal of Environmental Research and Public Health</b:Publisher>
    <b:Author>
      <b:Author>
        <b:NameList>
          <b:Person>
            <b:Last>Giroud</b:Last>
            <b:First>Christian</b:First>
          </b:Person>
          <b:Person>
            <b:Last>de Cesare</b:Last>
            <b:First>Mariangela</b:First>
          </b:Person>
          <b:Person>
            <b:Last>Berthet</b:Last>
            <b:First>Aurelie</b:First>
          </b:Person>
          <b:Person>
            <b:Last>Varlet</b:Last>
            <b:First>Vincent</b:First>
          </b:Person>
          <b:Person>
            <b:Last>Concha-Lozano</b:Last>
            <b:First>Nicolas</b:First>
          </b:Person>
          <b:Person>
            <b:Last>Favrat</b:Last>
            <b:First>Bernard</b:First>
          </b:Person>
        </b:NameList>
      </b:Author>
    </b:Author>
    <b:ThesisType>Review</b:ThesisType>
    <b:DOI>10.3390/ijerph120809988 </b:DOI>
    <b:RefOrder>10</b:RefOrder>
  </b:Source>
  <b:Source>
    <b:Tag>McR14</b:Tag>
    <b:SourceType>Misc</b:SourceType>
    <b:Guid>{A97E455B-69D4-4FFC-8625-D0A8A7630A36}</b:Guid>
    <b:Title>Briefing</b:Title>
    <b:Year>2014</b:Year>
    <b:Publisher>National Centre for Smoking Cessation and Training </b:Publisher>
    <b:PublicationTitle>Electonic Cigarettes</b:PublicationTitle>
    <b:CountryRegion>England</b:CountryRegion>
    <b:Author>
      <b:Author>
        <b:NameList>
          <b:Person>
            <b:Last>McRobbie</b:Last>
            <b:First>Hayden</b:First>
          </b:Person>
        </b:NameList>
      </b:Author>
    </b:Author>
    <b:RefOrder>11</b:RefOrder>
  </b:Source>
  <b:Source>
    <b:Tag>Far14</b:Tag>
    <b:SourceType>Report</b:SourceType>
    <b:Guid>{D2605131-44FD-464A-B9B2-254CFBCEA73E}</b:Guid>
    <b:Title>Nicotine absorption from electronic cigarette use: comparison between first and new-generation devices</b:Title>
    <b:Year>2014</b:Year>
    <b:Publisher>PMC</b:Publisher>
    <b:Author>
      <b:Author>
        <b:NameList>
          <b:Person>
            <b:Last>Farsalinos</b:Last>
            <b:Middle>E.</b:Middle>
            <b:First>Konstantinos</b:First>
          </b:Person>
          <b:Person>
            <b:Last>Spyrou</b:Last>
            <b:First>Alketa</b:First>
          </b:Person>
          <b:Person>
            <b:Last>Tsimopoulou</b:Last>
            <b:First>Kalliroi</b:First>
          </b:Person>
          <b:Person>
            <b:Last>Stefopoulos</b:Last>
            <b:First>Christos</b:First>
          </b:Person>
          <b:Person>
            <b:Last>Romanga</b:Last>
            <b:First>Giorgio</b:First>
          </b:Person>
          <b:Person>
            <b:Last>Voudris</b:Last>
            <b:First>Vassilis</b:First>
          </b:Person>
        </b:NameList>
      </b:Author>
    </b:Author>
    <b:DOI>10.1038/srep04133</b:DOI>
    <b:RefOrder>12</b:RefOrder>
  </b:Source>
  <b:Source>
    <b:Tag>Lef16</b:Tag>
    <b:SourceType>Report</b:SourceType>
    <b:Guid>{06B25A1A-C7C7-45F6-BF3B-2DC9AA424FB3}</b:Guid>
    <b:Title>Delivery of nicotine aerosol to mice via a modified electronic cigarette</b:Title>
    <b:Year>2016</b:Year>
    <b:Publisher>Elsevier</b:Publisher>
    <b:City>Durham</b:City>
    <b:Author>
      <b:Author>
        <b:NameList>
          <b:Person>
            <b:Last>Lefever,</b:Last>
            <b:Middle>W.</b:Middle>
            <b:First>Timothy</b:First>
          </b:Person>
          <b:Person>
            <b:Last>Lee</b:Last>
            <b:Middle>O.K.</b:Middle>
            <b:First>Youn</b:First>
          </b:Person>
          <b:Person>
            <b:Last>Kovach</b:Last>
            <b:Middle>L.</b:Middle>
            <b:First>Alexander</b:First>
          </b:Person>
          <b:Person>
            <b:Last>Silinski</b:Last>
            <b:Middle>A.R. </b:Middle>
            <b:First>Melanie </b:First>
          </b:Person>
          <b:Person>
            <b:Last>Marusich</b:Last>
            <b:Middle>A.</b:Middle>
            <b:First>Julie</b:First>
          </b:Person>
          <b:Person>
            <b:Last>Thomas</b:Last>
            <b:Middle>F.</b:Middle>
            <b:First>Brian</b:First>
          </b:Person>
          <b:Person>
            <b:Last>Wiley</b:Last>
            <b:Middle>L.</b:Middle>
            <b:First>Jenny</b:First>
          </b:Person>
        </b:NameList>
      </b:Author>
    </b:Author>
    <b:RefOrder>13</b:RefOrder>
  </b:Source>
  <b:Source>
    <b:Tag>Her</b:Tag>
    <b:SourceType>Report</b:SourceType>
    <b:Guid>{9258F165-DD61-4279-ADDF-8CED9491FAFE}</b:Guid>
    <b:Title>Analysis of Nicotine and Impurities in Electronic Cigarette Solutions and Vapor</b:Title>
    <b:Publisher>Restek </b:Publisher>
    <b:Author>
      <b:Author>
        <b:NameList>
          <b:Person>
            <b:Last>Herrington</b:Last>
            <b:Middle>S.</b:Middle>
            <b:First>Jason</b:First>
          </b:Person>
          <b:Person>
            <b:Last>Myers</b:Last>
            <b:First>Colton</b:First>
          </b:Person>
          <b:Person>
            <b:Last>Rigdon</b:Last>
            <b:First>Amanda</b:First>
          </b:Person>
        </b:NameList>
      </b:Author>
    </b:Author>
    <b:RefOrder>14</b:RefOrder>
  </b:Source>
  <b:Source>
    <b:Tag>StH17</b:Tag>
    <b:SourceType>Report</b:SourceType>
    <b:Guid>{E07DF245-41F9-4601-A96D-F9A822F62E4D}</b:Guid>
    <b:Title>Impact of e-liquid flavors on nicotine intake and pharmacology of e-cigarettes </b:Title>
    <b:Year>2017</b:Year>
    <b:Publisher>Elsevier </b:Publisher>
    <b:City>San Francisco </b:City>
    <b:Author>
      <b:Author>
        <b:NameList>
          <b:Person>
            <b:Last>St.Helen</b:Last>
            <b:First>Gideon</b:First>
          </b:Person>
          <b:Person>
            <b:Last>Dempsey</b:Last>
            <b:Middle>A.</b:Middle>
            <b:First>Delia</b:First>
          </b:Person>
          <b:Person>
            <b:Last>Havel</b:Last>
            <b:Middle>M.</b:Middle>
            <b:First>Christopher</b:First>
          </b:Person>
          <b:Person>
            <b:Last>Jacob</b:Last>
            <b:First>Peyton</b:First>
          </b:Person>
          <b:Person>
            <b:Last>Benowitz</b:Last>
            <b:Middle>L.</b:Middle>
            <b:First>Neal</b:First>
          </b:Person>
        </b:NameList>
      </b:Author>
    </b:Author>
    <b:RefOrder>16</b:RefOrder>
  </b:Source>
  <b:Source>
    <b:Tag>Asz17</b:Tag>
    <b:SourceType>Report</b:SourceType>
    <b:Guid>{BFED7EFD-5C9D-4848-BB9F-50779AE867FA}</b:Guid>
    <b:Title>Comprehensive determination of flavouring addititives and nicotine in e-cigarette refill solutions. Part 2: Gas chromatorgaphy-mass spectrometry analysis</b:Title>
    <b:Year>2017</b:Year>
    <b:Publisher>Elsevier </b:Publisher>
    <b:City>Gdańsk</b:City>
    <b:Author>
      <b:Author>
        <b:NameList>
          <b:Person>
            <b:Last>Aszyk</b:Last>
            <b:First>Justyna</b:First>
          </b:Person>
          <b:Person>
            <b:Last>Woźniak</b:Last>
            <b:Middle>Kacper</b:Middle>
            <b:First>Mateusz</b:First>
          </b:Person>
          <b:Person>
            <b:Last>Kubica</b:Last>
            <b:First>Paweł</b:First>
          </b:Person>
          <b:Person>
            <b:Last>Kot-Wasik</b:Last>
            <b:First>Agata</b:First>
          </b:Person>
          <b:Person>
            <b:Last>Namieśnik</b:Last>
            <b:First>Jacek</b:First>
          </b:Person>
          <b:Person>
            <b:Last>Wasik</b:Last>
            <b:First>Andrzej</b:First>
          </b:Person>
        </b:NameList>
      </b:Author>
    </b:Author>
    <b:RefOrder>17</b:RefOrder>
  </b:Source>
  <b:Source>
    <b:Tag>Luk18</b:Tag>
    <b:SourceType>Report</b:SourceType>
    <b:Guid>{81C58633-9CB6-48FB-8FC2-475311D017E5}</b:Guid>
    <b:Title>Levels of selected carcinogens and toxicants in vapor from electronic cigarettes</b:Title>
    <b:Year>2018</b:Year>
    <b:Author>
      <b:Author>
        <b:NameList>
          <b:Person>
            <b:Last>Lukasz</b:Last>
            <b:First>G.M.</b:First>
          </b:Person>
          <b:Person>
            <b:Last>Jakub</b:Last>
            <b:First>K.</b:First>
          </b:Person>
          <b:Person>
            <b:Last>Michal</b:Last>
            <b:First>G.</b:First>
          </b:Person>
          <b:Person>
            <b:Last>Leon</b:Last>
            <b:First>K.</b:First>
          </b:Person>
          <b:Person>
            <b:Last>Andrzej</b:Last>
            <b:First>S.</b:First>
          </b:Person>
          <b:Person>
            <b:Last>Jolanta</b:Last>
            <b:First>K.</b:First>
          </b:Person>
          <b:Person>
            <b:Last>Adam</b:Last>
            <b:First>P.</b:First>
          </b:Person>
          <b:Person>
            <b:Last>Magdalena</b:Last>
            <b:First>J.</b:First>
          </b:Person>
          <b:Person>
            <b:Last>Czeslawa</b:Last>
            <b:First>R.</b:First>
          </b:Person>
          <b:Person>
            <b:Last>Chrostopher</b:Last>
            <b:First>H.</b:First>
          </b:Person>
          <b:Person>
            <b:Last>Peyton</b:Last>
            <b:First>J.</b:First>
          </b:Person>
          <b:Person>
            <b:Last>Neal</b:Last>
            <b:First>B. </b:First>
          </b:Person>
        </b:NameList>
      </b:Author>
    </b:Author>
    <b:Publisher>PMC</b:Publisher>
    <b:RefOrder>18</b:RefOrder>
  </b:Source>
  <b:Source>
    <b:Tag>Val15</b:Tag>
    <b:SourceType>Report</b:SourceType>
    <b:Guid>{E2EB111B-A5D0-4E41-B873-4BA3FA075179}</b:Guid>
    <b:Title>The effects of alcohol-containing e-cigarettes on young adults</b:Title>
    <b:Year>2015</b:Year>
    <b:Publisher>Elsevier</b:Publisher>
    <b:City>New Haven </b:City>
    <b:Author>
      <b:Author>
        <b:NameList>
          <b:Person>
            <b:Last>Valentine</b:Last>
            <b:Middle>W.</b:Middle>
            <b:First>Gerald </b:First>
          </b:Person>
          <b:Person>
            <b:Last>Jatlow</b:Last>
            <b:Middle>I.</b:Middle>
            <b:First>Peter</b:First>
          </b:Person>
          <b:Person>
            <b:Last>Coffman</b:Last>
            <b:First>Marcedes</b:First>
          </b:Person>
          <b:Person>
            <b:Last>Nadim</b:Last>
            <b:First>Haleh</b:First>
          </b:Person>
          <b:Person>
            <b:Last>Gueorguieva</b:Last>
            <b:First>Ralitza</b:First>
          </b:Person>
          <b:Person>
            <b:Last>Sofouglu</b:Last>
            <b:First>Mehmet</b:First>
          </b:Person>
        </b:NameList>
      </b:Author>
    </b:Author>
    <b:RefOrder>19</b:RefOrder>
  </b:Source>
  <b:Source>
    <b:Tag>Zho18</b:Tag>
    <b:SourceType>Report</b:SourceType>
    <b:Guid>{7449CD31-5ABA-4B3B-A8C7-414E2D040655}</b:Guid>
    <b:Title>Chemical constituents of hemp (Cannabis sativa L.) seed with potential anti-neuroinflammatory activity</b:Title>
    <b:Year>2018</b:Year>
    <b:City>Jinan</b:City>
    <b:Publisher>Elsevier</b:Publisher>
    <b:Author>
      <b:Author>
        <b:NameList>
          <b:Person>
            <b:Last>Zhou</b:Last>
            <b:First>Yuefang</b:First>
          </b:Person>
          <b:Person>
            <b:Last>Wang</b:Last>
            <b:First>Shanshan</b:First>
          </b:Person>
          <b:Person>
            <b:Last>Lou</b:Last>
            <b:First>Hongxiang</b:First>
          </b:Person>
          <b:Person>
            <b:Last>Fan</b:Last>
            <b:First>Peihong</b:First>
          </b:Person>
        </b:NameList>
      </b:Author>
    </b:Author>
    <b:RefOrder>20</b:RefOrder>
  </b:Source>
  <b:Source>
    <b:Tag>Mon14</b:Tag>
    <b:SourceType>Report</b:SourceType>
    <b:Guid>{EFF299B3-CD6B-49C3-A1C7-2F9786870FBB}</b:Guid>
    <b:Title>Hemp ( Cannabis sativa L.) seed oil: analytical and phytochemical characterization of the unsaponifiable fraction.</b:Title>
    <b:Year>2014</b:Year>
    <b:Publisher>J Agric Food Chem</b:Publisher>
    <b:City>Seville</b:City>
    <b:Author>
      <b:Author>
        <b:NameList>
          <b:Person>
            <b:Last>Montserrat-de la Paz</b:Last>
            <b:First>S.</b:First>
          </b:Person>
          <b:Person>
            <b:Last>Marín-Aguilar</b:Last>
            <b:First>F.</b:First>
          </b:Person>
          <b:Person>
            <b:Last>García-Giménez</b:Last>
            <b:First>M. D.</b:First>
          </b:Person>
          <b:Person>
            <b:Last>Fernández-Arche</b:Last>
            <b:First>M. A.</b:First>
          </b:Person>
        </b:NameList>
      </b:Author>
    </b:Author>
    <b:DOI>10.1021/jf404278q</b:DOI>
    <b:RefOrder>21</b:RefOrder>
  </b:Source>
  <b:Source>
    <b:Tag>Cit18</b:Tag>
    <b:SourceType>Report</b:SourceType>
    <b:Guid>{7C0EA9CF-7868-4D8E-BA5F-56D2F331FC89}</b:Guid>
    <b:Title>Analysis of cannabinoids in commercial hemp seed oil and decarboxylation kinetics studies of cannabidiolic acid (CBDA)</b:Title>
    <b:Year>2018</b:Year>
    <b:Publisher>Elsevier</b:Publisher>
    <b:Author>
      <b:Author>
        <b:NameList>
          <b:Person>
            <b:Last>Citti </b:Last>
            <b:First>Cinzia</b:First>
          </b:Person>
          <b:Person>
            <b:Last>Pacchetti</b:Last>
            <b:First>Barbara</b:First>
          </b:Person>
          <b:Person>
            <b:Last>Vandelli</b:Last>
            <b:Middle>Angela </b:Middle>
            <b:First>Maria </b:First>
          </b:Person>
          <b:Person>
            <b:Last>Forni</b:Last>
            <b:First>Flavio</b:First>
          </b:Person>
          <b:Person>
            <b:Last>Cannazza</b:Last>
            <b:First>Giuseppe</b:First>
          </b:Person>
        </b:NameList>
      </b:Author>
    </b:Author>
    <b:RefOrder>22</b:RefOrder>
  </b:Source>
  <b:Source>
    <b:Tag>Cha17</b:Tag>
    <b:SourceType>Book</b:SourceType>
    <b:Guid>{DACD9096-BAFD-4381-919B-D0198EC60BD6}</b:Guid>
    <b:Title>Cannabis sativa L. - Botany and Biotechnology</b:Title>
    <b:Year>2017</b:Year>
    <b:Publisher>Springer</b:Publisher>
    <b:Author>
      <b:Author>
        <b:NameList>
          <b:Person>
            <b:Last>Chandra</b:Last>
            <b:First>Suman</b:First>
          </b:Person>
          <b:Person>
            <b:Last>Lata</b:Last>
            <b:First>Hemant</b:First>
          </b:Person>
          <b:Person>
            <b:Last>ElSohly</b:Last>
            <b:Middle>A.</b:Middle>
            <b:First>Mahmoud</b:First>
          </b:Person>
        </b:NameList>
      </b:Author>
    </b:Author>
    <b:RefOrder>23</b:RefOrder>
  </b:Source>
  <b:Source>
    <b:Tag>Jan17</b:Tag>
    <b:SourceType>Report</b:SourceType>
    <b:Guid>{C06D3319-78D4-4F0C-8E16-337FA8481348}</b:Guid>
    <b:Title>Yield and cannabinoids contents in different cannabis (Cannabis sativa L.) genotypes for medical use</b:Title>
    <b:Year>2017</b:Year>
    <b:City>Prague</b:City>
    <b:Publisher>Elsevier </b:Publisher>
    <b:Author>
      <b:Author>
        <b:NameList>
          <b:Person>
            <b:Last>Janatová</b:Last>
            <b:First>Anežka</b:First>
          </b:Person>
          <b:Person>
            <b:Last>Fraňková</b:Last>
            <b:First>Adéla</b:First>
          </b:Person>
          <b:Person>
            <b:Last>Tlustoš</b:Last>
            <b:First>Pavel</b:First>
          </b:Person>
          <b:Person>
            <b:Last>Hamouz</b:Last>
            <b:First>Karel</b:First>
          </b:Person>
          <b:Person>
            <b:Last>Božik</b:Last>
            <b:First>Matěj</b:First>
          </b:Person>
          <b:Person>
            <b:Last>Klouček</b:Last>
            <b:First>Pavel</b:First>
          </b:Person>
        </b:NameList>
      </b:Author>
    </b:Author>
    <b:RefOrder>24</b:RefOrder>
  </b:Source>
  <b:Source>
    <b:Tag>DiM04</b:Tag>
    <b:SourceType>Book</b:SourceType>
    <b:Guid>{87AC6EE6-B268-4374-BEE4-D4EE34A8B959}</b:Guid>
    <b:Title>Cannabinoids</b:Title>
    <b:Year>2004</b:Year>
    <b:Publisher>Kluwer Academic</b:Publisher>
    <b:City>New York</b:City>
    <b:Author>
      <b:Author>
        <b:NameList>
          <b:Person>
            <b:Last>Di Marzo</b:Last>
            <b:First>Vincenzo</b:First>
          </b:Person>
        </b:NameList>
      </b:Author>
    </b:Author>
    <b:RefOrder>25</b:RefOrder>
  </b:Source>
  <b:Source>
    <b:Tag>Cal18</b:Tag>
    <b:SourceType>Report</b:SourceType>
    <b:Guid>{DDAE456A-B1CC-4738-8320-EC955111ADA3}</b:Guid>
    <b:Title>Comprehensive quality evaluation of medical Cannabis sativa L. inflorescence and macerated oils based on HS-SPME coupled to GC–MS and LC-HRMS (q-exactive orbitrap®) approach</b:Title>
    <b:Year>2018</b:Year>
    <b:Publisher>Elsevier</b:Publisher>
    <b:City>Milan</b:City>
    <b:Author>
      <b:Author>
        <b:NameList>
          <b:Person>
            <b:Last>Calvi</b:Last>
            <b:First>Lorenzo</b:First>
          </b:Person>
          <b:Person>
            <b:Last>Pentimalli</b:Last>
            <b:First>Daniela</b:First>
          </b:Person>
          <b:Person>
            <b:Last>Panseri</b:Last>
            <b:First>Sara</b:First>
          </b:Person>
          <b:Person>
            <b:Last>Giupponi</b:Last>
            <b:First>Luca</b:First>
          </b:Person>
          <b:Person>
            <b:Last>Gelmini</b:Last>
            <b:First>Fabrizio</b:First>
          </b:Person>
          <b:Person>
            <b:Last>Beretta</b:Last>
            <b:First>Giangiacomo</b:First>
          </b:Person>
          <b:Person>
            <b:Last>Vitali</b:Last>
            <b:First>Davide</b:First>
          </b:Person>
          <b:Person>
            <b:Last>Bruno</b:Last>
            <b:First>Massimo</b:First>
          </b:Person>
          <b:Person>
            <b:Last>Zilio</b:Last>
            <b:First>Emanuela</b:First>
          </b:Person>
          <b:Person>
            <b:Last>Pavlovic</b:Last>
            <b:First>Radmila</b:First>
          </b:Person>
          <b:Person>
            <b:Last>Giorgi</b:Last>
            <b:First>Annamaria</b:First>
          </b:Person>
        </b:NameList>
      </b:Author>
    </b:Author>
    <b:RefOrder>26</b:RefOrder>
  </b:Source>
  <b:Source>
    <b:Tag>Sha12</b:Tag>
    <b:SourceType>Report</b:SourceType>
    <b:Guid>{DA3C7911-913C-4D8F-9D4C-43710CCED37D}</b:Guid>
    <b:Title>Chemistry, Metabolism, and Toxicology of Cannabis: Clinical Implications</b:Title>
    <b:Year>2012</b:Year>
    <b:Publisher>Iran Journal of Physchiatry </b:Publisher>
    <b:City>Bangalore </b:City>
    <b:Author>
      <b:Author>
        <b:NameList>
          <b:Person>
            <b:Last>Sharma</b:Last>
            <b:First>Priyamvada</b:First>
          </b:Person>
          <b:Person>
            <b:Last>Murthy</b:Last>
            <b:First>Pratima</b:First>
          </b:Person>
          <b:Person>
            <b:Last>Bharath</b:Last>
            <b:First>M.M. Srinivas</b:First>
          </b:Person>
        </b:NameList>
      </b:Author>
    </b:Author>
    <b:RefOrder>27</b:RefOrder>
  </b:Source>
  <b:Source>
    <b:Tag>Izz09</b:Tag>
    <b:SourceType>Report</b:SourceType>
    <b:Guid>{E4E905AC-F20E-4B67-B16A-0BC3DCB826E1}</b:Guid>
    <b:Title>Non-psychotropic plant cannabinoids: new therapeutic opportunities from an ancient herb</b:Title>
    <b:Year>2009</b:Year>
    <b:Publisher>Elsevier Ltd. </b:Publisher>
    <b:Author>
      <b:Author>
        <b:NameList>
          <b:Person>
            <b:Last>Izzo</b:Last>
            <b:Middle>A.</b:Middle>
            <b:First>Angelo</b:First>
          </b:Person>
          <b:Person>
            <b:Last>Borrelli</b:Last>
            <b:First>Francesca</b:First>
          </b:Person>
          <b:Person>
            <b:Last>Capasso</b:Last>
            <b:First>Raffaele</b:First>
          </b:Person>
          <b:Person>
            <b:Last>Di Marzo</b:Last>
            <b:First>Vincenzo</b:First>
          </b:Person>
          <b:Person>
            <b:Last>Mechoulam</b:Last>
            <b:First>Raphael</b:First>
          </b:Person>
        </b:NameList>
      </b:Author>
    </b:Author>
    <b:RefOrder>28</b:RefOrder>
  </b:Source>
  <b:Source>
    <b:Tag>Suu10</b:Tag>
    <b:SourceType>Report</b:SourceType>
    <b:Guid>{E6BB05C0-2B73-471D-B06D-8DA407D55419}</b:Guid>
    <b:Title>VALIDATION OF THE GAS CHROMATOGRAPHIC METHOD</b:Title>
    <b:Year>2010</b:Year>
    <b:City>Tartu</b:City>
    <b:Author>
      <b:Author>
        <b:NameList>
          <b:Person>
            <b:Last>Suurkuusk</b:Last>
            <b:First>Gert </b:First>
          </b:Person>
        </b:NameList>
      </b:Author>
    </b:Author>
    <b:RefOrder>29</b:RefOrder>
  </b:Source>
  <b:Source>
    <b:Tag>Fra17</b:Tag>
    <b:SourceType>InternetSite</b:SourceType>
    <b:Guid>{8702E27B-CCDB-466E-9C9E-8968B886B36A}</b:Guid>
    <b:Title>Top 11 Cannabinoids And What They Do</b:Title>
    <b:Year>2017</b:Year>
    <b:InternetSiteTitle>Honest Marijuana</b:InternetSiteTitle>
    <b:Month>February</b:Month>
    <b:Day>27th</b:Day>
    <b:URL>https://honestmarijuana.com/cannabinoids/</b:URL>
    <b:Author>
      <b:Author>
        <b:NameList>
          <b:Person>
            <b:Last>Franciosi</b:Last>
            <b:First>Anthony</b:First>
          </b:Person>
        </b:NameList>
      </b:Author>
    </b:Author>
    <b:RefOrder>30</b:RefOrder>
  </b:Source>
  <b:Source>
    <b:Tag>Woo14</b:Tag>
    <b:SourceType>InternetSite</b:SourceType>
    <b:Guid>{06BE97A2-2FCB-4964-8EF6-5404DC956988}</b:Guid>
    <b:Title>‘Miracle cures’ such as hemp oil can hurt more than help</b:Title>
    <b:Year>2014</b:Year>
    <b:InternetSiteTitle>The Globe and Mail</b:InternetSiteTitle>
    <b:Month>May</b:Month>
    <b:Day>30th</b:Day>
    <b:URL>https://www.theglobeandmail.com/life/health-and-fitness/health/miracle-cures-such-as-hemp-oil-can-hurt-more-than-help/article20946140/</b:URL>
    <b:Author>
      <b:Author>
        <b:NameList>
          <b:Person>
            <b:Last>Woods</b:Last>
            <b:First>John</b:First>
          </b:Person>
        </b:NameList>
      </b:Author>
    </b:Author>
    <b:RefOrder>31</b:RefOrder>
  </b:Source>
  <b:Source>
    <b:Tag>Ngu16</b:Tag>
    <b:SourceType>Report</b:SourceType>
    <b:Guid>{40C718AB-BDE6-4814-A12E-D7F4FA204829}</b:Guid>
    <b:Title>Inhaled delivery of D9-tetrahydrocannabinol (THC) to rats by ecigarette</b:Title>
    <b:Year>2016</b:Year>
    <b:Publisher>Elsevier</b:Publisher>
    <b:City>La Jolla</b:City>
    <b:Author>
      <b:Author>
        <b:NameList>
          <b:Person>
            <b:Last>Nguyen</b:Last>
            <b:Middle>D.</b:Middle>
            <b:First>Jacques</b:First>
          </b:Person>
          <b:Person>
            <b:Last>Aarde</b:Last>
            <b:Middle>M.</b:Middle>
            <b:First>Shawn</b:First>
          </b:Person>
          <b:Person>
            <b:Last>Vandewater</b:Last>
            <b:Middle>A.</b:Middle>
            <b:First>Sophia</b:First>
          </b:Person>
          <b:Person>
            <b:Last>Grant</b:Last>
            <b:First>Yanabel </b:First>
          </b:Person>
          <b:Person>
            <b:Last>Stouffer</b:Last>
            <b:Middle>G.</b:Middle>
            <b:First>David</b:First>
          </b:Person>
          <b:Person>
            <b:Last>Parsons</b:Last>
            <b:Middle>H.</b:Middle>
            <b:First>Loren</b:First>
          </b:Person>
          <b:Person>
            <b:Last>Cole</b:Last>
            <b:First>Maury </b:First>
          </b:Person>
          <b:Person>
            <b:Last>Taffe</b:Last>
            <b:Middle>A.</b:Middle>
            <b:First>Michael</b:First>
          </b:Person>
        </b:NameList>
      </b:Author>
    </b:Author>
    <b:RefOrder>33</b:RefOrder>
  </b:Source>
  <b:Source>
    <b:Tag>Pea16</b:Tag>
    <b:SourceType>Report</b:SourceType>
    <b:Guid>{E6DE1A51-CBA3-4EBA-92B8-06E7F07C03DD}</b:Guid>
    <b:Title>Identification of MDMB-FUBINACA in commercially available e-liquid</b:Title>
    <b:Year>2016</b:Year>
    <b:Publisher>Elsevier</b:Publisher>
    <b:City>Richmond</b:City>
    <b:Author>
      <b:Author>
        <b:NameList>
          <b:Person>
            <b:Last>Peace</b:Last>
            <b:Middle>R.</b:Middle>
            <b:First>Michelle</b:First>
          </b:Person>
          <b:Person>
            <b:Last>Krakowiak</b:Last>
            <b:Middle>I.</b:Middle>
            <b:First>Rose</b:First>
          </b:Person>
          <b:Person>
            <b:Last>Wolf</b:Last>
            <b:Middle>E.</b:Middle>
            <b:First>Carl</b:First>
          </b:Person>
          <b:Person>
            <b:Last>Poklis</b:Last>
            <b:First>Alphonse </b:First>
          </b:Person>
          <b:Person>
            <b:Last>Poklis</b:Last>
            <b:Middle>L.</b:Middle>
            <b:First>Justin</b:First>
          </b:Person>
        </b:NameList>
      </b:Author>
    </b:Author>
    <b:RefOrder>34</b:RefOrder>
  </b:Source>
  <b:Source>
    <b:Tag>ISO</b:Tag>
    <b:SourceType>InternetSite</b:SourceType>
    <b:Guid>{22FDEB95-0B5C-4823-875B-C660CF19AFEB}</b:Guid>
    <b:Title>E-liquid -- Determination of nicotine, propylene glycol and glycerol in liquids used in electronic nicotine delivery devices -- Gas chromatographic method</b:Title>
    <b:Author>
      <b:Author>
        <b:Corporate>ISO</b:Corporate>
      </b:Author>
    </b:Author>
    <b:InternetSiteTitle>International Organization for Standardization </b:InternetSiteTitle>
    <b:URL>https://www.iso.org/standard/68905.html</b:URL>
    <b:RefOrder>42</b:RefOrder>
  </b:Source>
  <b:Source>
    <b:Tag>Dav</b:Tag>
    <b:SourceType>Report</b:SourceType>
    <b:Guid>{589F19CA-32AA-4E60-8239-D2DA1C33747D}</b:Guid>
    <b:Title>Determination of nicotine, propylene glycol and glycerol in e-liquids according to ISO/CD 20714 using Agilent Intuvo 9000 GC</b:Title>
    <b:Author>
      <b:Author>
        <b:NameList>
          <b:Person>
            <b:Last>David</b:Last>
            <b:First>Frank</b:First>
          </b:Person>
          <b:Person>
            <b:Last>D'Haenens</b:Last>
            <b:First>Bram</b:First>
          </b:Person>
          <b:Person>
            <b:Last>Devos</b:Last>
            <b:First>Christophe</b:First>
          </b:Person>
        </b:NameList>
      </b:Author>
    </b:Author>
    <b:Year>2018</b:Year>
    <b:Publisher>Agilent Technologies</b:Publisher>
    <b:ShortTitle>5991-8890EN</b:ShortTitle>
    <b:URL>https://www.agilent.com/cs/library/applications/5991-8990EN_Vape_AppNote.pdf</b:URL>
    <b:RefOrder>40</b:RefOrder>
  </b:Source>
  <b:Source>
    <b:Tag>Pav</b:Tag>
    <b:SourceType>Report</b:SourceType>
    <b:Guid>{78258E46-1DAB-4E01-9AB6-68505B0CAB89}</b:Guid>
    <b:Title>Qualtiy traits of "Cannabidiol Oils": cannabinoids content, terpene fingerprinting and oxidation stability of European commercially available preparations</b:Title>
    <b:Author>
      <b:Author>
        <b:NameList>
          <b:Person>
            <b:Last>Pavlovic</b:Last>
            <b:First>Radmila</b:First>
          </b:Person>
          <b:Person>
            <b:Last>Nenna</b:Last>
            <b:First>Giorgio</b:First>
          </b:Person>
          <b:Person>
            <b:Last>Calvi</b:Last>
            <b:First>Lorenzo</b:First>
          </b:Person>
          <b:Person>
            <b:Last>Panseri</b:Last>
            <b:First>Sara</b:First>
          </b:Person>
          <b:Person>
            <b:Last>Borgonovo</b:Last>
            <b:First>Gigliola </b:First>
          </b:Person>
          <b:Person>
            <b:Last>Giupponi</b:Last>
            <b:First>Luca</b:First>
          </b:Person>
          <b:Person>
            <b:Last>Cannazza</b:Last>
            <b:First>Giuseppe</b:First>
          </b:Person>
          <b:Person>
            <b:Last>Giorgi</b:Last>
            <b:First>Annamaria</b:First>
          </b:Person>
        </b:NameList>
      </b:Author>
    </b:Author>
    <b:Year>2018</b:Year>
    <b:Publisher>Molecules</b:Publisher>
    <b:City>Milan</b:City>
    <b:DOI>10.3390/molecules23051230</b:DOI>
    <b:RefOrder>32</b:RefOrder>
  </b:Source>
  <b:Source>
    <b:Tag>Cay</b:Tag>
    <b:SourceType>InternetSite</b:SourceType>
    <b:Guid>{38BB9B7D-4443-47B1-A766-D0CE3B0F762F}</b:Guid>
    <b:Author>
      <b:Author>
        <b:Corporate>Cayman Chemical </b:Corporate>
      </b:Author>
    </b:Author>
    <b:Title>(−)-Caryophyllene oxide</b:Title>
    <b:InternetSiteTitle>Cayman Chemical </b:InternetSiteTitle>
    <b:URL>https://www.caymanchem.com/product/21573</b:URL>
    <b:RefOrder>36</b:RefOrder>
  </b:Source>
  <b:Source>
    <b:Tag>Lak03</b:Tag>
    <b:SourceType>Report</b:SourceType>
    <b:Guid>{DD63C969-3A30-422A-8573-E6B9CCC3B637}</b:Guid>
    <b:Title>2-Methoxyestradiol, a promising anticancer agent</b:Title>
    <b:Year>2003</b:Year>
    <b:Publisher>PubMed</b:Publisher>
    <b:City>Maryland </b:City>
    <b:Author>
      <b:Author>
        <b:NameList>
          <b:Person>
            <b:Last>Lakhani</b:Last>
            <b:First>NJ</b:First>
          </b:Person>
          <b:Person>
            <b:Last>Sarkar</b:Last>
            <b:First>MA</b:First>
          </b:Person>
          <b:Person>
            <b:Last>Venitz</b:Last>
            <b:First>J</b:First>
          </b:Person>
          <b:Person>
            <b:Last>Figg</b:Last>
            <b:First>WD</b:First>
          </b:Person>
        </b:NameList>
      </b:Author>
    </b:Author>
    <b:RefOrder>37</b:RefOrder>
  </b:Source>
  <b:Source>
    <b:Tag>Wis</b:Tag>
    <b:SourceType>InternetSite</b:SourceType>
    <b:Guid>{AFF56DB4-0E84-4DE1-AAE3-DC0740477984}</b:Guid>
    <b:URL>https://www.drugbank.ca/drugs/DB03756</b:URL>
    <b:Author>
      <b:Author>
        <b:NameList>
          <b:Person>
            <b:Last>Wishart</b:Last>
            <b:First>DS</b:First>
          </b:Person>
          <b:Person>
            <b:Last>Feunang</b:Last>
            <b:First>YD</b:First>
          </b:Person>
          <b:Person>
            <b:Last>Guo</b:Last>
            <b:First>AC</b:First>
          </b:Person>
          <b:Person>
            <b:Last>Lo</b:Last>
            <b:First>EJ</b:First>
          </b:Person>
          <b:Person>
            <b:Last>MArcu</b:Last>
            <b:First>A</b:First>
          </b:Person>
          <b:Person>
            <b:Last>Grant</b:Last>
            <b:First>JR</b:First>
          </b:Person>
          <b:Person>
            <b:Last>Sajed </b:Last>
            <b:First>T</b:First>
          </b:Person>
          <b:Person>
            <b:Last>Johnson</b:Last>
            <b:First>D</b:First>
          </b:Person>
          <b:Person>
            <b:Last>Li</b:Last>
            <b:First>C</b:First>
          </b:Person>
          <b:Person>
            <b:Last>Sayeeda</b:Last>
            <b:First>Z</b:First>
          </b:Person>
          <b:Person>
            <b:Last>Assempour</b:Last>
            <b:First>N</b:First>
          </b:Person>
          <b:Person>
            <b:Last>Iynkkaran</b:Last>
            <b:First>I</b:First>
          </b:Person>
          <b:Person>
            <b:Last>Liu</b:Last>
            <b:First>Y</b:First>
          </b:Person>
          <b:Person>
            <b:Last>Maciejewski</b:Last>
            <b:First>A</b:First>
          </b:Person>
          <b:Person>
            <b:Last>Gale</b:Last>
            <b:First>N</b:First>
          </b:Person>
          <b:Person>
            <b:Last>Wilson </b:Last>
            <b:First>A</b:First>
          </b:Person>
          <b:Person>
            <b:Last>Chin</b:Last>
            <b:First>L</b:First>
          </b:Person>
          <b:Person>
            <b:Last>Cummings</b:Last>
            <b:First>R</b:First>
          </b:Person>
          <b:Person>
            <b:Last>Le</b:Last>
            <b:First>D</b:First>
          </b:Person>
          <b:Person>
            <b:Last>Pon</b:Last>
            <b:First>A</b:First>
          </b:Person>
          <b:Person>
            <b:Last>Knox</b:Last>
            <b:First>C</b:First>
          </b:Person>
          <b:Person>
            <b:Last>Wilson</b:Last>
            <b:First>M</b:First>
          </b:Person>
        </b:NameList>
      </b:Author>
    </b:Author>
    <b:DOI>10.1093/nar/gkx1037</b:DOI>
    <b:Title>Doconexent</b:Title>
    <b:InternetSiteTitle>Drugbank</b:InternetSiteTitle>
    <b:RefOrder>35</b:RefOrder>
  </b:Source>
  <b:Source>
    <b:Tag>Wis1</b:Tag>
    <b:SourceType>InternetSite</b:SourceType>
    <b:Guid>{D8002ED3-62D2-4362-8423-7F18C3A5E12C}</b:Guid>
    <b:Title>2-Methoxyestradiol</b:Title>
    <b:Author>
      <b:Author>
        <b:NameList>
          <b:Person>
            <b:Last>Wishart </b:Last>
            <b:First>DS</b:First>
          </b:Person>
          <b:Person>
            <b:Last>Feunang</b:Last>
            <b:First>YD</b:First>
          </b:Person>
          <b:Person>
            <b:Last>Guo</b:Last>
            <b:First>AC</b:First>
          </b:Person>
          <b:Person>
            <b:Last>Lo</b:Last>
            <b:First>EJ</b:First>
          </b:Person>
          <b:Person>
            <b:Last>Marcu</b:Last>
            <b:First>A</b:First>
          </b:Person>
          <b:Person>
            <b:Last>Grant</b:Last>
            <b:First>JR</b:First>
          </b:Person>
          <b:Person>
            <b:Last>Sajed</b:Last>
            <b:First>T</b:First>
          </b:Person>
          <b:Person>
            <b:Last>Johnson</b:Last>
            <b:First>D</b:First>
          </b:Person>
          <b:Person>
            <b:Last>Li</b:Last>
            <b:First>C</b:First>
          </b:Person>
          <b:Person>
            <b:Last> Sayeeda</b:Last>
            <b:First>Z</b:First>
          </b:Person>
          <b:Person>
            <b:Last>Assempour</b:Last>
            <b:First>N</b:First>
          </b:Person>
          <b:Person>
            <b:Last>Iynkkaran</b:Last>
            <b:First>I</b:First>
          </b:Person>
          <b:Person>
            <b:Last>Liu</b:Last>
            <b:First>Y</b:First>
          </b:Person>
          <b:Person>
            <b:Last>Maciejewski</b:Last>
            <b:First>A</b:First>
          </b:Person>
          <b:Person>
            <b:Last>Gale</b:Last>
            <b:First>N</b:First>
          </b:Person>
          <b:Person>
            <b:Last>Wilson</b:Last>
            <b:First>A</b:First>
          </b:Person>
          <b:Person>
            <b:Last>Chin</b:Last>
            <b:First>L</b:First>
          </b:Person>
          <b:Person>
            <b:Last>Cummings</b:Last>
            <b:First>R</b:First>
          </b:Person>
          <b:Person>
            <b:Last>Le</b:Last>
            <b:First>D</b:First>
          </b:Person>
          <b:Person>
            <b:Last>Pon</b:Last>
            <b:First>A</b:First>
          </b:Person>
          <b:Person>
            <b:Last>Knox</b:Last>
            <b:First>D</b:First>
          </b:Person>
          <b:Person>
            <b:Last>Wilson </b:Last>
            <b:First>M</b:First>
          </b:Person>
        </b:NameList>
      </b:Author>
    </b:Author>
    <b:InternetSiteTitle>Drugbank</b:InternetSiteTitle>
    <b:URL>https://www.drugbank.ca/drugs/DB02342</b:URL>
    <b:RefOrder>38</b:RefOrder>
  </b:Source>
  <b:Source>
    <b:Tag>Kul18</b:Tag>
    <b:SourceType>Report</b:SourceType>
    <b:Guid>{560031C6-8FFB-4B02-8FA7-9D07059EDDA3}</b:Guid>
    <b:Title>Transfer and optimization of USP 467 residual solvents method from 7890A GC to Intuvo 9000 GC</b:Title>
    <b:Year>2018</b:Year>
    <b:City>Vlissingen </b:City>
    <b:Author>
      <b:Author>
        <b:NameList>
          <b:Person>
            <b:Last>Kulomaa</b:Last>
            <b:Middle>M.E.</b:Middle>
            <b:First>Verna</b:First>
          </b:Person>
        </b:NameList>
      </b:Author>
    </b:Author>
    <b:RefOrder>39</b:RefOrder>
  </b:Source>
  <b:Source>
    <b:Tag>Vap</b:Tag>
    <b:SourceType>InternetSite</b:SourceType>
    <b:Guid>{C346FD02-8D96-404C-9DEC-FA118A4C24D1}</b:Guid>
    <b:Title>PG vs. VG: What Ratio Should You Choose?</b:Title>
    <b:Author>
      <b:Author>
        <b:Corporate>Vaping Daily Blog</b:Corporate>
      </b:Author>
    </b:Author>
    <b:InternetSiteTitle>Vaping Daily The voice of vaping</b:InternetSiteTitle>
    <b:URL>https://vapingdaily.com/best-vape-juices-and-e-liquids/pg-vs-vg/</b:URL>
    <b:YearAccessed>2018</b:YearAccessed>
    <b:RefOrder>15</b:RefOrder>
  </b:Source>
  <b:Source>
    <b:Tag>Bel</b:Tag>
    <b:SourceType>InternetSite</b:SourceType>
    <b:Guid>{DDF60650-2EDF-4DC5-9EDD-A0612BD8AA78}</b:Guid>
    <b:Title>Opium act (drugs)</b:Title>
    <b:Author>
      <b:Author>
        <b:Corporate>Belastingdienst</b:Corporate>
      </b:Author>
    </b:Author>
    <b:InternetSiteTitle>Belastingdienst</b:InternetSiteTitle>
    <b:URL>https://belastingdienst.nl/wps/wcm/connect/bldcontenten/belastingdienst/customs/safety_health_economy_and_environment/safety/opium_act_drugs/</b:URL>
    <b:RefOrder>41</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9650324-3F64-42F2-89BA-356B8D5A23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48</Pages>
  <Words>12540</Words>
  <Characters>71480</Characters>
  <Application>Microsoft Office Word</Application>
  <DocSecurity>0</DocSecurity>
  <Lines>595</Lines>
  <Paragraphs>167</Paragraphs>
  <ScaleCrop>false</ScaleCrop>
  <HeadingPairs>
    <vt:vector size="4" baseType="variant">
      <vt:variant>
        <vt:lpstr>Title</vt:lpstr>
      </vt:variant>
      <vt:variant>
        <vt:i4>1</vt:i4>
      </vt:variant>
      <vt:variant>
        <vt:lpstr>Otsikko</vt:lpstr>
      </vt:variant>
      <vt:variant>
        <vt:i4>1</vt:i4>
      </vt:variant>
    </vt:vector>
  </HeadingPairs>
  <TitlesOfParts>
    <vt:vector size="2" baseType="lpstr">
      <vt:lpstr>Development of simple and sensitive methods to analyze the active components and possible impurities in cbd oil</vt:lpstr>
      <vt:lpstr>Development of simple and sensitive methods to analyze the active components and possible impurities in CBD oil, e-liquids and CBD e-liquids</vt:lpstr>
    </vt:vector>
  </TitlesOfParts>
  <Company>HZ University of Applied Sciences &amp; Agilent Technologies</Company>
  <LinksUpToDate>false</LinksUpToDate>
  <CharactersWithSpaces>83853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Development of simple and sensitive methods to analyze the active components and possible impurities in cbd oil</dc:title>
  <dc:subject>Fesis</dc:subject>
  <dc:creator>Verna Kulomaa</dc:creator>
  <cp:keywords/>
  <dc:description/>
  <cp:lastModifiedBy>KULOMAA,VERNA (Non-A-Netherlands,ex1)</cp:lastModifiedBy>
  <cp:revision>28</cp:revision>
  <cp:lastPrinted>2018-05-30T08:42:00Z</cp:lastPrinted>
  <dcterms:created xsi:type="dcterms:W3CDTF">2018-05-31T09:11:00Z</dcterms:created>
  <dcterms:modified xsi:type="dcterms:W3CDTF">2018-06-05T11:21:00Z</dcterms:modified>
  <cp:category>HZ University of Applied Sciences &amp; Agilent Technologies                                                                                                          2018</cp:category>
</cp:coreProperties>
</file>